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rFonts w:ascii="宋体" w:hAnsi="宋体" w:eastAsia="宋体" w:cs="宋体"/>
          <w:color w:val="000000" w:themeColor="text1"/>
          <w:kern w:val="2"/>
          <w:sz w:val="30"/>
          <w:szCs w:val="30"/>
          <w:lang w:val="en-US" w:eastAsia="zh-CN" w:bidi="ar-SA"/>
          <w14:textFill>
            <w14:solidFill>
              <w14:schemeClr w14:val="tx1"/>
            </w14:solidFill>
          </w14:textFill>
        </w:rPr>
        <w:id w:val="147472461"/>
        <w15:color w:val="DBDBDB"/>
        <w:docPartObj>
          <w:docPartGallery w:val="Table of Contents"/>
          <w:docPartUnique/>
        </w:docPartObj>
      </w:sdtPr>
      <w:sdtEndPr>
        <w:rPr>
          <w:rFonts w:ascii="宋体" w:hAnsi="宋体" w:eastAsia="宋体" w:cs="宋体"/>
          <w:color w:val="000000" w:themeColor="text1"/>
          <w:kern w:val="2"/>
          <w:sz w:val="21"/>
          <w:szCs w:val="24"/>
          <w:lang w:val="en-US" w:eastAsia="zh-CN" w:bidi="ar-SA"/>
          <w14:textFill>
            <w14:solidFill>
              <w14:schemeClr w14:val="tx1"/>
            </w14:solidFill>
          </w14:textFill>
        </w:rPr>
      </w:sdtEndPr>
      <w:sdtContent>
        <w:p w14:paraId="3B93CEF7">
          <w:pPr>
            <w:keepNext w:val="0"/>
            <w:keepLines w:val="0"/>
            <w:pageBreakBefore w:val="0"/>
            <w:widowControl w:val="0"/>
            <w:kinsoku/>
            <w:wordWrap/>
            <w:overflowPunct/>
            <w:topLinePunct w:val="0"/>
            <w:autoSpaceDE/>
            <w:autoSpaceDN/>
            <w:bidi w:val="0"/>
            <w:adjustRightInd/>
            <w:snapToGrid/>
            <w:spacing w:before="0" w:after="0" w:line="360" w:lineRule="auto"/>
            <w:ind w:left="0" w:leftChars="0" w:right="0" w:rightChars="0" w:firstLine="0" w:firstLineChars="0"/>
            <w:jc w:val="center"/>
            <w:textAlignment w:val="auto"/>
            <w:rPr>
              <w:rFonts w:hint="default" w:ascii="Times New Roman" w:hAnsi="Times New Roman" w:cs="Times New Roman"/>
              <w:b/>
              <w:bCs/>
              <w:color w:val="000000" w:themeColor="text1"/>
              <w:sz w:val="30"/>
              <w:szCs w:val="30"/>
              <w14:textFill>
                <w14:solidFill>
                  <w14:schemeClr w14:val="tx1"/>
                </w14:solidFill>
              </w14:textFill>
            </w:rPr>
          </w:pPr>
          <w:r>
            <w:rPr>
              <w:rFonts w:hint="default" w:ascii="Times New Roman" w:hAnsi="Times New Roman" w:eastAsia="宋体" w:cs="Times New Roman"/>
              <w:b/>
              <w:bCs/>
              <w:color w:val="000000" w:themeColor="text1"/>
              <w:sz w:val="30"/>
              <w:szCs w:val="30"/>
              <w14:textFill>
                <w14:solidFill>
                  <w14:schemeClr w14:val="tx1"/>
                </w14:solidFill>
              </w14:textFill>
            </w:rPr>
            <w:t>目</w:t>
          </w:r>
          <w:r>
            <w:rPr>
              <w:rFonts w:hint="eastAsia" w:ascii="Times New Roman" w:hAnsi="Times New Roman" w:cs="Times New Roman"/>
              <w:b/>
              <w:bCs/>
              <w:color w:val="000000" w:themeColor="text1"/>
              <w:sz w:val="30"/>
              <w:szCs w:val="30"/>
              <w:lang w:val="en-US" w:eastAsia="zh-CN"/>
              <w14:textFill>
                <w14:solidFill>
                  <w14:schemeClr w14:val="tx1"/>
                </w14:solidFill>
              </w14:textFill>
            </w:rPr>
            <w:t xml:space="preserve">  </w:t>
          </w:r>
          <w:r>
            <w:rPr>
              <w:rFonts w:hint="default" w:ascii="Times New Roman" w:hAnsi="Times New Roman" w:eastAsia="宋体" w:cs="Times New Roman"/>
              <w:b/>
              <w:bCs/>
              <w:color w:val="000000" w:themeColor="text1"/>
              <w:sz w:val="30"/>
              <w:szCs w:val="30"/>
              <w14:textFill>
                <w14:solidFill>
                  <w14:schemeClr w14:val="tx1"/>
                </w14:solidFill>
              </w14:textFill>
            </w:rPr>
            <w:t>录</w:t>
          </w:r>
        </w:p>
        <w:p w14:paraId="1BC4AF8B">
          <w:pPr>
            <w:pStyle w:val="17"/>
            <w:keepNext w:val="0"/>
            <w:keepLines w:val="0"/>
            <w:pageBreakBefore w:val="0"/>
            <w:widowControl w:val="0"/>
            <w:tabs>
              <w:tab w:val="right" w:leader="hyphen" w:pos="8844"/>
            </w:tabs>
            <w:kinsoku/>
            <w:wordWrap/>
            <w:overflowPunct/>
            <w:topLinePunct w:val="0"/>
            <w:autoSpaceDE/>
            <w:autoSpaceDN/>
            <w:bidi w:val="0"/>
            <w:adjustRightInd/>
            <w:snapToGrid/>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fldChar w:fldCharType="begin"/>
          </w:r>
          <w:r>
            <w:rPr>
              <w:rFonts w:hint="default" w:ascii="Times New Roman" w:hAnsi="Times New Roman" w:cs="Times New Roman"/>
              <w:color w:val="000000" w:themeColor="text1"/>
              <w:sz w:val="24"/>
              <w:szCs w:val="24"/>
              <w14:textFill>
                <w14:solidFill>
                  <w14:schemeClr w14:val="tx1"/>
                </w14:solidFill>
              </w14:textFill>
            </w:rPr>
            <w:instrText xml:space="preserve">TOC \o "1-3" \h \u </w:instrText>
          </w:r>
          <w:r>
            <w:rPr>
              <w:rFonts w:hint="default" w:ascii="Times New Roman" w:hAnsi="Times New Roman" w:cs="Times New Roman"/>
              <w:color w:val="000000" w:themeColor="text1"/>
              <w:sz w:val="24"/>
              <w:szCs w:val="24"/>
              <w14:textFill>
                <w14:solidFill>
                  <w14:schemeClr w14:val="tx1"/>
                </w14:solidFill>
              </w14:textFill>
            </w:rPr>
            <w:fldChar w:fldCharType="separate"/>
          </w:r>
          <w:r>
            <w:rPr>
              <w:rFonts w:hint="default" w:ascii="Times New Roman" w:hAnsi="Times New Roman" w:eastAsia="宋体" w:cs="Times New Roman"/>
              <w:color w:val="000000" w:themeColor="text1"/>
              <w:szCs w:val="24"/>
              <w14:textFill>
                <w14:solidFill>
                  <w14:schemeClr w14:val="tx1"/>
                </w14:solidFill>
              </w14:textFill>
            </w:rPr>
            <w:fldChar w:fldCharType="begin"/>
          </w:r>
          <w:r>
            <w:rPr>
              <w:rFonts w:hint="default" w:ascii="Times New Roman" w:hAnsi="Times New Roman" w:eastAsia="宋体" w:cs="Times New Roman"/>
              <w:color w:val="000000" w:themeColor="text1"/>
              <w:szCs w:val="24"/>
              <w14:textFill>
                <w14:solidFill>
                  <w14:schemeClr w14:val="tx1"/>
                </w14:solidFill>
              </w14:textFill>
            </w:rPr>
            <w:instrText xml:space="preserve"> HYPERLINK \l _Toc19197 </w:instrText>
          </w:r>
          <w:r>
            <w:rPr>
              <w:rFonts w:hint="default" w:ascii="Times New Roman" w:hAnsi="Times New Roman" w:eastAsia="宋体" w:cs="Times New Roman"/>
              <w:color w:val="000000" w:themeColor="text1"/>
              <w:szCs w:val="24"/>
              <w14:textFill>
                <w14:solidFill>
                  <w14:schemeClr w14:val="tx1"/>
                </w14:solidFill>
              </w14:textFill>
            </w:rPr>
            <w:fldChar w:fldCharType="separate"/>
          </w:r>
          <w:r>
            <w:rPr>
              <w:rFonts w:hint="default" w:ascii="Times New Roman" w:hAnsi="Times New Roman" w:eastAsia="宋体" w:cs="Times New Roman"/>
              <w:color w:val="000000" w:themeColor="text1"/>
              <w:szCs w:val="30"/>
              <w14:textFill>
                <w14:solidFill>
                  <w14:schemeClr w14:val="tx1"/>
                </w14:solidFill>
              </w14:textFill>
            </w:rPr>
            <w:t>一、建设项目基本情况</w:t>
          </w:r>
          <w:r>
            <w:rPr>
              <w:rFonts w:hint="default" w:ascii="Times New Roman" w:hAnsi="Times New Roman" w:eastAsia="宋体" w:cs="Times New Roman"/>
              <w:color w:val="000000" w:themeColor="text1"/>
              <w14:textFill>
                <w14:solidFill>
                  <w14:schemeClr w14:val="tx1"/>
                </w14:solidFill>
              </w14:textFill>
            </w:rPr>
            <w:tab/>
          </w:r>
          <w:r>
            <w:rPr>
              <w:rFonts w:hint="default" w:ascii="Times New Roman" w:hAnsi="Times New Roman" w:eastAsia="宋体" w:cs="Times New Roman"/>
              <w:color w:val="000000" w:themeColor="text1"/>
              <w14:textFill>
                <w14:solidFill>
                  <w14:schemeClr w14:val="tx1"/>
                </w14:solidFill>
              </w14:textFill>
            </w:rPr>
            <w:fldChar w:fldCharType="begin"/>
          </w:r>
          <w:r>
            <w:rPr>
              <w:rFonts w:hint="default" w:ascii="Times New Roman" w:hAnsi="Times New Roman" w:eastAsia="宋体" w:cs="Times New Roman"/>
              <w:color w:val="000000" w:themeColor="text1"/>
              <w14:textFill>
                <w14:solidFill>
                  <w14:schemeClr w14:val="tx1"/>
                </w14:solidFill>
              </w14:textFill>
            </w:rPr>
            <w:instrText xml:space="preserve"> PAGEREF _Toc19197 \h </w:instrText>
          </w:r>
          <w:r>
            <w:rPr>
              <w:rFonts w:hint="default" w:ascii="Times New Roman" w:hAnsi="Times New Roman" w:eastAsia="宋体" w:cs="Times New Roman"/>
              <w:color w:val="000000" w:themeColor="text1"/>
              <w14:textFill>
                <w14:solidFill>
                  <w14:schemeClr w14:val="tx1"/>
                </w14:solidFill>
              </w14:textFill>
            </w:rPr>
            <w:fldChar w:fldCharType="separate"/>
          </w:r>
          <w:r>
            <w:rPr>
              <w:rFonts w:hint="default" w:ascii="Times New Roman" w:hAnsi="Times New Roman" w:eastAsia="宋体" w:cs="Times New Roman"/>
              <w:color w:val="000000" w:themeColor="text1"/>
              <w14:textFill>
                <w14:solidFill>
                  <w14:schemeClr w14:val="tx1"/>
                </w14:solidFill>
              </w14:textFill>
            </w:rPr>
            <w:t>1</w:t>
          </w:r>
          <w:r>
            <w:rPr>
              <w:rFonts w:hint="default" w:ascii="Times New Roman" w:hAnsi="Times New Roman" w:eastAsia="宋体" w:cs="Times New Roman"/>
              <w:color w:val="000000" w:themeColor="text1"/>
              <w14:textFill>
                <w14:solidFill>
                  <w14:schemeClr w14:val="tx1"/>
                </w14:solidFill>
              </w14:textFill>
            </w:rPr>
            <w:fldChar w:fldCharType="end"/>
          </w:r>
          <w:r>
            <w:rPr>
              <w:rFonts w:hint="default" w:ascii="Times New Roman" w:hAnsi="Times New Roman" w:eastAsia="宋体" w:cs="Times New Roman"/>
              <w:color w:val="000000" w:themeColor="text1"/>
              <w:szCs w:val="24"/>
              <w14:textFill>
                <w14:solidFill>
                  <w14:schemeClr w14:val="tx1"/>
                </w14:solidFill>
              </w14:textFill>
            </w:rPr>
            <w:fldChar w:fldCharType="end"/>
          </w:r>
        </w:p>
        <w:p w14:paraId="596FCE6F">
          <w:pPr>
            <w:pStyle w:val="17"/>
            <w:keepNext w:val="0"/>
            <w:keepLines w:val="0"/>
            <w:pageBreakBefore w:val="0"/>
            <w:widowControl w:val="0"/>
            <w:tabs>
              <w:tab w:val="right" w:leader="hyphen" w:pos="8844"/>
            </w:tabs>
            <w:kinsoku/>
            <w:wordWrap/>
            <w:overflowPunct/>
            <w:topLinePunct w:val="0"/>
            <w:autoSpaceDE/>
            <w:autoSpaceDN/>
            <w:bidi w:val="0"/>
            <w:adjustRightInd/>
            <w:snapToGrid/>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szCs w:val="24"/>
              <w14:textFill>
                <w14:solidFill>
                  <w14:schemeClr w14:val="tx1"/>
                </w14:solidFill>
              </w14:textFill>
            </w:rPr>
            <w:fldChar w:fldCharType="begin"/>
          </w:r>
          <w:r>
            <w:rPr>
              <w:rFonts w:hint="default" w:ascii="Times New Roman" w:hAnsi="Times New Roman" w:eastAsia="宋体" w:cs="Times New Roman"/>
              <w:color w:val="000000" w:themeColor="text1"/>
              <w:szCs w:val="24"/>
              <w14:textFill>
                <w14:solidFill>
                  <w14:schemeClr w14:val="tx1"/>
                </w14:solidFill>
              </w14:textFill>
            </w:rPr>
            <w:instrText xml:space="preserve"> HYPERLINK \l _Toc5010 </w:instrText>
          </w:r>
          <w:r>
            <w:rPr>
              <w:rFonts w:hint="default" w:ascii="Times New Roman" w:hAnsi="Times New Roman" w:eastAsia="宋体" w:cs="Times New Roman"/>
              <w:color w:val="000000" w:themeColor="text1"/>
              <w:szCs w:val="24"/>
              <w14:textFill>
                <w14:solidFill>
                  <w14:schemeClr w14:val="tx1"/>
                </w14:solidFill>
              </w14:textFill>
            </w:rPr>
            <w:fldChar w:fldCharType="separate"/>
          </w:r>
          <w:r>
            <w:rPr>
              <w:rFonts w:hint="default" w:ascii="Times New Roman" w:hAnsi="Times New Roman" w:eastAsia="宋体" w:cs="Times New Roman"/>
              <w:color w:val="000000" w:themeColor="text1"/>
              <w14:textFill>
                <w14:solidFill>
                  <w14:schemeClr w14:val="tx1"/>
                </w14:solidFill>
              </w14:textFill>
            </w:rPr>
            <w:t>二、建设内容</w:t>
          </w:r>
          <w:r>
            <w:rPr>
              <w:rFonts w:hint="default" w:ascii="Times New Roman" w:hAnsi="Times New Roman" w:eastAsia="宋体" w:cs="Times New Roman"/>
              <w:color w:val="000000" w:themeColor="text1"/>
              <w14:textFill>
                <w14:solidFill>
                  <w14:schemeClr w14:val="tx1"/>
                </w14:solidFill>
              </w14:textFill>
            </w:rPr>
            <w:tab/>
          </w:r>
          <w:r>
            <w:rPr>
              <w:rFonts w:hint="default" w:ascii="Times New Roman" w:hAnsi="Times New Roman" w:eastAsia="宋体" w:cs="Times New Roman"/>
              <w:color w:val="000000" w:themeColor="text1"/>
              <w14:textFill>
                <w14:solidFill>
                  <w14:schemeClr w14:val="tx1"/>
                </w14:solidFill>
              </w14:textFill>
            </w:rPr>
            <w:fldChar w:fldCharType="begin"/>
          </w:r>
          <w:r>
            <w:rPr>
              <w:rFonts w:hint="default" w:ascii="Times New Roman" w:hAnsi="Times New Roman" w:eastAsia="宋体" w:cs="Times New Roman"/>
              <w:color w:val="000000" w:themeColor="text1"/>
              <w14:textFill>
                <w14:solidFill>
                  <w14:schemeClr w14:val="tx1"/>
                </w14:solidFill>
              </w14:textFill>
            </w:rPr>
            <w:instrText xml:space="preserve"> PAGEREF _Toc5010 \h </w:instrText>
          </w:r>
          <w:r>
            <w:rPr>
              <w:rFonts w:hint="default" w:ascii="Times New Roman" w:hAnsi="Times New Roman" w:eastAsia="宋体" w:cs="Times New Roman"/>
              <w:color w:val="000000" w:themeColor="text1"/>
              <w14:textFill>
                <w14:solidFill>
                  <w14:schemeClr w14:val="tx1"/>
                </w14:solidFill>
              </w14:textFill>
            </w:rPr>
            <w:fldChar w:fldCharType="separate"/>
          </w:r>
          <w:r>
            <w:rPr>
              <w:rFonts w:hint="default" w:ascii="Times New Roman" w:hAnsi="Times New Roman" w:eastAsia="宋体" w:cs="Times New Roman"/>
              <w:color w:val="000000" w:themeColor="text1"/>
              <w14:textFill>
                <w14:solidFill>
                  <w14:schemeClr w14:val="tx1"/>
                </w14:solidFill>
              </w14:textFill>
            </w:rPr>
            <w:t>33</w:t>
          </w:r>
          <w:r>
            <w:rPr>
              <w:rFonts w:hint="default" w:ascii="Times New Roman" w:hAnsi="Times New Roman" w:eastAsia="宋体" w:cs="Times New Roman"/>
              <w:color w:val="000000" w:themeColor="text1"/>
              <w14:textFill>
                <w14:solidFill>
                  <w14:schemeClr w14:val="tx1"/>
                </w14:solidFill>
              </w14:textFill>
            </w:rPr>
            <w:fldChar w:fldCharType="end"/>
          </w:r>
          <w:r>
            <w:rPr>
              <w:rFonts w:hint="default" w:ascii="Times New Roman" w:hAnsi="Times New Roman" w:eastAsia="宋体" w:cs="Times New Roman"/>
              <w:color w:val="000000" w:themeColor="text1"/>
              <w:szCs w:val="24"/>
              <w14:textFill>
                <w14:solidFill>
                  <w14:schemeClr w14:val="tx1"/>
                </w14:solidFill>
              </w14:textFill>
            </w:rPr>
            <w:fldChar w:fldCharType="end"/>
          </w:r>
        </w:p>
        <w:p w14:paraId="0513A527">
          <w:pPr>
            <w:pStyle w:val="17"/>
            <w:keepNext w:val="0"/>
            <w:keepLines w:val="0"/>
            <w:pageBreakBefore w:val="0"/>
            <w:widowControl w:val="0"/>
            <w:tabs>
              <w:tab w:val="right" w:leader="hyphen" w:pos="8844"/>
            </w:tabs>
            <w:kinsoku/>
            <w:wordWrap/>
            <w:overflowPunct/>
            <w:topLinePunct w:val="0"/>
            <w:autoSpaceDE/>
            <w:autoSpaceDN/>
            <w:bidi w:val="0"/>
            <w:adjustRightInd/>
            <w:snapToGrid/>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szCs w:val="24"/>
              <w14:textFill>
                <w14:solidFill>
                  <w14:schemeClr w14:val="tx1"/>
                </w14:solidFill>
              </w14:textFill>
            </w:rPr>
            <w:fldChar w:fldCharType="begin"/>
          </w:r>
          <w:r>
            <w:rPr>
              <w:rFonts w:hint="default" w:ascii="Times New Roman" w:hAnsi="Times New Roman" w:eastAsia="宋体" w:cs="Times New Roman"/>
              <w:color w:val="000000" w:themeColor="text1"/>
              <w:szCs w:val="24"/>
              <w14:textFill>
                <w14:solidFill>
                  <w14:schemeClr w14:val="tx1"/>
                </w14:solidFill>
              </w14:textFill>
            </w:rPr>
            <w:instrText xml:space="preserve"> HYPERLINK \l _Toc14531 </w:instrText>
          </w:r>
          <w:r>
            <w:rPr>
              <w:rFonts w:hint="default" w:ascii="Times New Roman" w:hAnsi="Times New Roman" w:eastAsia="宋体" w:cs="Times New Roman"/>
              <w:color w:val="000000" w:themeColor="text1"/>
              <w:szCs w:val="24"/>
              <w14:textFill>
                <w14:solidFill>
                  <w14:schemeClr w14:val="tx1"/>
                </w14:solidFill>
              </w14:textFill>
            </w:rPr>
            <w:fldChar w:fldCharType="separate"/>
          </w:r>
          <w:r>
            <w:rPr>
              <w:rFonts w:hint="default" w:ascii="Times New Roman" w:hAnsi="Times New Roman" w:eastAsia="宋体" w:cs="Times New Roman"/>
              <w:color w:val="000000" w:themeColor="text1"/>
              <w14:textFill>
                <w14:solidFill>
                  <w14:schemeClr w14:val="tx1"/>
                </w14:solidFill>
              </w14:textFill>
            </w:rPr>
            <w:t>三、生态环境现状、保护目标及评价标准</w:t>
          </w:r>
          <w:r>
            <w:rPr>
              <w:rFonts w:hint="default" w:ascii="Times New Roman" w:hAnsi="Times New Roman" w:eastAsia="宋体" w:cs="Times New Roman"/>
              <w:color w:val="000000" w:themeColor="text1"/>
              <w14:textFill>
                <w14:solidFill>
                  <w14:schemeClr w14:val="tx1"/>
                </w14:solidFill>
              </w14:textFill>
            </w:rPr>
            <w:tab/>
          </w:r>
          <w:r>
            <w:rPr>
              <w:rFonts w:hint="default" w:ascii="Times New Roman" w:hAnsi="Times New Roman" w:eastAsia="宋体" w:cs="Times New Roman"/>
              <w:color w:val="000000" w:themeColor="text1"/>
              <w14:textFill>
                <w14:solidFill>
                  <w14:schemeClr w14:val="tx1"/>
                </w14:solidFill>
              </w14:textFill>
            </w:rPr>
            <w:fldChar w:fldCharType="begin"/>
          </w:r>
          <w:r>
            <w:rPr>
              <w:rFonts w:hint="default" w:ascii="Times New Roman" w:hAnsi="Times New Roman" w:eastAsia="宋体" w:cs="Times New Roman"/>
              <w:color w:val="000000" w:themeColor="text1"/>
              <w14:textFill>
                <w14:solidFill>
                  <w14:schemeClr w14:val="tx1"/>
                </w14:solidFill>
              </w14:textFill>
            </w:rPr>
            <w:instrText xml:space="preserve"> PAGEREF _Toc14531 \h </w:instrText>
          </w:r>
          <w:r>
            <w:rPr>
              <w:rFonts w:hint="default" w:ascii="Times New Roman" w:hAnsi="Times New Roman" w:eastAsia="宋体" w:cs="Times New Roman"/>
              <w:color w:val="000000" w:themeColor="text1"/>
              <w14:textFill>
                <w14:solidFill>
                  <w14:schemeClr w14:val="tx1"/>
                </w14:solidFill>
              </w14:textFill>
            </w:rPr>
            <w:fldChar w:fldCharType="separate"/>
          </w:r>
          <w:r>
            <w:rPr>
              <w:rFonts w:hint="default" w:ascii="Times New Roman" w:hAnsi="Times New Roman" w:eastAsia="宋体" w:cs="Times New Roman"/>
              <w:color w:val="000000" w:themeColor="text1"/>
              <w14:textFill>
                <w14:solidFill>
                  <w14:schemeClr w14:val="tx1"/>
                </w14:solidFill>
              </w14:textFill>
            </w:rPr>
            <w:t>71</w:t>
          </w:r>
          <w:r>
            <w:rPr>
              <w:rFonts w:hint="default" w:ascii="Times New Roman" w:hAnsi="Times New Roman" w:eastAsia="宋体" w:cs="Times New Roman"/>
              <w:color w:val="000000" w:themeColor="text1"/>
              <w14:textFill>
                <w14:solidFill>
                  <w14:schemeClr w14:val="tx1"/>
                </w14:solidFill>
              </w14:textFill>
            </w:rPr>
            <w:fldChar w:fldCharType="end"/>
          </w:r>
          <w:r>
            <w:rPr>
              <w:rFonts w:hint="default" w:ascii="Times New Roman" w:hAnsi="Times New Roman" w:eastAsia="宋体" w:cs="Times New Roman"/>
              <w:color w:val="000000" w:themeColor="text1"/>
              <w:szCs w:val="24"/>
              <w14:textFill>
                <w14:solidFill>
                  <w14:schemeClr w14:val="tx1"/>
                </w14:solidFill>
              </w14:textFill>
            </w:rPr>
            <w:fldChar w:fldCharType="end"/>
          </w:r>
        </w:p>
        <w:p w14:paraId="536519F7">
          <w:pPr>
            <w:pStyle w:val="17"/>
            <w:keepNext w:val="0"/>
            <w:keepLines w:val="0"/>
            <w:pageBreakBefore w:val="0"/>
            <w:widowControl w:val="0"/>
            <w:tabs>
              <w:tab w:val="right" w:leader="hyphen" w:pos="8844"/>
            </w:tabs>
            <w:kinsoku/>
            <w:wordWrap/>
            <w:overflowPunct/>
            <w:topLinePunct w:val="0"/>
            <w:autoSpaceDE/>
            <w:autoSpaceDN/>
            <w:bidi w:val="0"/>
            <w:adjustRightInd/>
            <w:snapToGrid/>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szCs w:val="24"/>
              <w14:textFill>
                <w14:solidFill>
                  <w14:schemeClr w14:val="tx1"/>
                </w14:solidFill>
              </w14:textFill>
            </w:rPr>
            <w:fldChar w:fldCharType="begin"/>
          </w:r>
          <w:r>
            <w:rPr>
              <w:rFonts w:hint="default" w:ascii="Times New Roman" w:hAnsi="Times New Roman" w:eastAsia="宋体" w:cs="Times New Roman"/>
              <w:color w:val="000000" w:themeColor="text1"/>
              <w:szCs w:val="24"/>
              <w14:textFill>
                <w14:solidFill>
                  <w14:schemeClr w14:val="tx1"/>
                </w14:solidFill>
              </w14:textFill>
            </w:rPr>
            <w:instrText xml:space="preserve"> HYPERLINK \l _Toc11858 </w:instrText>
          </w:r>
          <w:r>
            <w:rPr>
              <w:rFonts w:hint="default" w:ascii="Times New Roman" w:hAnsi="Times New Roman" w:eastAsia="宋体" w:cs="Times New Roman"/>
              <w:color w:val="000000" w:themeColor="text1"/>
              <w:szCs w:val="24"/>
              <w14:textFill>
                <w14:solidFill>
                  <w14:schemeClr w14:val="tx1"/>
                </w14:solidFill>
              </w14:textFill>
            </w:rPr>
            <w:fldChar w:fldCharType="separate"/>
          </w:r>
          <w:r>
            <w:rPr>
              <w:rFonts w:hint="default" w:ascii="Times New Roman" w:hAnsi="Times New Roman" w:eastAsia="宋体" w:cs="Times New Roman"/>
              <w:color w:val="000000" w:themeColor="text1"/>
              <w14:textFill>
                <w14:solidFill>
                  <w14:schemeClr w14:val="tx1"/>
                </w14:solidFill>
              </w14:textFill>
            </w:rPr>
            <w:t>四、生态环境影响分析</w:t>
          </w:r>
          <w:r>
            <w:rPr>
              <w:rFonts w:hint="default" w:ascii="Times New Roman" w:hAnsi="Times New Roman" w:eastAsia="宋体" w:cs="Times New Roman"/>
              <w:color w:val="000000" w:themeColor="text1"/>
              <w14:textFill>
                <w14:solidFill>
                  <w14:schemeClr w14:val="tx1"/>
                </w14:solidFill>
              </w14:textFill>
            </w:rPr>
            <w:tab/>
          </w:r>
          <w:r>
            <w:rPr>
              <w:rFonts w:hint="default" w:ascii="Times New Roman" w:hAnsi="Times New Roman" w:eastAsia="宋体" w:cs="Times New Roman"/>
              <w:color w:val="000000" w:themeColor="text1"/>
              <w14:textFill>
                <w14:solidFill>
                  <w14:schemeClr w14:val="tx1"/>
                </w14:solidFill>
              </w14:textFill>
            </w:rPr>
            <w:fldChar w:fldCharType="begin"/>
          </w:r>
          <w:r>
            <w:rPr>
              <w:rFonts w:hint="default" w:ascii="Times New Roman" w:hAnsi="Times New Roman" w:eastAsia="宋体" w:cs="Times New Roman"/>
              <w:color w:val="000000" w:themeColor="text1"/>
              <w14:textFill>
                <w14:solidFill>
                  <w14:schemeClr w14:val="tx1"/>
                </w14:solidFill>
              </w14:textFill>
            </w:rPr>
            <w:instrText xml:space="preserve"> PAGEREF _Toc11858 \h </w:instrText>
          </w:r>
          <w:r>
            <w:rPr>
              <w:rFonts w:hint="default" w:ascii="Times New Roman" w:hAnsi="Times New Roman" w:eastAsia="宋体" w:cs="Times New Roman"/>
              <w:color w:val="000000" w:themeColor="text1"/>
              <w14:textFill>
                <w14:solidFill>
                  <w14:schemeClr w14:val="tx1"/>
                </w14:solidFill>
              </w14:textFill>
            </w:rPr>
            <w:fldChar w:fldCharType="separate"/>
          </w:r>
          <w:r>
            <w:rPr>
              <w:rFonts w:hint="default" w:ascii="Times New Roman" w:hAnsi="Times New Roman" w:eastAsia="宋体" w:cs="Times New Roman"/>
              <w:color w:val="000000" w:themeColor="text1"/>
              <w14:textFill>
                <w14:solidFill>
                  <w14:schemeClr w14:val="tx1"/>
                </w14:solidFill>
              </w14:textFill>
            </w:rPr>
            <w:t>93</w:t>
          </w:r>
          <w:r>
            <w:rPr>
              <w:rFonts w:hint="default" w:ascii="Times New Roman" w:hAnsi="Times New Roman" w:eastAsia="宋体" w:cs="Times New Roman"/>
              <w:color w:val="000000" w:themeColor="text1"/>
              <w14:textFill>
                <w14:solidFill>
                  <w14:schemeClr w14:val="tx1"/>
                </w14:solidFill>
              </w14:textFill>
            </w:rPr>
            <w:fldChar w:fldCharType="end"/>
          </w:r>
          <w:r>
            <w:rPr>
              <w:rFonts w:hint="default" w:ascii="Times New Roman" w:hAnsi="Times New Roman" w:eastAsia="宋体" w:cs="Times New Roman"/>
              <w:color w:val="000000" w:themeColor="text1"/>
              <w:szCs w:val="24"/>
              <w14:textFill>
                <w14:solidFill>
                  <w14:schemeClr w14:val="tx1"/>
                </w14:solidFill>
              </w14:textFill>
            </w:rPr>
            <w:fldChar w:fldCharType="end"/>
          </w:r>
        </w:p>
        <w:p w14:paraId="0EC80EE9">
          <w:pPr>
            <w:pStyle w:val="17"/>
            <w:keepNext w:val="0"/>
            <w:keepLines w:val="0"/>
            <w:pageBreakBefore w:val="0"/>
            <w:widowControl w:val="0"/>
            <w:tabs>
              <w:tab w:val="right" w:leader="hyphen" w:pos="8844"/>
            </w:tabs>
            <w:kinsoku/>
            <w:wordWrap/>
            <w:overflowPunct/>
            <w:topLinePunct w:val="0"/>
            <w:autoSpaceDE/>
            <w:autoSpaceDN/>
            <w:bidi w:val="0"/>
            <w:adjustRightInd/>
            <w:snapToGrid/>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szCs w:val="24"/>
              <w14:textFill>
                <w14:solidFill>
                  <w14:schemeClr w14:val="tx1"/>
                </w14:solidFill>
              </w14:textFill>
            </w:rPr>
            <w:fldChar w:fldCharType="begin"/>
          </w:r>
          <w:r>
            <w:rPr>
              <w:rFonts w:hint="default" w:ascii="Times New Roman" w:hAnsi="Times New Roman" w:eastAsia="宋体" w:cs="Times New Roman"/>
              <w:color w:val="000000" w:themeColor="text1"/>
              <w:szCs w:val="24"/>
              <w14:textFill>
                <w14:solidFill>
                  <w14:schemeClr w14:val="tx1"/>
                </w14:solidFill>
              </w14:textFill>
            </w:rPr>
            <w:instrText xml:space="preserve"> HYPERLINK \l _Toc14449 </w:instrText>
          </w:r>
          <w:r>
            <w:rPr>
              <w:rFonts w:hint="default" w:ascii="Times New Roman" w:hAnsi="Times New Roman" w:eastAsia="宋体" w:cs="Times New Roman"/>
              <w:color w:val="000000" w:themeColor="text1"/>
              <w:szCs w:val="24"/>
              <w14:textFill>
                <w14:solidFill>
                  <w14:schemeClr w14:val="tx1"/>
                </w14:solidFill>
              </w14:textFill>
            </w:rPr>
            <w:fldChar w:fldCharType="separate"/>
          </w:r>
          <w:r>
            <w:rPr>
              <w:rFonts w:hint="default" w:ascii="Times New Roman" w:hAnsi="Times New Roman" w:eastAsia="宋体" w:cs="Times New Roman"/>
              <w:color w:val="000000" w:themeColor="text1"/>
              <w14:textFill>
                <w14:solidFill>
                  <w14:schemeClr w14:val="tx1"/>
                </w14:solidFill>
              </w14:textFill>
            </w:rPr>
            <w:t>五、主要生态环境保护措施</w:t>
          </w:r>
          <w:r>
            <w:rPr>
              <w:rFonts w:hint="default" w:ascii="Times New Roman" w:hAnsi="Times New Roman" w:eastAsia="宋体" w:cs="Times New Roman"/>
              <w:color w:val="000000" w:themeColor="text1"/>
              <w14:textFill>
                <w14:solidFill>
                  <w14:schemeClr w14:val="tx1"/>
                </w14:solidFill>
              </w14:textFill>
            </w:rPr>
            <w:tab/>
          </w:r>
          <w:r>
            <w:rPr>
              <w:rFonts w:hint="default" w:ascii="Times New Roman" w:hAnsi="Times New Roman" w:eastAsia="宋体" w:cs="Times New Roman"/>
              <w:color w:val="000000" w:themeColor="text1"/>
              <w14:textFill>
                <w14:solidFill>
                  <w14:schemeClr w14:val="tx1"/>
                </w14:solidFill>
              </w14:textFill>
            </w:rPr>
            <w:fldChar w:fldCharType="begin"/>
          </w:r>
          <w:r>
            <w:rPr>
              <w:rFonts w:hint="default" w:ascii="Times New Roman" w:hAnsi="Times New Roman" w:eastAsia="宋体" w:cs="Times New Roman"/>
              <w:color w:val="000000" w:themeColor="text1"/>
              <w14:textFill>
                <w14:solidFill>
                  <w14:schemeClr w14:val="tx1"/>
                </w14:solidFill>
              </w14:textFill>
            </w:rPr>
            <w:instrText xml:space="preserve"> PAGEREF _Toc14449 \h </w:instrText>
          </w:r>
          <w:r>
            <w:rPr>
              <w:rFonts w:hint="default" w:ascii="Times New Roman" w:hAnsi="Times New Roman" w:eastAsia="宋体" w:cs="Times New Roman"/>
              <w:color w:val="000000" w:themeColor="text1"/>
              <w14:textFill>
                <w14:solidFill>
                  <w14:schemeClr w14:val="tx1"/>
                </w14:solidFill>
              </w14:textFill>
            </w:rPr>
            <w:fldChar w:fldCharType="separate"/>
          </w:r>
          <w:r>
            <w:rPr>
              <w:rFonts w:hint="default" w:ascii="Times New Roman" w:hAnsi="Times New Roman" w:eastAsia="宋体" w:cs="Times New Roman"/>
              <w:color w:val="000000" w:themeColor="text1"/>
              <w14:textFill>
                <w14:solidFill>
                  <w14:schemeClr w14:val="tx1"/>
                </w14:solidFill>
              </w14:textFill>
            </w:rPr>
            <w:t>116</w:t>
          </w:r>
          <w:r>
            <w:rPr>
              <w:rFonts w:hint="default" w:ascii="Times New Roman" w:hAnsi="Times New Roman" w:eastAsia="宋体" w:cs="Times New Roman"/>
              <w:color w:val="000000" w:themeColor="text1"/>
              <w14:textFill>
                <w14:solidFill>
                  <w14:schemeClr w14:val="tx1"/>
                </w14:solidFill>
              </w14:textFill>
            </w:rPr>
            <w:fldChar w:fldCharType="end"/>
          </w:r>
          <w:r>
            <w:rPr>
              <w:rFonts w:hint="default" w:ascii="Times New Roman" w:hAnsi="Times New Roman" w:eastAsia="宋体" w:cs="Times New Roman"/>
              <w:color w:val="000000" w:themeColor="text1"/>
              <w:szCs w:val="24"/>
              <w14:textFill>
                <w14:solidFill>
                  <w14:schemeClr w14:val="tx1"/>
                </w14:solidFill>
              </w14:textFill>
            </w:rPr>
            <w:fldChar w:fldCharType="end"/>
          </w:r>
        </w:p>
        <w:p w14:paraId="6D0DB913">
          <w:pPr>
            <w:pStyle w:val="17"/>
            <w:keepNext w:val="0"/>
            <w:keepLines w:val="0"/>
            <w:pageBreakBefore w:val="0"/>
            <w:widowControl w:val="0"/>
            <w:tabs>
              <w:tab w:val="right" w:leader="hyphen" w:pos="8844"/>
            </w:tabs>
            <w:kinsoku/>
            <w:wordWrap/>
            <w:overflowPunct/>
            <w:topLinePunct w:val="0"/>
            <w:autoSpaceDE/>
            <w:autoSpaceDN/>
            <w:bidi w:val="0"/>
            <w:adjustRightInd/>
            <w:snapToGrid/>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szCs w:val="24"/>
              <w14:textFill>
                <w14:solidFill>
                  <w14:schemeClr w14:val="tx1"/>
                </w14:solidFill>
              </w14:textFill>
            </w:rPr>
            <w:fldChar w:fldCharType="begin"/>
          </w:r>
          <w:r>
            <w:rPr>
              <w:rFonts w:hint="default" w:ascii="Times New Roman" w:hAnsi="Times New Roman" w:eastAsia="宋体" w:cs="Times New Roman"/>
              <w:color w:val="000000" w:themeColor="text1"/>
              <w:szCs w:val="24"/>
              <w14:textFill>
                <w14:solidFill>
                  <w14:schemeClr w14:val="tx1"/>
                </w14:solidFill>
              </w14:textFill>
            </w:rPr>
            <w:instrText xml:space="preserve"> HYPERLINK \l _Toc19229 </w:instrText>
          </w:r>
          <w:r>
            <w:rPr>
              <w:rFonts w:hint="default" w:ascii="Times New Roman" w:hAnsi="Times New Roman" w:eastAsia="宋体" w:cs="Times New Roman"/>
              <w:color w:val="000000" w:themeColor="text1"/>
              <w:szCs w:val="24"/>
              <w14:textFill>
                <w14:solidFill>
                  <w14:schemeClr w14:val="tx1"/>
                </w14:solidFill>
              </w14:textFill>
            </w:rPr>
            <w:fldChar w:fldCharType="separate"/>
          </w:r>
          <w:r>
            <w:rPr>
              <w:rFonts w:hint="default" w:ascii="Times New Roman" w:hAnsi="Times New Roman" w:eastAsia="宋体" w:cs="Times New Roman"/>
              <w:color w:val="000000" w:themeColor="text1"/>
              <w14:textFill>
                <w14:solidFill>
                  <w14:schemeClr w14:val="tx1"/>
                </w14:solidFill>
              </w14:textFill>
            </w:rPr>
            <w:t>六、生态环境保护措施监督检查清单</w:t>
          </w:r>
          <w:r>
            <w:rPr>
              <w:rFonts w:hint="default" w:ascii="Times New Roman" w:hAnsi="Times New Roman" w:eastAsia="宋体" w:cs="Times New Roman"/>
              <w:color w:val="000000" w:themeColor="text1"/>
              <w14:textFill>
                <w14:solidFill>
                  <w14:schemeClr w14:val="tx1"/>
                </w14:solidFill>
              </w14:textFill>
            </w:rPr>
            <w:tab/>
          </w:r>
          <w:r>
            <w:rPr>
              <w:rFonts w:hint="default" w:ascii="Times New Roman" w:hAnsi="Times New Roman" w:eastAsia="宋体" w:cs="Times New Roman"/>
              <w:color w:val="000000" w:themeColor="text1"/>
              <w14:textFill>
                <w14:solidFill>
                  <w14:schemeClr w14:val="tx1"/>
                </w14:solidFill>
              </w14:textFill>
            </w:rPr>
            <w:fldChar w:fldCharType="begin"/>
          </w:r>
          <w:r>
            <w:rPr>
              <w:rFonts w:hint="default" w:ascii="Times New Roman" w:hAnsi="Times New Roman" w:eastAsia="宋体" w:cs="Times New Roman"/>
              <w:color w:val="000000" w:themeColor="text1"/>
              <w14:textFill>
                <w14:solidFill>
                  <w14:schemeClr w14:val="tx1"/>
                </w14:solidFill>
              </w14:textFill>
            </w:rPr>
            <w:instrText xml:space="preserve"> PAGEREF _Toc19229 \h </w:instrText>
          </w:r>
          <w:r>
            <w:rPr>
              <w:rFonts w:hint="default" w:ascii="Times New Roman" w:hAnsi="Times New Roman" w:eastAsia="宋体" w:cs="Times New Roman"/>
              <w:color w:val="000000" w:themeColor="text1"/>
              <w14:textFill>
                <w14:solidFill>
                  <w14:schemeClr w14:val="tx1"/>
                </w14:solidFill>
              </w14:textFill>
            </w:rPr>
            <w:fldChar w:fldCharType="separate"/>
          </w:r>
          <w:r>
            <w:rPr>
              <w:rFonts w:hint="default" w:ascii="Times New Roman" w:hAnsi="Times New Roman" w:eastAsia="宋体" w:cs="Times New Roman"/>
              <w:color w:val="000000" w:themeColor="text1"/>
              <w14:textFill>
                <w14:solidFill>
                  <w14:schemeClr w14:val="tx1"/>
                </w14:solidFill>
              </w14:textFill>
            </w:rPr>
            <w:t>127</w:t>
          </w:r>
          <w:r>
            <w:rPr>
              <w:rFonts w:hint="default" w:ascii="Times New Roman" w:hAnsi="Times New Roman" w:eastAsia="宋体" w:cs="Times New Roman"/>
              <w:color w:val="000000" w:themeColor="text1"/>
              <w14:textFill>
                <w14:solidFill>
                  <w14:schemeClr w14:val="tx1"/>
                </w14:solidFill>
              </w14:textFill>
            </w:rPr>
            <w:fldChar w:fldCharType="end"/>
          </w:r>
          <w:r>
            <w:rPr>
              <w:rFonts w:hint="default" w:ascii="Times New Roman" w:hAnsi="Times New Roman" w:eastAsia="宋体" w:cs="Times New Roman"/>
              <w:color w:val="000000" w:themeColor="text1"/>
              <w:szCs w:val="24"/>
              <w14:textFill>
                <w14:solidFill>
                  <w14:schemeClr w14:val="tx1"/>
                </w14:solidFill>
              </w14:textFill>
            </w:rPr>
            <w:fldChar w:fldCharType="end"/>
          </w:r>
        </w:p>
        <w:p w14:paraId="149D9566">
          <w:pPr>
            <w:pStyle w:val="17"/>
            <w:keepNext w:val="0"/>
            <w:keepLines w:val="0"/>
            <w:pageBreakBefore w:val="0"/>
            <w:widowControl w:val="0"/>
            <w:tabs>
              <w:tab w:val="right" w:leader="hyphen" w:pos="8844"/>
            </w:tabs>
            <w:kinsoku/>
            <w:wordWrap/>
            <w:overflowPunct/>
            <w:topLinePunct w:val="0"/>
            <w:autoSpaceDE/>
            <w:autoSpaceDN/>
            <w:bidi w:val="0"/>
            <w:adjustRightInd/>
            <w:snapToGrid/>
            <w:jc w:val="both"/>
            <w:textAlignment w:val="auto"/>
            <w:rPr>
              <w:color w:val="000000" w:themeColor="text1"/>
              <w14:textFill>
                <w14:solidFill>
                  <w14:schemeClr w14:val="tx1"/>
                </w14:solidFill>
              </w14:textFill>
            </w:rPr>
          </w:pPr>
          <w:r>
            <w:rPr>
              <w:rFonts w:hint="default" w:ascii="Times New Roman" w:hAnsi="Times New Roman" w:eastAsia="宋体" w:cs="Times New Roman"/>
              <w:color w:val="000000" w:themeColor="text1"/>
              <w:szCs w:val="24"/>
              <w14:textFill>
                <w14:solidFill>
                  <w14:schemeClr w14:val="tx1"/>
                </w14:solidFill>
              </w14:textFill>
            </w:rPr>
            <w:fldChar w:fldCharType="begin"/>
          </w:r>
          <w:r>
            <w:rPr>
              <w:rFonts w:hint="default" w:ascii="Times New Roman" w:hAnsi="Times New Roman" w:eastAsia="宋体" w:cs="Times New Roman"/>
              <w:color w:val="000000" w:themeColor="text1"/>
              <w:szCs w:val="24"/>
              <w14:textFill>
                <w14:solidFill>
                  <w14:schemeClr w14:val="tx1"/>
                </w14:solidFill>
              </w14:textFill>
            </w:rPr>
            <w:instrText xml:space="preserve"> HYPERLINK \l _Toc27571 </w:instrText>
          </w:r>
          <w:r>
            <w:rPr>
              <w:rFonts w:hint="default" w:ascii="Times New Roman" w:hAnsi="Times New Roman" w:eastAsia="宋体" w:cs="Times New Roman"/>
              <w:color w:val="000000" w:themeColor="text1"/>
              <w:szCs w:val="24"/>
              <w14:textFill>
                <w14:solidFill>
                  <w14:schemeClr w14:val="tx1"/>
                </w14:solidFill>
              </w14:textFill>
            </w:rPr>
            <w:fldChar w:fldCharType="separate"/>
          </w:r>
          <w:r>
            <w:rPr>
              <w:rFonts w:hint="default" w:ascii="Times New Roman" w:hAnsi="Times New Roman" w:eastAsia="宋体" w:cs="Times New Roman"/>
              <w:color w:val="000000" w:themeColor="text1"/>
              <w14:textFill>
                <w14:solidFill>
                  <w14:schemeClr w14:val="tx1"/>
                </w14:solidFill>
              </w14:textFill>
            </w:rPr>
            <w:t>七、结论</w:t>
          </w:r>
          <w:r>
            <w:rPr>
              <w:rFonts w:hint="default" w:ascii="Times New Roman" w:hAnsi="Times New Roman" w:eastAsia="宋体" w:cs="Times New Roman"/>
              <w:color w:val="000000" w:themeColor="text1"/>
              <w14:textFill>
                <w14:solidFill>
                  <w14:schemeClr w14:val="tx1"/>
                </w14:solidFill>
              </w14:textFill>
            </w:rPr>
            <w:tab/>
          </w:r>
          <w:r>
            <w:rPr>
              <w:rFonts w:hint="default" w:ascii="Times New Roman" w:hAnsi="Times New Roman" w:eastAsia="宋体" w:cs="Times New Roman"/>
              <w:color w:val="000000" w:themeColor="text1"/>
              <w14:textFill>
                <w14:solidFill>
                  <w14:schemeClr w14:val="tx1"/>
                </w14:solidFill>
              </w14:textFill>
            </w:rPr>
            <w:fldChar w:fldCharType="begin"/>
          </w:r>
          <w:r>
            <w:rPr>
              <w:rFonts w:hint="default" w:ascii="Times New Roman" w:hAnsi="Times New Roman" w:eastAsia="宋体" w:cs="Times New Roman"/>
              <w:color w:val="000000" w:themeColor="text1"/>
              <w14:textFill>
                <w14:solidFill>
                  <w14:schemeClr w14:val="tx1"/>
                </w14:solidFill>
              </w14:textFill>
            </w:rPr>
            <w:instrText xml:space="preserve"> PAGEREF _Toc27571 \h </w:instrText>
          </w:r>
          <w:r>
            <w:rPr>
              <w:rFonts w:hint="default" w:ascii="Times New Roman" w:hAnsi="Times New Roman" w:eastAsia="宋体" w:cs="Times New Roman"/>
              <w:color w:val="000000" w:themeColor="text1"/>
              <w14:textFill>
                <w14:solidFill>
                  <w14:schemeClr w14:val="tx1"/>
                </w14:solidFill>
              </w14:textFill>
            </w:rPr>
            <w:fldChar w:fldCharType="separate"/>
          </w:r>
          <w:r>
            <w:rPr>
              <w:rFonts w:hint="default" w:ascii="Times New Roman" w:hAnsi="Times New Roman" w:eastAsia="宋体" w:cs="Times New Roman"/>
              <w:color w:val="000000" w:themeColor="text1"/>
              <w14:textFill>
                <w14:solidFill>
                  <w14:schemeClr w14:val="tx1"/>
                </w14:solidFill>
              </w14:textFill>
            </w:rPr>
            <w:t>135</w:t>
          </w:r>
          <w:r>
            <w:rPr>
              <w:rFonts w:hint="default" w:ascii="Times New Roman" w:hAnsi="Times New Roman" w:eastAsia="宋体" w:cs="Times New Roman"/>
              <w:color w:val="000000" w:themeColor="text1"/>
              <w14:textFill>
                <w14:solidFill>
                  <w14:schemeClr w14:val="tx1"/>
                </w14:solidFill>
              </w14:textFill>
            </w:rPr>
            <w:fldChar w:fldCharType="end"/>
          </w:r>
          <w:r>
            <w:rPr>
              <w:rFonts w:hint="default" w:ascii="Times New Roman" w:hAnsi="Times New Roman" w:eastAsia="宋体" w:cs="Times New Roman"/>
              <w:color w:val="000000" w:themeColor="text1"/>
              <w:szCs w:val="24"/>
              <w14:textFill>
                <w14:solidFill>
                  <w14:schemeClr w14:val="tx1"/>
                </w14:solidFill>
              </w14:textFill>
            </w:rPr>
            <w:fldChar w:fldCharType="end"/>
          </w:r>
        </w:p>
        <w:p w14:paraId="6AECE324">
          <w:pPr>
            <w:keepNext w:val="0"/>
            <w:keepLines w:val="0"/>
            <w:pageBreakBefore w:val="0"/>
            <w:widowControl w:val="0"/>
            <w:kinsoku/>
            <w:wordWrap/>
            <w:overflowPunct/>
            <w:topLinePunct w:val="0"/>
            <w:autoSpaceDE/>
            <w:autoSpaceDN/>
            <w:bidi w:val="0"/>
            <w:adjustRightInd/>
            <w:snapToGrid/>
            <w:spacing w:line="360" w:lineRule="auto"/>
            <w:jc w:val="both"/>
            <w:textAlignment w:val="auto"/>
            <w:rPr>
              <w:color w:val="000000" w:themeColor="text1"/>
              <w14:textFill>
                <w14:solidFill>
                  <w14:schemeClr w14:val="tx1"/>
                </w14:solidFill>
              </w14:textFill>
            </w:rPr>
          </w:pPr>
          <w:r>
            <w:rPr>
              <w:rFonts w:hint="default" w:ascii="Times New Roman" w:hAnsi="Times New Roman" w:cs="Times New Roman"/>
              <w:color w:val="000000" w:themeColor="text1"/>
              <w:szCs w:val="24"/>
              <w14:textFill>
                <w14:solidFill>
                  <w14:schemeClr w14:val="tx1"/>
                </w14:solidFill>
              </w14:textFill>
            </w:rPr>
            <w:fldChar w:fldCharType="end"/>
          </w:r>
        </w:p>
      </w:sdtContent>
    </w:sdt>
    <w:p w14:paraId="6994183E">
      <w:pPr>
        <w:jc w:val="both"/>
        <w:rPr>
          <w:color w:val="000000" w:themeColor="text1"/>
          <w14:textFill>
            <w14:solidFill>
              <w14:schemeClr w14:val="tx1"/>
            </w14:solidFill>
          </w14:textFill>
        </w:rPr>
      </w:pPr>
    </w:p>
    <w:p w14:paraId="4A65CAFC">
      <w:pPr>
        <w:jc w:val="both"/>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附图</w:t>
      </w:r>
    </w:p>
    <w:p w14:paraId="78F502A2">
      <w:pPr>
        <w:ind w:left="0" w:leftChars="0" w:firstLine="480" w:firstLineChars="200"/>
        <w:jc w:val="both"/>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附图1</w:t>
      </w:r>
      <w:r>
        <w:rPr>
          <w:rFonts w:hint="default" w:ascii="Times New Roman" w:hAnsi="Times New Roman" w:eastAsia="宋体" w:cs="Times New Roman"/>
          <w:b w:val="0"/>
          <w:bCs w:val="0"/>
          <w:color w:val="000000" w:themeColor="text1"/>
          <w:sz w:val="24"/>
          <w:szCs w:val="24"/>
          <w:lang w:eastAsia="zh-CN"/>
          <w14:textFill>
            <w14:solidFill>
              <w14:schemeClr w14:val="tx1"/>
            </w14:solidFill>
          </w14:textFill>
        </w:rPr>
        <w:t>：</w:t>
      </w:r>
      <w:r>
        <w:rPr>
          <w:rFonts w:hint="default" w:ascii="Times New Roman" w:hAnsi="Times New Roman" w:eastAsia="宋体" w:cs="Times New Roman"/>
          <w:b w:val="0"/>
          <w:bCs w:val="0"/>
          <w:color w:val="000000" w:themeColor="text1"/>
          <w:sz w:val="24"/>
          <w:szCs w:val="24"/>
          <w14:textFill>
            <w14:solidFill>
              <w14:schemeClr w14:val="tx1"/>
            </w14:solidFill>
          </w14:textFill>
        </w:rPr>
        <w:t>项目区地理位置图</w:t>
      </w:r>
    </w:p>
    <w:p w14:paraId="4F000532">
      <w:pPr>
        <w:ind w:left="0" w:leftChars="0" w:firstLine="480" w:firstLineChars="200"/>
        <w:jc w:val="both"/>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附图2：项目区水系图</w:t>
      </w:r>
    </w:p>
    <w:p w14:paraId="380D3CEC">
      <w:pPr>
        <w:ind w:left="0" w:leftChars="0" w:firstLine="480" w:firstLineChars="200"/>
        <w:jc w:val="both"/>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附图</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3</w:t>
      </w:r>
      <w:r>
        <w:rPr>
          <w:rFonts w:hint="default" w:ascii="Times New Roman" w:hAnsi="Times New Roman" w:eastAsia="宋体" w:cs="Times New Roman"/>
          <w:b w:val="0"/>
          <w:bCs w:val="0"/>
          <w:color w:val="000000" w:themeColor="text1"/>
          <w:sz w:val="24"/>
          <w:szCs w:val="24"/>
          <w:lang w:eastAsia="zh-CN"/>
          <w14:textFill>
            <w14:solidFill>
              <w14:schemeClr w14:val="tx1"/>
            </w14:solidFill>
          </w14:textFill>
        </w:rPr>
        <w:t>：</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项目与</w:t>
      </w:r>
      <w:r>
        <w:rPr>
          <w:rFonts w:hint="default" w:ascii="Times New Roman" w:hAnsi="Times New Roman" w:eastAsia="宋体" w:cs="Times New Roman"/>
          <w:b w:val="0"/>
          <w:bCs w:val="0"/>
          <w:color w:val="000000" w:themeColor="text1"/>
          <w:sz w:val="24"/>
          <w:szCs w:val="24"/>
          <w14:textFill>
            <w14:solidFill>
              <w14:schemeClr w14:val="tx1"/>
            </w14:solidFill>
          </w14:textFill>
        </w:rPr>
        <w:t>云南省生态功能类型</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位置关系图</w:t>
      </w:r>
    </w:p>
    <w:p w14:paraId="21F90368">
      <w:pPr>
        <w:ind w:left="0" w:leftChars="0" w:firstLine="480" w:firstLineChars="200"/>
        <w:jc w:val="both"/>
        <w:rPr>
          <w:rFonts w:hint="eastAsia" w:ascii="Times New Roman" w:hAnsi="Times New Roman" w:cs="Times New Roman"/>
          <w:b w:val="0"/>
          <w:bCs w:val="0"/>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附图</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4</w:t>
      </w:r>
      <w:r>
        <w:rPr>
          <w:rFonts w:hint="default" w:ascii="Times New Roman" w:hAnsi="Times New Roman" w:eastAsia="宋体" w:cs="Times New Roman"/>
          <w:b w:val="0"/>
          <w:bCs w:val="0"/>
          <w:color w:val="000000" w:themeColor="text1"/>
          <w:sz w:val="24"/>
          <w:szCs w:val="24"/>
          <w:lang w:eastAsia="zh-CN"/>
          <w14:textFill>
            <w14:solidFill>
              <w14:schemeClr w14:val="tx1"/>
            </w14:solidFill>
          </w14:textFill>
        </w:rPr>
        <w:t>：</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项目与</w:t>
      </w:r>
      <w:r>
        <w:rPr>
          <w:rFonts w:hint="default" w:ascii="Times New Roman" w:hAnsi="Times New Roman" w:eastAsia="宋体" w:cs="Times New Roman"/>
          <w:b w:val="0"/>
          <w:bCs w:val="0"/>
          <w:color w:val="000000" w:themeColor="text1"/>
          <w:sz w:val="24"/>
          <w:szCs w:val="24"/>
          <w14:textFill>
            <w14:solidFill>
              <w14:schemeClr w14:val="tx1"/>
            </w14:solidFill>
          </w14:textFill>
        </w:rPr>
        <w:t>云南省</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主体功能区划分</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位置关系图</w:t>
      </w:r>
    </w:p>
    <w:p w14:paraId="34D3279B">
      <w:pPr>
        <w:ind w:left="0" w:leftChars="0" w:firstLine="480" w:firstLineChars="200"/>
        <w:jc w:val="both"/>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附图</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5</w:t>
      </w:r>
      <w:r>
        <w:rPr>
          <w:rFonts w:hint="default" w:ascii="Times New Roman" w:hAnsi="Times New Roman" w:eastAsia="宋体" w:cs="Times New Roman"/>
          <w:b w:val="0"/>
          <w:bCs w:val="0"/>
          <w:color w:val="000000" w:themeColor="text1"/>
          <w:sz w:val="24"/>
          <w:szCs w:val="24"/>
          <w:lang w:eastAsia="zh-CN"/>
          <w14:textFill>
            <w14:solidFill>
              <w14:schemeClr w14:val="tx1"/>
            </w14:solidFill>
          </w14:textFill>
        </w:rPr>
        <w:t>：</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一片区平面布置图</w:t>
      </w:r>
    </w:p>
    <w:p w14:paraId="6D0FC891">
      <w:pPr>
        <w:ind w:left="0" w:leftChars="0" w:firstLine="480" w:firstLineChars="200"/>
        <w:jc w:val="both"/>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附图</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6</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-1</w:t>
      </w:r>
      <w:r>
        <w:rPr>
          <w:rFonts w:hint="default" w:ascii="Times New Roman" w:hAnsi="Times New Roman" w:eastAsia="宋体" w:cs="Times New Roman"/>
          <w:b w:val="0"/>
          <w:bCs w:val="0"/>
          <w:color w:val="000000" w:themeColor="text1"/>
          <w:sz w:val="24"/>
          <w:szCs w:val="24"/>
          <w:lang w:eastAsia="zh-CN"/>
          <w14:textFill>
            <w14:solidFill>
              <w14:schemeClr w14:val="tx1"/>
            </w14:solidFill>
          </w14:textFill>
        </w:rPr>
        <w:t>：</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二片区平面布置图</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（一）</w:t>
      </w:r>
    </w:p>
    <w:p w14:paraId="4B6659A9">
      <w:pPr>
        <w:ind w:left="0" w:leftChars="0" w:firstLine="480" w:firstLineChars="200"/>
        <w:jc w:val="both"/>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pP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附图6-2：</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二片区平面布置图（二）</w:t>
      </w:r>
    </w:p>
    <w:p w14:paraId="3052E09A">
      <w:pPr>
        <w:ind w:left="0" w:leftChars="0" w:firstLine="480" w:firstLineChars="200"/>
        <w:jc w:val="both"/>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t>附图</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7</w:t>
      </w:r>
      <w:r>
        <w:rPr>
          <w:rFonts w:hint="default" w:ascii="Times New Roman" w:hAnsi="Times New Roman" w:eastAsia="宋体" w:cs="Times New Roman"/>
          <w:b w:val="0"/>
          <w:bCs w:val="0"/>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项目一片区与周边关系图</w:t>
      </w:r>
    </w:p>
    <w:p w14:paraId="7AA10EC5">
      <w:pPr>
        <w:ind w:left="0" w:leftChars="0" w:firstLine="480" w:firstLineChars="200"/>
        <w:jc w:val="both"/>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t>附图</w:t>
      </w: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8</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：项目一区与大西水库饮用水源保护区关系图</w:t>
      </w:r>
    </w:p>
    <w:p w14:paraId="26EB9ED0">
      <w:pPr>
        <w:ind w:left="0" w:leftChars="0" w:firstLine="480" w:firstLineChars="200"/>
        <w:jc w:val="both"/>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t>附图</w:t>
      </w: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9</w:t>
      </w:r>
      <w:r>
        <w:rPr>
          <w:rFonts w:hint="default" w:ascii="Times New Roman" w:hAnsi="Times New Roman" w:eastAsia="宋体" w:cs="Times New Roman"/>
          <w:b w:val="0"/>
          <w:bCs w:val="0"/>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项目二片区与周边关系图</w:t>
      </w:r>
    </w:p>
    <w:p w14:paraId="7437E6CE">
      <w:pPr>
        <w:ind w:left="0" w:leftChars="0" w:firstLine="480" w:firstLineChars="200"/>
        <w:jc w:val="both"/>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t>附图</w:t>
      </w: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10</w:t>
      </w:r>
      <w:r>
        <w:rPr>
          <w:rFonts w:hint="default" w:ascii="Times New Roman" w:hAnsi="Times New Roman" w:eastAsia="宋体" w:cs="Times New Roman"/>
          <w:b w:val="0"/>
          <w:bCs w:val="0"/>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项目二区与尼去本水库饮用水源保护区关系图</w:t>
      </w:r>
    </w:p>
    <w:p w14:paraId="016A4B5B">
      <w:pPr>
        <w:ind w:left="0" w:leftChars="0" w:firstLine="480" w:firstLineChars="200"/>
        <w:jc w:val="both"/>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t>附图1</w:t>
      </w: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1</w:t>
      </w:r>
      <w:r>
        <w:rPr>
          <w:rFonts w:hint="default" w:ascii="Times New Roman" w:hAnsi="Times New Roman" w:eastAsia="宋体" w:cs="Times New Roman"/>
          <w:b w:val="0"/>
          <w:bCs w:val="0"/>
          <w:color w:val="000000" w:themeColor="text1"/>
          <w:sz w:val="24"/>
          <w:szCs w:val="24"/>
          <w:highlight w:val="none"/>
          <w:lang w:eastAsia="zh-CN"/>
          <w14:textFill>
            <w14:solidFill>
              <w14:schemeClr w14:val="tx1"/>
            </w14:solidFill>
          </w14:textFill>
        </w:rPr>
        <w:t>：</w:t>
      </w:r>
      <w:r>
        <w:rPr>
          <w:rFonts w:hint="eastAsia" w:ascii="Times New Roman" w:hAnsi="Times New Roman" w:cs="Times New Roman"/>
          <w:b w:val="0"/>
          <w:bCs w:val="0"/>
          <w:color w:val="000000" w:themeColor="text1"/>
          <w:sz w:val="24"/>
          <w:szCs w:val="24"/>
          <w:highlight w:val="none"/>
          <w:lang w:eastAsia="zh-CN"/>
          <w14:textFill>
            <w14:solidFill>
              <w14:schemeClr w14:val="tx1"/>
            </w14:solidFill>
          </w14:textFill>
        </w:rPr>
        <w:t>“三区三线”</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查询图（一片区）</w:t>
      </w:r>
    </w:p>
    <w:p w14:paraId="2A4A8871">
      <w:pPr>
        <w:ind w:left="0" w:leftChars="0" w:firstLine="480" w:firstLineChars="200"/>
        <w:jc w:val="both"/>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附图1</w:t>
      </w:r>
      <w:r>
        <w:rPr>
          <w:rFonts w:hint="eastAsia"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2</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w:t>
      </w:r>
      <w:r>
        <w:rPr>
          <w:rFonts w:hint="eastAsia"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“三区三线”</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查询图（二片区）</w:t>
      </w:r>
    </w:p>
    <w:p w14:paraId="7629CA0E">
      <w:pPr>
        <w:ind w:left="0" w:leftChars="0" w:firstLine="480" w:firstLineChars="200"/>
        <w:jc w:val="both"/>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附图13：项目一片区及300m范围植被类型图</w:t>
      </w:r>
    </w:p>
    <w:p w14:paraId="6D7D3C66">
      <w:pPr>
        <w:ind w:left="0" w:leftChars="0" w:firstLine="480" w:firstLineChars="200"/>
        <w:jc w:val="both"/>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sectPr>
          <w:headerReference r:id="rId5" w:type="default"/>
          <w:footerReference r:id="rId6" w:type="default"/>
          <w:pgSz w:w="11906" w:h="16838"/>
          <w:pgMar w:top="1701" w:right="1531" w:bottom="1701" w:left="1531" w:header="851" w:footer="1077" w:gutter="0"/>
          <w:pgBorders>
            <w:top w:val="none" w:sz="0" w:space="0"/>
            <w:left w:val="none" w:sz="0" w:space="0"/>
            <w:bottom w:val="none" w:sz="0" w:space="0"/>
            <w:right w:val="none" w:sz="0" w:space="0"/>
          </w:pgBorders>
          <w:pgNumType w:fmt="decimal" w:start="1"/>
          <w:cols w:space="720" w:num="1"/>
          <w:docGrid w:linePitch="312" w:charSpace="0"/>
        </w:sectPr>
      </w:pP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附图1</w:t>
      </w:r>
      <w:r>
        <w:rPr>
          <w:rFonts w:hint="eastAsia"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4</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：项目</w:t>
      </w:r>
      <w:r>
        <w:rPr>
          <w:rFonts w:hint="eastAsia"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二</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片区及300m范围植被类型图</w:t>
      </w:r>
    </w:p>
    <w:p w14:paraId="1222F7C3">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both"/>
        <w:textAlignment w:val="auto"/>
        <w:rPr>
          <w:rFonts w:hint="default" w:ascii="Times New Roman" w:hAnsi="Times New Roman" w:eastAsia="宋体" w:cs="Times New Roman"/>
          <w:b/>
          <w:bCs/>
          <w:color w:val="000000" w:themeColor="text1"/>
          <w:sz w:val="24"/>
          <w:szCs w:val="24"/>
          <w14:textFill>
            <w14:solidFill>
              <w14:schemeClr w14:val="tx1"/>
            </w14:solidFill>
          </w14:textFill>
        </w:rPr>
      </w:pPr>
      <w:r>
        <w:rPr>
          <w:rFonts w:hint="default" w:ascii="Times New Roman" w:hAnsi="Times New Roman" w:eastAsia="宋体" w:cs="Times New Roman"/>
          <w:b/>
          <w:bCs/>
          <w:color w:val="000000" w:themeColor="text1"/>
          <w:sz w:val="24"/>
          <w:szCs w:val="24"/>
          <w14:textFill>
            <w14:solidFill>
              <w14:schemeClr w14:val="tx1"/>
            </w14:solidFill>
          </w14:textFill>
        </w:rPr>
        <w:t>附件</w:t>
      </w:r>
    </w:p>
    <w:p w14:paraId="022CC277">
      <w:pPr>
        <w:keepNext w:val="0"/>
        <w:keepLines w:val="0"/>
        <w:pageBreakBefore w:val="0"/>
        <w:widowControl w:val="0"/>
        <w:kinsoku/>
        <w:wordWrap/>
        <w:overflowPunct/>
        <w:topLinePunct w:val="0"/>
        <w:autoSpaceDE/>
        <w:autoSpaceDN/>
        <w:bidi w:val="0"/>
        <w:adjustRightInd w:val="0"/>
        <w:snapToGrid w:val="0"/>
        <w:spacing w:line="360" w:lineRule="auto"/>
        <w:ind w:firstLine="480"/>
        <w:jc w:val="both"/>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附件1：</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委托书</w:t>
      </w:r>
    </w:p>
    <w:p w14:paraId="502E4C42">
      <w:pPr>
        <w:keepNext w:val="0"/>
        <w:keepLines w:val="0"/>
        <w:pageBreakBefore w:val="0"/>
        <w:widowControl w:val="0"/>
        <w:kinsoku/>
        <w:wordWrap/>
        <w:overflowPunct/>
        <w:topLinePunct w:val="0"/>
        <w:autoSpaceDE/>
        <w:autoSpaceDN/>
        <w:bidi w:val="0"/>
        <w:adjustRightInd w:val="0"/>
        <w:snapToGrid w:val="0"/>
        <w:spacing w:line="360" w:lineRule="auto"/>
        <w:ind w:firstLine="480"/>
        <w:jc w:val="both"/>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附件2：</w:t>
      </w:r>
      <w:r>
        <w:rPr>
          <w:rFonts w:hint="default" w:ascii="Times New Roman" w:hAnsi="Times New Roman" w:eastAsia="宋体" w:cs="Times New Roman"/>
          <w:color w:val="000000" w:themeColor="text1"/>
          <w:sz w:val="24"/>
          <w:szCs w:val="24"/>
          <w14:textFill>
            <w14:solidFill>
              <w14:schemeClr w14:val="tx1"/>
            </w14:solidFill>
          </w14:textFill>
        </w:rPr>
        <w:t>备案证</w:t>
      </w:r>
    </w:p>
    <w:p w14:paraId="7C290E49">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both"/>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附件</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营业执照</w:t>
      </w:r>
    </w:p>
    <w:p w14:paraId="69DD40BC">
      <w:pPr>
        <w:keepNext w:val="0"/>
        <w:keepLines w:val="0"/>
        <w:pageBreakBefore w:val="0"/>
        <w:widowControl w:val="0"/>
        <w:kinsoku/>
        <w:wordWrap/>
        <w:overflowPunct/>
        <w:topLinePunct w:val="0"/>
        <w:autoSpaceDE/>
        <w:autoSpaceDN/>
        <w:bidi w:val="0"/>
        <w:adjustRightInd w:val="0"/>
        <w:snapToGrid w:val="0"/>
        <w:spacing w:line="360" w:lineRule="auto"/>
        <w:ind w:firstLine="480"/>
        <w:jc w:val="both"/>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附件4：</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租赁协议</w:t>
      </w:r>
    </w:p>
    <w:p w14:paraId="2AC06436">
      <w:pPr>
        <w:keepNext w:val="0"/>
        <w:keepLines w:val="0"/>
        <w:pageBreakBefore w:val="0"/>
        <w:widowControl w:val="0"/>
        <w:kinsoku/>
        <w:wordWrap/>
        <w:overflowPunct/>
        <w:topLinePunct w:val="0"/>
        <w:autoSpaceDE/>
        <w:autoSpaceDN/>
        <w:bidi w:val="0"/>
        <w:adjustRightInd w:val="0"/>
        <w:snapToGrid w:val="0"/>
        <w:spacing w:line="360" w:lineRule="auto"/>
        <w:ind w:firstLine="480"/>
        <w:jc w:val="both"/>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附件5：</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乡政府同意项目</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选址意见</w:t>
      </w:r>
    </w:p>
    <w:p w14:paraId="7735728C">
      <w:pPr>
        <w:keepNext w:val="0"/>
        <w:keepLines w:val="0"/>
        <w:pageBreakBefore w:val="0"/>
        <w:widowControl w:val="0"/>
        <w:kinsoku/>
        <w:wordWrap/>
        <w:overflowPunct/>
        <w:topLinePunct w:val="0"/>
        <w:autoSpaceDE/>
        <w:autoSpaceDN/>
        <w:bidi w:val="0"/>
        <w:adjustRightInd w:val="0"/>
        <w:snapToGrid w:val="0"/>
        <w:spacing w:line="360" w:lineRule="auto"/>
        <w:ind w:firstLine="480"/>
        <w:jc w:val="both"/>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附件6：玉溪大西标准化大栅蓝莓种植基地建设项目设施农用地备案联审</w:t>
      </w:r>
    </w:p>
    <w:p w14:paraId="3B240B6E">
      <w:pPr>
        <w:keepNext w:val="0"/>
        <w:keepLines w:val="0"/>
        <w:pageBreakBefore w:val="0"/>
        <w:widowControl w:val="0"/>
        <w:kinsoku/>
        <w:wordWrap/>
        <w:overflowPunct/>
        <w:topLinePunct w:val="0"/>
        <w:autoSpaceDE/>
        <w:autoSpaceDN/>
        <w:bidi w:val="0"/>
        <w:adjustRightInd w:val="0"/>
        <w:snapToGrid w:val="0"/>
        <w:spacing w:line="360" w:lineRule="auto"/>
        <w:ind w:firstLine="480"/>
        <w:jc w:val="both"/>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附件7：“三区三线”</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查询证明</w:t>
      </w:r>
    </w:p>
    <w:p w14:paraId="5C0E845E">
      <w:pPr>
        <w:keepNext w:val="0"/>
        <w:keepLines w:val="0"/>
        <w:pageBreakBefore w:val="0"/>
        <w:widowControl w:val="0"/>
        <w:kinsoku/>
        <w:wordWrap/>
        <w:overflowPunct/>
        <w:topLinePunct w:val="0"/>
        <w:autoSpaceDE/>
        <w:autoSpaceDN/>
        <w:bidi w:val="0"/>
        <w:adjustRightInd w:val="0"/>
        <w:snapToGrid w:val="0"/>
        <w:spacing w:line="360" w:lineRule="auto"/>
        <w:ind w:firstLine="480"/>
        <w:jc w:val="both"/>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附件</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8</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项目</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生态环境管控单元</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查询证明</w:t>
      </w:r>
    </w:p>
    <w:p w14:paraId="6E5D9456">
      <w:pPr>
        <w:keepNext w:val="0"/>
        <w:keepLines w:val="0"/>
        <w:pageBreakBefore w:val="0"/>
        <w:widowControl w:val="0"/>
        <w:kinsoku/>
        <w:wordWrap/>
        <w:overflowPunct/>
        <w:topLinePunct w:val="0"/>
        <w:autoSpaceDE/>
        <w:autoSpaceDN/>
        <w:bidi w:val="0"/>
        <w:adjustRightInd w:val="0"/>
        <w:snapToGrid w:val="0"/>
        <w:spacing w:line="360" w:lineRule="auto"/>
        <w:ind w:firstLine="480"/>
        <w:jc w:val="both"/>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附件</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9</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：项目压覆水源地情况说明</w:t>
      </w:r>
    </w:p>
    <w:p w14:paraId="101B65DC">
      <w:pPr>
        <w:keepNext w:val="0"/>
        <w:keepLines w:val="0"/>
        <w:pageBreakBefore w:val="0"/>
        <w:widowControl w:val="0"/>
        <w:kinsoku/>
        <w:wordWrap/>
        <w:overflowPunct/>
        <w:topLinePunct w:val="0"/>
        <w:autoSpaceDE/>
        <w:autoSpaceDN/>
        <w:bidi w:val="0"/>
        <w:adjustRightInd w:val="0"/>
        <w:snapToGrid w:val="0"/>
        <w:spacing w:line="360" w:lineRule="auto"/>
        <w:ind w:firstLine="480"/>
        <w:jc w:val="both"/>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附件10：项目区土地利用现状说明</w:t>
      </w:r>
    </w:p>
    <w:p w14:paraId="7005324F">
      <w:pPr>
        <w:keepNext w:val="0"/>
        <w:keepLines w:val="0"/>
        <w:pageBreakBefore w:val="0"/>
        <w:widowControl w:val="0"/>
        <w:kinsoku/>
        <w:wordWrap/>
        <w:overflowPunct/>
        <w:topLinePunct w:val="0"/>
        <w:autoSpaceDE/>
        <w:autoSpaceDN/>
        <w:bidi w:val="0"/>
        <w:adjustRightInd w:val="0"/>
        <w:snapToGrid w:val="0"/>
        <w:spacing w:line="360" w:lineRule="auto"/>
        <w:ind w:firstLine="480"/>
        <w:jc w:val="both"/>
        <w:textAlignment w:val="auto"/>
        <w:rPr>
          <w:rFonts w:hint="default" w:ascii="Times New Roman" w:hAnsi="Times New Roman" w:eastAsia="宋体" w:cs="Times New Roman"/>
          <w:color w:val="000000" w:themeColor="text1"/>
          <w:sz w:val="24"/>
          <w:szCs w:val="24"/>
          <w:lang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附件</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11</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：项目管护用房、水池、道路等用地林</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勘</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手续</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一片区</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p>
    <w:p w14:paraId="6B979AD3">
      <w:pPr>
        <w:keepNext w:val="0"/>
        <w:keepLines w:val="0"/>
        <w:pageBreakBefore w:val="0"/>
        <w:widowControl w:val="0"/>
        <w:kinsoku/>
        <w:wordWrap/>
        <w:overflowPunct/>
        <w:topLinePunct w:val="0"/>
        <w:autoSpaceDE/>
        <w:autoSpaceDN/>
        <w:bidi w:val="0"/>
        <w:adjustRightInd w:val="0"/>
        <w:snapToGrid w:val="0"/>
        <w:spacing w:line="360" w:lineRule="auto"/>
        <w:ind w:firstLine="480"/>
        <w:jc w:val="both"/>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附件1</w:t>
      </w:r>
      <w:r>
        <w:rPr>
          <w:rFonts w:hint="eastAsia" w:ascii="Times New Roman" w:hAnsi="Times New Roman" w:cs="Times New Roman"/>
          <w:color w:val="000000" w:themeColor="text1"/>
          <w:sz w:val="24"/>
          <w:szCs w:val="24"/>
          <w:lang w:val="en-US" w:eastAsia="zh-CN"/>
          <w14:textFill>
            <w14:solidFill>
              <w14:schemeClr w14:val="tx1"/>
            </w14:solidFill>
          </w14:textFill>
        </w:rPr>
        <w:t>2</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项目管护用房、水池、道路等用地林勘手续（二片区）</w:t>
      </w:r>
    </w:p>
    <w:p w14:paraId="4E17D11F">
      <w:pPr>
        <w:keepNext w:val="0"/>
        <w:keepLines w:val="0"/>
        <w:pageBreakBefore w:val="0"/>
        <w:widowControl w:val="0"/>
        <w:kinsoku/>
        <w:wordWrap/>
        <w:overflowPunct/>
        <w:topLinePunct w:val="0"/>
        <w:autoSpaceDE/>
        <w:autoSpaceDN/>
        <w:bidi w:val="0"/>
        <w:adjustRightInd w:val="0"/>
        <w:snapToGrid w:val="0"/>
        <w:spacing w:line="360" w:lineRule="auto"/>
        <w:ind w:firstLine="480"/>
        <w:jc w:val="both"/>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附件1</w:t>
      </w:r>
      <w:r>
        <w:rPr>
          <w:rFonts w:hint="eastAsia" w:ascii="Times New Roman" w:hAnsi="Times New Roman" w:cs="Times New Roman"/>
          <w:color w:val="000000" w:themeColor="text1"/>
          <w:sz w:val="24"/>
          <w:szCs w:val="24"/>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项目</w:t>
      </w:r>
      <w:r>
        <w:rPr>
          <w:rFonts w:hint="eastAsia" w:ascii="Times New Roman" w:hAnsi="Times New Roman" w:cs="Times New Roman"/>
          <w:color w:val="000000" w:themeColor="text1"/>
          <w:lang w:val="en-US" w:eastAsia="zh-CN"/>
          <w14:textFill>
            <w14:solidFill>
              <w14:schemeClr w14:val="tx1"/>
            </w14:solidFill>
          </w14:textFill>
        </w:rPr>
        <w:t>电力塔基</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用地林勘手续（二片区）</w:t>
      </w:r>
    </w:p>
    <w:p w14:paraId="71EE58A6">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附件1</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4</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环评技术服务合同</w:t>
      </w:r>
    </w:p>
    <w:p w14:paraId="5B359F9B">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pP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附件15：二</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级审核表</w:t>
      </w:r>
    </w:p>
    <w:p w14:paraId="1A133CF0">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附件1</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6</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：环评项目工作进度表</w:t>
      </w:r>
    </w:p>
    <w:p w14:paraId="50C1AD6E">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default" w:ascii="Times New Roman" w:hAnsi="Times New Roman" w:cs="Times New Roman"/>
          <w:b w:val="0"/>
          <w:bCs w:val="0"/>
          <w:color w:val="000000" w:themeColor="text1"/>
          <w:sz w:val="24"/>
          <w:szCs w:val="24"/>
          <w:lang w:val="en-US" w:eastAsia="zh-CN"/>
          <w14:textFill>
            <w14:solidFill>
              <w14:schemeClr w14:val="tx1"/>
            </w14:solidFill>
          </w14:textFill>
        </w:rPr>
      </w:pP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附件17：专家评审意见及签字表</w:t>
      </w:r>
    </w:p>
    <w:p w14:paraId="73E792CA">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pP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附件18：修改意见对照表</w:t>
      </w:r>
    </w:p>
    <w:p w14:paraId="2682703F">
      <w:pPr>
        <w:ind w:left="0" w:leftChars="0" w:firstLine="3534" w:firstLineChars="1100"/>
        <w:jc w:val="both"/>
        <w:rPr>
          <w:rFonts w:hint="default" w:ascii="Times New Roman" w:hAnsi="Times New Roman" w:eastAsia="宋体" w:cs="Times New Roman"/>
          <w:b/>
          <w:bCs/>
          <w:color w:val="000000" w:themeColor="text1"/>
          <w:sz w:val="32"/>
          <w:szCs w:val="32"/>
          <w:lang w:val="en-US" w:eastAsia="zh-CN"/>
          <w14:textFill>
            <w14:solidFill>
              <w14:schemeClr w14:val="tx1"/>
            </w14:solidFill>
          </w14:textFill>
        </w:rPr>
      </w:pPr>
    </w:p>
    <w:p w14:paraId="0244E34E">
      <w:pPr>
        <w:ind w:left="0" w:leftChars="0" w:firstLine="3534" w:firstLineChars="1100"/>
        <w:jc w:val="both"/>
        <w:rPr>
          <w:rFonts w:hint="default" w:ascii="Times New Roman" w:hAnsi="Times New Roman" w:eastAsia="宋体" w:cs="Times New Roman"/>
          <w:b/>
          <w:bCs/>
          <w:color w:val="000000" w:themeColor="text1"/>
          <w:sz w:val="32"/>
          <w:szCs w:val="32"/>
          <w:lang w:val="en-US" w:eastAsia="zh-CN"/>
          <w14:textFill>
            <w14:solidFill>
              <w14:schemeClr w14:val="tx1"/>
            </w14:solidFill>
          </w14:textFill>
        </w:rPr>
        <w:sectPr>
          <w:footerReference r:id="rId7" w:type="default"/>
          <w:pgSz w:w="11906" w:h="16838"/>
          <w:pgMar w:top="1701" w:right="1531" w:bottom="1701" w:left="1531" w:header="851" w:footer="1077" w:gutter="0"/>
          <w:pgBorders>
            <w:top w:val="none" w:sz="0" w:space="0"/>
            <w:left w:val="none" w:sz="0" w:space="0"/>
            <w:bottom w:val="none" w:sz="0" w:space="0"/>
            <w:right w:val="none" w:sz="0" w:space="0"/>
          </w:pgBorders>
          <w:pgNumType w:fmt="decimal" w:start="1"/>
          <w:cols w:space="720" w:num="1"/>
          <w:docGrid w:linePitch="312" w:charSpace="0"/>
        </w:sectPr>
      </w:pPr>
    </w:p>
    <w:p w14:paraId="79584028">
      <w:pPr>
        <w:ind w:left="0" w:leftChars="0" w:firstLine="3855" w:firstLineChars="1200"/>
        <w:jc w:val="both"/>
        <w:rPr>
          <w:rFonts w:hint="default" w:ascii="Times New Roman" w:hAnsi="Times New Roman" w:eastAsia="宋体" w:cs="Times New Roman"/>
          <w:b/>
          <w:bCs/>
          <w:color w:val="000000" w:themeColor="text1"/>
          <w:sz w:val="32"/>
          <w:szCs w:val="32"/>
          <w14:textFill>
            <w14:solidFill>
              <w14:schemeClr w14:val="tx1"/>
            </w14:solidFill>
          </w14:textFill>
        </w:rPr>
      </w:pPr>
      <w:r>
        <w:rPr>
          <w:rFonts w:hint="default" w:ascii="Times New Roman" w:hAnsi="Times New Roman" w:eastAsia="宋体" w:cs="Times New Roman"/>
          <w:b/>
          <w:bCs/>
          <w:color w:val="000000" w:themeColor="text1"/>
          <w:sz w:val="32"/>
          <w:szCs w:val="32"/>
          <w:lang w:val="en-US" w:eastAsia="zh-CN"/>
          <w14:textFill>
            <w14:solidFill>
              <w14:schemeClr w14:val="tx1"/>
            </w14:solidFill>
          </w14:textFill>
        </w:rPr>
        <w:t>前</w:t>
      </w:r>
      <w:r>
        <w:rPr>
          <w:rFonts w:hint="eastAsia" w:ascii="Times New Roman" w:hAnsi="Times New Roman" w:cs="Times New Roman"/>
          <w:b/>
          <w:bCs/>
          <w:color w:val="000000" w:themeColor="text1"/>
          <w:sz w:val="32"/>
          <w:szCs w:val="32"/>
          <w:lang w:val="en-US" w:eastAsia="zh-CN"/>
          <w14:textFill>
            <w14:solidFill>
              <w14:schemeClr w14:val="tx1"/>
            </w14:solidFill>
          </w14:textFill>
        </w:rPr>
        <w:t xml:space="preserve"> </w:t>
      </w:r>
      <w:r>
        <w:rPr>
          <w:rFonts w:hint="default" w:ascii="Times New Roman" w:hAnsi="Times New Roman" w:eastAsia="宋体" w:cs="Times New Roman"/>
          <w:b/>
          <w:bCs/>
          <w:color w:val="000000" w:themeColor="text1"/>
          <w:sz w:val="32"/>
          <w:szCs w:val="32"/>
          <w14:textFill>
            <w14:solidFill>
              <w14:schemeClr w14:val="tx1"/>
            </w14:solidFill>
          </w14:textFill>
        </w:rPr>
        <w:t>言</w:t>
      </w:r>
    </w:p>
    <w:p w14:paraId="745A21D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i w:val="0"/>
          <w:iCs w:val="0"/>
          <w:caps w:val="0"/>
          <w:color w:val="000000" w:themeColor="text1"/>
          <w:spacing w:val="0"/>
          <w:sz w:val="24"/>
          <w:szCs w:val="24"/>
          <w:shd w:val="clear" w:fill="FFFFFF"/>
          <w14:textFill>
            <w14:solidFill>
              <w14:schemeClr w14:val="tx1"/>
            </w14:solidFill>
          </w14:textFill>
        </w:rPr>
        <w:t>为深入践行</w:t>
      </w:r>
      <w:r>
        <w:rPr>
          <w:rFonts w:hint="eastAsia" w:ascii="Times New Roman" w:hAnsi="Times New Roman" w:cs="Times New Roman"/>
          <w:i w:val="0"/>
          <w:iCs w:val="0"/>
          <w:caps w:val="0"/>
          <w:color w:val="000000" w:themeColor="text1"/>
          <w:spacing w:val="0"/>
          <w:sz w:val="24"/>
          <w:szCs w:val="24"/>
          <w:shd w:val="clear" w:fill="FFFFFF"/>
          <w:lang w:eastAsia="zh-CN"/>
          <w14:textFill>
            <w14:solidFill>
              <w14:schemeClr w14:val="tx1"/>
            </w14:solidFill>
          </w14:textFill>
        </w:rPr>
        <w:t>“</w:t>
      </w:r>
      <w:r>
        <w:rPr>
          <w:rFonts w:hint="default" w:ascii="Times New Roman" w:hAnsi="Times New Roman" w:eastAsia="宋体" w:cs="Times New Roman"/>
          <w:i w:val="0"/>
          <w:iCs w:val="0"/>
          <w:caps w:val="0"/>
          <w:color w:val="000000" w:themeColor="text1"/>
          <w:spacing w:val="0"/>
          <w:sz w:val="24"/>
          <w:szCs w:val="24"/>
          <w:shd w:val="clear" w:fill="FFFFFF"/>
          <w14:textFill>
            <w14:solidFill>
              <w14:schemeClr w14:val="tx1"/>
            </w14:solidFill>
          </w14:textFill>
        </w:rPr>
        <w:t>绿水青山就是金山银山</w:t>
      </w:r>
      <w:r>
        <w:rPr>
          <w:rFonts w:hint="eastAsia" w:ascii="Times New Roman" w:hAnsi="Times New Roman" w:cs="Times New Roman"/>
          <w:i w:val="0"/>
          <w:iCs w:val="0"/>
          <w:caps w:val="0"/>
          <w:color w:val="000000" w:themeColor="text1"/>
          <w:spacing w:val="0"/>
          <w:sz w:val="24"/>
          <w:szCs w:val="24"/>
          <w:shd w:val="clear" w:fill="FFFFFF"/>
          <w:lang w:eastAsia="zh-CN"/>
          <w14:textFill>
            <w14:solidFill>
              <w14:schemeClr w14:val="tx1"/>
            </w14:solidFill>
          </w14:textFill>
        </w:rPr>
        <w:t>”</w:t>
      </w:r>
      <w:r>
        <w:rPr>
          <w:rStyle w:val="30"/>
          <w:rFonts w:hint="default" w:ascii="Times New Roman" w:hAnsi="Times New Roman" w:eastAsia="宋体" w:cs="Times New Roman"/>
          <w:b w:val="0"/>
          <w:bCs/>
          <w:i w:val="0"/>
          <w:iCs w:val="0"/>
          <w:caps w:val="0"/>
          <w:color w:val="000000" w:themeColor="text1"/>
          <w:spacing w:val="0"/>
          <w:sz w:val="24"/>
          <w:szCs w:val="24"/>
          <w:shd w:val="clear" w:fill="FFFFFF"/>
          <w14:textFill>
            <w14:solidFill>
              <w14:schemeClr w14:val="tx1"/>
            </w14:solidFill>
          </w14:textFill>
        </w:rPr>
        <w:t>的生态文明理念，贯彻落实</w:t>
      </w:r>
      <w:r>
        <w:rPr>
          <w:rStyle w:val="30"/>
          <w:rFonts w:hint="eastAsia" w:ascii="Times New Roman" w:hAnsi="Times New Roman" w:cs="Times New Roman"/>
          <w:b w:val="0"/>
          <w:bCs/>
          <w:i w:val="0"/>
          <w:iCs w:val="0"/>
          <w:caps w:val="0"/>
          <w:color w:val="000000" w:themeColor="text1"/>
          <w:spacing w:val="0"/>
          <w:sz w:val="24"/>
          <w:szCs w:val="24"/>
          <w:shd w:val="clear" w:fill="FFFFFF"/>
          <w:lang w:eastAsia="zh-CN"/>
          <w14:textFill>
            <w14:solidFill>
              <w14:schemeClr w14:val="tx1"/>
            </w14:solidFill>
          </w14:textFill>
        </w:rPr>
        <w:t>《中共中央 国务院</w:t>
      </w:r>
      <w:r>
        <w:rPr>
          <w:rFonts w:hint="default" w:ascii="Times New Roman" w:hAnsi="Times New Roman" w:eastAsia="宋体" w:cs="Times New Roman"/>
          <w:i w:val="0"/>
          <w:iCs w:val="0"/>
          <w:caps w:val="0"/>
          <w:color w:val="000000" w:themeColor="text1"/>
          <w:spacing w:val="0"/>
          <w:sz w:val="24"/>
          <w:szCs w:val="24"/>
          <w:shd w:val="clear" w:fill="FFFFFF"/>
          <w14:textFill>
            <w14:solidFill>
              <w14:schemeClr w14:val="tx1"/>
            </w14:solidFill>
          </w14:textFill>
        </w:rPr>
        <w:t>关于做好2023年全面推进乡村振兴重点工作的意见》</w:t>
      </w:r>
      <w:r>
        <w:rPr>
          <w:rStyle w:val="30"/>
          <w:rFonts w:hint="default" w:ascii="Times New Roman" w:hAnsi="Times New Roman" w:eastAsia="宋体" w:cs="Times New Roman"/>
          <w:b w:val="0"/>
          <w:bCs/>
          <w:i w:val="0"/>
          <w:iCs w:val="0"/>
          <w:caps w:val="0"/>
          <w:color w:val="000000" w:themeColor="text1"/>
          <w:spacing w:val="0"/>
          <w:sz w:val="24"/>
          <w:szCs w:val="24"/>
          <w:shd w:val="clear" w:fill="FFFFFF"/>
          <w14:textFill>
            <w14:solidFill>
              <w14:schemeClr w14:val="tx1"/>
            </w14:solidFill>
          </w14:textFill>
        </w:rPr>
        <w:t>中</w:t>
      </w:r>
      <w:r>
        <w:rPr>
          <w:rStyle w:val="30"/>
          <w:rFonts w:hint="eastAsia" w:ascii="Times New Roman" w:hAnsi="Times New Roman" w:cs="Times New Roman"/>
          <w:b w:val="0"/>
          <w:bCs/>
          <w:i w:val="0"/>
          <w:iCs w:val="0"/>
          <w:caps w:val="0"/>
          <w:color w:val="000000" w:themeColor="text1"/>
          <w:spacing w:val="0"/>
          <w:sz w:val="24"/>
          <w:szCs w:val="24"/>
          <w:shd w:val="clear" w:fill="FFFFFF"/>
          <w:lang w:eastAsia="zh-CN"/>
          <w14:textFill>
            <w14:solidFill>
              <w14:schemeClr w14:val="tx1"/>
            </w14:solidFill>
          </w14:textFill>
        </w:rPr>
        <w:t>“</w:t>
      </w:r>
      <w:r>
        <w:rPr>
          <w:rStyle w:val="30"/>
          <w:rFonts w:hint="default" w:ascii="Times New Roman" w:hAnsi="Times New Roman" w:eastAsia="宋体" w:cs="Times New Roman"/>
          <w:b w:val="0"/>
          <w:bCs/>
          <w:i w:val="0"/>
          <w:iCs w:val="0"/>
          <w:caps w:val="0"/>
          <w:color w:val="000000" w:themeColor="text1"/>
          <w:spacing w:val="0"/>
          <w:sz w:val="24"/>
          <w:szCs w:val="24"/>
          <w:shd w:val="clear" w:fill="FFFFFF"/>
          <w14:textFill>
            <w14:solidFill>
              <w14:schemeClr w14:val="tx1"/>
            </w14:solidFill>
          </w14:textFill>
        </w:rPr>
        <w:t>培育乡村新产业新业态</w:t>
      </w:r>
      <w:r>
        <w:rPr>
          <w:rStyle w:val="30"/>
          <w:rFonts w:hint="eastAsia" w:ascii="Times New Roman" w:hAnsi="Times New Roman" w:cs="Times New Roman"/>
          <w:b w:val="0"/>
          <w:bCs/>
          <w:i w:val="0"/>
          <w:iCs w:val="0"/>
          <w:caps w:val="0"/>
          <w:color w:val="000000" w:themeColor="text1"/>
          <w:spacing w:val="0"/>
          <w:sz w:val="24"/>
          <w:szCs w:val="24"/>
          <w:shd w:val="clear" w:fill="FFFFFF"/>
          <w:lang w:eastAsia="zh-CN"/>
          <w14:textFill>
            <w14:solidFill>
              <w14:schemeClr w14:val="tx1"/>
            </w14:solidFill>
          </w14:textFill>
        </w:rPr>
        <w:t>”</w:t>
      </w:r>
      <w:r>
        <w:rPr>
          <w:rStyle w:val="30"/>
          <w:rFonts w:hint="default" w:ascii="Times New Roman" w:hAnsi="Times New Roman" w:eastAsia="宋体" w:cs="Times New Roman"/>
          <w:b w:val="0"/>
          <w:bCs/>
          <w:i w:val="0"/>
          <w:iCs w:val="0"/>
          <w:caps w:val="0"/>
          <w:color w:val="000000" w:themeColor="text1"/>
          <w:spacing w:val="0"/>
          <w:sz w:val="24"/>
          <w:szCs w:val="24"/>
          <w:shd w:val="clear" w:fill="FFFFFF"/>
          <w14:textFill>
            <w14:solidFill>
              <w14:schemeClr w14:val="tx1"/>
            </w14:solidFill>
          </w14:textFill>
        </w:rPr>
        <w:t>的战略部署，</w:t>
      </w:r>
      <w:r>
        <w:rPr>
          <w:rStyle w:val="30"/>
          <w:rFonts w:hint="eastAsia" w:ascii="Times New Roman" w:hAnsi="Times New Roman" w:cs="Times New Roman"/>
          <w:b w:val="0"/>
          <w:bCs/>
          <w:i w:val="0"/>
          <w:iCs w:val="0"/>
          <w:caps w:val="0"/>
          <w:color w:val="000000" w:themeColor="text1"/>
          <w:spacing w:val="0"/>
          <w:sz w:val="24"/>
          <w:szCs w:val="24"/>
          <w:shd w:val="clear" w:fill="FFFFFF"/>
          <w:lang w:eastAsia="zh-CN"/>
          <w14:textFill>
            <w14:solidFill>
              <w14:schemeClr w14:val="tx1"/>
            </w14:solidFill>
          </w14:textFill>
        </w:rPr>
        <w:t>“</w:t>
      </w:r>
      <w:r>
        <w:rPr>
          <w:rStyle w:val="30"/>
          <w:rFonts w:hint="eastAsia" w:ascii="Times New Roman" w:hAnsi="Times New Roman" w:cs="Times New Roman"/>
          <w:b w:val="0"/>
          <w:bCs/>
          <w:i w:val="0"/>
          <w:iCs w:val="0"/>
          <w:caps w:val="0"/>
          <w:color w:val="000000" w:themeColor="text1"/>
          <w:spacing w:val="0"/>
          <w:sz w:val="24"/>
          <w:szCs w:val="24"/>
          <w:shd w:val="clear" w:fill="FFFFFF"/>
          <w:lang w:val="en-US" w:eastAsia="zh-CN"/>
          <w14:textFill>
            <w14:solidFill>
              <w14:schemeClr w14:val="tx1"/>
            </w14:solidFill>
          </w14:textFill>
        </w:rPr>
        <w:t>峨山县大西农林种植基地建设项目</w:t>
      </w:r>
      <w:r>
        <w:rPr>
          <w:rStyle w:val="30"/>
          <w:rFonts w:hint="eastAsia" w:ascii="Times New Roman" w:hAnsi="Times New Roman" w:cs="Times New Roman"/>
          <w:b w:val="0"/>
          <w:bCs/>
          <w:i w:val="0"/>
          <w:iCs w:val="0"/>
          <w:caps w:val="0"/>
          <w:color w:val="000000" w:themeColor="text1"/>
          <w:spacing w:val="0"/>
          <w:sz w:val="24"/>
          <w:szCs w:val="24"/>
          <w:shd w:val="clear" w:fill="FFFFFF"/>
          <w:lang w:eastAsia="zh-CN"/>
          <w14:textFill>
            <w14:solidFill>
              <w14:schemeClr w14:val="tx1"/>
            </w14:solidFill>
          </w14:textFill>
        </w:rPr>
        <w:t>”</w:t>
      </w:r>
      <w:r>
        <w:rPr>
          <w:rStyle w:val="30"/>
          <w:rFonts w:hint="default" w:ascii="Times New Roman" w:hAnsi="Times New Roman" w:eastAsia="宋体" w:cs="Times New Roman"/>
          <w:b w:val="0"/>
          <w:bCs/>
          <w:i w:val="0"/>
          <w:iCs w:val="0"/>
          <w:caps w:val="0"/>
          <w:color w:val="000000" w:themeColor="text1"/>
          <w:spacing w:val="0"/>
          <w:sz w:val="24"/>
          <w:szCs w:val="24"/>
          <w:shd w:val="clear" w:fill="FFFFFF"/>
          <w14:textFill>
            <w14:solidFill>
              <w14:schemeClr w14:val="tx1"/>
            </w14:solidFill>
          </w14:textFill>
        </w:rPr>
        <w:t>应运而生。项目选址于</w:t>
      </w:r>
      <w:r>
        <w:rPr>
          <w:rStyle w:val="30"/>
          <w:rFonts w:hint="default" w:ascii="Times New Roman" w:hAnsi="Times New Roman" w:eastAsia="宋体" w:cs="Times New Roman"/>
          <w:b w:val="0"/>
          <w:bCs/>
          <w:i w:val="0"/>
          <w:iCs w:val="0"/>
          <w:caps w:val="0"/>
          <w:color w:val="000000" w:themeColor="text1"/>
          <w:spacing w:val="0"/>
          <w:sz w:val="24"/>
          <w:szCs w:val="24"/>
          <w:shd w:val="clear" w:fill="FFFFFF"/>
          <w:lang w:val="en-US" w:eastAsia="zh-CN"/>
          <w14:textFill>
            <w14:solidFill>
              <w14:schemeClr w14:val="tx1"/>
            </w14:solidFill>
          </w14:textFill>
        </w:rPr>
        <w:t>峨山县塔甸镇大西村委会大西村</w:t>
      </w:r>
      <w:r>
        <w:rPr>
          <w:rStyle w:val="30"/>
          <w:rFonts w:hint="default" w:ascii="Times New Roman" w:hAnsi="Times New Roman" w:eastAsia="宋体" w:cs="Times New Roman"/>
          <w:b w:val="0"/>
          <w:bCs/>
          <w:i w:val="0"/>
          <w:iCs w:val="0"/>
          <w:caps w:val="0"/>
          <w:color w:val="000000" w:themeColor="text1"/>
          <w:spacing w:val="0"/>
          <w:sz w:val="24"/>
          <w:szCs w:val="24"/>
          <w:shd w:val="clear" w:fill="FFFFFF"/>
          <w14:textFill>
            <w14:solidFill>
              <w14:schemeClr w14:val="tx1"/>
            </w14:solidFill>
          </w14:textFill>
        </w:rPr>
        <w:t>，通过构建</w:t>
      </w:r>
      <w:r>
        <w:rPr>
          <w:rStyle w:val="30"/>
          <w:rFonts w:hint="eastAsia" w:ascii="Times New Roman" w:hAnsi="Times New Roman" w:cs="Times New Roman"/>
          <w:b w:val="0"/>
          <w:bCs/>
          <w:i w:val="0"/>
          <w:iCs w:val="0"/>
          <w:caps w:val="0"/>
          <w:color w:val="000000" w:themeColor="text1"/>
          <w:spacing w:val="0"/>
          <w:sz w:val="24"/>
          <w:szCs w:val="24"/>
          <w:shd w:val="clear" w:fill="FFFFFF"/>
          <w:lang w:eastAsia="zh-CN"/>
          <w14:textFill>
            <w14:solidFill>
              <w14:schemeClr w14:val="tx1"/>
            </w14:solidFill>
          </w14:textFill>
        </w:rPr>
        <w:t>“</w:t>
      </w:r>
      <w:r>
        <w:rPr>
          <w:rStyle w:val="30"/>
          <w:rFonts w:hint="default" w:ascii="Times New Roman" w:hAnsi="Times New Roman" w:eastAsia="宋体" w:cs="Times New Roman"/>
          <w:b w:val="0"/>
          <w:bCs/>
          <w:i w:val="0"/>
          <w:iCs w:val="0"/>
          <w:caps w:val="0"/>
          <w:color w:val="000000" w:themeColor="text1"/>
          <w:spacing w:val="0"/>
          <w:sz w:val="24"/>
          <w:szCs w:val="24"/>
          <w:shd w:val="clear" w:fill="FFFFFF"/>
          <w14:textFill>
            <w14:solidFill>
              <w14:schemeClr w14:val="tx1"/>
            </w14:solidFill>
          </w14:textFill>
        </w:rPr>
        <w:t>林</w:t>
      </w:r>
      <w:r>
        <w:rPr>
          <w:rStyle w:val="30"/>
          <w:rFonts w:hint="eastAsia" w:ascii="Times New Roman" w:hAnsi="Times New Roman" w:cs="Times New Roman"/>
          <w:b w:val="0"/>
          <w:bCs/>
          <w:i w:val="0"/>
          <w:iCs w:val="0"/>
          <w:caps w:val="0"/>
          <w:color w:val="000000" w:themeColor="text1"/>
          <w:spacing w:val="0"/>
          <w:sz w:val="24"/>
          <w:szCs w:val="24"/>
          <w:shd w:val="clear" w:fill="FFFFFF"/>
          <w:lang w:eastAsia="zh-CN"/>
          <w14:textFill>
            <w14:solidFill>
              <w14:schemeClr w14:val="tx1"/>
            </w14:solidFill>
          </w14:textFill>
        </w:rPr>
        <w:t>－</w:t>
      </w:r>
      <w:r>
        <w:rPr>
          <w:rStyle w:val="30"/>
          <w:rFonts w:hint="default" w:ascii="Times New Roman" w:hAnsi="Times New Roman" w:eastAsia="宋体" w:cs="Times New Roman"/>
          <w:b w:val="0"/>
          <w:bCs/>
          <w:i w:val="0"/>
          <w:iCs w:val="0"/>
          <w:caps w:val="0"/>
          <w:color w:val="000000" w:themeColor="text1"/>
          <w:spacing w:val="0"/>
          <w:sz w:val="24"/>
          <w:szCs w:val="24"/>
          <w:shd w:val="clear" w:fill="FFFFFF"/>
          <w14:textFill>
            <w14:solidFill>
              <w14:schemeClr w14:val="tx1"/>
            </w14:solidFill>
          </w14:textFill>
        </w:rPr>
        <w:t>药</w:t>
      </w:r>
      <w:r>
        <w:rPr>
          <w:rStyle w:val="30"/>
          <w:rFonts w:hint="eastAsia" w:ascii="Times New Roman" w:hAnsi="Times New Roman" w:cs="Times New Roman"/>
          <w:b w:val="0"/>
          <w:bCs/>
          <w:i w:val="0"/>
          <w:iCs w:val="0"/>
          <w:caps w:val="0"/>
          <w:color w:val="000000" w:themeColor="text1"/>
          <w:spacing w:val="0"/>
          <w:sz w:val="24"/>
          <w:szCs w:val="24"/>
          <w:shd w:val="clear" w:fill="FFFFFF"/>
          <w:lang w:eastAsia="zh-CN"/>
          <w14:textFill>
            <w14:solidFill>
              <w14:schemeClr w14:val="tx1"/>
            </w14:solidFill>
          </w14:textFill>
        </w:rPr>
        <w:t>－</w:t>
      </w:r>
      <w:r>
        <w:rPr>
          <w:rStyle w:val="30"/>
          <w:rFonts w:hint="default" w:ascii="Times New Roman" w:hAnsi="Times New Roman" w:eastAsia="宋体" w:cs="Times New Roman"/>
          <w:b w:val="0"/>
          <w:bCs/>
          <w:i w:val="0"/>
          <w:iCs w:val="0"/>
          <w:caps w:val="0"/>
          <w:color w:val="000000" w:themeColor="text1"/>
          <w:spacing w:val="0"/>
          <w:sz w:val="24"/>
          <w:szCs w:val="24"/>
          <w:shd w:val="clear" w:fill="FFFFFF"/>
          <w14:textFill>
            <w14:solidFill>
              <w14:schemeClr w14:val="tx1"/>
            </w14:solidFill>
          </w14:textFill>
        </w:rPr>
        <w:t>菌</w:t>
      </w:r>
      <w:r>
        <w:rPr>
          <w:rStyle w:val="30"/>
          <w:rFonts w:hint="eastAsia" w:ascii="Times New Roman" w:hAnsi="Times New Roman" w:cs="Times New Roman"/>
          <w:b w:val="0"/>
          <w:bCs/>
          <w:i w:val="0"/>
          <w:iCs w:val="0"/>
          <w:caps w:val="0"/>
          <w:color w:val="000000" w:themeColor="text1"/>
          <w:spacing w:val="0"/>
          <w:sz w:val="24"/>
          <w:szCs w:val="24"/>
          <w:shd w:val="clear" w:fill="FFFFFF"/>
          <w:lang w:eastAsia="zh-CN"/>
          <w14:textFill>
            <w14:solidFill>
              <w14:schemeClr w14:val="tx1"/>
            </w14:solidFill>
          </w14:textFill>
        </w:rPr>
        <w:t>”</w:t>
      </w:r>
      <w:r>
        <w:rPr>
          <w:rStyle w:val="30"/>
          <w:rFonts w:hint="default" w:ascii="Times New Roman" w:hAnsi="Times New Roman" w:eastAsia="宋体" w:cs="Times New Roman"/>
          <w:b w:val="0"/>
          <w:bCs/>
          <w:i w:val="0"/>
          <w:iCs w:val="0"/>
          <w:caps w:val="0"/>
          <w:color w:val="000000" w:themeColor="text1"/>
          <w:spacing w:val="0"/>
          <w:sz w:val="24"/>
          <w:szCs w:val="24"/>
          <w:shd w:val="clear" w:fill="FFFFFF"/>
          <w14:textFill>
            <w14:solidFill>
              <w14:schemeClr w14:val="tx1"/>
            </w14:solidFill>
          </w14:textFill>
        </w:rPr>
        <w:t>立体生态农业模式，积极探索</w:t>
      </w:r>
      <w:r>
        <w:rPr>
          <w:rFonts w:hint="default" w:ascii="Times New Roman" w:hAnsi="Times New Roman" w:eastAsia="宋体" w:cs="Times New Roman"/>
          <w:i w:val="0"/>
          <w:iCs w:val="0"/>
          <w:caps w:val="0"/>
          <w:color w:val="000000" w:themeColor="text1"/>
          <w:spacing w:val="0"/>
          <w:sz w:val="24"/>
          <w:szCs w:val="24"/>
          <w:shd w:val="clear" w:fill="FFFFFF"/>
          <w14:textFill>
            <w14:solidFill>
              <w14:schemeClr w14:val="tx1"/>
            </w14:solidFill>
          </w14:textFill>
        </w:rPr>
        <w:t>农业碳中</w:t>
      </w:r>
      <w:r>
        <w:rPr>
          <w:rFonts w:hint="default" w:ascii="Times New Roman" w:hAnsi="Times New Roman" w:eastAsia="宋体" w:cs="Times New Roman"/>
          <w:b w:val="0"/>
          <w:bCs w:val="0"/>
          <w:i w:val="0"/>
          <w:iCs w:val="0"/>
          <w:caps w:val="0"/>
          <w:color w:val="000000" w:themeColor="text1"/>
          <w:spacing w:val="0"/>
          <w:sz w:val="24"/>
          <w:szCs w:val="24"/>
          <w:shd w:val="clear" w:fill="FFFFFF"/>
          <w14:textFill>
            <w14:solidFill>
              <w14:schemeClr w14:val="tx1"/>
            </w14:solidFill>
          </w14:textFill>
        </w:rPr>
        <w:t>和</w:t>
      </w:r>
      <w:r>
        <w:rPr>
          <w:rStyle w:val="30"/>
          <w:rFonts w:hint="default" w:ascii="Times New Roman" w:hAnsi="Times New Roman" w:eastAsia="宋体" w:cs="Times New Roman"/>
          <w:b w:val="0"/>
          <w:bCs w:val="0"/>
          <w:i w:val="0"/>
          <w:iCs w:val="0"/>
          <w:caps w:val="0"/>
          <w:color w:val="000000" w:themeColor="text1"/>
          <w:spacing w:val="0"/>
          <w:sz w:val="24"/>
          <w:szCs w:val="24"/>
          <w:shd w:val="clear" w:fill="FFFFFF"/>
          <w14:textFill>
            <w14:solidFill>
              <w14:schemeClr w14:val="tx1"/>
            </w14:solidFill>
          </w14:textFill>
        </w:rPr>
        <w:t>与</w:t>
      </w:r>
      <w:r>
        <w:rPr>
          <w:rFonts w:hint="default" w:ascii="Times New Roman" w:hAnsi="Times New Roman" w:eastAsia="宋体" w:cs="Times New Roman"/>
          <w:b w:val="0"/>
          <w:bCs w:val="0"/>
          <w:i w:val="0"/>
          <w:iCs w:val="0"/>
          <w:caps w:val="0"/>
          <w:color w:val="000000" w:themeColor="text1"/>
          <w:spacing w:val="0"/>
          <w:sz w:val="24"/>
          <w:szCs w:val="24"/>
          <w:shd w:val="clear" w:fill="FFFFFF"/>
          <w14:textFill>
            <w14:solidFill>
              <w14:schemeClr w14:val="tx1"/>
            </w14:solidFill>
          </w14:textFill>
        </w:rPr>
        <w:t>生</w:t>
      </w:r>
      <w:r>
        <w:rPr>
          <w:rFonts w:hint="default" w:ascii="Times New Roman" w:hAnsi="Times New Roman" w:eastAsia="宋体" w:cs="Times New Roman"/>
          <w:i w:val="0"/>
          <w:iCs w:val="0"/>
          <w:caps w:val="0"/>
          <w:color w:val="000000" w:themeColor="text1"/>
          <w:spacing w:val="0"/>
          <w:sz w:val="24"/>
          <w:szCs w:val="24"/>
          <w:shd w:val="clear" w:fill="FFFFFF"/>
          <w14:textFill>
            <w14:solidFill>
              <w14:schemeClr w14:val="tx1"/>
            </w14:solidFill>
          </w14:textFill>
        </w:rPr>
        <w:t>物多样性保护协同推进的创新路径。</w:t>
      </w:r>
      <w:r>
        <w:rPr>
          <w:rFonts w:hint="default" w:ascii="Times New Roman" w:hAnsi="Times New Roman" w:eastAsia="宋体" w:cs="Times New Roman"/>
          <w:color w:val="000000" w:themeColor="text1"/>
          <w:sz w:val="24"/>
          <w:szCs w:val="24"/>
          <w14:textFill>
            <w14:solidFill>
              <w14:schemeClr w14:val="tx1"/>
            </w14:solidFill>
          </w14:textFill>
        </w:rPr>
        <w:t>结合当下</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峨山</w:t>
      </w:r>
      <w:r>
        <w:rPr>
          <w:rFonts w:hint="default" w:ascii="Times New Roman" w:hAnsi="Times New Roman" w:eastAsia="宋体" w:cs="Times New Roman"/>
          <w:color w:val="000000" w:themeColor="text1"/>
          <w:sz w:val="24"/>
          <w:szCs w:val="24"/>
          <w14:textFill>
            <w14:solidFill>
              <w14:schemeClr w14:val="tx1"/>
            </w14:solidFill>
          </w14:textFill>
        </w:rPr>
        <w:t>县现有资源现状，建设高质量森林</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通过对</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峨山</w:t>
      </w:r>
      <w:r>
        <w:rPr>
          <w:rFonts w:hint="default" w:ascii="Times New Roman" w:hAnsi="Times New Roman" w:eastAsia="宋体" w:cs="Times New Roman"/>
          <w:color w:val="000000" w:themeColor="text1"/>
          <w:sz w:val="24"/>
          <w:szCs w:val="24"/>
          <w14:textFill>
            <w14:solidFill>
              <w14:schemeClr w14:val="tx1"/>
            </w14:solidFill>
          </w14:textFill>
        </w:rPr>
        <w:t>县范围内现有的林地进行租赁和林木资源获取，对项目区范围内无立木林地进行</w:t>
      </w:r>
      <w:r>
        <w:rPr>
          <w:rFonts w:hint="default" w:ascii="Times New Roman" w:hAnsi="Times New Roman" w:eastAsia="宋体" w:cs="Times New Roman"/>
          <w:color w:val="000000" w:themeColor="text1"/>
          <w:sz w:val="24"/>
          <w:szCs w:val="24"/>
          <w:lang w:eastAsia="zh-CN"/>
          <w14:textFill>
            <w14:solidFill>
              <w14:schemeClr w14:val="tx1"/>
            </w14:solidFill>
          </w14:textFill>
        </w:rPr>
        <w:t>农</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林基地</w:t>
      </w:r>
      <w:r>
        <w:rPr>
          <w:rFonts w:hint="default" w:ascii="Times New Roman" w:hAnsi="Times New Roman" w:eastAsia="宋体" w:cs="Times New Roman"/>
          <w:color w:val="000000" w:themeColor="text1"/>
          <w:sz w:val="24"/>
          <w:szCs w:val="24"/>
          <w:lang w:eastAsia="zh-CN"/>
          <w14:textFill>
            <w14:solidFill>
              <w14:schemeClr w14:val="tx1"/>
            </w14:solidFill>
          </w14:textFill>
        </w:rPr>
        <w:t>项目</w:t>
      </w:r>
      <w:r>
        <w:rPr>
          <w:rFonts w:hint="default" w:ascii="Times New Roman" w:hAnsi="Times New Roman" w:eastAsia="宋体" w:cs="Times New Roman"/>
          <w:color w:val="000000" w:themeColor="text1"/>
          <w:sz w:val="24"/>
          <w:szCs w:val="24"/>
          <w14:textFill>
            <w14:solidFill>
              <w14:schemeClr w14:val="tx1"/>
            </w14:solidFill>
          </w14:textFill>
        </w:rPr>
        <w:t>建</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设</w:t>
      </w:r>
      <w:r>
        <w:rPr>
          <w:rFonts w:hint="default" w:ascii="Times New Roman" w:hAnsi="Times New Roman" w:eastAsia="宋体" w:cs="Times New Roman"/>
          <w:color w:val="000000" w:themeColor="text1"/>
          <w:sz w:val="24"/>
          <w:szCs w:val="24"/>
          <w14:textFill>
            <w14:solidFill>
              <w14:schemeClr w14:val="tx1"/>
            </w14:solidFill>
          </w14:textFill>
        </w:rPr>
        <w:t>，以达到维护</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峨山</w:t>
      </w:r>
      <w:r>
        <w:rPr>
          <w:rFonts w:hint="default" w:ascii="Times New Roman" w:hAnsi="Times New Roman" w:eastAsia="宋体" w:cs="Times New Roman"/>
          <w:color w:val="000000" w:themeColor="text1"/>
          <w:sz w:val="24"/>
          <w:szCs w:val="24"/>
          <w14:textFill>
            <w14:solidFill>
              <w14:schemeClr w14:val="tx1"/>
            </w14:solidFill>
          </w14:textFill>
        </w:rPr>
        <w:t>县生态系统安全、充分</w:t>
      </w:r>
      <w:r>
        <w:rPr>
          <w:rFonts w:hint="eastAsia" w:ascii="Times New Roman" w:hAnsi="Times New Roman" w:cs="Times New Roman"/>
          <w:color w:val="000000" w:themeColor="text1"/>
          <w:sz w:val="24"/>
          <w:szCs w:val="24"/>
          <w:lang w:eastAsia="zh-CN"/>
          <w14:textFill>
            <w14:solidFill>
              <w14:schemeClr w14:val="tx1"/>
            </w14:solidFill>
          </w14:textFill>
        </w:rPr>
        <w:t>合理</w:t>
      </w:r>
      <w:r>
        <w:rPr>
          <w:rFonts w:hint="default" w:ascii="Times New Roman" w:hAnsi="Times New Roman" w:eastAsia="宋体" w:cs="Times New Roman"/>
          <w:color w:val="000000" w:themeColor="text1"/>
          <w:sz w:val="24"/>
          <w:szCs w:val="24"/>
          <w14:textFill>
            <w14:solidFill>
              <w14:schemeClr w14:val="tx1"/>
            </w14:solidFill>
          </w14:textFill>
        </w:rPr>
        <w:t>开发林木资源并完善区域林业基础设施，实现</w:t>
      </w:r>
      <w:r>
        <w:rPr>
          <w:rFonts w:hint="eastAsia"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生态</w:t>
      </w:r>
      <w:r>
        <w:rPr>
          <w:rFonts w:hint="eastAsia"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林产业</w:t>
      </w:r>
      <w:r>
        <w:rPr>
          <w:rFonts w:hint="eastAsia"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协调共赢发展的目标。</w:t>
      </w:r>
    </w:p>
    <w:p w14:paraId="5D4899D8">
      <w:pPr>
        <w:pStyle w:val="7"/>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t>玉溪市洛河昱鑫工贸有限公司</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为了提高林地利用率和产出率，切实改善生态环境，促进农民增收和农村经济发展，提出峨山县大西农林种植基地建设项目</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4"/>
          <w:szCs w:val="24"/>
          <w:vertAlign w:val="baseline"/>
          <w:lang w:val="en-US" w:eastAsia="zh-CN" w:bidi="ar"/>
          <w14:textFill>
            <w14:solidFill>
              <w14:schemeClr w14:val="tx1"/>
            </w14:solidFill>
          </w14:textFill>
        </w:rPr>
        <w:t>项目于</w:t>
      </w:r>
      <w:r>
        <w:rPr>
          <w:rFonts w:hint="default" w:ascii="Times New Roman" w:hAnsi="Times New Roman" w:eastAsia="宋体" w:cs="Times New Roman"/>
          <w:color w:val="000000" w:themeColor="text1"/>
          <w:kern w:val="0"/>
          <w:sz w:val="24"/>
          <w:szCs w:val="24"/>
          <w:highlight w:val="none"/>
          <w:vertAlign w:val="baseline"/>
          <w:lang w:val="en-US" w:eastAsia="zh-CN" w:bidi="ar"/>
          <w14:textFill>
            <w14:solidFill>
              <w14:schemeClr w14:val="tx1"/>
            </w14:solidFill>
          </w14:textFill>
        </w:rPr>
        <w:t>2025年12月16日取得了峨山彝族自治县发展和改革局签发的投资项目备案证。投资备案证编号为（2512-530426-04-01-622702）</w:t>
      </w:r>
      <w:r>
        <w:rPr>
          <w:rFonts w:hint="default" w:ascii="Times New Roman" w:hAnsi="Times New Roman" w:eastAsia="宋体" w:cs="Times New Roman"/>
          <w:color w:val="000000" w:themeColor="text1"/>
          <w:kern w:val="0"/>
          <w:sz w:val="24"/>
          <w:szCs w:val="24"/>
          <w:highlight w:val="none"/>
          <w:vertAlign w:val="baseline"/>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4"/>
          <w:szCs w:val="24"/>
          <w:vertAlign w:val="baseline"/>
          <w:lang w:val="en-US" w:eastAsia="zh-CN" w:bidi="ar"/>
          <w14:textFill>
            <w14:solidFill>
              <w14:schemeClr w14:val="tx1"/>
            </w14:solidFill>
          </w14:textFill>
        </w:rPr>
        <w:t>该</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项目占地面积14</w:t>
      </w:r>
      <w:r>
        <w:rPr>
          <w:rFonts w:hint="eastAsia" w:ascii="Times New Roman" w:hAnsi="Times New Roman" w:cs="Times New Roman"/>
          <w:color w:val="000000" w:themeColor="text1"/>
          <w:sz w:val="24"/>
          <w:szCs w:val="24"/>
          <w:lang w:val="en-US" w:eastAsia="zh-CN"/>
          <w14:textFill>
            <w14:solidFill>
              <w14:schemeClr w14:val="tx1"/>
            </w14:solidFill>
          </w14:textFill>
        </w:rPr>
        <w:t>86.8</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亩，</w:t>
      </w:r>
      <w:r>
        <w:rPr>
          <w:rFonts w:hint="eastAsia" w:ascii="Times New Roman" w:hAnsi="Times New Roman" w:cs="Times New Roman"/>
          <w:color w:val="000000" w:themeColor="text1"/>
          <w:sz w:val="24"/>
          <w:szCs w:val="24"/>
          <w:lang w:val="en-US" w:eastAsia="zh-CN"/>
          <w14:textFill>
            <w14:solidFill>
              <w14:schemeClr w14:val="tx1"/>
            </w14:solidFill>
          </w14:textFill>
        </w:rPr>
        <w:t>分为两个片区，</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一片区</w:t>
      </w:r>
      <w:r>
        <w:rPr>
          <w:rFonts w:hint="eastAsia" w:ascii="Times New Roman" w:hAnsi="Times New Roman" w:cs="Times New Roman"/>
          <w:color w:val="000000" w:themeColor="text1"/>
          <w:sz w:val="24"/>
          <w:szCs w:val="24"/>
          <w:lang w:val="en-US" w:eastAsia="zh-CN"/>
          <w14:textFill>
            <w14:solidFill>
              <w14:schemeClr w14:val="tx1"/>
            </w14:solidFill>
          </w14:textFill>
        </w:rPr>
        <w:t>占地面积为332.71亩，</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二片区</w:t>
      </w:r>
      <w:r>
        <w:rPr>
          <w:rFonts w:hint="eastAsia" w:ascii="Times New Roman" w:hAnsi="Times New Roman" w:cs="Times New Roman"/>
          <w:color w:val="000000" w:themeColor="text1"/>
          <w:sz w:val="24"/>
          <w:szCs w:val="24"/>
          <w:lang w:val="en-US" w:eastAsia="zh-CN"/>
          <w14:textFill>
            <w14:solidFill>
              <w14:schemeClr w14:val="tx1"/>
            </w14:solidFill>
          </w14:textFill>
        </w:rPr>
        <w:t>占地面积为1153.89亩</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主要</w:t>
      </w:r>
      <w:r>
        <w:rPr>
          <w:rFonts w:hint="eastAsia" w:ascii="Times New Roman" w:hAnsi="Times New Roman" w:cs="Times New Roman"/>
          <w:color w:val="000000" w:themeColor="text1"/>
          <w:sz w:val="24"/>
          <w:szCs w:val="24"/>
          <w:lang w:val="en-US" w:eastAsia="zh-CN"/>
          <w14:textFill>
            <w14:solidFill>
              <w14:schemeClr w14:val="tx1"/>
            </w14:solidFill>
          </w14:textFill>
        </w:rPr>
        <w:t>进行</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蓝莓、三七、羊肚菌、桃树、苹果树</w:t>
      </w:r>
      <w:r>
        <w:rPr>
          <w:rFonts w:hint="eastAsia" w:ascii="Times New Roman" w:hAnsi="Times New Roman" w:cs="Times New Roman"/>
          <w:color w:val="000000" w:themeColor="text1"/>
          <w:sz w:val="24"/>
          <w:szCs w:val="24"/>
          <w:lang w:val="en-US" w:eastAsia="zh-CN"/>
          <w14:textFill>
            <w14:solidFill>
              <w14:schemeClr w14:val="tx1"/>
            </w14:solidFill>
          </w14:textFill>
        </w:rPr>
        <w:t>的</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种植</w:t>
      </w:r>
      <w:r>
        <w:rPr>
          <w:rFonts w:hint="eastAsia" w:ascii="Times New Roman" w:hAnsi="Times New Roman" w:cs="Times New Roman"/>
          <w:color w:val="000000" w:themeColor="text1"/>
          <w:sz w:val="24"/>
          <w:szCs w:val="24"/>
          <w:lang w:val="en-US" w:eastAsia="zh-CN"/>
          <w14:textFill>
            <w14:solidFill>
              <w14:schemeClr w14:val="tx1"/>
            </w14:solidFill>
          </w14:textFill>
        </w:rPr>
        <w:t>。项目用地主要是公司从</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峨山县塔甸镇大西村委会大西山租赁</w:t>
      </w:r>
      <w:r>
        <w:rPr>
          <w:rFonts w:hint="eastAsia" w:ascii="Times New Roman" w:hAnsi="Times New Roman" w:cs="Times New Roman"/>
          <w:color w:val="000000" w:themeColor="text1"/>
          <w:sz w:val="24"/>
          <w:szCs w:val="24"/>
          <w:lang w:val="en-US" w:eastAsia="zh-CN"/>
          <w14:textFill>
            <w14:solidFill>
              <w14:schemeClr w14:val="tx1"/>
            </w14:solidFill>
          </w14:textFill>
        </w:rPr>
        <w:t>的</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2136.982亩土地</w:t>
      </w:r>
      <w:r>
        <w:rPr>
          <w:rFonts w:hint="eastAsia" w:ascii="Times New Roman" w:hAnsi="Times New Roman" w:cs="Times New Roman"/>
          <w:color w:val="000000" w:themeColor="text1"/>
          <w:sz w:val="24"/>
          <w:szCs w:val="24"/>
          <w:lang w:val="en-US" w:eastAsia="zh-CN"/>
          <w14:textFill>
            <w14:solidFill>
              <w14:schemeClr w14:val="tx1"/>
            </w14:solidFill>
          </w14:textFill>
        </w:rPr>
        <w:t>中的</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14</w:t>
      </w:r>
      <w:r>
        <w:rPr>
          <w:rFonts w:hint="eastAsia" w:ascii="Times New Roman" w:hAnsi="Times New Roman" w:cs="Times New Roman"/>
          <w:color w:val="000000" w:themeColor="text1"/>
          <w:sz w:val="24"/>
          <w:szCs w:val="24"/>
          <w:lang w:val="en-US" w:eastAsia="zh-CN"/>
          <w14:textFill>
            <w14:solidFill>
              <w14:schemeClr w14:val="tx1"/>
            </w14:solidFill>
          </w14:textFill>
        </w:rPr>
        <w:t>86.8</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亩</w:t>
      </w:r>
      <w:r>
        <w:rPr>
          <w:rFonts w:hint="eastAsia" w:ascii="Times New Roman" w:hAnsi="Times New Roman" w:cs="Times New Roman"/>
          <w:color w:val="000000" w:themeColor="text1"/>
          <w:sz w:val="24"/>
          <w:szCs w:val="24"/>
          <w:lang w:val="en-US" w:eastAsia="zh-CN"/>
          <w14:textFill>
            <w14:solidFill>
              <w14:schemeClr w14:val="tx1"/>
            </w14:solidFill>
          </w14:textFill>
        </w:rPr>
        <w:t>进行种植以及</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管理用房、水肥中心、沉淀池、水池、分拣房等辅助工程的建设，具体内容如下：</w:t>
      </w:r>
    </w:p>
    <w:p w14:paraId="6320B115">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pP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（1）</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一片区：</w:t>
      </w:r>
    </w:p>
    <w:p w14:paraId="4D6F81B2">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000000" w:themeColor="text1"/>
          <w:kern w:val="0"/>
          <w:sz w:val="24"/>
          <w:szCs w:val="24"/>
          <w:highlight w:val="yellow"/>
          <w:lang w:val="en-US" w:eastAsia="zh-CN" w:bidi="ar"/>
          <w14:textFill>
            <w14:solidFill>
              <w14:schemeClr w14:val="tx1"/>
            </w14:solidFill>
          </w14:textFill>
        </w:rPr>
      </w:pP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项目总</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占地面积</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332.71</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亩，</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其中种植面积约262.51</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亩</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（其中</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蓝莓种植规模135.68亩、羊肚菌种植规模74.11亩</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桃子种植规模27.24亩，苹果树种植25.48亩</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辅助工程建设用地面积约42.17</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亩，</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其中</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规划道路占地</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面积为</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3</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2.34</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亩</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（21560m</w:t>
      </w:r>
      <w:r>
        <w:rPr>
          <w:rFonts w:hint="eastAsia" w:ascii="Times New Roman" w:hAnsi="Times New Roman" w:cs="Times New Roman"/>
          <w:color w:val="000000" w:themeColor="text1"/>
          <w:kern w:val="0"/>
          <w:sz w:val="24"/>
          <w:szCs w:val="24"/>
          <w:highlight w:val="none"/>
          <w:vertAlign w:val="superscript"/>
          <w:lang w:val="en-US" w:eastAsia="zh-CN" w:bidi="ar"/>
          <w14:textFill>
            <w14:solidFill>
              <w14:schemeClr w14:val="tx1"/>
            </w14:solidFill>
          </w14:textFill>
        </w:rPr>
        <w:t>2</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，长度</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8674</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m）</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沉淀池</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1</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个</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占地</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面</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积为0.24亩</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（160.45m</w:t>
      </w:r>
      <w:r>
        <w:rPr>
          <w:rFonts w:hint="eastAsia" w:ascii="Times New Roman" w:hAnsi="Times New Roman" w:cs="Times New Roman"/>
          <w:color w:val="000000" w:themeColor="text1"/>
          <w:kern w:val="0"/>
          <w:sz w:val="24"/>
          <w:szCs w:val="24"/>
          <w:highlight w:val="none"/>
          <w:vertAlign w:val="superscript"/>
          <w:lang w:val="en-US" w:eastAsia="zh-CN" w:bidi="ar"/>
          <w14:textFill>
            <w14:solidFill>
              <w14:schemeClr w14:val="tx1"/>
            </w14:solidFill>
          </w14:textFill>
        </w:rPr>
        <w:t>2</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容积</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160.45</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m</w:t>
      </w:r>
      <w:r>
        <w:rPr>
          <w:rFonts w:hint="default" w:ascii="Times New Roman" w:hAnsi="Times New Roman" w:eastAsia="宋体" w:cs="Times New Roman"/>
          <w:color w:val="000000" w:themeColor="text1"/>
          <w:kern w:val="0"/>
          <w:sz w:val="24"/>
          <w:szCs w:val="24"/>
          <w:highlight w:val="none"/>
          <w:vertAlign w:val="superscript"/>
          <w:lang w:val="en-US" w:eastAsia="zh-CN" w:bidi="ar"/>
          <w14:textFill>
            <w14:solidFill>
              <w14:schemeClr w14:val="tx1"/>
            </w14:solidFill>
          </w14:textFill>
        </w:rPr>
        <w:t>3</w:t>
      </w:r>
      <w:r>
        <w:rPr>
          <w:rFonts w:hint="eastAsia" w:ascii="Times New Roman" w:hAnsi="Times New Roman" w:cs="Times New Roman"/>
          <w:color w:val="000000" w:themeColor="text1"/>
          <w:kern w:val="0"/>
          <w:sz w:val="24"/>
          <w:szCs w:val="24"/>
          <w:highlight w:val="none"/>
          <w:vertAlign w:val="baseline"/>
          <w:lang w:val="en-US" w:eastAsia="zh-CN" w:bidi="ar"/>
          <w14:textFill>
            <w14:solidFill>
              <w14:schemeClr w14:val="tx1"/>
            </w14:solidFill>
          </w14:textFill>
        </w:rPr>
        <w:t>）</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水肥中心</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1</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个，占地</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面积为1.5亩（</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1000m</w:t>
      </w:r>
      <w:r>
        <w:rPr>
          <w:rFonts w:hint="default" w:ascii="Times New Roman" w:hAnsi="Times New Roman" w:eastAsia="宋体" w:cs="Times New Roman"/>
          <w:color w:val="000000" w:themeColor="text1"/>
          <w:kern w:val="0"/>
          <w:sz w:val="24"/>
          <w:szCs w:val="24"/>
          <w:highlight w:val="none"/>
          <w:vertAlign w:val="superscript"/>
          <w:lang w:val="en-US" w:eastAsia="zh-CN" w:bidi="ar"/>
          <w14:textFill>
            <w14:solidFill>
              <w14:schemeClr w14:val="tx1"/>
            </w14:solidFill>
          </w14:textFill>
        </w:rPr>
        <w:t>2</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。管护用房</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5</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间，</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总占地面积为3.49亩（2324.18</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m</w:t>
      </w:r>
      <w:r>
        <w:rPr>
          <w:rFonts w:hint="default" w:ascii="Times New Roman" w:hAnsi="Times New Roman" w:eastAsia="宋体" w:cs="Times New Roman"/>
          <w:color w:val="000000" w:themeColor="text1"/>
          <w:kern w:val="0"/>
          <w:sz w:val="24"/>
          <w:szCs w:val="24"/>
          <w:highlight w:val="none"/>
          <w:vertAlign w:val="superscript"/>
          <w:lang w:val="en-US" w:eastAsia="zh-CN" w:bidi="ar"/>
          <w14:textFill>
            <w14:solidFill>
              <w14:schemeClr w14:val="tx1"/>
            </w14:solidFill>
          </w14:textFill>
        </w:rPr>
        <w:t>2</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水池3个，</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总</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占地</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面积</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为4.6亩（3068.08m</w:t>
      </w:r>
      <w:r>
        <w:rPr>
          <w:rFonts w:hint="eastAsia" w:ascii="Times New Roman" w:hAnsi="Times New Roman" w:cs="Times New Roman"/>
          <w:color w:val="000000" w:themeColor="text1"/>
          <w:kern w:val="0"/>
          <w:sz w:val="24"/>
          <w:szCs w:val="24"/>
          <w:highlight w:val="none"/>
          <w:vertAlign w:val="superscript"/>
          <w:lang w:val="en-US" w:eastAsia="zh-CN" w:bidi="ar"/>
          <w14:textFill>
            <w14:solidFill>
              <w14:schemeClr w14:val="tx1"/>
            </w14:solidFill>
          </w14:textFill>
        </w:rPr>
        <w:t>2</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总容积为6136.16m</w:t>
      </w:r>
      <w:r>
        <w:rPr>
          <w:rFonts w:hint="eastAsia" w:ascii="Times New Roman" w:hAnsi="Times New Roman" w:cs="Times New Roman"/>
          <w:color w:val="000000" w:themeColor="text1"/>
          <w:sz w:val="24"/>
          <w:szCs w:val="24"/>
          <w:highlight w:val="none"/>
          <w:vertAlign w:val="superscript"/>
          <w:lang w:val="en-US" w:eastAsia="zh-CN"/>
          <w14:textFill>
            <w14:solidFill>
              <w14:schemeClr w14:val="tx1"/>
            </w14:solidFill>
          </w14:textFill>
        </w:rPr>
        <w:t>3</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场地内及厂界外截排水沟占地约7.68亩，长度13</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050</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m</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未利用地面积约为20.35亩（13206.67m</w:t>
      </w:r>
      <w:r>
        <w:rPr>
          <w:rFonts w:hint="eastAsia" w:ascii="Times New Roman" w:hAnsi="Times New Roman" w:cs="Times New Roman"/>
          <w:color w:val="000000" w:themeColor="text1"/>
          <w:kern w:val="0"/>
          <w:sz w:val="24"/>
          <w:szCs w:val="24"/>
          <w:highlight w:val="none"/>
          <w:vertAlign w:val="superscript"/>
          <w:lang w:val="en-US" w:eastAsia="zh-CN" w:bidi="ar"/>
          <w14:textFill>
            <w14:solidFill>
              <w14:schemeClr w14:val="tx1"/>
            </w14:solidFill>
          </w14:textFill>
        </w:rPr>
        <w:t>2</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）。项目投资备案证总占地面积为304.68亩，只包含了项目区种植面积及辅助工程面积</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，未包含截排水沟占地面积（7.68亩）及未利用地部分面积（20.35亩）。</w:t>
      </w:r>
    </w:p>
    <w:p w14:paraId="5FB09736">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color w:val="000000" w:themeColor="text1"/>
          <w:kern w:val="0"/>
          <w:sz w:val="24"/>
          <w:szCs w:val="24"/>
          <w:highlight w:val="none"/>
          <w:lang w:val="en-US" w:eastAsia="zh-CN" w:bidi="ar"/>
          <w14:textFill>
            <w14:solidFill>
              <w14:schemeClr w14:val="tx1"/>
            </w14:solidFill>
          </w14:textFill>
        </w:rPr>
      </w:pP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（2）</w:t>
      </w:r>
      <w:r>
        <w:rPr>
          <w:rFonts w:hint="default" w:ascii="Times New Roman" w:hAnsi="Times New Roman" w:cs="Times New Roman"/>
          <w:color w:val="000000" w:themeColor="text1"/>
          <w:kern w:val="0"/>
          <w:sz w:val="24"/>
          <w:szCs w:val="24"/>
          <w:highlight w:val="none"/>
          <w:lang w:val="en-US" w:eastAsia="zh-CN" w:bidi="ar"/>
          <w14:textFill>
            <w14:solidFill>
              <w14:schemeClr w14:val="tx1"/>
            </w14:solidFill>
          </w14:textFill>
        </w:rPr>
        <w:t>二片区：</w:t>
      </w:r>
    </w:p>
    <w:p w14:paraId="6FA428CE">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000000" w:themeColor="text1"/>
          <w:sz w:val="24"/>
          <w:szCs w:val="24"/>
          <w:highlight w:val="yellow"/>
          <w:lang w:val="en-US"/>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项目区占地面积</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1153.89</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亩，</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其中种植面积为1021.37亩</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（其中</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蓝莓种植规模244.6亩、三七种植规模385.59亩、羊肚菌种植规模391.18亩</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辅助工程建设用地面积约121.79亩</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（其中</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管护用房7间，</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总</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占地</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面积为5.59亩（</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3726.03m</w:t>
      </w:r>
      <w:r>
        <w:rPr>
          <w:rFonts w:hint="default" w:ascii="Times New Roman" w:hAnsi="Times New Roman" w:eastAsia="宋体" w:cs="Times New Roman"/>
          <w:color w:val="000000" w:themeColor="text1"/>
          <w:kern w:val="0"/>
          <w:sz w:val="24"/>
          <w:szCs w:val="24"/>
          <w:highlight w:val="none"/>
          <w:vertAlign w:val="superscript"/>
          <w:lang w:val="en-US" w:eastAsia="zh-CN" w:bidi="ar"/>
          <w14:textFill>
            <w14:solidFill>
              <w14:schemeClr w14:val="tx1"/>
            </w14:solidFill>
          </w14:textFill>
        </w:rPr>
        <w:t>2</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沉淀池2个，占地</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面积为0.74亩</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（1个占地面积为250.28m</w:t>
      </w:r>
      <w:r>
        <w:rPr>
          <w:rFonts w:hint="eastAsia" w:ascii="Times New Roman" w:hAnsi="Times New Roman" w:cs="Times New Roman"/>
          <w:color w:val="000000" w:themeColor="text1"/>
          <w:kern w:val="0"/>
          <w:sz w:val="24"/>
          <w:szCs w:val="24"/>
          <w:highlight w:val="none"/>
          <w:vertAlign w:val="superscript"/>
          <w:lang w:val="en-US" w:eastAsia="zh-CN" w:bidi="ar"/>
          <w14:textFill>
            <w14:solidFill>
              <w14:schemeClr w14:val="tx1"/>
            </w14:solidFill>
          </w14:textFill>
        </w:rPr>
        <w:t>2</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，1个占地面积为243.75，合计总占地面积为</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494.03m</w:t>
      </w:r>
      <w:r>
        <w:rPr>
          <w:rFonts w:hint="default" w:ascii="Times New Roman" w:hAnsi="Times New Roman" w:eastAsia="宋体" w:cs="Times New Roman"/>
          <w:color w:val="000000" w:themeColor="text1"/>
          <w:kern w:val="0"/>
          <w:sz w:val="24"/>
          <w:szCs w:val="24"/>
          <w:highlight w:val="none"/>
          <w:vertAlign w:val="superscript"/>
          <w:lang w:val="en-US" w:eastAsia="zh-CN" w:bidi="ar"/>
          <w14:textFill>
            <w14:solidFill>
              <w14:schemeClr w14:val="tx1"/>
            </w14:solidFill>
          </w14:textFill>
        </w:rPr>
        <w:t>2</w:t>
      </w:r>
      <w:r>
        <w:rPr>
          <w:rFonts w:hint="eastAsia" w:ascii="Times New Roman" w:hAnsi="Times New Roman" w:cs="Times New Roman"/>
          <w:color w:val="000000" w:themeColor="text1"/>
          <w:kern w:val="0"/>
          <w:sz w:val="24"/>
          <w:szCs w:val="24"/>
          <w:highlight w:val="none"/>
          <w:vertAlign w:val="baseline"/>
          <w:lang w:val="en-US" w:eastAsia="zh-CN" w:bidi="ar"/>
          <w14:textFill>
            <w14:solidFill>
              <w14:schemeClr w14:val="tx1"/>
            </w14:solidFill>
          </w14:textFill>
        </w:rPr>
        <w:t>，</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总容积为494.03m</w:t>
      </w:r>
      <w:r>
        <w:rPr>
          <w:rFonts w:hint="eastAsia" w:ascii="Times New Roman" w:hAnsi="Times New Roman" w:cs="Times New Roman"/>
          <w:color w:val="000000" w:themeColor="text1"/>
          <w:sz w:val="24"/>
          <w:szCs w:val="24"/>
          <w:highlight w:val="none"/>
          <w:vertAlign w:val="superscript"/>
          <w:lang w:val="en-US" w:eastAsia="zh-CN"/>
          <w14:textFill>
            <w14:solidFill>
              <w14:schemeClr w14:val="tx1"/>
            </w14:solidFill>
          </w14:textFill>
        </w:rPr>
        <w:t>3</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水池1</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2</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个，</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总</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占地</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面积为13.91亩（</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9</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27</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5.</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05</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m</w:t>
      </w:r>
      <w:r>
        <w:rPr>
          <w:rFonts w:hint="default" w:ascii="Times New Roman" w:hAnsi="Times New Roman" w:eastAsia="宋体" w:cs="Times New Roman"/>
          <w:color w:val="000000" w:themeColor="text1"/>
          <w:kern w:val="0"/>
          <w:sz w:val="24"/>
          <w:szCs w:val="24"/>
          <w:highlight w:val="none"/>
          <w:vertAlign w:val="superscript"/>
          <w:lang w:val="en-US" w:eastAsia="zh-CN" w:bidi="ar"/>
          <w14:textFill>
            <w14:solidFill>
              <w14:schemeClr w14:val="tx1"/>
            </w14:solidFill>
          </w14:textFill>
        </w:rPr>
        <w:t>2</w:t>
      </w:r>
      <w:r>
        <w:rPr>
          <w:rFonts w:hint="default" w:ascii="Times New Roman" w:hAnsi="Times New Roman" w:eastAsia="宋体" w:cs="Times New Roman"/>
          <w:color w:val="000000" w:themeColor="text1"/>
          <w:kern w:val="0"/>
          <w:sz w:val="24"/>
          <w:szCs w:val="24"/>
          <w:highlight w:val="none"/>
          <w:vertAlign w:val="baseline"/>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总容积为</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43964.64</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m</w:t>
      </w:r>
      <w:r>
        <w:rPr>
          <w:rFonts w:hint="default" w:ascii="Times New Roman" w:hAnsi="Times New Roman" w:eastAsia="宋体" w:cs="Times New Roman"/>
          <w:color w:val="000000" w:themeColor="text1"/>
          <w:kern w:val="0"/>
          <w:sz w:val="24"/>
          <w:szCs w:val="24"/>
          <w:highlight w:val="none"/>
          <w:vertAlign w:val="superscript"/>
          <w:lang w:val="en-US" w:eastAsia="zh-CN" w:bidi="ar"/>
          <w14:textFill>
            <w14:solidFill>
              <w14:schemeClr w14:val="tx1"/>
            </w14:solidFill>
          </w14:textFill>
        </w:rPr>
        <w:t>3</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规划道路占地</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面积为93.67</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亩</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（62446.67m</w:t>
      </w:r>
      <w:r>
        <w:rPr>
          <w:rFonts w:hint="eastAsia" w:ascii="Times New Roman" w:hAnsi="Times New Roman" w:cs="Times New Roman"/>
          <w:color w:val="000000" w:themeColor="text1"/>
          <w:kern w:val="0"/>
          <w:sz w:val="24"/>
          <w:szCs w:val="24"/>
          <w:highlight w:val="none"/>
          <w:vertAlign w:val="superscript"/>
          <w:lang w:val="en-US" w:eastAsia="zh-CN" w:bidi="ar"/>
          <w14:textFill>
            <w14:solidFill>
              <w14:schemeClr w14:val="tx1"/>
            </w14:solidFill>
          </w14:textFill>
        </w:rPr>
        <w:t>2</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，长度31227m</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。场地内及厂界外截排水沟占地面积约10.73亩（长度约15</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1975</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m）。</w:t>
      </w:r>
    </w:p>
    <w:p w14:paraId="43C33767">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根据《中华人民共和国环境影响评价法</w:t>
      </w:r>
      <w:r>
        <w:rPr>
          <w:rFonts w:hint="eastAsia"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建设项目环境保护管理条例》（国务院令第682号），建设项目应履行环境影响评价制度。依据《建设项目环境影响评价分类管理名录》</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2021版</w:t>
      </w:r>
      <w:r>
        <w:rPr>
          <w:rFonts w:hint="default" w:ascii="Times New Roman" w:hAnsi="Times New Roman" w:eastAsia="宋体" w:cs="Times New Roman"/>
          <w:color w:val="000000" w:themeColor="text1"/>
          <w:sz w:val="24"/>
          <w:szCs w:val="24"/>
          <w:lang w:eastAsia="zh-CN"/>
          <w14:textFill>
            <w14:solidFill>
              <w14:schemeClr w14:val="tx1"/>
            </w14:solidFill>
          </w14:textFill>
        </w:rPr>
        <w:t>），项目</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属于</w:t>
      </w:r>
      <w:r>
        <w:rPr>
          <w:rFonts w:hint="eastAsia" w:ascii="Times New Roman" w:hAnsi="Times New Roman" w:cs="Times New Roman"/>
          <w:b/>
          <w:bCs/>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一</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农业</w:t>
      </w:r>
      <w:r>
        <w:rPr>
          <w:rFonts w:hint="eastAsia" w:ascii="Times New Roman" w:hAnsi="Times New Roman" w:cs="Times New Roman"/>
          <w:b/>
          <w:bCs/>
          <w:color w:val="000000" w:themeColor="text1"/>
          <w:sz w:val="24"/>
          <w:szCs w:val="24"/>
          <w:lang w:val="en-US" w:eastAsia="zh-CN"/>
          <w14:textFill>
            <w14:solidFill>
              <w14:schemeClr w14:val="tx1"/>
            </w14:solidFill>
          </w14:textFill>
        </w:rPr>
        <w:t>01”中的“</w:t>
      </w: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农产品基地项目</w:t>
      </w:r>
      <w:r>
        <w:rPr>
          <w:rFonts w:hint="eastAsia" w:ascii="Times New Roman" w:hAnsi="Times New Roman" w:cs="Times New Roman"/>
          <w:b/>
          <w:bCs/>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中</w:t>
      </w:r>
      <w:r>
        <w:rPr>
          <w:rFonts w:hint="eastAsia" w:ascii="Times New Roman" w:hAnsi="Times New Roman" w:cs="Times New Roman"/>
          <w:b/>
          <w:bCs/>
          <w:color w:val="000000" w:themeColor="text1"/>
          <w:sz w:val="24"/>
          <w:szCs w:val="24"/>
          <w:lang w:val="en-US" w:eastAsia="zh-CN"/>
          <w14:textFill>
            <w14:solidFill>
              <w14:schemeClr w14:val="tx1"/>
            </w14:solidFill>
          </w14:textFill>
        </w:rPr>
        <w:t>的“</w:t>
      </w: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涉及环境敏感区</w:t>
      </w:r>
      <w:r>
        <w:rPr>
          <w:rFonts w:hint="eastAsia" w:ascii="Times New Roman" w:hAnsi="Times New Roman" w:cs="Times New Roman"/>
          <w:b/>
          <w:bCs/>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（注：项目</w:t>
      </w:r>
      <w:r>
        <w:rPr>
          <w:rFonts w:hint="eastAsia" w:ascii="Times New Roman" w:hAnsi="Times New Roman" w:cs="Times New Roman"/>
          <w:b/>
          <w:bCs/>
          <w:color w:val="000000" w:themeColor="text1"/>
          <w:sz w:val="24"/>
          <w:szCs w:val="24"/>
          <w:lang w:val="en-US" w:eastAsia="zh-CN"/>
          <w14:textFill>
            <w14:solidFill>
              <w14:schemeClr w14:val="tx1"/>
            </w14:solidFill>
          </w14:textFill>
        </w:rPr>
        <w:t>选址区域</w:t>
      </w: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涉及两个饮用水水源保护区（大西水库和尼去本水库（正在划定中））。</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故项目</w:t>
      </w:r>
      <w:r>
        <w:rPr>
          <w:rFonts w:hint="default" w:ascii="Times New Roman" w:hAnsi="Times New Roman" w:eastAsia="宋体" w:cs="Times New Roman"/>
          <w:color w:val="000000" w:themeColor="text1"/>
          <w:sz w:val="24"/>
          <w:szCs w:val="24"/>
          <w14:textFill>
            <w14:solidFill>
              <w14:schemeClr w14:val="tx1"/>
            </w14:solidFill>
          </w14:textFill>
        </w:rPr>
        <w:t>应编制环境影响报告表。</w:t>
      </w:r>
      <w:r>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t>玉溪市洛河昱鑫工贸有限公</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司委托</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云南畅泓环境技术工程有限公司承</w:t>
      </w:r>
      <w:r>
        <w:rPr>
          <w:rFonts w:hint="default" w:ascii="Times New Roman" w:hAnsi="Times New Roman" w:eastAsia="宋体" w:cs="Times New Roman"/>
          <w:color w:val="000000" w:themeColor="text1"/>
          <w:sz w:val="24"/>
          <w:szCs w:val="24"/>
          <w14:textFill>
            <w14:solidFill>
              <w14:schemeClr w14:val="tx1"/>
            </w14:solidFill>
          </w14:textFill>
        </w:rPr>
        <w:t>担本项目环境影响报告表的编制工作。</w:t>
      </w:r>
      <w:r>
        <w:rPr>
          <w:rFonts w:hint="default" w:ascii="Times New Roman" w:hAnsi="Times New Roman" w:eastAsia="宋体" w:cs="Times New Roman"/>
          <w:color w:val="000000" w:themeColor="text1"/>
          <w:sz w:val="24"/>
          <w:szCs w:val="24"/>
          <w:lang w:eastAsia="zh-CN"/>
          <w14:textFill>
            <w14:solidFill>
              <w14:schemeClr w14:val="tx1"/>
            </w14:solidFill>
          </w14:textFill>
        </w:rPr>
        <w:t>我公司</w:t>
      </w:r>
      <w:r>
        <w:rPr>
          <w:rFonts w:hint="default" w:ascii="Times New Roman" w:hAnsi="Times New Roman" w:eastAsia="宋体" w:cs="Times New Roman"/>
          <w:color w:val="000000" w:themeColor="text1"/>
          <w:sz w:val="24"/>
          <w:szCs w:val="24"/>
          <w14:textFill>
            <w14:solidFill>
              <w14:schemeClr w14:val="tx1"/>
            </w14:solidFill>
          </w14:textFill>
        </w:rPr>
        <w:t>接受委托后，进行了现场踏勘、环境状况调查、资料收集，在认真分析工程内容的基础上，编制完成了本项目环境影响报告表，供建设单位上报生态环境行政管理部门审批后作为项目环境管理的依据。</w:t>
      </w:r>
    </w:p>
    <w:p w14:paraId="54726FA1">
      <w:pPr>
        <w:tabs>
          <w:tab w:val="left" w:pos="659"/>
        </w:tabs>
        <w:ind w:left="0" w:leftChars="0" w:firstLine="0" w:firstLineChars="0"/>
        <w:jc w:val="both"/>
        <w:rPr>
          <w:rFonts w:hint="default" w:ascii="Times New Roman" w:hAnsi="Times New Roman" w:eastAsia="宋体" w:cs="Times New Roman"/>
          <w:color w:val="000000" w:themeColor="text1"/>
          <w:sz w:val="24"/>
          <w:szCs w:val="24"/>
          <w:lang w:eastAsia="zh-CN"/>
          <w14:textFill>
            <w14:solidFill>
              <w14:schemeClr w14:val="tx1"/>
            </w14:solidFill>
          </w14:textFill>
        </w:rPr>
      </w:pPr>
      <w:r>
        <w:rPr>
          <w:rFonts w:hint="default" w:ascii="Times New Roman" w:hAnsi="Times New Roman" w:eastAsia="宋体" w:cs="Times New Roman"/>
          <w:color w:val="000000" w:themeColor="text1"/>
          <w:sz w:val="24"/>
          <w:szCs w:val="24"/>
          <w:lang w:eastAsia="zh-CN"/>
          <w14:textFill>
            <w14:solidFill>
              <w14:schemeClr w14:val="tx1"/>
            </w14:solidFill>
          </w14:textFill>
        </w:rPr>
        <w:tab/>
      </w:r>
    </w:p>
    <w:p w14:paraId="44717D84">
      <w:pPr>
        <w:pStyle w:val="21"/>
        <w:adjustRightInd w:val="0"/>
        <w:snapToGrid w:val="0"/>
        <w:spacing w:before="0" w:beforeAutospacing="0" w:after="0" w:afterAutospacing="0" w:line="240" w:lineRule="auto"/>
        <w:ind w:firstLine="600"/>
        <w:jc w:val="both"/>
        <w:outlineLvl w:val="0"/>
        <w:rPr>
          <w:rFonts w:hint="default" w:ascii="Times New Roman" w:hAnsi="Times New Roman" w:eastAsia="宋体" w:cs="Times New Roman"/>
          <w:snapToGrid w:val="0"/>
          <w:color w:val="000000" w:themeColor="text1"/>
          <w:sz w:val="24"/>
          <w:szCs w:val="24"/>
          <w14:textFill>
            <w14:solidFill>
              <w14:schemeClr w14:val="tx1"/>
            </w14:solidFill>
          </w14:textFill>
        </w:rPr>
        <w:sectPr>
          <w:footerReference r:id="rId8" w:type="default"/>
          <w:pgSz w:w="11906" w:h="16838"/>
          <w:pgMar w:top="1701" w:right="1871" w:bottom="1701" w:left="1871" w:header="851" w:footer="1077" w:gutter="0"/>
          <w:pgBorders>
            <w:top w:val="none" w:sz="0" w:space="0"/>
            <w:left w:val="none" w:sz="0" w:space="0"/>
            <w:bottom w:val="none" w:sz="0" w:space="0"/>
            <w:right w:val="none" w:sz="0" w:space="0"/>
          </w:pgBorders>
          <w:pgNumType w:fmt="decimal" w:start="1"/>
          <w:cols w:space="720" w:num="1"/>
          <w:docGrid w:linePitch="312" w:charSpace="0"/>
        </w:sectPr>
      </w:pPr>
      <w:bookmarkStart w:id="0" w:name="_Toc87899388"/>
    </w:p>
    <w:p w14:paraId="2C9716A0">
      <w:pPr>
        <w:pStyle w:val="2"/>
        <w:bidi w:val="0"/>
        <w:ind w:firstLine="2409" w:firstLineChars="800"/>
        <w:jc w:val="both"/>
        <w:rPr>
          <w:rFonts w:hint="eastAsia" w:ascii="宋体" w:hAnsi="宋体" w:eastAsia="宋体" w:cs="宋体"/>
          <w:color w:val="000000" w:themeColor="text1"/>
          <w:sz w:val="30"/>
          <w:szCs w:val="30"/>
          <w14:textFill>
            <w14:solidFill>
              <w14:schemeClr w14:val="tx1"/>
            </w14:solidFill>
          </w14:textFill>
        </w:rPr>
      </w:pPr>
      <w:bookmarkStart w:id="1" w:name="_Toc19197"/>
      <w:r>
        <w:rPr>
          <w:rFonts w:hint="eastAsia" w:ascii="宋体" w:hAnsi="宋体" w:eastAsia="宋体" w:cs="宋体"/>
          <w:color w:val="000000" w:themeColor="text1"/>
          <w:sz w:val="30"/>
          <w:szCs w:val="30"/>
          <w14:textFill>
            <w14:solidFill>
              <w14:schemeClr w14:val="tx1"/>
            </w14:solidFill>
          </w14:textFill>
        </w:rPr>
        <w:t>一、建设项目基本情况</w:t>
      </w:r>
      <w:bookmarkEnd w:id="0"/>
      <w:bookmarkEnd w:id="1"/>
    </w:p>
    <w:tbl>
      <w:tblPr>
        <w:tblStyle w:val="26"/>
        <w:tblW w:w="5101" w:type="pct"/>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650"/>
        <w:gridCol w:w="1205"/>
        <w:gridCol w:w="1683"/>
        <w:gridCol w:w="2315"/>
        <w:gridCol w:w="3171"/>
        <w:gridCol w:w="25"/>
      </w:tblGrid>
      <w:tr w14:paraId="7C8945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gridAfter w:val="1"/>
          <w:wAfter w:w="12" w:type="pct"/>
          <w:trHeight w:val="655" w:hRule="atLeast"/>
        </w:trPr>
        <w:tc>
          <w:tcPr>
            <w:tcW w:w="1025" w:type="pct"/>
            <w:gridSpan w:val="2"/>
            <w:tcMar>
              <w:top w:w="16" w:type="dxa"/>
              <w:left w:w="16" w:type="dxa"/>
              <w:right w:w="16" w:type="dxa"/>
            </w:tcMar>
            <w:vAlign w:val="center"/>
          </w:tcPr>
          <w:p w14:paraId="112A3A50">
            <w:pPr>
              <w:adjustRightInd w:val="0"/>
              <w:snapToGrid w:val="0"/>
              <w:spacing w:line="240" w:lineRule="auto"/>
              <w:ind w:firstLine="0" w:firstLineChars="0"/>
              <w:jc w:val="both"/>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建设项目名称</w:t>
            </w:r>
          </w:p>
        </w:tc>
        <w:tc>
          <w:tcPr>
            <w:tcW w:w="3961" w:type="pct"/>
            <w:gridSpan w:val="3"/>
            <w:vAlign w:val="center"/>
          </w:tcPr>
          <w:p w14:paraId="3B6BD048">
            <w:pPr>
              <w:adjustRightInd w:val="0"/>
              <w:snapToGrid w:val="0"/>
              <w:spacing w:line="240" w:lineRule="auto"/>
              <w:ind w:firstLine="0" w:firstLineChars="0"/>
              <w:jc w:val="both"/>
              <w:rPr>
                <w:rFonts w:hint="default" w:ascii="Times New Roman" w:hAnsi="Times New Roman" w:eastAsia="宋体" w:cs="Times New Roman"/>
                <w:color w:val="000000" w:themeColor="text1"/>
                <w:sz w:val="24"/>
                <w:szCs w:val="24"/>
                <w:lang w:eastAsia="zh-CN"/>
                <w14:textFill>
                  <w14:solidFill>
                    <w14:schemeClr w14:val="tx1"/>
                  </w14:solidFill>
                </w14:textFill>
              </w:rPr>
            </w:pPr>
            <w:r>
              <w:rPr>
                <w:rFonts w:hint="default" w:ascii="Times New Roman" w:hAnsi="Times New Roman" w:eastAsia="宋体" w:cs="Times New Roman"/>
                <w:color w:val="000000" w:themeColor="text1"/>
                <w:sz w:val="24"/>
                <w:szCs w:val="24"/>
                <w:lang w:eastAsia="zh-CN"/>
                <w14:textFill>
                  <w14:solidFill>
                    <w14:schemeClr w14:val="tx1"/>
                  </w14:solidFill>
                </w14:textFill>
              </w:rPr>
              <w:t>峨山县大西农林种植基地建设项目</w:t>
            </w:r>
          </w:p>
        </w:tc>
      </w:tr>
      <w:tr w14:paraId="4FE95C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gridAfter w:val="1"/>
          <w:wAfter w:w="12" w:type="pct"/>
          <w:trHeight w:val="416" w:hRule="atLeast"/>
        </w:trPr>
        <w:tc>
          <w:tcPr>
            <w:tcW w:w="1025" w:type="pct"/>
            <w:gridSpan w:val="2"/>
            <w:tcMar>
              <w:top w:w="16" w:type="dxa"/>
              <w:left w:w="16" w:type="dxa"/>
              <w:right w:w="16" w:type="dxa"/>
            </w:tcMar>
            <w:vAlign w:val="center"/>
          </w:tcPr>
          <w:p w14:paraId="3EB00678">
            <w:pPr>
              <w:adjustRightInd w:val="0"/>
              <w:snapToGrid w:val="0"/>
              <w:spacing w:line="240" w:lineRule="auto"/>
              <w:ind w:firstLine="0" w:firstLineChars="0"/>
              <w:jc w:val="both"/>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项目代码</w:t>
            </w:r>
          </w:p>
        </w:tc>
        <w:tc>
          <w:tcPr>
            <w:tcW w:w="3961" w:type="pct"/>
            <w:gridSpan w:val="3"/>
            <w:vAlign w:val="center"/>
          </w:tcPr>
          <w:p w14:paraId="7C5D944C">
            <w:pPr>
              <w:adjustRightInd w:val="0"/>
              <w:snapToGrid w:val="0"/>
              <w:spacing w:line="240" w:lineRule="auto"/>
              <w:ind w:firstLine="0" w:firstLineChars="0"/>
              <w:jc w:val="both"/>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2512-530426-04-01-622702</w:t>
            </w:r>
          </w:p>
        </w:tc>
      </w:tr>
      <w:tr w14:paraId="71F10E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gridAfter w:val="1"/>
          <w:wAfter w:w="12" w:type="pct"/>
          <w:trHeight w:val="362" w:hRule="atLeast"/>
        </w:trPr>
        <w:tc>
          <w:tcPr>
            <w:tcW w:w="1025" w:type="pct"/>
            <w:gridSpan w:val="2"/>
            <w:tcMar>
              <w:top w:w="16" w:type="dxa"/>
              <w:left w:w="16" w:type="dxa"/>
              <w:right w:w="16" w:type="dxa"/>
            </w:tcMar>
            <w:vAlign w:val="center"/>
          </w:tcPr>
          <w:p w14:paraId="6E1F3D0A">
            <w:pPr>
              <w:adjustRightInd w:val="0"/>
              <w:snapToGrid w:val="0"/>
              <w:spacing w:line="240" w:lineRule="auto"/>
              <w:ind w:firstLine="0" w:firstLineChars="0"/>
              <w:jc w:val="both"/>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建设单位联系人</w:t>
            </w:r>
          </w:p>
        </w:tc>
        <w:tc>
          <w:tcPr>
            <w:tcW w:w="930" w:type="pct"/>
            <w:vAlign w:val="center"/>
          </w:tcPr>
          <w:p w14:paraId="37200568">
            <w:pPr>
              <w:adjustRightInd w:val="0"/>
              <w:snapToGrid w:val="0"/>
              <w:spacing w:line="240" w:lineRule="auto"/>
              <w:ind w:firstLine="0" w:firstLineChars="0"/>
              <w:jc w:val="both"/>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李光明</w:t>
            </w:r>
          </w:p>
        </w:tc>
        <w:tc>
          <w:tcPr>
            <w:tcW w:w="1279" w:type="pct"/>
            <w:vAlign w:val="center"/>
          </w:tcPr>
          <w:p w14:paraId="5495EE9E">
            <w:pPr>
              <w:adjustRightInd w:val="0"/>
              <w:snapToGrid w:val="0"/>
              <w:spacing w:line="240" w:lineRule="auto"/>
              <w:ind w:firstLine="0" w:firstLineChars="0"/>
              <w:jc w:val="both"/>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联系方式</w:t>
            </w:r>
          </w:p>
        </w:tc>
        <w:tc>
          <w:tcPr>
            <w:tcW w:w="1750" w:type="pct"/>
            <w:vAlign w:val="center"/>
          </w:tcPr>
          <w:p w14:paraId="77D52F3A">
            <w:pPr>
              <w:adjustRightInd w:val="0"/>
              <w:snapToGrid w:val="0"/>
              <w:spacing w:line="240" w:lineRule="auto"/>
              <w:ind w:firstLine="0" w:firstLineChars="0"/>
              <w:jc w:val="both"/>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13987767797</w:t>
            </w:r>
          </w:p>
        </w:tc>
      </w:tr>
      <w:tr w14:paraId="00AA5D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gridAfter w:val="1"/>
          <w:wAfter w:w="12" w:type="pct"/>
          <w:trHeight w:val="335" w:hRule="atLeast"/>
        </w:trPr>
        <w:tc>
          <w:tcPr>
            <w:tcW w:w="1025" w:type="pct"/>
            <w:gridSpan w:val="2"/>
            <w:tcBorders>
              <w:right w:val="single" w:color="auto" w:sz="4" w:space="0"/>
            </w:tcBorders>
            <w:tcMar>
              <w:top w:w="16" w:type="dxa"/>
              <w:left w:w="16" w:type="dxa"/>
              <w:right w:w="16" w:type="dxa"/>
            </w:tcMar>
            <w:vAlign w:val="center"/>
          </w:tcPr>
          <w:p w14:paraId="6D0E2228">
            <w:pPr>
              <w:adjustRightInd w:val="0"/>
              <w:snapToGrid w:val="0"/>
              <w:spacing w:line="240" w:lineRule="auto"/>
              <w:ind w:firstLine="0" w:firstLineChars="0"/>
              <w:jc w:val="both"/>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建设地点</w:t>
            </w:r>
          </w:p>
        </w:tc>
        <w:tc>
          <w:tcPr>
            <w:tcW w:w="3961" w:type="pct"/>
            <w:gridSpan w:val="3"/>
            <w:tcBorders>
              <w:left w:val="single" w:color="auto" w:sz="4" w:space="0"/>
              <w:bottom w:val="single" w:color="auto" w:sz="4" w:space="0"/>
              <w:right w:val="single" w:color="auto" w:sz="4" w:space="0"/>
            </w:tcBorders>
            <w:vAlign w:val="center"/>
          </w:tcPr>
          <w:p w14:paraId="4B33DCEE">
            <w:pPr>
              <w:adjustRightInd w:val="0"/>
              <w:snapToGrid w:val="0"/>
              <w:spacing w:line="240" w:lineRule="auto"/>
              <w:ind w:firstLine="0" w:firstLineChars="0"/>
              <w:jc w:val="both"/>
              <w:rPr>
                <w:rFonts w:hint="default" w:ascii="Times New Roman" w:hAnsi="Times New Roman" w:eastAsia="宋体" w:cs="Times New Roman"/>
                <w:color w:val="000000" w:themeColor="text1"/>
                <w:sz w:val="24"/>
                <w:szCs w:val="24"/>
                <w:lang w:eastAsia="zh-CN"/>
                <w14:textFill>
                  <w14:solidFill>
                    <w14:schemeClr w14:val="tx1"/>
                  </w14:solidFill>
                </w14:textFill>
              </w:rPr>
            </w:pPr>
            <w:r>
              <w:rPr>
                <w:rFonts w:hint="default" w:ascii="Times New Roman" w:hAnsi="Times New Roman" w:eastAsia="宋体" w:cs="Times New Roman"/>
                <w:color w:val="000000" w:themeColor="text1"/>
                <w:sz w:val="24"/>
                <w:szCs w:val="24"/>
                <w:u w:val="none"/>
                <w:lang w:val="en-US" w:eastAsia="zh-CN"/>
                <w14:textFill>
                  <w14:solidFill>
                    <w14:schemeClr w14:val="tx1"/>
                  </w14:solidFill>
                </w14:textFill>
              </w:rPr>
              <w:t>玉溪市峨山县塔甸镇大西村委会大西山</w:t>
            </w:r>
          </w:p>
        </w:tc>
      </w:tr>
      <w:tr w14:paraId="6057E4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gridAfter w:val="1"/>
          <w:wAfter w:w="12" w:type="pct"/>
          <w:trHeight w:val="731" w:hRule="atLeast"/>
        </w:trPr>
        <w:tc>
          <w:tcPr>
            <w:tcW w:w="1025" w:type="pct"/>
            <w:gridSpan w:val="2"/>
            <w:tcBorders>
              <w:bottom w:val="single" w:color="auto" w:sz="4" w:space="0"/>
              <w:right w:val="single" w:color="auto" w:sz="4" w:space="0"/>
            </w:tcBorders>
            <w:tcMar>
              <w:top w:w="16" w:type="dxa"/>
              <w:left w:w="16" w:type="dxa"/>
              <w:right w:w="16" w:type="dxa"/>
            </w:tcMar>
            <w:vAlign w:val="center"/>
          </w:tcPr>
          <w:p w14:paraId="24102EA0">
            <w:pPr>
              <w:adjustRightInd w:val="0"/>
              <w:snapToGrid w:val="0"/>
              <w:spacing w:line="240" w:lineRule="auto"/>
              <w:ind w:firstLine="0" w:firstLineChars="0"/>
              <w:jc w:val="both"/>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地理坐标</w:t>
            </w:r>
          </w:p>
        </w:tc>
        <w:tc>
          <w:tcPr>
            <w:tcW w:w="3961" w:type="pct"/>
            <w:gridSpan w:val="3"/>
            <w:tcBorders>
              <w:top w:val="single" w:color="auto" w:sz="4" w:space="0"/>
              <w:left w:val="single" w:color="auto" w:sz="4" w:space="0"/>
              <w:bottom w:val="single" w:color="auto" w:sz="4" w:space="0"/>
              <w:right w:val="single" w:color="auto" w:sz="4" w:space="0"/>
            </w:tcBorders>
            <w:vAlign w:val="center"/>
          </w:tcPr>
          <w:p w14:paraId="114E722B">
            <w:pPr>
              <w:adjustRightInd w:val="0"/>
              <w:snapToGrid w:val="0"/>
              <w:spacing w:line="240" w:lineRule="auto"/>
              <w:ind w:firstLine="0" w:firstLineChars="0"/>
              <w:jc w:val="both"/>
              <w:rPr>
                <w:rFonts w:hint="default" w:ascii="Times New Roman" w:hAnsi="Times New Roman" w:eastAsia="宋体" w:cs="Times New Roman"/>
                <w:color w:val="000000" w:themeColor="text1"/>
                <w:sz w:val="24"/>
                <w:szCs w:val="24"/>
                <w:u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u w:val="none"/>
                <w:lang w:val="en-US" w:eastAsia="zh-CN"/>
                <w14:textFill>
                  <w14:solidFill>
                    <w14:schemeClr w14:val="tx1"/>
                  </w14:solidFill>
                </w14:textFill>
              </w:rPr>
              <w:t>（一片区</w:t>
            </w:r>
            <w:r>
              <w:rPr>
                <w:rFonts w:hint="eastAsia" w:ascii="Times New Roman" w:hAnsi="Times New Roman" w:cs="Times New Roman"/>
                <w:color w:val="000000" w:themeColor="text1"/>
                <w:sz w:val="24"/>
                <w:szCs w:val="24"/>
                <w:u w:val="none"/>
                <w:lang w:val="en-US" w:eastAsia="zh-CN"/>
                <w14:textFill>
                  <w14:solidFill>
                    <w14:schemeClr w14:val="tx1"/>
                  </w14:solidFill>
                </w14:textFill>
              </w:rPr>
              <w:t>中心坐标</w:t>
            </w:r>
            <w:r>
              <w:rPr>
                <w:rFonts w:hint="default" w:ascii="Times New Roman" w:hAnsi="Times New Roman" w:eastAsia="宋体" w:cs="Times New Roman"/>
                <w:color w:val="000000" w:themeColor="text1"/>
                <w:sz w:val="24"/>
                <w:szCs w:val="24"/>
                <w:u w:val="none"/>
                <w:lang w:val="en-US" w:eastAsia="zh-CN"/>
                <w14:textFill>
                  <w14:solidFill>
                    <w14:schemeClr w14:val="tx1"/>
                  </w14:solidFill>
                </w14:textFill>
              </w:rPr>
              <w:t>：101度57分38.905秒，24度11分24.022秒）</w:t>
            </w:r>
          </w:p>
          <w:p w14:paraId="1EB9AEC7">
            <w:pPr>
              <w:adjustRightInd w:val="0"/>
              <w:snapToGrid w:val="0"/>
              <w:spacing w:line="240" w:lineRule="auto"/>
              <w:ind w:firstLine="0" w:firstLineChars="0"/>
              <w:jc w:val="both"/>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u w:val="none"/>
                <w:lang w:val="en-US" w:eastAsia="zh-CN"/>
                <w14:textFill>
                  <w14:solidFill>
                    <w14:schemeClr w14:val="tx1"/>
                  </w14:solidFill>
                </w14:textFill>
              </w:rPr>
              <w:t>（二片区</w:t>
            </w:r>
            <w:r>
              <w:rPr>
                <w:rFonts w:hint="eastAsia" w:ascii="Times New Roman" w:hAnsi="Times New Roman" w:cs="Times New Roman"/>
                <w:color w:val="000000" w:themeColor="text1"/>
                <w:sz w:val="24"/>
                <w:szCs w:val="24"/>
                <w:u w:val="none"/>
                <w:lang w:val="en-US" w:eastAsia="zh-CN"/>
                <w14:textFill>
                  <w14:solidFill>
                    <w14:schemeClr w14:val="tx1"/>
                  </w14:solidFill>
                </w14:textFill>
              </w:rPr>
              <w:t>中心坐标</w:t>
            </w:r>
            <w:r>
              <w:rPr>
                <w:rFonts w:hint="default" w:ascii="Times New Roman" w:hAnsi="Times New Roman" w:eastAsia="宋体" w:cs="Times New Roman"/>
                <w:color w:val="000000" w:themeColor="text1"/>
                <w:sz w:val="24"/>
                <w:szCs w:val="24"/>
                <w:u w:val="none"/>
                <w:lang w:val="en-US" w:eastAsia="zh-CN"/>
                <w14:textFill>
                  <w14:solidFill>
                    <w14:schemeClr w14:val="tx1"/>
                  </w14:solidFill>
                </w14:textFill>
              </w:rPr>
              <w:t>：101度58分42.402秒，24度13分38.741秒）</w:t>
            </w:r>
          </w:p>
        </w:tc>
      </w:tr>
      <w:tr w14:paraId="10DF48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gridAfter w:val="1"/>
          <w:wAfter w:w="12" w:type="pct"/>
          <w:trHeight w:val="772" w:hRule="atLeast"/>
        </w:trPr>
        <w:tc>
          <w:tcPr>
            <w:tcW w:w="1025" w:type="pct"/>
            <w:gridSpan w:val="2"/>
            <w:tcBorders>
              <w:top w:val="single" w:color="auto" w:sz="4" w:space="0"/>
            </w:tcBorders>
            <w:tcMar>
              <w:top w:w="16" w:type="dxa"/>
              <w:left w:w="16" w:type="dxa"/>
              <w:right w:w="16" w:type="dxa"/>
            </w:tcMar>
            <w:vAlign w:val="center"/>
          </w:tcPr>
          <w:p w14:paraId="7CA49631">
            <w:pPr>
              <w:adjustRightInd w:val="0"/>
              <w:snapToGrid w:val="0"/>
              <w:spacing w:line="240" w:lineRule="auto"/>
              <w:ind w:firstLine="0" w:firstLineChars="0"/>
              <w:jc w:val="both"/>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建设项目</w:t>
            </w:r>
          </w:p>
          <w:p w14:paraId="5E37E8EF">
            <w:pPr>
              <w:adjustRightInd w:val="0"/>
              <w:snapToGrid w:val="0"/>
              <w:spacing w:line="240" w:lineRule="auto"/>
              <w:ind w:firstLine="0" w:firstLineChars="0"/>
              <w:jc w:val="both"/>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行业类别</w:t>
            </w:r>
          </w:p>
        </w:tc>
        <w:tc>
          <w:tcPr>
            <w:tcW w:w="930" w:type="pct"/>
            <w:tcBorders>
              <w:top w:val="single" w:color="auto" w:sz="4" w:space="0"/>
            </w:tcBorders>
            <w:vAlign w:val="center"/>
          </w:tcPr>
          <w:p w14:paraId="2F073572">
            <w:pPr>
              <w:adjustRightInd w:val="0"/>
              <w:snapToGrid w:val="0"/>
              <w:spacing w:line="240" w:lineRule="auto"/>
              <w:ind w:firstLine="0" w:firstLineChars="0"/>
              <w:jc w:val="both"/>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一、“农业、林业”中的“农产品基地种植项目”</w:t>
            </w:r>
          </w:p>
        </w:tc>
        <w:tc>
          <w:tcPr>
            <w:tcW w:w="1279" w:type="pct"/>
            <w:tcBorders>
              <w:top w:val="single" w:color="auto" w:sz="4" w:space="0"/>
            </w:tcBorders>
            <w:vAlign w:val="center"/>
          </w:tcPr>
          <w:p w14:paraId="3E5CB973">
            <w:pPr>
              <w:adjustRightInd w:val="0"/>
              <w:snapToGrid w:val="0"/>
              <w:spacing w:line="240" w:lineRule="auto"/>
              <w:ind w:firstLine="0" w:firstLineChars="0"/>
              <w:jc w:val="both"/>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用地（用海）面积（m</w:t>
            </w:r>
            <w:r>
              <w:rPr>
                <w:rFonts w:hint="default" w:ascii="Times New Roman" w:hAnsi="Times New Roman" w:eastAsia="宋体" w:cs="Times New Roman"/>
                <w:color w:val="000000" w:themeColor="text1"/>
                <w:sz w:val="24"/>
                <w:szCs w:val="24"/>
                <w:vertAlign w:val="superscript"/>
                <w14:textFill>
                  <w14:solidFill>
                    <w14:schemeClr w14:val="tx1"/>
                  </w14:solidFill>
                </w14:textFill>
              </w:rPr>
              <w:t>2</w:t>
            </w:r>
            <w:r>
              <w:rPr>
                <w:rFonts w:hint="default" w:ascii="Times New Roman" w:hAnsi="Times New Roman" w:eastAsia="宋体" w:cs="Times New Roman"/>
                <w:color w:val="000000" w:themeColor="text1"/>
                <w:sz w:val="24"/>
                <w:szCs w:val="24"/>
                <w14:textFill>
                  <w14:solidFill>
                    <w14:schemeClr w14:val="tx1"/>
                  </w14:solidFill>
                </w14:textFill>
              </w:rPr>
              <w:t>）/长度（km）</w:t>
            </w:r>
          </w:p>
        </w:tc>
        <w:tc>
          <w:tcPr>
            <w:tcW w:w="1750" w:type="pct"/>
            <w:tcBorders>
              <w:top w:val="single" w:color="auto" w:sz="4" w:space="0"/>
            </w:tcBorders>
            <w:vAlign w:val="center"/>
          </w:tcPr>
          <w:p w14:paraId="0D3B70C2">
            <w:pPr>
              <w:adjustRightInd w:val="0"/>
              <w:snapToGrid w:val="0"/>
              <w:spacing w:line="240" w:lineRule="auto"/>
              <w:ind w:firstLine="0" w:firstLineChars="0"/>
              <w:jc w:val="both"/>
              <w:rPr>
                <w:rFonts w:hint="default"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pacing w:val="-6"/>
                <w:sz w:val="24"/>
                <w:szCs w:val="24"/>
                <w:highlight w:val="none"/>
                <w:lang w:val="en-US" w:eastAsia="zh-CN"/>
                <w14:textFill>
                  <w14:solidFill>
                    <w14:schemeClr w14:val="tx1"/>
                  </w14:solidFill>
                </w14:textFill>
              </w:rPr>
              <w:t>9</w:t>
            </w:r>
            <w:r>
              <w:rPr>
                <w:rFonts w:hint="eastAsia" w:ascii="Times New Roman" w:hAnsi="Times New Roman" w:cs="Times New Roman"/>
                <w:color w:val="000000" w:themeColor="text1"/>
                <w:spacing w:val="-6"/>
                <w:sz w:val="24"/>
                <w:szCs w:val="24"/>
                <w:highlight w:val="none"/>
                <w:lang w:val="en-US" w:eastAsia="zh-CN"/>
                <w14:textFill>
                  <w14:solidFill>
                    <w14:schemeClr w14:val="tx1"/>
                  </w14:solidFill>
                </w14:textFill>
              </w:rPr>
              <w:t>90706.67</w:t>
            </w:r>
            <w:r>
              <w:rPr>
                <w:rFonts w:hint="default" w:ascii="Times New Roman" w:hAnsi="Times New Roman" w:eastAsia="宋体" w:cs="Times New Roman"/>
                <w:color w:val="000000" w:themeColor="text1"/>
                <w:spacing w:val="-6"/>
                <w:sz w:val="24"/>
                <w:szCs w:val="24"/>
                <w:highlight w:val="none"/>
                <w14:textFill>
                  <w14:solidFill>
                    <w14:schemeClr w14:val="tx1"/>
                  </w14:solidFill>
                </w14:textFill>
              </w:rPr>
              <w:t>m</w:t>
            </w:r>
            <w:r>
              <w:rPr>
                <w:rFonts w:hint="default" w:ascii="Times New Roman" w:hAnsi="Times New Roman" w:eastAsia="宋体" w:cs="Times New Roman"/>
                <w:color w:val="000000" w:themeColor="text1"/>
                <w:spacing w:val="-6"/>
                <w:sz w:val="24"/>
                <w:szCs w:val="24"/>
                <w:highlight w:val="none"/>
                <w:vertAlign w:val="superscript"/>
                <w14:textFill>
                  <w14:solidFill>
                    <w14:schemeClr w14:val="tx1"/>
                  </w14:solidFill>
                </w14:textFill>
              </w:rPr>
              <w:t>2</w:t>
            </w:r>
            <w:r>
              <w:rPr>
                <w:rFonts w:hint="default" w:ascii="Times New Roman" w:hAnsi="Times New Roman" w:eastAsia="宋体" w:cs="Times New Roman"/>
                <w:color w:val="000000" w:themeColor="text1"/>
                <w:spacing w:val="-6"/>
                <w:sz w:val="24"/>
                <w:szCs w:val="24"/>
                <w:highlight w:val="none"/>
                <w14:textFill>
                  <w14:solidFill>
                    <w14:schemeClr w14:val="tx1"/>
                  </w14:solidFill>
                </w14:textFill>
              </w:rPr>
              <w:t>（</w:t>
            </w:r>
            <w:r>
              <w:rPr>
                <w:rFonts w:hint="eastAsia" w:ascii="Times New Roman" w:hAnsi="Times New Roman" w:cs="Times New Roman"/>
                <w:b w:val="0"/>
                <w:bCs/>
                <w:color w:val="000000" w:themeColor="text1"/>
                <w:sz w:val="24"/>
                <w:szCs w:val="24"/>
                <w:highlight w:val="none"/>
                <w:lang w:val="en-US" w:eastAsia="zh-CN"/>
                <w14:textFill>
                  <w14:solidFill>
                    <w14:schemeClr w14:val="tx1"/>
                  </w14:solidFill>
                </w14:textFill>
              </w:rPr>
              <w:t>1486.06</w:t>
            </w:r>
            <w:r>
              <w:rPr>
                <w:rFonts w:hint="default" w:ascii="Times New Roman" w:hAnsi="Times New Roman" w:eastAsia="宋体" w:cs="Times New Roman"/>
                <w:color w:val="000000" w:themeColor="text1"/>
                <w:spacing w:val="-6"/>
                <w:sz w:val="24"/>
                <w:szCs w:val="24"/>
                <w:highlight w:val="none"/>
                <w:lang w:val="en-US" w:eastAsia="zh-CN"/>
                <w14:textFill>
                  <w14:solidFill>
                    <w14:schemeClr w14:val="tx1"/>
                  </w14:solidFill>
                </w14:textFill>
              </w:rPr>
              <w:t>亩</w:t>
            </w:r>
            <w:r>
              <w:rPr>
                <w:rFonts w:hint="default" w:ascii="Times New Roman" w:hAnsi="Times New Roman" w:eastAsia="宋体" w:cs="Times New Roman"/>
                <w:color w:val="000000" w:themeColor="text1"/>
                <w:spacing w:val="-6"/>
                <w:sz w:val="24"/>
                <w:szCs w:val="24"/>
                <w:highlight w:val="none"/>
                <w14:textFill>
                  <w14:solidFill>
                    <w14:schemeClr w14:val="tx1"/>
                  </w14:solidFill>
                </w14:textFill>
              </w:rPr>
              <w:t>）</w:t>
            </w:r>
          </w:p>
        </w:tc>
      </w:tr>
      <w:tr w14:paraId="07ABBF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gridAfter w:val="1"/>
          <w:wAfter w:w="12" w:type="pct"/>
          <w:trHeight w:val="104" w:hRule="atLeast"/>
        </w:trPr>
        <w:tc>
          <w:tcPr>
            <w:tcW w:w="1025" w:type="pct"/>
            <w:gridSpan w:val="2"/>
            <w:tcMar>
              <w:top w:w="16" w:type="dxa"/>
              <w:left w:w="16" w:type="dxa"/>
              <w:right w:w="16" w:type="dxa"/>
            </w:tcMar>
            <w:vAlign w:val="center"/>
          </w:tcPr>
          <w:p w14:paraId="06D4ADB2">
            <w:pPr>
              <w:adjustRightInd w:val="0"/>
              <w:snapToGrid w:val="0"/>
              <w:spacing w:line="240" w:lineRule="auto"/>
              <w:ind w:firstLine="0" w:firstLineChars="0"/>
              <w:jc w:val="both"/>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建设性质</w:t>
            </w:r>
          </w:p>
        </w:tc>
        <w:tc>
          <w:tcPr>
            <w:tcW w:w="930" w:type="pct"/>
            <w:vAlign w:val="center"/>
          </w:tcPr>
          <w:p w14:paraId="23B0A62E">
            <w:pPr>
              <w:adjustRightInd w:val="0"/>
              <w:snapToGrid w:val="0"/>
              <w:spacing w:line="240" w:lineRule="auto"/>
              <w:ind w:firstLine="0" w:firstLineChars="0"/>
              <w:jc w:val="both"/>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kern w:val="0"/>
                <w:sz w:val="24"/>
                <w:szCs w:val="24"/>
                <w14:textFill>
                  <w14:solidFill>
                    <w14:schemeClr w14:val="tx1"/>
                  </w14:solidFill>
                </w14:textFill>
              </w:rPr>
              <w:sym w:font="Wingdings 2" w:char="0052"/>
            </w:r>
            <w:r>
              <w:rPr>
                <w:rFonts w:hint="default" w:ascii="Times New Roman" w:hAnsi="Times New Roman" w:eastAsia="宋体" w:cs="Times New Roman"/>
                <w:color w:val="000000" w:themeColor="text1"/>
                <w:sz w:val="24"/>
                <w:szCs w:val="24"/>
                <w14:textFill>
                  <w14:solidFill>
                    <w14:schemeClr w14:val="tx1"/>
                  </w14:solidFill>
                </w14:textFill>
              </w:rPr>
              <w:t>新建（迁建）</w:t>
            </w:r>
          </w:p>
          <w:p w14:paraId="3368095A">
            <w:pPr>
              <w:adjustRightInd w:val="0"/>
              <w:snapToGrid w:val="0"/>
              <w:spacing w:line="240" w:lineRule="auto"/>
              <w:ind w:firstLine="0" w:firstLineChars="0"/>
              <w:jc w:val="both"/>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改建</w:t>
            </w:r>
          </w:p>
          <w:p w14:paraId="46F1A19C">
            <w:pPr>
              <w:adjustRightInd w:val="0"/>
              <w:snapToGrid w:val="0"/>
              <w:spacing w:line="240" w:lineRule="auto"/>
              <w:ind w:firstLine="0" w:firstLineChars="0"/>
              <w:jc w:val="both"/>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扩建</w:t>
            </w:r>
          </w:p>
          <w:p w14:paraId="2DFC0AC9">
            <w:pPr>
              <w:adjustRightInd w:val="0"/>
              <w:snapToGrid w:val="0"/>
              <w:spacing w:line="240" w:lineRule="auto"/>
              <w:ind w:firstLine="0" w:firstLineChars="0"/>
              <w:jc w:val="both"/>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技术改造</w:t>
            </w:r>
          </w:p>
        </w:tc>
        <w:tc>
          <w:tcPr>
            <w:tcW w:w="1279" w:type="pct"/>
            <w:vAlign w:val="center"/>
          </w:tcPr>
          <w:p w14:paraId="28FDC4C6">
            <w:pPr>
              <w:adjustRightInd w:val="0"/>
              <w:snapToGrid w:val="0"/>
              <w:spacing w:line="240" w:lineRule="auto"/>
              <w:ind w:firstLine="0" w:firstLineChars="0"/>
              <w:jc w:val="both"/>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建设项目</w:t>
            </w:r>
          </w:p>
          <w:p w14:paraId="16BBBC95">
            <w:pPr>
              <w:adjustRightInd w:val="0"/>
              <w:snapToGrid w:val="0"/>
              <w:spacing w:line="240" w:lineRule="auto"/>
              <w:ind w:firstLine="0" w:firstLineChars="0"/>
              <w:jc w:val="both"/>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申报情形</w:t>
            </w:r>
          </w:p>
        </w:tc>
        <w:tc>
          <w:tcPr>
            <w:tcW w:w="1750" w:type="pct"/>
            <w:vAlign w:val="center"/>
          </w:tcPr>
          <w:p w14:paraId="67D126A1">
            <w:pPr>
              <w:adjustRightInd w:val="0"/>
              <w:snapToGrid w:val="0"/>
              <w:spacing w:line="240" w:lineRule="auto"/>
              <w:ind w:firstLine="0" w:firstLineChars="0"/>
              <w:jc w:val="both"/>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kern w:val="0"/>
                <w:sz w:val="24"/>
                <w:szCs w:val="24"/>
                <w14:textFill>
                  <w14:solidFill>
                    <w14:schemeClr w14:val="tx1"/>
                  </w14:solidFill>
                </w14:textFill>
              </w:rPr>
              <w:sym w:font="Wingdings 2" w:char="0052"/>
            </w:r>
            <w:r>
              <w:rPr>
                <w:rFonts w:hint="default" w:ascii="Times New Roman" w:hAnsi="Times New Roman" w:eastAsia="宋体" w:cs="Times New Roman"/>
                <w:color w:val="000000" w:themeColor="text1"/>
                <w:sz w:val="24"/>
                <w:szCs w:val="24"/>
                <w14:textFill>
                  <w14:solidFill>
                    <w14:schemeClr w14:val="tx1"/>
                  </w14:solidFill>
                </w14:textFill>
              </w:rPr>
              <w:t>首次申报项目</w:t>
            </w:r>
          </w:p>
          <w:p w14:paraId="18656345">
            <w:pPr>
              <w:adjustRightInd w:val="0"/>
              <w:snapToGrid w:val="0"/>
              <w:spacing w:line="240" w:lineRule="auto"/>
              <w:ind w:firstLine="0" w:firstLineChars="0"/>
              <w:jc w:val="both"/>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不予批准后再次申报项目</w:t>
            </w:r>
          </w:p>
          <w:p w14:paraId="3AF38E30">
            <w:pPr>
              <w:adjustRightInd w:val="0"/>
              <w:snapToGrid w:val="0"/>
              <w:spacing w:line="240" w:lineRule="auto"/>
              <w:ind w:firstLine="0" w:firstLineChars="0"/>
              <w:jc w:val="both"/>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超五年重新审核项目</w:t>
            </w:r>
          </w:p>
          <w:p w14:paraId="566CC1B6">
            <w:pPr>
              <w:adjustRightInd w:val="0"/>
              <w:snapToGrid w:val="0"/>
              <w:spacing w:line="240" w:lineRule="auto"/>
              <w:ind w:firstLine="0" w:firstLineChars="0"/>
              <w:jc w:val="both"/>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重大变动重新报批项目</w:t>
            </w:r>
          </w:p>
        </w:tc>
      </w:tr>
      <w:tr w14:paraId="1B8881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gridAfter w:val="1"/>
          <w:wAfter w:w="12" w:type="pct"/>
          <w:trHeight w:val="90" w:hRule="atLeast"/>
        </w:trPr>
        <w:tc>
          <w:tcPr>
            <w:tcW w:w="1025" w:type="pct"/>
            <w:gridSpan w:val="2"/>
            <w:tcMar>
              <w:top w:w="16" w:type="dxa"/>
              <w:left w:w="16" w:type="dxa"/>
              <w:right w:w="16" w:type="dxa"/>
            </w:tcMar>
            <w:vAlign w:val="center"/>
          </w:tcPr>
          <w:p w14:paraId="0FD26DCB">
            <w:pPr>
              <w:adjustRightInd w:val="0"/>
              <w:snapToGrid w:val="0"/>
              <w:spacing w:line="240" w:lineRule="auto"/>
              <w:ind w:firstLine="0" w:firstLineChars="0"/>
              <w:jc w:val="both"/>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项目审批（核准/</w:t>
            </w:r>
          </w:p>
          <w:p w14:paraId="50C8C1CA">
            <w:pPr>
              <w:adjustRightInd w:val="0"/>
              <w:snapToGrid w:val="0"/>
              <w:spacing w:line="240" w:lineRule="auto"/>
              <w:ind w:firstLine="0" w:firstLineChars="0"/>
              <w:jc w:val="both"/>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备案）部门（选填）</w:t>
            </w:r>
          </w:p>
        </w:tc>
        <w:tc>
          <w:tcPr>
            <w:tcW w:w="930" w:type="pct"/>
            <w:vAlign w:val="center"/>
          </w:tcPr>
          <w:p w14:paraId="70590475">
            <w:pPr>
              <w:adjustRightInd w:val="0"/>
              <w:snapToGrid w:val="0"/>
              <w:spacing w:line="240" w:lineRule="auto"/>
              <w:ind w:firstLine="0" w:firstLineChars="0"/>
              <w:jc w:val="both"/>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峨山县发展和改革局</w:t>
            </w:r>
          </w:p>
        </w:tc>
        <w:tc>
          <w:tcPr>
            <w:tcW w:w="1279" w:type="pct"/>
            <w:vAlign w:val="center"/>
          </w:tcPr>
          <w:p w14:paraId="056C6BA3">
            <w:pPr>
              <w:adjustRightInd w:val="0"/>
              <w:snapToGrid w:val="0"/>
              <w:spacing w:line="240" w:lineRule="auto"/>
              <w:ind w:firstLine="0" w:firstLineChars="0"/>
              <w:jc w:val="both"/>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项目审批（核准/</w:t>
            </w:r>
          </w:p>
          <w:p w14:paraId="0460C305">
            <w:pPr>
              <w:adjustRightInd w:val="0"/>
              <w:snapToGrid w:val="0"/>
              <w:spacing w:line="240" w:lineRule="auto"/>
              <w:ind w:firstLine="0" w:firstLineChars="0"/>
              <w:jc w:val="both"/>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备案）文号（选填）</w:t>
            </w:r>
          </w:p>
        </w:tc>
        <w:tc>
          <w:tcPr>
            <w:tcW w:w="1750" w:type="pct"/>
            <w:shd w:val="clear" w:color="auto" w:fill="auto"/>
            <w:vAlign w:val="center"/>
          </w:tcPr>
          <w:p w14:paraId="43314664">
            <w:pPr>
              <w:adjustRightInd w:val="0"/>
              <w:snapToGrid w:val="0"/>
              <w:spacing w:line="240" w:lineRule="auto"/>
              <w:ind w:firstLine="0" w:firstLineChars="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2512-530426-04-01-622702</w:t>
            </w:r>
          </w:p>
        </w:tc>
      </w:tr>
      <w:tr w14:paraId="3C8258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gridAfter w:val="1"/>
          <w:wAfter w:w="12" w:type="pct"/>
          <w:trHeight w:val="355" w:hRule="atLeast"/>
        </w:trPr>
        <w:tc>
          <w:tcPr>
            <w:tcW w:w="1025" w:type="pct"/>
            <w:gridSpan w:val="2"/>
            <w:tcMar>
              <w:top w:w="16" w:type="dxa"/>
              <w:left w:w="16" w:type="dxa"/>
              <w:right w:w="16" w:type="dxa"/>
            </w:tcMar>
            <w:vAlign w:val="center"/>
          </w:tcPr>
          <w:p w14:paraId="3B61B38C">
            <w:pPr>
              <w:adjustRightInd w:val="0"/>
              <w:snapToGrid w:val="0"/>
              <w:spacing w:line="240" w:lineRule="auto"/>
              <w:ind w:firstLine="0" w:firstLineChars="0"/>
              <w:jc w:val="both"/>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总投资（万元）</w:t>
            </w:r>
          </w:p>
        </w:tc>
        <w:tc>
          <w:tcPr>
            <w:tcW w:w="930" w:type="pct"/>
            <w:vAlign w:val="center"/>
          </w:tcPr>
          <w:p w14:paraId="0EEA0985">
            <w:pPr>
              <w:adjustRightInd w:val="0"/>
              <w:snapToGrid w:val="0"/>
              <w:spacing w:line="240" w:lineRule="auto"/>
              <w:ind w:firstLine="0" w:firstLineChars="0"/>
              <w:jc w:val="both"/>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10000</w:t>
            </w:r>
          </w:p>
        </w:tc>
        <w:tc>
          <w:tcPr>
            <w:tcW w:w="1279" w:type="pct"/>
            <w:tcMar>
              <w:top w:w="16" w:type="dxa"/>
              <w:left w:w="16" w:type="dxa"/>
              <w:right w:w="16" w:type="dxa"/>
            </w:tcMar>
            <w:vAlign w:val="center"/>
          </w:tcPr>
          <w:p w14:paraId="19E3D04A">
            <w:pPr>
              <w:adjustRightInd w:val="0"/>
              <w:snapToGrid w:val="0"/>
              <w:spacing w:line="240" w:lineRule="auto"/>
              <w:ind w:firstLine="0" w:firstLineChars="0"/>
              <w:jc w:val="both"/>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环保投资（万元）</w:t>
            </w:r>
          </w:p>
        </w:tc>
        <w:tc>
          <w:tcPr>
            <w:tcW w:w="1750" w:type="pct"/>
            <w:vAlign w:val="center"/>
          </w:tcPr>
          <w:p w14:paraId="6770B6A2">
            <w:pPr>
              <w:adjustRightInd w:val="0"/>
              <w:snapToGrid w:val="0"/>
              <w:spacing w:line="240" w:lineRule="auto"/>
              <w:ind w:firstLine="0" w:firstLineChars="0"/>
              <w:jc w:val="both"/>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207.7</w:t>
            </w:r>
          </w:p>
        </w:tc>
      </w:tr>
      <w:tr w14:paraId="37E01C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gridAfter w:val="1"/>
          <w:wAfter w:w="12" w:type="pct"/>
          <w:trHeight w:val="364" w:hRule="atLeast"/>
        </w:trPr>
        <w:tc>
          <w:tcPr>
            <w:tcW w:w="1025" w:type="pct"/>
            <w:gridSpan w:val="2"/>
            <w:tcMar>
              <w:top w:w="16" w:type="dxa"/>
              <w:left w:w="16" w:type="dxa"/>
              <w:right w:w="16" w:type="dxa"/>
            </w:tcMar>
            <w:vAlign w:val="center"/>
          </w:tcPr>
          <w:p w14:paraId="2512B698">
            <w:pPr>
              <w:adjustRightInd w:val="0"/>
              <w:snapToGrid w:val="0"/>
              <w:spacing w:line="240" w:lineRule="auto"/>
              <w:ind w:firstLine="0" w:firstLineChars="0"/>
              <w:jc w:val="both"/>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环保投资占比（%）</w:t>
            </w:r>
          </w:p>
        </w:tc>
        <w:tc>
          <w:tcPr>
            <w:tcW w:w="930" w:type="pct"/>
            <w:vAlign w:val="center"/>
          </w:tcPr>
          <w:p w14:paraId="095BBC24">
            <w:pPr>
              <w:adjustRightInd w:val="0"/>
              <w:snapToGrid w:val="0"/>
              <w:spacing w:line="240" w:lineRule="auto"/>
              <w:ind w:firstLine="0" w:firstLineChars="0"/>
              <w:jc w:val="both"/>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2.07</w:t>
            </w:r>
          </w:p>
        </w:tc>
        <w:tc>
          <w:tcPr>
            <w:tcW w:w="1279" w:type="pct"/>
            <w:tcMar>
              <w:top w:w="16" w:type="dxa"/>
              <w:left w:w="16" w:type="dxa"/>
              <w:right w:w="16" w:type="dxa"/>
            </w:tcMar>
            <w:vAlign w:val="center"/>
          </w:tcPr>
          <w:p w14:paraId="77F1BDF3">
            <w:pPr>
              <w:adjustRightInd w:val="0"/>
              <w:snapToGrid w:val="0"/>
              <w:spacing w:line="240" w:lineRule="auto"/>
              <w:ind w:firstLine="0" w:firstLineChars="0"/>
              <w:jc w:val="both"/>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施工工期</w:t>
            </w:r>
          </w:p>
        </w:tc>
        <w:tc>
          <w:tcPr>
            <w:tcW w:w="1750" w:type="pct"/>
            <w:vAlign w:val="center"/>
          </w:tcPr>
          <w:p w14:paraId="7E8F2E4F">
            <w:pPr>
              <w:adjustRightInd w:val="0"/>
              <w:snapToGrid w:val="0"/>
              <w:spacing w:line="240" w:lineRule="auto"/>
              <w:ind w:firstLine="0" w:firstLineChars="0"/>
              <w:jc w:val="both"/>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2</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2</w:t>
            </w:r>
            <w:r>
              <w:rPr>
                <w:rFonts w:hint="default" w:ascii="Times New Roman" w:hAnsi="Times New Roman" w:eastAsia="宋体" w:cs="Times New Roman"/>
                <w:color w:val="000000" w:themeColor="text1"/>
                <w:sz w:val="24"/>
                <w:szCs w:val="24"/>
                <w:highlight w:val="none"/>
                <w14:textFill>
                  <w14:solidFill>
                    <w14:schemeClr w14:val="tx1"/>
                  </w14:solidFill>
                </w14:textFill>
              </w:rPr>
              <w:t>个月</w:t>
            </w:r>
          </w:p>
        </w:tc>
      </w:tr>
      <w:tr w14:paraId="1C2C87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gridAfter w:val="1"/>
          <w:wAfter w:w="12" w:type="pct"/>
          <w:trHeight w:val="1026" w:hRule="atLeast"/>
        </w:trPr>
        <w:tc>
          <w:tcPr>
            <w:tcW w:w="1025" w:type="pct"/>
            <w:gridSpan w:val="2"/>
            <w:tcMar>
              <w:top w:w="16" w:type="dxa"/>
              <w:left w:w="16" w:type="dxa"/>
              <w:right w:w="16" w:type="dxa"/>
            </w:tcMar>
            <w:vAlign w:val="center"/>
          </w:tcPr>
          <w:p w14:paraId="5891F252">
            <w:pPr>
              <w:adjustRightInd w:val="0"/>
              <w:snapToGrid w:val="0"/>
              <w:spacing w:line="240" w:lineRule="auto"/>
              <w:ind w:firstLine="0" w:firstLineChars="0"/>
              <w:jc w:val="both"/>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是否开工建设</w:t>
            </w:r>
          </w:p>
        </w:tc>
        <w:tc>
          <w:tcPr>
            <w:tcW w:w="3961" w:type="pct"/>
            <w:gridSpan w:val="3"/>
            <w:vAlign w:val="center"/>
          </w:tcPr>
          <w:p w14:paraId="34678EE4">
            <w:pPr>
              <w:adjustRightInd w:val="0"/>
              <w:snapToGrid w:val="0"/>
              <w:spacing w:line="240" w:lineRule="auto"/>
              <w:ind w:firstLine="0" w:firstLineChars="0"/>
              <w:jc w:val="both"/>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kern w:val="0"/>
                <w:sz w:val="24"/>
                <w:szCs w:val="24"/>
                <w14:textFill>
                  <w14:solidFill>
                    <w14:schemeClr w14:val="tx1"/>
                  </w14:solidFill>
                </w14:textFill>
              </w:rPr>
              <w:sym w:font="Wingdings 2" w:char="0052"/>
            </w:r>
            <w:r>
              <w:rPr>
                <w:rFonts w:hint="default" w:ascii="Times New Roman" w:hAnsi="Times New Roman" w:eastAsia="宋体" w:cs="Times New Roman"/>
                <w:color w:val="000000" w:themeColor="text1"/>
                <w:sz w:val="24"/>
                <w:szCs w:val="24"/>
                <w14:textFill>
                  <w14:solidFill>
                    <w14:schemeClr w14:val="tx1"/>
                  </w14:solidFill>
                </w14:textFill>
              </w:rPr>
              <w:t>否</w:t>
            </w:r>
          </w:p>
          <w:p w14:paraId="3C83FE1E">
            <w:pPr>
              <w:adjustRightInd w:val="0"/>
              <w:snapToGrid w:val="0"/>
              <w:spacing w:line="240" w:lineRule="auto"/>
              <w:ind w:firstLine="0" w:firstLineChars="0"/>
              <w:jc w:val="both"/>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□是：</w:t>
            </w:r>
          </w:p>
        </w:tc>
      </w:tr>
      <w:tr w14:paraId="63E502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gridAfter w:val="1"/>
          <w:wAfter w:w="12" w:type="pct"/>
          <w:trHeight w:val="911" w:hRule="atLeast"/>
        </w:trPr>
        <w:tc>
          <w:tcPr>
            <w:tcW w:w="1025" w:type="pct"/>
            <w:gridSpan w:val="2"/>
            <w:tcMar>
              <w:top w:w="16" w:type="dxa"/>
              <w:left w:w="16" w:type="dxa"/>
              <w:right w:w="16" w:type="dxa"/>
            </w:tcMar>
            <w:vAlign w:val="center"/>
          </w:tcPr>
          <w:p w14:paraId="78A95DD8">
            <w:pPr>
              <w:autoSpaceDE w:val="0"/>
              <w:autoSpaceDN w:val="0"/>
              <w:adjustRightInd w:val="0"/>
              <w:snapToGrid w:val="0"/>
              <w:spacing w:line="240" w:lineRule="auto"/>
              <w:ind w:firstLine="0" w:firstLineChars="0"/>
              <w:jc w:val="both"/>
              <w:rPr>
                <w:rFonts w:hint="default" w:ascii="Times New Roman" w:hAnsi="Times New Roman" w:eastAsia="宋体" w:cs="Times New Roman"/>
                <w:color w:val="000000" w:themeColor="text1"/>
                <w:kern w:val="0"/>
                <w14:textFill>
                  <w14:solidFill>
                    <w14:schemeClr w14:val="tx1"/>
                  </w14:solidFill>
                </w14:textFill>
              </w:rPr>
            </w:pPr>
            <w:r>
              <w:rPr>
                <w:rFonts w:hint="default" w:ascii="Times New Roman" w:hAnsi="Times New Roman" w:eastAsia="宋体" w:cs="Times New Roman"/>
                <w:color w:val="000000" w:themeColor="text1"/>
                <w:kern w:val="0"/>
                <w14:textFill>
                  <w14:solidFill>
                    <w14:schemeClr w14:val="tx1"/>
                  </w14:solidFill>
                </w14:textFill>
              </w:rPr>
              <w:t>专项评价设置情况</w:t>
            </w:r>
          </w:p>
        </w:tc>
        <w:tc>
          <w:tcPr>
            <w:tcW w:w="3961" w:type="pct"/>
            <w:gridSpan w:val="3"/>
            <w:tcMar>
              <w:top w:w="16" w:type="dxa"/>
              <w:left w:w="16" w:type="dxa"/>
              <w:right w:w="16" w:type="dxa"/>
            </w:tcMar>
            <w:vAlign w:val="center"/>
          </w:tcPr>
          <w:p w14:paraId="63EACD8B">
            <w:pPr>
              <w:adjustRightInd w:val="0"/>
              <w:snapToGrid w:val="0"/>
              <w:ind w:firstLine="480"/>
              <w:jc w:val="both"/>
              <w:rPr>
                <w:rFonts w:hint="default" w:ascii="Times New Roman" w:hAnsi="Times New Roman" w:eastAsia="宋体" w:cs="Times New Roman"/>
                <w:color w:val="000000" w:themeColor="text1"/>
                <w:kern w:val="0"/>
                <w14:textFill>
                  <w14:solidFill>
                    <w14:schemeClr w14:val="tx1"/>
                  </w14:solidFill>
                </w14:textFill>
              </w:rPr>
            </w:pPr>
            <w:r>
              <w:rPr>
                <w:rFonts w:hint="default" w:ascii="Times New Roman" w:hAnsi="Times New Roman" w:eastAsia="宋体" w:cs="Times New Roman"/>
                <w:color w:val="000000" w:themeColor="text1"/>
                <w:kern w:val="0"/>
                <w14:textFill>
                  <w14:solidFill>
                    <w14:schemeClr w14:val="tx1"/>
                  </w14:solidFill>
                </w14:textFill>
              </w:rPr>
              <w:t>根据《建设项目环境影响报告表编制技术指南（生态影响类）（试行）》，具体专项评价设置原则及判定情况详见下表。</w:t>
            </w:r>
          </w:p>
          <w:p w14:paraId="1E8870CD">
            <w:pPr>
              <w:spacing w:line="240" w:lineRule="auto"/>
              <w:ind w:firstLine="0" w:firstLineChars="0"/>
              <w:jc w:val="both"/>
              <w:rPr>
                <w:rFonts w:hint="default" w:ascii="Times New Roman" w:hAnsi="Times New Roman" w:eastAsia="宋体" w:cs="Times New Roman"/>
                <w:b/>
                <w:color w:val="000000" w:themeColor="text1"/>
                <w:sz w:val="21"/>
                <w:szCs w:val="21"/>
                <w14:textFill>
                  <w14:solidFill>
                    <w14:schemeClr w14:val="tx1"/>
                  </w14:solidFill>
                </w14:textFill>
              </w:rPr>
            </w:pPr>
            <w:r>
              <w:rPr>
                <w:rFonts w:hint="default" w:ascii="Times New Roman" w:hAnsi="Times New Roman" w:eastAsia="宋体" w:cs="Times New Roman"/>
                <w:b/>
                <w:color w:val="000000" w:themeColor="text1"/>
                <w:sz w:val="21"/>
                <w:szCs w:val="21"/>
                <w14:textFill>
                  <w14:solidFill>
                    <w14:schemeClr w14:val="tx1"/>
                  </w14:solidFill>
                </w14:textFill>
              </w:rPr>
              <w:t>表</w:t>
            </w:r>
            <w:r>
              <w:rPr>
                <w:rFonts w:hint="default" w:ascii="Times New Roman" w:hAnsi="Times New Roman" w:eastAsia="宋体" w:cs="Times New Roman"/>
                <w:b/>
                <w:color w:val="000000" w:themeColor="text1"/>
                <w:sz w:val="21"/>
                <w:szCs w:val="21"/>
                <w:lang w:val="en-US" w:eastAsia="zh-CN"/>
                <w14:textFill>
                  <w14:solidFill>
                    <w14:schemeClr w14:val="tx1"/>
                  </w14:solidFill>
                </w14:textFill>
              </w:rPr>
              <w:t>1</w:t>
            </w:r>
            <w:r>
              <w:rPr>
                <w:rFonts w:hint="default" w:ascii="Times New Roman" w:hAnsi="Times New Roman" w:eastAsia="宋体" w:cs="Times New Roman"/>
                <w:b/>
                <w:color w:val="000000" w:themeColor="text1"/>
                <w:sz w:val="21"/>
                <w:szCs w:val="21"/>
                <w14:textFill>
                  <w14:solidFill>
                    <w14:schemeClr w14:val="tx1"/>
                  </w14:solidFill>
                </w14:textFill>
              </w:rPr>
              <w:t>-1本项目专项设置判定情况表</w:t>
            </w:r>
          </w:p>
          <w:tbl>
            <w:tblPr>
              <w:tblStyle w:val="27"/>
              <w:tblW w:w="492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5"/>
              <w:gridCol w:w="3399"/>
              <w:gridCol w:w="1996"/>
              <w:gridCol w:w="739"/>
            </w:tblGrid>
            <w:tr w14:paraId="40F46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31" w:type="pct"/>
                  <w:shd w:val="clear" w:color="auto" w:fill="auto"/>
                  <w:vAlign w:val="center"/>
                </w:tcPr>
                <w:p w14:paraId="0EFBADA1">
                  <w:pPr>
                    <w:adjustRightInd w:val="0"/>
                    <w:snapToGrid w:val="0"/>
                    <w:spacing w:line="240" w:lineRule="auto"/>
                    <w:ind w:firstLine="0" w:firstLineChars="0"/>
                    <w:jc w:val="both"/>
                    <w:rPr>
                      <w:rFonts w:hint="default" w:ascii="Times New Roman" w:hAnsi="Times New Roman" w:eastAsia="宋体" w:cs="Times New Roman"/>
                      <w:b/>
                      <w:bCs/>
                      <w:color w:val="000000" w:themeColor="text1"/>
                      <w:sz w:val="21"/>
                      <w14:textFill>
                        <w14:solidFill>
                          <w14:schemeClr w14:val="tx1"/>
                        </w14:solidFill>
                      </w14:textFill>
                    </w:rPr>
                  </w:pPr>
                  <w:r>
                    <w:rPr>
                      <w:rFonts w:hint="default" w:ascii="Times New Roman" w:hAnsi="Times New Roman" w:eastAsia="宋体" w:cs="Times New Roman"/>
                      <w:b/>
                      <w:bCs/>
                      <w:color w:val="000000" w:themeColor="text1"/>
                      <w:sz w:val="21"/>
                      <w14:textFill>
                        <w14:solidFill>
                          <w14:schemeClr w14:val="tx1"/>
                        </w14:solidFill>
                      </w14:textFill>
                    </w:rPr>
                    <w:t>专项类别</w:t>
                  </w:r>
                </w:p>
              </w:tc>
              <w:tc>
                <w:tcPr>
                  <w:tcW w:w="2420" w:type="pct"/>
                  <w:shd w:val="clear" w:color="auto" w:fill="auto"/>
                  <w:vAlign w:val="center"/>
                </w:tcPr>
                <w:p w14:paraId="37AA3206">
                  <w:pPr>
                    <w:adjustRightInd w:val="0"/>
                    <w:snapToGrid w:val="0"/>
                    <w:spacing w:line="240" w:lineRule="auto"/>
                    <w:ind w:firstLine="0" w:firstLineChars="0"/>
                    <w:jc w:val="both"/>
                    <w:rPr>
                      <w:rFonts w:hint="default" w:ascii="Times New Roman" w:hAnsi="Times New Roman" w:eastAsia="宋体" w:cs="Times New Roman"/>
                      <w:b/>
                      <w:bCs/>
                      <w:color w:val="000000" w:themeColor="text1"/>
                      <w:sz w:val="21"/>
                      <w14:textFill>
                        <w14:solidFill>
                          <w14:schemeClr w14:val="tx1"/>
                        </w14:solidFill>
                      </w14:textFill>
                    </w:rPr>
                  </w:pPr>
                  <w:r>
                    <w:rPr>
                      <w:rFonts w:hint="default" w:ascii="Times New Roman" w:hAnsi="Times New Roman" w:eastAsia="宋体" w:cs="Times New Roman"/>
                      <w:b/>
                      <w:bCs/>
                      <w:color w:val="000000" w:themeColor="text1"/>
                      <w:sz w:val="21"/>
                      <w14:textFill>
                        <w14:solidFill>
                          <w14:schemeClr w14:val="tx1"/>
                        </w14:solidFill>
                      </w14:textFill>
                    </w:rPr>
                    <w:t>设置原则</w:t>
                  </w:r>
                </w:p>
              </w:tc>
              <w:tc>
                <w:tcPr>
                  <w:tcW w:w="1421" w:type="pct"/>
                  <w:shd w:val="clear" w:color="auto" w:fill="auto"/>
                  <w:vAlign w:val="center"/>
                </w:tcPr>
                <w:p w14:paraId="63087D86">
                  <w:pPr>
                    <w:adjustRightInd w:val="0"/>
                    <w:snapToGrid w:val="0"/>
                    <w:spacing w:line="240" w:lineRule="auto"/>
                    <w:ind w:firstLine="0" w:firstLineChars="0"/>
                    <w:jc w:val="both"/>
                    <w:rPr>
                      <w:rFonts w:hint="default" w:ascii="Times New Roman" w:hAnsi="Times New Roman" w:eastAsia="宋体" w:cs="Times New Roman"/>
                      <w:b/>
                      <w:bCs/>
                      <w:color w:val="000000" w:themeColor="text1"/>
                      <w:sz w:val="21"/>
                      <w14:textFill>
                        <w14:solidFill>
                          <w14:schemeClr w14:val="tx1"/>
                        </w14:solidFill>
                      </w14:textFill>
                    </w:rPr>
                  </w:pPr>
                  <w:r>
                    <w:rPr>
                      <w:rFonts w:hint="default" w:ascii="Times New Roman" w:hAnsi="Times New Roman" w:eastAsia="宋体" w:cs="Times New Roman"/>
                      <w:b/>
                      <w:bCs/>
                      <w:color w:val="000000" w:themeColor="text1"/>
                      <w:sz w:val="21"/>
                      <w14:textFill>
                        <w14:solidFill>
                          <w14:schemeClr w14:val="tx1"/>
                        </w14:solidFill>
                      </w14:textFill>
                    </w:rPr>
                    <w:t>本项目情况</w:t>
                  </w:r>
                </w:p>
              </w:tc>
              <w:tc>
                <w:tcPr>
                  <w:tcW w:w="526" w:type="pct"/>
                  <w:shd w:val="clear" w:color="auto" w:fill="auto"/>
                  <w:vAlign w:val="center"/>
                </w:tcPr>
                <w:p w14:paraId="1569A1A8">
                  <w:pPr>
                    <w:adjustRightInd w:val="0"/>
                    <w:snapToGrid w:val="0"/>
                    <w:spacing w:line="240" w:lineRule="auto"/>
                    <w:ind w:firstLine="0" w:firstLineChars="0"/>
                    <w:jc w:val="both"/>
                    <w:rPr>
                      <w:rFonts w:hint="default" w:ascii="Times New Roman" w:hAnsi="Times New Roman" w:eastAsia="宋体" w:cs="Times New Roman"/>
                      <w:b/>
                      <w:bCs/>
                      <w:color w:val="000000" w:themeColor="text1"/>
                      <w:sz w:val="21"/>
                      <w14:textFill>
                        <w14:solidFill>
                          <w14:schemeClr w14:val="tx1"/>
                        </w14:solidFill>
                      </w14:textFill>
                    </w:rPr>
                  </w:pPr>
                  <w:r>
                    <w:rPr>
                      <w:rFonts w:hint="default" w:ascii="Times New Roman" w:hAnsi="Times New Roman" w:eastAsia="宋体" w:cs="Times New Roman"/>
                      <w:b/>
                      <w:bCs/>
                      <w:color w:val="000000" w:themeColor="text1"/>
                      <w:sz w:val="21"/>
                      <w14:textFill>
                        <w14:solidFill>
                          <w14:schemeClr w14:val="tx1"/>
                        </w14:solidFill>
                      </w14:textFill>
                    </w:rPr>
                    <w:t>是否设置专项</w:t>
                  </w:r>
                </w:p>
              </w:tc>
            </w:tr>
            <w:tr w14:paraId="4DF52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631" w:type="pct"/>
                  <w:vAlign w:val="center"/>
                </w:tcPr>
                <w:p w14:paraId="7423C812">
                  <w:pPr>
                    <w:adjustRightInd w:val="0"/>
                    <w:snapToGrid w:val="0"/>
                    <w:spacing w:line="240" w:lineRule="auto"/>
                    <w:ind w:firstLine="0" w:firstLineChars="0"/>
                    <w:jc w:val="both"/>
                    <w:rPr>
                      <w:rFonts w:hint="default" w:ascii="Times New Roman" w:hAnsi="Times New Roman" w:eastAsia="宋体" w:cs="Times New Roman"/>
                      <w:color w:val="000000" w:themeColor="text1"/>
                      <w:sz w:val="21"/>
                      <w14:textFill>
                        <w14:solidFill>
                          <w14:schemeClr w14:val="tx1"/>
                        </w14:solidFill>
                      </w14:textFill>
                    </w:rPr>
                  </w:pPr>
                  <w:r>
                    <w:rPr>
                      <w:rFonts w:hint="default" w:ascii="Times New Roman" w:hAnsi="Times New Roman" w:eastAsia="宋体" w:cs="Times New Roman"/>
                      <w:color w:val="000000" w:themeColor="text1"/>
                      <w:sz w:val="21"/>
                      <w14:textFill>
                        <w14:solidFill>
                          <w14:schemeClr w14:val="tx1"/>
                        </w14:solidFill>
                      </w14:textFill>
                    </w:rPr>
                    <w:t>地表水</w:t>
                  </w:r>
                </w:p>
              </w:tc>
              <w:tc>
                <w:tcPr>
                  <w:tcW w:w="2420" w:type="pct"/>
                  <w:vAlign w:val="center"/>
                </w:tcPr>
                <w:p w14:paraId="1E4C03C0">
                  <w:pPr>
                    <w:adjustRightInd w:val="0"/>
                    <w:snapToGrid w:val="0"/>
                    <w:spacing w:line="240" w:lineRule="auto"/>
                    <w:ind w:firstLine="0" w:firstLineChars="0"/>
                    <w:jc w:val="both"/>
                    <w:rPr>
                      <w:rFonts w:hint="default" w:ascii="Times New Roman" w:hAnsi="Times New Roman" w:eastAsia="宋体" w:cs="Times New Roman"/>
                      <w:color w:val="000000" w:themeColor="text1"/>
                      <w:sz w:val="21"/>
                      <w14:textFill>
                        <w14:solidFill>
                          <w14:schemeClr w14:val="tx1"/>
                        </w14:solidFill>
                      </w14:textFill>
                    </w:rPr>
                  </w:pPr>
                  <w:r>
                    <w:rPr>
                      <w:rFonts w:hint="default" w:ascii="Times New Roman" w:hAnsi="Times New Roman" w:eastAsia="宋体" w:cs="Times New Roman"/>
                      <w:color w:val="000000" w:themeColor="text1"/>
                      <w:sz w:val="21"/>
                      <w14:textFill>
                        <w14:solidFill>
                          <w14:schemeClr w14:val="tx1"/>
                        </w14:solidFill>
                      </w14:textFill>
                    </w:rPr>
                    <w:t>水力发电：引水式发电、涉及调峰发电的项目；</w:t>
                  </w:r>
                </w:p>
                <w:p w14:paraId="19DEA347">
                  <w:pPr>
                    <w:adjustRightInd w:val="0"/>
                    <w:snapToGrid w:val="0"/>
                    <w:spacing w:line="240" w:lineRule="auto"/>
                    <w:ind w:firstLine="0" w:firstLineChars="0"/>
                    <w:jc w:val="both"/>
                    <w:rPr>
                      <w:rFonts w:hint="default" w:ascii="Times New Roman" w:hAnsi="Times New Roman" w:eastAsia="宋体" w:cs="Times New Roman"/>
                      <w:color w:val="000000" w:themeColor="text1"/>
                      <w:sz w:val="21"/>
                      <w14:textFill>
                        <w14:solidFill>
                          <w14:schemeClr w14:val="tx1"/>
                        </w14:solidFill>
                      </w14:textFill>
                    </w:rPr>
                  </w:pPr>
                  <w:r>
                    <w:rPr>
                      <w:rFonts w:hint="default" w:ascii="Times New Roman" w:hAnsi="Times New Roman" w:eastAsia="宋体" w:cs="Times New Roman"/>
                      <w:color w:val="000000" w:themeColor="text1"/>
                      <w:sz w:val="21"/>
                      <w14:textFill>
                        <w14:solidFill>
                          <w14:schemeClr w14:val="tx1"/>
                        </w14:solidFill>
                      </w14:textFill>
                    </w:rPr>
                    <w:t>人工湖、人工湿地：全部；</w:t>
                  </w:r>
                </w:p>
                <w:p w14:paraId="259475E6">
                  <w:pPr>
                    <w:adjustRightInd w:val="0"/>
                    <w:snapToGrid w:val="0"/>
                    <w:spacing w:line="240" w:lineRule="auto"/>
                    <w:ind w:firstLine="0" w:firstLineChars="0"/>
                    <w:jc w:val="both"/>
                    <w:rPr>
                      <w:rFonts w:hint="default" w:ascii="Times New Roman" w:hAnsi="Times New Roman" w:eastAsia="宋体" w:cs="Times New Roman"/>
                      <w:color w:val="000000" w:themeColor="text1"/>
                      <w:sz w:val="21"/>
                      <w14:textFill>
                        <w14:solidFill>
                          <w14:schemeClr w14:val="tx1"/>
                        </w14:solidFill>
                      </w14:textFill>
                    </w:rPr>
                  </w:pPr>
                  <w:r>
                    <w:rPr>
                      <w:rFonts w:hint="default" w:ascii="Times New Roman" w:hAnsi="Times New Roman" w:eastAsia="宋体" w:cs="Times New Roman"/>
                      <w:color w:val="000000" w:themeColor="text1"/>
                      <w:sz w:val="21"/>
                      <w14:textFill>
                        <w14:solidFill>
                          <w14:schemeClr w14:val="tx1"/>
                        </w14:solidFill>
                      </w14:textFill>
                    </w:rPr>
                    <w:t>水库：全部；</w:t>
                  </w:r>
                </w:p>
                <w:p w14:paraId="379FA31A">
                  <w:pPr>
                    <w:adjustRightInd w:val="0"/>
                    <w:snapToGrid w:val="0"/>
                    <w:spacing w:line="240" w:lineRule="auto"/>
                    <w:ind w:firstLine="0" w:firstLineChars="0"/>
                    <w:jc w:val="both"/>
                    <w:rPr>
                      <w:rFonts w:hint="default" w:ascii="Times New Roman" w:hAnsi="Times New Roman" w:eastAsia="宋体" w:cs="Times New Roman"/>
                      <w:color w:val="000000" w:themeColor="text1"/>
                      <w:sz w:val="21"/>
                      <w14:textFill>
                        <w14:solidFill>
                          <w14:schemeClr w14:val="tx1"/>
                        </w14:solidFill>
                      </w14:textFill>
                    </w:rPr>
                  </w:pPr>
                  <w:r>
                    <w:rPr>
                      <w:rFonts w:hint="default" w:ascii="Times New Roman" w:hAnsi="Times New Roman" w:eastAsia="宋体" w:cs="Times New Roman"/>
                      <w:color w:val="000000" w:themeColor="text1"/>
                      <w:sz w:val="21"/>
                      <w14:textFill>
                        <w14:solidFill>
                          <w14:schemeClr w14:val="tx1"/>
                        </w14:solidFill>
                      </w14:textFill>
                    </w:rPr>
                    <w:t>引水工程：全部（配套的管线工程等除外）；防洪除涝工程：包含水库的项目；</w:t>
                  </w:r>
                </w:p>
                <w:p w14:paraId="350592C3">
                  <w:pPr>
                    <w:adjustRightInd w:val="0"/>
                    <w:snapToGrid w:val="0"/>
                    <w:spacing w:line="240" w:lineRule="auto"/>
                    <w:ind w:firstLine="0" w:firstLineChars="0"/>
                    <w:jc w:val="both"/>
                    <w:rPr>
                      <w:rFonts w:hint="default" w:ascii="Times New Roman" w:hAnsi="Times New Roman" w:eastAsia="宋体" w:cs="Times New Roman"/>
                      <w:color w:val="000000" w:themeColor="text1"/>
                      <w:sz w:val="21"/>
                      <w14:textFill>
                        <w14:solidFill>
                          <w14:schemeClr w14:val="tx1"/>
                        </w14:solidFill>
                      </w14:textFill>
                    </w:rPr>
                  </w:pPr>
                  <w:r>
                    <w:rPr>
                      <w:rFonts w:hint="default" w:ascii="Times New Roman" w:hAnsi="Times New Roman" w:eastAsia="宋体" w:cs="Times New Roman"/>
                      <w:color w:val="000000" w:themeColor="text1"/>
                      <w:sz w:val="21"/>
                      <w14:textFill>
                        <w14:solidFill>
                          <w14:schemeClr w14:val="tx1"/>
                        </w14:solidFill>
                      </w14:textFill>
                    </w:rPr>
                    <w:t>河湖整治：涉及清淤且底泥存在重金属污染的项目</w:t>
                  </w:r>
                </w:p>
              </w:tc>
              <w:tc>
                <w:tcPr>
                  <w:tcW w:w="1421" w:type="pct"/>
                  <w:vAlign w:val="center"/>
                </w:tcPr>
                <w:p w14:paraId="565BF1F5">
                  <w:pPr>
                    <w:adjustRightInd w:val="0"/>
                    <w:snapToGrid w:val="0"/>
                    <w:spacing w:line="240" w:lineRule="auto"/>
                    <w:ind w:firstLine="0" w:firstLineChars="0"/>
                    <w:jc w:val="both"/>
                    <w:rPr>
                      <w:rFonts w:hint="default" w:ascii="Times New Roman" w:hAnsi="Times New Roman" w:eastAsia="宋体" w:cs="Times New Roman"/>
                      <w:color w:val="000000" w:themeColor="text1"/>
                      <w:sz w:val="21"/>
                      <w14:textFill>
                        <w14:solidFill>
                          <w14:schemeClr w14:val="tx1"/>
                        </w14:solidFill>
                      </w14:textFill>
                    </w:rPr>
                  </w:pPr>
                  <w:r>
                    <w:rPr>
                      <w:rFonts w:hint="default" w:ascii="Times New Roman" w:hAnsi="Times New Roman" w:eastAsia="宋体" w:cs="Times New Roman"/>
                      <w:color w:val="000000" w:themeColor="text1"/>
                      <w:sz w:val="21"/>
                      <w:lang w:val="en-US" w:eastAsia="zh-CN"/>
                      <w14:textFill>
                        <w14:solidFill>
                          <w14:schemeClr w14:val="tx1"/>
                        </w14:solidFill>
                      </w14:textFill>
                    </w:rPr>
                    <w:t>本项目属于蓝莓、三七、羊肚菌、桃子、苹果种植项目</w:t>
                  </w:r>
                </w:p>
              </w:tc>
              <w:tc>
                <w:tcPr>
                  <w:tcW w:w="526" w:type="pct"/>
                  <w:vAlign w:val="center"/>
                </w:tcPr>
                <w:p w14:paraId="496E87B5">
                  <w:pPr>
                    <w:adjustRightInd w:val="0"/>
                    <w:snapToGrid w:val="0"/>
                    <w:spacing w:line="240" w:lineRule="auto"/>
                    <w:ind w:firstLine="0" w:firstLineChars="0"/>
                    <w:jc w:val="both"/>
                    <w:rPr>
                      <w:rFonts w:hint="default" w:ascii="Times New Roman" w:hAnsi="Times New Roman" w:eastAsia="宋体" w:cs="Times New Roman"/>
                      <w:color w:val="000000" w:themeColor="text1"/>
                      <w:sz w:val="21"/>
                      <w14:textFill>
                        <w14:solidFill>
                          <w14:schemeClr w14:val="tx1"/>
                        </w14:solidFill>
                      </w14:textFill>
                    </w:rPr>
                  </w:pPr>
                  <w:r>
                    <w:rPr>
                      <w:rFonts w:hint="default" w:ascii="Times New Roman" w:hAnsi="Times New Roman" w:eastAsia="宋体" w:cs="Times New Roman"/>
                      <w:color w:val="000000" w:themeColor="text1"/>
                      <w:sz w:val="21"/>
                      <w14:textFill>
                        <w14:solidFill>
                          <w14:schemeClr w14:val="tx1"/>
                        </w14:solidFill>
                      </w14:textFill>
                    </w:rPr>
                    <w:t>否</w:t>
                  </w:r>
                </w:p>
              </w:tc>
            </w:tr>
            <w:tr w14:paraId="6D06E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1" w:hRule="atLeast"/>
                <w:jc w:val="center"/>
              </w:trPr>
              <w:tc>
                <w:tcPr>
                  <w:tcW w:w="631" w:type="pct"/>
                  <w:vAlign w:val="center"/>
                </w:tcPr>
                <w:p w14:paraId="666474E1">
                  <w:pPr>
                    <w:adjustRightInd w:val="0"/>
                    <w:snapToGrid w:val="0"/>
                    <w:spacing w:line="240" w:lineRule="auto"/>
                    <w:ind w:firstLine="0" w:firstLineChars="0"/>
                    <w:jc w:val="both"/>
                    <w:rPr>
                      <w:rFonts w:hint="default" w:ascii="Times New Roman" w:hAnsi="Times New Roman" w:eastAsia="宋体" w:cs="Times New Roman"/>
                      <w:color w:val="000000" w:themeColor="text1"/>
                      <w:sz w:val="21"/>
                      <w14:textFill>
                        <w14:solidFill>
                          <w14:schemeClr w14:val="tx1"/>
                        </w14:solidFill>
                      </w14:textFill>
                    </w:rPr>
                  </w:pPr>
                  <w:r>
                    <w:rPr>
                      <w:rFonts w:hint="default" w:ascii="Times New Roman" w:hAnsi="Times New Roman" w:eastAsia="宋体" w:cs="Times New Roman"/>
                      <w:color w:val="000000" w:themeColor="text1"/>
                      <w:sz w:val="21"/>
                      <w14:textFill>
                        <w14:solidFill>
                          <w14:schemeClr w14:val="tx1"/>
                        </w14:solidFill>
                      </w14:textFill>
                    </w:rPr>
                    <w:t>地下水</w:t>
                  </w:r>
                </w:p>
              </w:tc>
              <w:tc>
                <w:tcPr>
                  <w:tcW w:w="2420" w:type="pct"/>
                  <w:vAlign w:val="center"/>
                </w:tcPr>
                <w:p w14:paraId="4588F755">
                  <w:pPr>
                    <w:adjustRightInd w:val="0"/>
                    <w:snapToGrid w:val="0"/>
                    <w:spacing w:line="240" w:lineRule="auto"/>
                    <w:ind w:firstLine="0" w:firstLineChars="0"/>
                    <w:jc w:val="both"/>
                    <w:rPr>
                      <w:rFonts w:hint="default" w:ascii="Times New Roman" w:hAnsi="Times New Roman" w:eastAsia="宋体" w:cs="Times New Roman"/>
                      <w:color w:val="000000" w:themeColor="text1"/>
                      <w:sz w:val="21"/>
                      <w14:textFill>
                        <w14:solidFill>
                          <w14:schemeClr w14:val="tx1"/>
                        </w14:solidFill>
                      </w14:textFill>
                    </w:rPr>
                  </w:pPr>
                  <w:r>
                    <w:rPr>
                      <w:rFonts w:hint="default" w:ascii="Times New Roman" w:hAnsi="Times New Roman" w:eastAsia="宋体" w:cs="Times New Roman"/>
                      <w:color w:val="000000" w:themeColor="text1"/>
                      <w:sz w:val="21"/>
                      <w14:textFill>
                        <w14:solidFill>
                          <w14:schemeClr w14:val="tx1"/>
                        </w14:solidFill>
                      </w14:textFill>
                    </w:rPr>
                    <w:t>陆地石油和天然气开采：全部；</w:t>
                  </w:r>
                </w:p>
                <w:p w14:paraId="0509C58D">
                  <w:pPr>
                    <w:adjustRightInd w:val="0"/>
                    <w:snapToGrid w:val="0"/>
                    <w:spacing w:line="240" w:lineRule="auto"/>
                    <w:ind w:firstLine="0" w:firstLineChars="0"/>
                    <w:jc w:val="both"/>
                    <w:rPr>
                      <w:rFonts w:hint="default" w:ascii="Times New Roman" w:hAnsi="Times New Roman" w:eastAsia="宋体" w:cs="Times New Roman"/>
                      <w:color w:val="000000" w:themeColor="text1"/>
                      <w:sz w:val="21"/>
                      <w14:textFill>
                        <w14:solidFill>
                          <w14:schemeClr w14:val="tx1"/>
                        </w14:solidFill>
                      </w14:textFill>
                    </w:rPr>
                  </w:pPr>
                  <w:r>
                    <w:rPr>
                      <w:rFonts w:hint="default" w:ascii="Times New Roman" w:hAnsi="Times New Roman" w:eastAsia="宋体" w:cs="Times New Roman"/>
                      <w:color w:val="000000" w:themeColor="text1"/>
                      <w:sz w:val="21"/>
                      <w14:textFill>
                        <w14:solidFill>
                          <w14:schemeClr w14:val="tx1"/>
                        </w14:solidFill>
                      </w14:textFill>
                    </w:rPr>
                    <w:t>地下水（含矿泉水）开采：全部；</w:t>
                  </w:r>
                </w:p>
                <w:p w14:paraId="309502DA">
                  <w:pPr>
                    <w:adjustRightInd w:val="0"/>
                    <w:snapToGrid w:val="0"/>
                    <w:spacing w:line="240" w:lineRule="auto"/>
                    <w:ind w:firstLine="0" w:firstLineChars="0"/>
                    <w:jc w:val="both"/>
                    <w:rPr>
                      <w:rFonts w:hint="default" w:ascii="Times New Roman" w:hAnsi="Times New Roman" w:eastAsia="宋体" w:cs="Times New Roman"/>
                      <w:color w:val="000000" w:themeColor="text1"/>
                      <w:sz w:val="21"/>
                      <w14:textFill>
                        <w14:solidFill>
                          <w14:schemeClr w14:val="tx1"/>
                        </w14:solidFill>
                      </w14:textFill>
                    </w:rPr>
                  </w:pPr>
                  <w:r>
                    <w:rPr>
                      <w:rFonts w:hint="default" w:ascii="Times New Roman" w:hAnsi="Times New Roman" w:eastAsia="宋体" w:cs="Times New Roman"/>
                      <w:color w:val="000000" w:themeColor="text1"/>
                      <w:sz w:val="21"/>
                      <w14:textFill>
                        <w14:solidFill>
                          <w14:schemeClr w14:val="tx1"/>
                        </w14:solidFill>
                      </w14:textFill>
                    </w:rPr>
                    <w:t>水利、水电、交通等：含穿越可溶岩地层隧道的项目</w:t>
                  </w:r>
                </w:p>
              </w:tc>
              <w:tc>
                <w:tcPr>
                  <w:tcW w:w="1421" w:type="pct"/>
                  <w:vAlign w:val="center"/>
                </w:tcPr>
                <w:p w14:paraId="3F32EA4D">
                  <w:pPr>
                    <w:adjustRightInd w:val="0"/>
                    <w:snapToGrid w:val="0"/>
                    <w:spacing w:line="240" w:lineRule="auto"/>
                    <w:ind w:firstLine="0" w:firstLineChars="0"/>
                    <w:jc w:val="both"/>
                    <w:rPr>
                      <w:rFonts w:hint="default" w:ascii="Times New Roman" w:hAnsi="Times New Roman" w:eastAsia="宋体" w:cs="Times New Roman"/>
                      <w:color w:val="000000" w:themeColor="text1"/>
                      <w:sz w:val="21"/>
                      <w14:textFill>
                        <w14:solidFill>
                          <w14:schemeClr w14:val="tx1"/>
                        </w14:solidFill>
                      </w14:textFill>
                    </w:rPr>
                  </w:pPr>
                  <w:r>
                    <w:rPr>
                      <w:rFonts w:hint="default" w:ascii="Times New Roman" w:hAnsi="Times New Roman" w:eastAsia="宋体" w:cs="Times New Roman"/>
                      <w:color w:val="000000" w:themeColor="text1"/>
                      <w:sz w:val="21"/>
                      <w14:textFill>
                        <w14:solidFill>
                          <w14:schemeClr w14:val="tx1"/>
                        </w14:solidFill>
                      </w14:textFill>
                    </w:rPr>
                    <w:t>本项目不涉及</w:t>
                  </w:r>
                </w:p>
              </w:tc>
              <w:tc>
                <w:tcPr>
                  <w:tcW w:w="526" w:type="pct"/>
                  <w:vAlign w:val="center"/>
                </w:tcPr>
                <w:p w14:paraId="6DAA4DEC">
                  <w:pPr>
                    <w:adjustRightInd w:val="0"/>
                    <w:snapToGrid w:val="0"/>
                    <w:spacing w:line="240" w:lineRule="auto"/>
                    <w:ind w:firstLine="0" w:firstLineChars="0"/>
                    <w:jc w:val="both"/>
                    <w:rPr>
                      <w:rFonts w:hint="default" w:ascii="Times New Roman" w:hAnsi="Times New Roman" w:eastAsia="宋体" w:cs="Times New Roman"/>
                      <w:color w:val="000000" w:themeColor="text1"/>
                      <w:sz w:val="21"/>
                      <w14:textFill>
                        <w14:solidFill>
                          <w14:schemeClr w14:val="tx1"/>
                        </w14:solidFill>
                      </w14:textFill>
                    </w:rPr>
                  </w:pPr>
                  <w:r>
                    <w:rPr>
                      <w:rFonts w:hint="default" w:ascii="Times New Roman" w:hAnsi="Times New Roman" w:eastAsia="宋体" w:cs="Times New Roman"/>
                      <w:color w:val="000000" w:themeColor="text1"/>
                      <w:sz w:val="21"/>
                      <w14:textFill>
                        <w14:solidFill>
                          <w14:schemeClr w14:val="tx1"/>
                        </w14:solidFill>
                      </w14:textFill>
                    </w:rPr>
                    <w:t>否</w:t>
                  </w:r>
                </w:p>
              </w:tc>
            </w:tr>
            <w:tr w14:paraId="39905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9" w:hRule="atLeast"/>
                <w:jc w:val="center"/>
              </w:trPr>
              <w:tc>
                <w:tcPr>
                  <w:tcW w:w="631" w:type="pct"/>
                  <w:vAlign w:val="center"/>
                </w:tcPr>
                <w:p w14:paraId="4A977A7B">
                  <w:pPr>
                    <w:adjustRightInd w:val="0"/>
                    <w:snapToGrid w:val="0"/>
                    <w:spacing w:line="240" w:lineRule="auto"/>
                    <w:ind w:firstLine="0" w:firstLineChars="0"/>
                    <w:jc w:val="both"/>
                    <w:rPr>
                      <w:rFonts w:hint="default" w:ascii="Times New Roman" w:hAnsi="Times New Roman" w:eastAsia="宋体" w:cs="Times New Roman"/>
                      <w:color w:val="000000" w:themeColor="text1"/>
                      <w:sz w:val="21"/>
                      <w14:textFill>
                        <w14:solidFill>
                          <w14:schemeClr w14:val="tx1"/>
                        </w14:solidFill>
                      </w14:textFill>
                    </w:rPr>
                  </w:pPr>
                  <w:r>
                    <w:rPr>
                      <w:rFonts w:hint="default" w:ascii="Times New Roman" w:hAnsi="Times New Roman" w:eastAsia="宋体" w:cs="Times New Roman"/>
                      <w:color w:val="000000" w:themeColor="text1"/>
                      <w:sz w:val="21"/>
                      <w14:textFill>
                        <w14:solidFill>
                          <w14:schemeClr w14:val="tx1"/>
                        </w14:solidFill>
                      </w14:textFill>
                    </w:rPr>
                    <w:t>生态</w:t>
                  </w:r>
                </w:p>
              </w:tc>
              <w:tc>
                <w:tcPr>
                  <w:tcW w:w="2420" w:type="pct"/>
                  <w:vAlign w:val="center"/>
                </w:tcPr>
                <w:p w14:paraId="1DCD7774">
                  <w:pPr>
                    <w:adjustRightInd w:val="0"/>
                    <w:snapToGrid w:val="0"/>
                    <w:spacing w:line="240" w:lineRule="auto"/>
                    <w:ind w:firstLine="0" w:firstLineChars="0"/>
                    <w:jc w:val="both"/>
                    <w:rPr>
                      <w:rFonts w:hint="default" w:ascii="Times New Roman" w:hAnsi="Times New Roman" w:eastAsia="宋体" w:cs="Times New Roman"/>
                      <w:color w:val="000000" w:themeColor="text1"/>
                      <w:sz w:val="21"/>
                      <w14:textFill>
                        <w14:solidFill>
                          <w14:schemeClr w14:val="tx1"/>
                        </w14:solidFill>
                      </w14:textFill>
                    </w:rPr>
                  </w:pPr>
                  <w:r>
                    <w:rPr>
                      <w:rFonts w:hint="default" w:ascii="Times New Roman" w:hAnsi="Times New Roman" w:eastAsia="宋体" w:cs="Times New Roman"/>
                      <w:color w:val="000000" w:themeColor="text1"/>
                      <w:sz w:val="21"/>
                      <w14:textFill>
                        <w14:solidFill>
                          <w14:schemeClr w14:val="tx1"/>
                        </w14:solidFill>
                      </w14:textFill>
                    </w:rPr>
                    <w:t>涉及环境敏感区（不包括饮用水水源保护区，以居住、医疗卫生、文化教育、科研、行政办公为主要功能的区域，以及文物保护单位）的项目</w:t>
                  </w:r>
                </w:p>
              </w:tc>
              <w:tc>
                <w:tcPr>
                  <w:tcW w:w="1421" w:type="pct"/>
                  <w:vAlign w:val="center"/>
                </w:tcPr>
                <w:p w14:paraId="00F90433">
                  <w:pPr>
                    <w:pStyle w:val="7"/>
                    <w:ind w:left="0" w:leftChars="0" w:firstLine="420" w:firstLineChars="200"/>
                    <w:jc w:val="both"/>
                    <w:rPr>
                      <w:rFonts w:hint="default" w:ascii="Times New Roman" w:hAnsi="Times New Roman" w:eastAsia="宋体" w:cs="Times New Roman"/>
                      <w:color w:val="000000" w:themeColor="text1"/>
                      <w:sz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本项目不涉及</w:t>
                  </w:r>
                </w:p>
              </w:tc>
              <w:tc>
                <w:tcPr>
                  <w:tcW w:w="526" w:type="pct"/>
                  <w:vAlign w:val="center"/>
                </w:tcPr>
                <w:p w14:paraId="3869365A">
                  <w:pPr>
                    <w:pStyle w:val="7"/>
                    <w:ind w:left="0" w:leftChars="0" w:firstLine="200" w:firstLineChars="100"/>
                    <w:jc w:val="both"/>
                    <w:rPr>
                      <w:rFonts w:hint="default" w:ascii="Times New Roman" w:hAnsi="Times New Roman" w:eastAsia="宋体" w:cs="Times New Roman"/>
                      <w:color w:val="000000" w:themeColor="text1"/>
                      <w:sz w:val="2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否</w:t>
                  </w:r>
                </w:p>
              </w:tc>
            </w:tr>
            <w:tr w14:paraId="39A7D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1" w:hRule="atLeast"/>
                <w:jc w:val="center"/>
              </w:trPr>
              <w:tc>
                <w:tcPr>
                  <w:tcW w:w="631" w:type="pct"/>
                  <w:vAlign w:val="center"/>
                </w:tcPr>
                <w:p w14:paraId="0E849868">
                  <w:pPr>
                    <w:adjustRightInd w:val="0"/>
                    <w:snapToGrid w:val="0"/>
                    <w:spacing w:line="240" w:lineRule="auto"/>
                    <w:ind w:firstLine="0" w:firstLineChars="0"/>
                    <w:jc w:val="both"/>
                    <w:rPr>
                      <w:rFonts w:hint="default" w:ascii="Times New Roman" w:hAnsi="Times New Roman" w:eastAsia="宋体" w:cs="Times New Roman"/>
                      <w:color w:val="000000" w:themeColor="text1"/>
                      <w:sz w:val="21"/>
                      <w14:textFill>
                        <w14:solidFill>
                          <w14:schemeClr w14:val="tx1"/>
                        </w14:solidFill>
                      </w14:textFill>
                    </w:rPr>
                  </w:pPr>
                  <w:r>
                    <w:rPr>
                      <w:rFonts w:hint="default" w:ascii="Times New Roman" w:hAnsi="Times New Roman" w:eastAsia="宋体" w:cs="Times New Roman"/>
                      <w:color w:val="000000" w:themeColor="text1"/>
                      <w:sz w:val="21"/>
                      <w14:textFill>
                        <w14:solidFill>
                          <w14:schemeClr w14:val="tx1"/>
                        </w14:solidFill>
                      </w14:textFill>
                    </w:rPr>
                    <w:t>大气</w:t>
                  </w:r>
                </w:p>
              </w:tc>
              <w:tc>
                <w:tcPr>
                  <w:tcW w:w="2420" w:type="pct"/>
                  <w:vAlign w:val="center"/>
                </w:tcPr>
                <w:p w14:paraId="5734EE4D">
                  <w:pPr>
                    <w:adjustRightInd w:val="0"/>
                    <w:snapToGrid w:val="0"/>
                    <w:spacing w:line="240" w:lineRule="auto"/>
                    <w:ind w:firstLine="0" w:firstLineChars="0"/>
                    <w:jc w:val="both"/>
                    <w:rPr>
                      <w:rFonts w:hint="default" w:ascii="Times New Roman" w:hAnsi="Times New Roman" w:eastAsia="宋体" w:cs="Times New Roman"/>
                      <w:color w:val="000000" w:themeColor="text1"/>
                      <w:sz w:val="21"/>
                      <w14:textFill>
                        <w14:solidFill>
                          <w14:schemeClr w14:val="tx1"/>
                        </w14:solidFill>
                      </w14:textFill>
                    </w:rPr>
                  </w:pPr>
                  <w:r>
                    <w:rPr>
                      <w:rFonts w:hint="default" w:ascii="Times New Roman" w:hAnsi="Times New Roman" w:eastAsia="宋体" w:cs="Times New Roman"/>
                      <w:color w:val="000000" w:themeColor="text1"/>
                      <w:sz w:val="21"/>
                      <w14:textFill>
                        <w14:solidFill>
                          <w14:schemeClr w14:val="tx1"/>
                        </w14:solidFill>
                      </w14:textFill>
                    </w:rPr>
                    <w:t>油气、液体化工码头：全部；</w:t>
                  </w:r>
                </w:p>
                <w:p w14:paraId="1E4F34F0">
                  <w:pPr>
                    <w:adjustRightInd w:val="0"/>
                    <w:snapToGrid w:val="0"/>
                    <w:spacing w:line="240" w:lineRule="auto"/>
                    <w:ind w:firstLine="0" w:firstLineChars="0"/>
                    <w:jc w:val="both"/>
                    <w:rPr>
                      <w:rFonts w:hint="default" w:ascii="Times New Roman" w:hAnsi="Times New Roman" w:eastAsia="宋体" w:cs="Times New Roman"/>
                      <w:color w:val="000000" w:themeColor="text1"/>
                      <w:sz w:val="21"/>
                      <w14:textFill>
                        <w14:solidFill>
                          <w14:schemeClr w14:val="tx1"/>
                        </w14:solidFill>
                      </w14:textFill>
                    </w:rPr>
                  </w:pPr>
                  <w:r>
                    <w:rPr>
                      <w:rFonts w:hint="default" w:ascii="Times New Roman" w:hAnsi="Times New Roman" w:eastAsia="宋体" w:cs="Times New Roman"/>
                      <w:color w:val="000000" w:themeColor="text1"/>
                      <w:sz w:val="21"/>
                      <w14:textFill>
                        <w14:solidFill>
                          <w14:schemeClr w14:val="tx1"/>
                        </w14:solidFill>
                      </w14:textFill>
                    </w:rPr>
                    <w:t>干散货（含煤炭、矿石）、件杂、多用途、通用码头：涉及粉尘、挥发性有机物排放的项目</w:t>
                  </w:r>
                </w:p>
              </w:tc>
              <w:tc>
                <w:tcPr>
                  <w:tcW w:w="1421" w:type="pct"/>
                  <w:vAlign w:val="center"/>
                </w:tcPr>
                <w:p w14:paraId="483FDB8A">
                  <w:pPr>
                    <w:adjustRightInd w:val="0"/>
                    <w:snapToGrid w:val="0"/>
                    <w:spacing w:line="240" w:lineRule="auto"/>
                    <w:ind w:firstLine="0" w:firstLineChars="0"/>
                    <w:jc w:val="both"/>
                    <w:rPr>
                      <w:rFonts w:hint="default" w:ascii="Times New Roman" w:hAnsi="Times New Roman" w:eastAsia="宋体" w:cs="Times New Roman"/>
                      <w:color w:val="000000" w:themeColor="text1"/>
                      <w:sz w:val="21"/>
                      <w14:textFill>
                        <w14:solidFill>
                          <w14:schemeClr w14:val="tx1"/>
                        </w14:solidFill>
                      </w14:textFill>
                    </w:rPr>
                  </w:pPr>
                  <w:r>
                    <w:rPr>
                      <w:rFonts w:hint="default" w:ascii="Times New Roman" w:hAnsi="Times New Roman" w:eastAsia="宋体" w:cs="Times New Roman"/>
                      <w:color w:val="000000" w:themeColor="text1"/>
                      <w:sz w:val="21"/>
                      <w14:textFill>
                        <w14:solidFill>
                          <w14:schemeClr w14:val="tx1"/>
                        </w14:solidFill>
                      </w14:textFill>
                    </w:rPr>
                    <w:t>本项目不涉及</w:t>
                  </w:r>
                </w:p>
              </w:tc>
              <w:tc>
                <w:tcPr>
                  <w:tcW w:w="526" w:type="pct"/>
                  <w:vAlign w:val="center"/>
                </w:tcPr>
                <w:p w14:paraId="761F7FA3">
                  <w:pPr>
                    <w:adjustRightInd w:val="0"/>
                    <w:snapToGrid w:val="0"/>
                    <w:spacing w:line="240" w:lineRule="auto"/>
                    <w:ind w:firstLine="0" w:firstLineChars="0"/>
                    <w:jc w:val="both"/>
                    <w:rPr>
                      <w:rFonts w:hint="default" w:ascii="Times New Roman" w:hAnsi="Times New Roman" w:eastAsia="宋体" w:cs="Times New Roman"/>
                      <w:color w:val="000000" w:themeColor="text1"/>
                      <w:sz w:val="21"/>
                      <w14:textFill>
                        <w14:solidFill>
                          <w14:schemeClr w14:val="tx1"/>
                        </w14:solidFill>
                      </w14:textFill>
                    </w:rPr>
                  </w:pPr>
                  <w:r>
                    <w:rPr>
                      <w:rFonts w:hint="default" w:ascii="Times New Roman" w:hAnsi="Times New Roman" w:eastAsia="宋体" w:cs="Times New Roman"/>
                      <w:color w:val="000000" w:themeColor="text1"/>
                      <w:sz w:val="21"/>
                      <w14:textFill>
                        <w14:solidFill>
                          <w14:schemeClr w14:val="tx1"/>
                        </w14:solidFill>
                      </w14:textFill>
                    </w:rPr>
                    <w:t>否</w:t>
                  </w:r>
                </w:p>
              </w:tc>
            </w:tr>
            <w:tr w14:paraId="78EEE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2" w:hRule="atLeast"/>
                <w:jc w:val="center"/>
              </w:trPr>
              <w:tc>
                <w:tcPr>
                  <w:tcW w:w="631" w:type="pct"/>
                  <w:vAlign w:val="center"/>
                </w:tcPr>
                <w:p w14:paraId="692A5662">
                  <w:pPr>
                    <w:adjustRightInd w:val="0"/>
                    <w:snapToGrid w:val="0"/>
                    <w:spacing w:line="240" w:lineRule="auto"/>
                    <w:ind w:firstLine="0" w:firstLineChars="0"/>
                    <w:jc w:val="both"/>
                    <w:rPr>
                      <w:rFonts w:hint="default" w:ascii="Times New Roman" w:hAnsi="Times New Roman" w:eastAsia="宋体" w:cs="Times New Roman"/>
                      <w:color w:val="000000" w:themeColor="text1"/>
                      <w:sz w:val="21"/>
                      <w14:textFill>
                        <w14:solidFill>
                          <w14:schemeClr w14:val="tx1"/>
                        </w14:solidFill>
                      </w14:textFill>
                    </w:rPr>
                  </w:pPr>
                  <w:r>
                    <w:rPr>
                      <w:rFonts w:hint="default" w:ascii="Times New Roman" w:hAnsi="Times New Roman" w:eastAsia="宋体" w:cs="Times New Roman"/>
                      <w:color w:val="000000" w:themeColor="text1"/>
                      <w:sz w:val="21"/>
                      <w14:textFill>
                        <w14:solidFill>
                          <w14:schemeClr w14:val="tx1"/>
                        </w14:solidFill>
                      </w14:textFill>
                    </w:rPr>
                    <w:t>噪声</w:t>
                  </w:r>
                </w:p>
              </w:tc>
              <w:tc>
                <w:tcPr>
                  <w:tcW w:w="2420" w:type="pct"/>
                  <w:vAlign w:val="center"/>
                </w:tcPr>
                <w:p w14:paraId="53AB66B4">
                  <w:pPr>
                    <w:adjustRightInd w:val="0"/>
                    <w:snapToGrid w:val="0"/>
                    <w:spacing w:line="240" w:lineRule="auto"/>
                    <w:ind w:firstLine="0" w:firstLineChars="0"/>
                    <w:jc w:val="both"/>
                    <w:rPr>
                      <w:rFonts w:hint="default" w:ascii="Times New Roman" w:hAnsi="Times New Roman" w:eastAsia="宋体" w:cs="Times New Roman"/>
                      <w:color w:val="000000" w:themeColor="text1"/>
                      <w:sz w:val="21"/>
                      <w14:textFill>
                        <w14:solidFill>
                          <w14:schemeClr w14:val="tx1"/>
                        </w14:solidFill>
                      </w14:textFill>
                    </w:rPr>
                  </w:pPr>
                  <w:r>
                    <w:rPr>
                      <w:rFonts w:hint="default" w:ascii="Times New Roman" w:hAnsi="Times New Roman" w:eastAsia="宋体" w:cs="Times New Roman"/>
                      <w:color w:val="000000" w:themeColor="text1"/>
                      <w:sz w:val="21"/>
                      <w14:textFill>
                        <w14:solidFill>
                          <w14:schemeClr w14:val="tx1"/>
                        </w14:solidFill>
                      </w14:textFill>
                    </w:rPr>
                    <w:t>公路、铁路、机场等交通运输业涉及环境敏感区（以居住、医疗卫生、文化教育、科研、行政办公为主要功能的区域）的项目；城市道路（不含维护，不含支路、人行天桥、人行地道）：全部</w:t>
                  </w:r>
                </w:p>
              </w:tc>
              <w:tc>
                <w:tcPr>
                  <w:tcW w:w="1421" w:type="pct"/>
                  <w:vAlign w:val="center"/>
                </w:tcPr>
                <w:p w14:paraId="2C835CD1">
                  <w:pPr>
                    <w:adjustRightInd w:val="0"/>
                    <w:snapToGrid w:val="0"/>
                    <w:spacing w:line="240" w:lineRule="auto"/>
                    <w:ind w:firstLine="0" w:firstLineChars="0"/>
                    <w:jc w:val="both"/>
                    <w:rPr>
                      <w:rFonts w:hint="default" w:ascii="Times New Roman" w:hAnsi="Times New Roman" w:eastAsia="宋体" w:cs="Times New Roman"/>
                      <w:color w:val="000000" w:themeColor="text1"/>
                      <w:sz w:val="21"/>
                      <w14:textFill>
                        <w14:solidFill>
                          <w14:schemeClr w14:val="tx1"/>
                        </w14:solidFill>
                      </w14:textFill>
                    </w:rPr>
                  </w:pPr>
                  <w:r>
                    <w:rPr>
                      <w:rFonts w:hint="default" w:ascii="Times New Roman" w:hAnsi="Times New Roman" w:eastAsia="宋体" w:cs="Times New Roman"/>
                      <w:color w:val="000000" w:themeColor="text1"/>
                      <w:sz w:val="21"/>
                      <w14:textFill>
                        <w14:solidFill>
                          <w14:schemeClr w14:val="tx1"/>
                        </w14:solidFill>
                      </w14:textFill>
                    </w:rPr>
                    <w:t>本项目不涉及</w:t>
                  </w:r>
                </w:p>
              </w:tc>
              <w:tc>
                <w:tcPr>
                  <w:tcW w:w="526" w:type="pct"/>
                  <w:vAlign w:val="center"/>
                </w:tcPr>
                <w:p w14:paraId="05F68E34">
                  <w:pPr>
                    <w:adjustRightInd w:val="0"/>
                    <w:snapToGrid w:val="0"/>
                    <w:spacing w:line="240" w:lineRule="auto"/>
                    <w:ind w:firstLine="0" w:firstLineChars="0"/>
                    <w:jc w:val="both"/>
                    <w:rPr>
                      <w:rFonts w:hint="default" w:ascii="Times New Roman" w:hAnsi="Times New Roman" w:eastAsia="宋体" w:cs="Times New Roman"/>
                      <w:color w:val="000000" w:themeColor="text1"/>
                      <w:sz w:val="21"/>
                      <w14:textFill>
                        <w14:solidFill>
                          <w14:schemeClr w14:val="tx1"/>
                        </w14:solidFill>
                      </w14:textFill>
                    </w:rPr>
                  </w:pPr>
                  <w:r>
                    <w:rPr>
                      <w:rFonts w:hint="default" w:ascii="Times New Roman" w:hAnsi="Times New Roman" w:eastAsia="宋体" w:cs="Times New Roman"/>
                      <w:color w:val="000000" w:themeColor="text1"/>
                      <w:sz w:val="21"/>
                      <w14:textFill>
                        <w14:solidFill>
                          <w14:schemeClr w14:val="tx1"/>
                        </w14:solidFill>
                      </w14:textFill>
                    </w:rPr>
                    <w:t>否</w:t>
                  </w:r>
                </w:p>
              </w:tc>
            </w:tr>
            <w:tr w14:paraId="16A39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1" w:hRule="atLeast"/>
                <w:jc w:val="center"/>
              </w:trPr>
              <w:tc>
                <w:tcPr>
                  <w:tcW w:w="631" w:type="pct"/>
                  <w:vAlign w:val="center"/>
                </w:tcPr>
                <w:p w14:paraId="53230949">
                  <w:pPr>
                    <w:adjustRightInd w:val="0"/>
                    <w:snapToGrid w:val="0"/>
                    <w:spacing w:line="240" w:lineRule="auto"/>
                    <w:ind w:firstLine="0" w:firstLineChars="0"/>
                    <w:jc w:val="both"/>
                    <w:rPr>
                      <w:rFonts w:hint="default" w:ascii="Times New Roman" w:hAnsi="Times New Roman" w:eastAsia="宋体" w:cs="Times New Roman"/>
                      <w:color w:val="000000" w:themeColor="text1"/>
                      <w:sz w:val="21"/>
                      <w14:textFill>
                        <w14:solidFill>
                          <w14:schemeClr w14:val="tx1"/>
                        </w14:solidFill>
                      </w14:textFill>
                    </w:rPr>
                  </w:pPr>
                  <w:r>
                    <w:rPr>
                      <w:rFonts w:hint="default" w:ascii="Times New Roman" w:hAnsi="Times New Roman" w:eastAsia="宋体" w:cs="Times New Roman"/>
                      <w:color w:val="000000" w:themeColor="text1"/>
                      <w:sz w:val="21"/>
                      <w14:textFill>
                        <w14:solidFill>
                          <w14:schemeClr w14:val="tx1"/>
                        </w14:solidFill>
                      </w14:textFill>
                    </w:rPr>
                    <w:t>环境风险</w:t>
                  </w:r>
                </w:p>
              </w:tc>
              <w:tc>
                <w:tcPr>
                  <w:tcW w:w="2420" w:type="pct"/>
                  <w:vAlign w:val="center"/>
                </w:tcPr>
                <w:p w14:paraId="062AFD16">
                  <w:pPr>
                    <w:adjustRightInd w:val="0"/>
                    <w:snapToGrid w:val="0"/>
                    <w:spacing w:line="240" w:lineRule="auto"/>
                    <w:ind w:firstLine="0" w:firstLineChars="0"/>
                    <w:jc w:val="both"/>
                    <w:rPr>
                      <w:rFonts w:hint="default" w:ascii="Times New Roman" w:hAnsi="Times New Roman" w:eastAsia="宋体" w:cs="Times New Roman"/>
                      <w:color w:val="000000" w:themeColor="text1"/>
                      <w:sz w:val="21"/>
                      <w14:textFill>
                        <w14:solidFill>
                          <w14:schemeClr w14:val="tx1"/>
                        </w14:solidFill>
                      </w14:textFill>
                    </w:rPr>
                  </w:pPr>
                  <w:r>
                    <w:rPr>
                      <w:rFonts w:hint="default" w:ascii="Times New Roman" w:hAnsi="Times New Roman" w:eastAsia="宋体" w:cs="Times New Roman"/>
                      <w:color w:val="000000" w:themeColor="text1"/>
                      <w:sz w:val="21"/>
                      <w14:textFill>
                        <w14:solidFill>
                          <w14:schemeClr w14:val="tx1"/>
                        </w14:solidFill>
                      </w14:textFill>
                    </w:rPr>
                    <w:t>石油和天然气开采：全部；</w:t>
                  </w:r>
                </w:p>
                <w:p w14:paraId="42F3B49D">
                  <w:pPr>
                    <w:adjustRightInd w:val="0"/>
                    <w:snapToGrid w:val="0"/>
                    <w:spacing w:line="240" w:lineRule="auto"/>
                    <w:ind w:firstLine="0" w:firstLineChars="0"/>
                    <w:jc w:val="both"/>
                    <w:rPr>
                      <w:rFonts w:hint="default" w:ascii="Times New Roman" w:hAnsi="Times New Roman" w:eastAsia="宋体" w:cs="Times New Roman"/>
                      <w:color w:val="000000" w:themeColor="text1"/>
                      <w:sz w:val="21"/>
                      <w14:textFill>
                        <w14:solidFill>
                          <w14:schemeClr w14:val="tx1"/>
                        </w14:solidFill>
                      </w14:textFill>
                    </w:rPr>
                  </w:pPr>
                  <w:r>
                    <w:rPr>
                      <w:rFonts w:hint="default" w:ascii="Times New Roman" w:hAnsi="Times New Roman" w:eastAsia="宋体" w:cs="Times New Roman"/>
                      <w:color w:val="000000" w:themeColor="text1"/>
                      <w:sz w:val="21"/>
                      <w14:textFill>
                        <w14:solidFill>
                          <w14:schemeClr w14:val="tx1"/>
                        </w14:solidFill>
                      </w14:textFill>
                    </w:rPr>
                    <w:t>油气、液体化工码头：全部；</w:t>
                  </w:r>
                </w:p>
                <w:p w14:paraId="0D66A953">
                  <w:pPr>
                    <w:adjustRightInd w:val="0"/>
                    <w:snapToGrid w:val="0"/>
                    <w:spacing w:line="240" w:lineRule="auto"/>
                    <w:ind w:firstLine="0" w:firstLineChars="0"/>
                    <w:jc w:val="both"/>
                    <w:rPr>
                      <w:rFonts w:hint="default" w:ascii="Times New Roman" w:hAnsi="Times New Roman" w:eastAsia="宋体" w:cs="Times New Roman"/>
                      <w:color w:val="000000" w:themeColor="text1"/>
                      <w:sz w:val="21"/>
                      <w14:textFill>
                        <w14:solidFill>
                          <w14:schemeClr w14:val="tx1"/>
                        </w14:solidFill>
                      </w14:textFill>
                    </w:rPr>
                  </w:pPr>
                  <w:r>
                    <w:rPr>
                      <w:rFonts w:hint="default" w:ascii="Times New Roman" w:hAnsi="Times New Roman" w:eastAsia="宋体" w:cs="Times New Roman"/>
                      <w:color w:val="000000" w:themeColor="text1"/>
                      <w:sz w:val="21"/>
                      <w14:textFill>
                        <w14:solidFill>
                          <w14:schemeClr w14:val="tx1"/>
                        </w14:solidFill>
                      </w14:textFill>
                    </w:rPr>
                    <w:t>原油、成品油、天然气管线（不含城镇天然气管线、企业厂区内管线），危险化学品输送管线（不含企业厂区内管线）：全部</w:t>
                  </w:r>
                </w:p>
              </w:tc>
              <w:tc>
                <w:tcPr>
                  <w:tcW w:w="1421" w:type="pct"/>
                  <w:vAlign w:val="center"/>
                </w:tcPr>
                <w:p w14:paraId="752DEE11">
                  <w:pPr>
                    <w:adjustRightInd w:val="0"/>
                    <w:snapToGrid w:val="0"/>
                    <w:spacing w:line="240" w:lineRule="auto"/>
                    <w:ind w:firstLine="0" w:firstLineChars="0"/>
                    <w:jc w:val="both"/>
                    <w:rPr>
                      <w:rFonts w:hint="default" w:ascii="Times New Roman" w:hAnsi="Times New Roman" w:eastAsia="宋体" w:cs="Times New Roman"/>
                      <w:color w:val="000000" w:themeColor="text1"/>
                      <w:sz w:val="21"/>
                      <w14:textFill>
                        <w14:solidFill>
                          <w14:schemeClr w14:val="tx1"/>
                        </w14:solidFill>
                      </w14:textFill>
                    </w:rPr>
                  </w:pPr>
                  <w:r>
                    <w:rPr>
                      <w:rFonts w:hint="default" w:ascii="Times New Roman" w:hAnsi="Times New Roman" w:eastAsia="宋体" w:cs="Times New Roman"/>
                      <w:color w:val="000000" w:themeColor="text1"/>
                      <w:sz w:val="21"/>
                      <w14:textFill>
                        <w14:solidFill>
                          <w14:schemeClr w14:val="tx1"/>
                        </w14:solidFill>
                      </w14:textFill>
                    </w:rPr>
                    <w:t>本项目不涉及</w:t>
                  </w:r>
                </w:p>
              </w:tc>
              <w:tc>
                <w:tcPr>
                  <w:tcW w:w="526" w:type="pct"/>
                  <w:vAlign w:val="center"/>
                </w:tcPr>
                <w:p w14:paraId="06057509">
                  <w:pPr>
                    <w:adjustRightInd w:val="0"/>
                    <w:snapToGrid w:val="0"/>
                    <w:spacing w:line="240" w:lineRule="auto"/>
                    <w:ind w:firstLine="0" w:firstLineChars="0"/>
                    <w:jc w:val="both"/>
                    <w:rPr>
                      <w:rFonts w:hint="default" w:ascii="Times New Roman" w:hAnsi="Times New Roman" w:eastAsia="宋体" w:cs="Times New Roman"/>
                      <w:color w:val="000000" w:themeColor="text1"/>
                      <w:sz w:val="21"/>
                      <w14:textFill>
                        <w14:solidFill>
                          <w14:schemeClr w14:val="tx1"/>
                        </w14:solidFill>
                      </w14:textFill>
                    </w:rPr>
                  </w:pPr>
                  <w:r>
                    <w:rPr>
                      <w:rFonts w:hint="default" w:ascii="Times New Roman" w:hAnsi="Times New Roman" w:eastAsia="宋体" w:cs="Times New Roman"/>
                      <w:color w:val="000000" w:themeColor="text1"/>
                      <w:sz w:val="21"/>
                      <w14:textFill>
                        <w14:solidFill>
                          <w14:schemeClr w14:val="tx1"/>
                        </w14:solidFill>
                      </w14:textFill>
                    </w:rPr>
                    <w:t>否</w:t>
                  </w:r>
                </w:p>
              </w:tc>
            </w:tr>
          </w:tbl>
          <w:p w14:paraId="77FD2D52">
            <w:pPr>
              <w:spacing w:after="120" w:afterLines="50" w:line="240" w:lineRule="auto"/>
              <w:ind w:left="0" w:leftChars="0" w:firstLine="0" w:firstLineChars="0"/>
              <w:jc w:val="both"/>
              <w:rPr>
                <w:rFonts w:hint="default" w:ascii="Times New Roman" w:hAnsi="Times New Roman" w:eastAsia="宋体" w:cs="Times New Roman"/>
                <w:color w:val="000000" w:themeColor="text1"/>
                <w:kern w:val="0"/>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注：“涉及环境敏感区”是指建设项目位于、穿（跨）越（无害化通过的除外）环境敏感区，或环境影响范围涵盖环境敏感区。环境敏感区是指《建设项目环境影响评价分类管理名录》中针对该类项目所列的敏感区。</w:t>
            </w:r>
          </w:p>
        </w:tc>
      </w:tr>
      <w:tr w14:paraId="08E3E4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gridAfter w:val="1"/>
          <w:wAfter w:w="12" w:type="pct"/>
          <w:trHeight w:val="48" w:hRule="atLeast"/>
        </w:trPr>
        <w:tc>
          <w:tcPr>
            <w:tcW w:w="1025" w:type="pct"/>
            <w:gridSpan w:val="2"/>
            <w:tcMar>
              <w:top w:w="16" w:type="dxa"/>
              <w:left w:w="16" w:type="dxa"/>
              <w:right w:w="16" w:type="dxa"/>
            </w:tcMar>
            <w:vAlign w:val="center"/>
          </w:tcPr>
          <w:p w14:paraId="09F05C1E">
            <w:pPr>
              <w:autoSpaceDE w:val="0"/>
              <w:autoSpaceDN w:val="0"/>
              <w:adjustRightInd w:val="0"/>
              <w:snapToGrid w:val="0"/>
              <w:spacing w:line="240" w:lineRule="auto"/>
              <w:ind w:firstLine="0" w:firstLineChars="0"/>
              <w:jc w:val="both"/>
              <w:rPr>
                <w:rFonts w:hint="default" w:ascii="Times New Roman" w:hAnsi="Times New Roman" w:eastAsia="宋体" w:cs="Times New Roman"/>
                <w:color w:val="000000" w:themeColor="text1"/>
                <w:kern w:val="0"/>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规划情况</w:t>
            </w:r>
          </w:p>
        </w:tc>
        <w:tc>
          <w:tcPr>
            <w:tcW w:w="3961" w:type="pct"/>
            <w:gridSpan w:val="3"/>
            <w:tcMar>
              <w:top w:w="16" w:type="dxa"/>
              <w:left w:w="16" w:type="dxa"/>
              <w:right w:w="16" w:type="dxa"/>
            </w:tcMar>
          </w:tcPr>
          <w:p w14:paraId="62DCACD5">
            <w:pPr>
              <w:keepNext w:val="0"/>
              <w:keepLines w:val="0"/>
              <w:pageBreakBefore w:val="0"/>
              <w:widowControl w:val="0"/>
              <w:kinsoku/>
              <w:wordWrap/>
              <w:overflowPunct/>
              <w:topLinePunct w:val="0"/>
              <w:bidi w:val="0"/>
              <w:adjustRightInd w:val="0"/>
              <w:snapToGrid w:val="0"/>
              <w:ind w:firstLine="0" w:firstLineChars="0"/>
              <w:jc w:val="both"/>
              <w:textAlignment w:val="auto"/>
              <w:rPr>
                <w:rFonts w:hint="default" w:ascii="Times New Roman" w:hAnsi="Times New Roman" w:eastAsia="宋体" w:cs="Times New Roman"/>
                <w:color w:val="000000" w:themeColor="text1"/>
                <w:kern w:val="0"/>
                <w:lang w:eastAsia="zh-CN"/>
                <w14:textFill>
                  <w14:solidFill>
                    <w14:schemeClr w14:val="tx1"/>
                  </w14:solidFill>
                </w14:textFill>
              </w:rPr>
            </w:pPr>
          </w:p>
          <w:p w14:paraId="0EEFE737">
            <w:pPr>
              <w:keepNext w:val="0"/>
              <w:keepLines w:val="0"/>
              <w:pageBreakBefore w:val="0"/>
              <w:widowControl w:val="0"/>
              <w:kinsoku/>
              <w:wordWrap/>
              <w:overflowPunct/>
              <w:topLinePunct w:val="0"/>
              <w:bidi w:val="0"/>
              <w:adjustRightInd w:val="0"/>
              <w:snapToGrid w:val="0"/>
              <w:ind w:firstLine="3600" w:firstLineChars="1500"/>
              <w:jc w:val="both"/>
              <w:textAlignment w:val="auto"/>
              <w:rPr>
                <w:rFonts w:hint="default" w:ascii="Times New Roman" w:hAnsi="Times New Roman" w:eastAsia="宋体" w:cs="Times New Roman"/>
                <w:color w:val="000000" w:themeColor="text1"/>
                <w:kern w:val="0"/>
                <w:lang w:eastAsia="zh-CN"/>
                <w14:textFill>
                  <w14:solidFill>
                    <w14:schemeClr w14:val="tx1"/>
                  </w14:solidFill>
                </w14:textFill>
              </w:rPr>
            </w:pPr>
            <w:r>
              <w:rPr>
                <w:rFonts w:hint="default" w:ascii="Times New Roman" w:hAnsi="Times New Roman" w:eastAsia="宋体" w:cs="Times New Roman"/>
                <w:color w:val="000000" w:themeColor="text1"/>
                <w:kern w:val="0"/>
                <w:lang w:eastAsia="zh-CN"/>
                <w14:textFill>
                  <w14:solidFill>
                    <w14:schemeClr w14:val="tx1"/>
                  </w14:solidFill>
                </w14:textFill>
              </w:rPr>
              <w:t>无</w:t>
            </w:r>
          </w:p>
        </w:tc>
      </w:tr>
      <w:tr w14:paraId="255E17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gridAfter w:val="1"/>
          <w:wAfter w:w="12" w:type="pct"/>
          <w:trHeight w:val="54" w:hRule="atLeast"/>
        </w:trPr>
        <w:tc>
          <w:tcPr>
            <w:tcW w:w="1025" w:type="pct"/>
            <w:gridSpan w:val="2"/>
            <w:tcMar>
              <w:top w:w="16" w:type="dxa"/>
              <w:left w:w="16" w:type="dxa"/>
              <w:right w:w="16" w:type="dxa"/>
            </w:tcMar>
            <w:vAlign w:val="center"/>
          </w:tcPr>
          <w:p w14:paraId="2884A5FB">
            <w:pPr>
              <w:autoSpaceDE w:val="0"/>
              <w:autoSpaceDN w:val="0"/>
              <w:adjustRightInd w:val="0"/>
              <w:snapToGrid w:val="0"/>
              <w:spacing w:line="240" w:lineRule="auto"/>
              <w:ind w:firstLine="0" w:firstLineChars="0"/>
              <w:jc w:val="both"/>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规划环境影响</w:t>
            </w:r>
          </w:p>
          <w:p w14:paraId="63918228">
            <w:pPr>
              <w:autoSpaceDE w:val="0"/>
              <w:autoSpaceDN w:val="0"/>
              <w:adjustRightInd w:val="0"/>
              <w:snapToGrid w:val="0"/>
              <w:spacing w:line="240" w:lineRule="auto"/>
              <w:ind w:firstLine="0" w:firstLineChars="0"/>
              <w:jc w:val="both"/>
              <w:rPr>
                <w:rFonts w:hint="default" w:ascii="Times New Roman" w:hAnsi="Times New Roman" w:eastAsia="宋体" w:cs="Times New Roman"/>
                <w:color w:val="000000" w:themeColor="text1"/>
                <w:kern w:val="0"/>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评价情况</w:t>
            </w:r>
          </w:p>
        </w:tc>
        <w:tc>
          <w:tcPr>
            <w:tcW w:w="3961" w:type="pct"/>
            <w:gridSpan w:val="3"/>
            <w:tcMar>
              <w:top w:w="16" w:type="dxa"/>
              <w:left w:w="16" w:type="dxa"/>
              <w:right w:w="16" w:type="dxa"/>
            </w:tcMar>
            <w:vAlign w:val="center"/>
          </w:tcPr>
          <w:p w14:paraId="7D20B502">
            <w:pPr>
              <w:keepNext w:val="0"/>
              <w:keepLines w:val="0"/>
              <w:pageBreakBefore w:val="0"/>
              <w:widowControl w:val="0"/>
              <w:kinsoku/>
              <w:wordWrap/>
              <w:overflowPunct/>
              <w:topLinePunct w:val="0"/>
              <w:bidi w:val="0"/>
              <w:adjustRightInd w:val="0"/>
              <w:snapToGrid w:val="0"/>
              <w:ind w:left="0" w:leftChars="0" w:firstLine="0" w:firstLineChars="0"/>
              <w:jc w:val="both"/>
              <w:textAlignment w:val="auto"/>
              <w:rPr>
                <w:rFonts w:hint="default" w:ascii="Times New Roman" w:hAnsi="Times New Roman" w:eastAsia="宋体" w:cs="Times New Roman"/>
                <w:color w:val="000000" w:themeColor="text1"/>
                <w:kern w:val="0"/>
                <w14:textFill>
                  <w14:solidFill>
                    <w14:schemeClr w14:val="tx1"/>
                  </w14:solidFill>
                </w14:textFill>
              </w:rPr>
            </w:pPr>
          </w:p>
          <w:p w14:paraId="3E620949">
            <w:pPr>
              <w:keepNext w:val="0"/>
              <w:keepLines w:val="0"/>
              <w:pageBreakBefore w:val="0"/>
              <w:widowControl w:val="0"/>
              <w:kinsoku/>
              <w:wordWrap/>
              <w:overflowPunct/>
              <w:topLinePunct w:val="0"/>
              <w:bidi w:val="0"/>
              <w:adjustRightInd w:val="0"/>
              <w:snapToGrid w:val="0"/>
              <w:ind w:left="0" w:leftChars="0" w:firstLine="3600" w:firstLineChars="1500"/>
              <w:jc w:val="both"/>
              <w:textAlignment w:val="auto"/>
              <w:rPr>
                <w:rFonts w:hint="default" w:ascii="Times New Roman" w:hAnsi="Times New Roman" w:eastAsia="宋体" w:cs="Times New Roman"/>
                <w:color w:val="000000" w:themeColor="text1"/>
                <w:kern w:val="0"/>
                <w14:textFill>
                  <w14:solidFill>
                    <w14:schemeClr w14:val="tx1"/>
                  </w14:solidFill>
                </w14:textFill>
              </w:rPr>
            </w:pPr>
            <w:r>
              <w:rPr>
                <w:rFonts w:hint="default" w:ascii="Times New Roman" w:hAnsi="Times New Roman" w:eastAsia="宋体" w:cs="Times New Roman"/>
                <w:color w:val="000000" w:themeColor="text1"/>
                <w:kern w:val="0"/>
                <w14:textFill>
                  <w14:solidFill>
                    <w14:schemeClr w14:val="tx1"/>
                  </w14:solidFill>
                </w14:textFill>
              </w:rPr>
              <w:t>无</w:t>
            </w:r>
          </w:p>
        </w:tc>
      </w:tr>
      <w:tr w14:paraId="315991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gridAfter w:val="1"/>
          <w:wAfter w:w="12" w:type="pct"/>
          <w:trHeight w:val="1557" w:hRule="atLeast"/>
        </w:trPr>
        <w:tc>
          <w:tcPr>
            <w:tcW w:w="1025" w:type="pct"/>
            <w:gridSpan w:val="2"/>
            <w:tcMar>
              <w:top w:w="16" w:type="dxa"/>
              <w:left w:w="16" w:type="dxa"/>
              <w:right w:w="16" w:type="dxa"/>
            </w:tcMar>
            <w:vAlign w:val="center"/>
          </w:tcPr>
          <w:p w14:paraId="00434650">
            <w:pPr>
              <w:autoSpaceDE w:val="0"/>
              <w:autoSpaceDN w:val="0"/>
              <w:adjustRightInd w:val="0"/>
              <w:snapToGrid w:val="0"/>
              <w:spacing w:line="240" w:lineRule="auto"/>
              <w:ind w:firstLine="0" w:firstLineChars="0"/>
              <w:jc w:val="both"/>
              <w:rPr>
                <w:rFonts w:hint="default" w:ascii="Times New Roman" w:hAnsi="Times New Roman" w:eastAsia="宋体" w:cs="Times New Roman"/>
                <w:color w:val="000000" w:themeColor="text1"/>
                <w:kern w:val="0"/>
                <w14:textFill>
                  <w14:solidFill>
                    <w14:schemeClr w14:val="tx1"/>
                  </w14:solidFill>
                </w14:textFill>
              </w:rPr>
            </w:pPr>
            <w:r>
              <w:rPr>
                <w:rFonts w:hint="default" w:ascii="Times New Roman" w:hAnsi="Times New Roman" w:eastAsia="宋体" w:cs="Times New Roman"/>
                <w:color w:val="000000" w:themeColor="text1"/>
                <w:kern w:val="0"/>
                <w14:textFill>
                  <w14:solidFill>
                    <w14:schemeClr w14:val="tx1"/>
                  </w14:solidFill>
                </w14:textFill>
              </w:rPr>
              <w:t>规划及</w:t>
            </w:r>
            <w:r>
              <w:rPr>
                <w:rFonts w:hint="default" w:ascii="Times New Roman" w:hAnsi="Times New Roman" w:eastAsia="宋体" w:cs="Times New Roman"/>
                <w:color w:val="000000" w:themeColor="text1"/>
                <w14:textFill>
                  <w14:solidFill>
                    <w14:schemeClr w14:val="tx1"/>
                  </w14:solidFill>
                </w14:textFill>
              </w:rPr>
              <w:t>规划环境影响评价</w:t>
            </w:r>
            <w:r>
              <w:rPr>
                <w:rFonts w:hint="default" w:ascii="Times New Roman" w:hAnsi="Times New Roman" w:eastAsia="宋体" w:cs="Times New Roman"/>
                <w:color w:val="000000" w:themeColor="text1"/>
                <w:kern w:val="0"/>
                <w14:textFill>
                  <w14:solidFill>
                    <w14:schemeClr w14:val="tx1"/>
                  </w14:solidFill>
                </w14:textFill>
              </w:rPr>
              <w:t>符合性分析</w:t>
            </w:r>
          </w:p>
        </w:tc>
        <w:tc>
          <w:tcPr>
            <w:tcW w:w="3961" w:type="pct"/>
            <w:gridSpan w:val="3"/>
            <w:tcMar>
              <w:top w:w="16" w:type="dxa"/>
              <w:left w:w="16" w:type="dxa"/>
              <w:right w:w="16" w:type="dxa"/>
            </w:tcMar>
            <w:vAlign w:val="center"/>
          </w:tcPr>
          <w:p w14:paraId="6D08865F">
            <w:pPr>
              <w:keepNext w:val="0"/>
              <w:keepLines w:val="0"/>
              <w:pageBreakBefore w:val="0"/>
              <w:widowControl w:val="0"/>
              <w:kinsoku/>
              <w:wordWrap/>
              <w:overflowPunct/>
              <w:topLinePunct w:val="0"/>
              <w:bidi w:val="0"/>
              <w:adjustRightInd w:val="0"/>
              <w:snapToGrid w:val="0"/>
              <w:ind w:left="0" w:leftChars="0" w:firstLine="3640" w:firstLineChars="1400"/>
              <w:jc w:val="both"/>
              <w:textAlignment w:val="auto"/>
              <w:rPr>
                <w:rFonts w:hint="default" w:ascii="Times New Roman" w:hAnsi="Times New Roman" w:eastAsia="宋体" w:cs="Times New Roman"/>
                <w:color w:val="000000" w:themeColor="text1"/>
                <w:spacing w:val="10"/>
                <w:kern w:val="0"/>
                <w:lang w:val="en-US" w:eastAsia="zh-CN"/>
                <w14:textFill>
                  <w14:solidFill>
                    <w14:schemeClr w14:val="tx1"/>
                  </w14:solidFill>
                </w14:textFill>
              </w:rPr>
            </w:pPr>
            <w:r>
              <w:rPr>
                <w:rFonts w:hint="default" w:ascii="Times New Roman" w:hAnsi="Times New Roman" w:eastAsia="宋体" w:cs="Times New Roman"/>
                <w:color w:val="000000" w:themeColor="text1"/>
                <w:spacing w:val="10"/>
                <w:kern w:val="0"/>
                <w:lang w:eastAsia="zh-CN"/>
                <w14:textFill>
                  <w14:solidFill>
                    <w14:schemeClr w14:val="tx1"/>
                  </w14:solidFill>
                </w14:textFill>
              </w:rPr>
              <w:t>无</w:t>
            </w:r>
          </w:p>
        </w:tc>
      </w:tr>
      <w:tr w14:paraId="01035F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3431" w:hRule="atLeast"/>
        </w:trPr>
        <w:tc>
          <w:tcPr>
            <w:tcW w:w="359" w:type="pct"/>
            <w:tcMar>
              <w:top w:w="16" w:type="dxa"/>
              <w:left w:w="16" w:type="dxa"/>
              <w:right w:w="16" w:type="dxa"/>
            </w:tcMar>
            <w:vAlign w:val="center"/>
          </w:tcPr>
          <w:p w14:paraId="71B94DA7">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kern w:val="0"/>
                <w14:textFill>
                  <w14:solidFill>
                    <w14:schemeClr w14:val="tx1"/>
                  </w14:solidFill>
                </w14:textFill>
              </w:rPr>
            </w:pPr>
            <w:bookmarkStart w:id="2" w:name="_Hlk56690880"/>
            <w:r>
              <w:rPr>
                <w:rFonts w:hint="default" w:ascii="Times New Roman" w:hAnsi="Times New Roman" w:eastAsia="宋体" w:cs="Times New Roman"/>
                <w:color w:val="000000" w:themeColor="text1"/>
                <w:kern w:val="0"/>
                <w14:textFill>
                  <w14:solidFill>
                    <w14:schemeClr w14:val="tx1"/>
                  </w14:solidFill>
                </w14:textFill>
              </w:rPr>
              <w:t>其他符合性分析</w:t>
            </w:r>
            <w:bookmarkEnd w:id="2"/>
          </w:p>
        </w:tc>
        <w:tc>
          <w:tcPr>
            <w:tcW w:w="4640" w:type="pct"/>
            <w:gridSpan w:val="5"/>
            <w:tcMar>
              <w:top w:w="16" w:type="dxa"/>
              <w:left w:w="16" w:type="dxa"/>
              <w:right w:w="16" w:type="dxa"/>
            </w:tcMar>
            <w:vAlign w:val="center"/>
          </w:tcPr>
          <w:p w14:paraId="17637617">
            <w:pPr>
              <w:autoSpaceDE w:val="0"/>
              <w:autoSpaceDN w:val="0"/>
              <w:adjustRightInd w:val="0"/>
              <w:snapToGrid w:val="0"/>
              <w:ind w:left="0" w:leftChars="0" w:firstLine="482" w:firstLineChars="200"/>
              <w:jc w:val="both"/>
              <w:rPr>
                <w:rFonts w:hint="default" w:ascii="Times New Roman" w:hAnsi="Times New Roman" w:eastAsia="宋体" w:cs="Times New Roman"/>
                <w:b/>
                <w:bCs/>
                <w:color w:val="000000" w:themeColor="text1"/>
                <w:kern w:val="0"/>
                <w14:textFill>
                  <w14:solidFill>
                    <w14:schemeClr w14:val="tx1"/>
                  </w14:solidFill>
                </w14:textFill>
              </w:rPr>
            </w:pPr>
            <w:r>
              <w:rPr>
                <w:rFonts w:hint="default" w:ascii="Times New Roman" w:hAnsi="Times New Roman" w:eastAsia="宋体" w:cs="Times New Roman"/>
                <w:b/>
                <w:bCs/>
                <w:color w:val="000000" w:themeColor="text1"/>
                <w:kern w:val="0"/>
                <w14:textFill>
                  <w14:solidFill>
                    <w14:schemeClr w14:val="tx1"/>
                  </w14:solidFill>
                </w14:textFill>
              </w:rPr>
              <w:t>1、产业政策符合性</w:t>
            </w:r>
          </w:p>
          <w:p w14:paraId="23BD875E">
            <w:pPr>
              <w:ind w:firstLine="480"/>
              <w:jc w:val="both"/>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本项目主要为农产品、药材种植</w:t>
            </w:r>
            <w:r>
              <w:rPr>
                <w:rFonts w:hint="default" w:ascii="Times New Roman" w:hAnsi="Times New Roman" w:eastAsia="宋体" w:cs="Times New Roman"/>
                <w:color w:val="000000" w:themeColor="text1"/>
                <w:lang w:val="en-US" w:eastAsia="zh-CN"/>
                <w14:textFill>
                  <w14:solidFill>
                    <w14:schemeClr w14:val="tx1"/>
                  </w14:solidFill>
                </w14:textFill>
              </w:rPr>
              <w:t>项目</w:t>
            </w:r>
            <w:r>
              <w:rPr>
                <w:rFonts w:hint="default" w:ascii="Times New Roman" w:hAnsi="Times New Roman" w:eastAsia="宋体" w:cs="Times New Roman"/>
                <w:color w:val="000000" w:themeColor="text1"/>
                <w:sz w:val="24"/>
                <w:lang w:val="en-US" w:eastAsia="zh-CN"/>
                <w14:textFill>
                  <w14:solidFill>
                    <w14:schemeClr w14:val="tx1"/>
                  </w14:solidFill>
                </w14:textFill>
              </w:rPr>
              <w:t>，根据</w:t>
            </w:r>
            <w:r>
              <w:rPr>
                <w:rFonts w:hint="default" w:ascii="Times New Roman" w:hAnsi="Times New Roman" w:eastAsia="宋体" w:cs="Times New Roman"/>
                <w:color w:val="000000" w:themeColor="text1"/>
                <w:sz w:val="24"/>
                <w14:textFill>
                  <w14:solidFill>
                    <w14:schemeClr w14:val="tx1"/>
                  </w14:solidFill>
                </w14:textFill>
              </w:rPr>
              <w:t>《产业结构调整指导目录（20</w:t>
            </w:r>
            <w:r>
              <w:rPr>
                <w:rFonts w:hint="default" w:ascii="Times New Roman" w:hAnsi="Times New Roman" w:eastAsia="宋体" w:cs="Times New Roman"/>
                <w:color w:val="000000" w:themeColor="text1"/>
                <w:sz w:val="24"/>
                <w:lang w:val="en-US" w:eastAsia="zh-CN"/>
                <w14:textFill>
                  <w14:solidFill>
                    <w14:schemeClr w14:val="tx1"/>
                  </w14:solidFill>
                </w14:textFill>
              </w:rPr>
              <w:t>24</w:t>
            </w:r>
            <w:r>
              <w:rPr>
                <w:rFonts w:hint="default" w:ascii="Times New Roman" w:hAnsi="Times New Roman" w:eastAsia="宋体" w:cs="Times New Roman"/>
                <w:color w:val="000000" w:themeColor="text1"/>
                <w:sz w:val="24"/>
                <w14:textFill>
                  <w14:solidFill>
                    <w14:schemeClr w14:val="tx1"/>
                  </w14:solidFill>
                </w14:textFill>
              </w:rPr>
              <w:t>年本）》，本项目</w:t>
            </w:r>
            <w:r>
              <w:rPr>
                <w:rFonts w:hint="default" w:ascii="Times New Roman" w:hAnsi="Times New Roman" w:eastAsia="宋体" w:cs="Times New Roman"/>
                <w:color w:val="000000" w:themeColor="text1"/>
                <w:sz w:val="24"/>
                <w:lang w:eastAsia="zh-CN"/>
                <w14:textFill>
                  <w14:solidFill>
                    <w14:schemeClr w14:val="tx1"/>
                  </w14:solidFill>
                </w14:textFill>
              </w:rPr>
              <w:t>属于鼓励类“一、农林牧渔业”中</w:t>
            </w:r>
            <w:r>
              <w:rPr>
                <w:rFonts w:hint="default" w:ascii="Times New Roman" w:hAnsi="Times New Roman" w:eastAsia="宋体" w:cs="Times New Roman"/>
                <w:color w:val="000000" w:themeColor="text1"/>
                <w:sz w:val="24"/>
                <w:lang w:val="en-US" w:eastAsia="zh-CN"/>
                <w14:textFill>
                  <w14:solidFill>
                    <w14:schemeClr w14:val="tx1"/>
                  </w14:solidFill>
                </w14:textFill>
              </w:rPr>
              <w:t>第6项</w:t>
            </w:r>
            <w:r>
              <w:rPr>
                <w:rFonts w:hint="default" w:ascii="Times New Roman" w:hAnsi="Times New Roman" w:eastAsia="宋体" w:cs="Times New Roman"/>
                <w:color w:val="000000" w:themeColor="text1"/>
                <w:sz w:val="24"/>
                <w:szCs w:val="24"/>
                <w14:textFill>
                  <w14:solidFill>
                    <w14:schemeClr w14:val="tx1"/>
                  </w14:solidFill>
                </w14:textFill>
              </w:rPr>
              <w:t>智慧农业及新型农业技术开发</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中的</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蔬菜、瓜果、花卉设施栽培（含无土栽培）先进技术开发与应用</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及“</w:t>
            </w:r>
            <w:r>
              <w:rPr>
                <w:rFonts w:hint="default" w:ascii="Times New Roman" w:hAnsi="Times New Roman" w:eastAsia="宋体" w:cs="Times New Roman"/>
                <w:color w:val="000000" w:themeColor="text1"/>
                <w:sz w:val="24"/>
                <w:szCs w:val="24"/>
                <w14:textFill>
                  <w14:solidFill>
                    <w14:schemeClr w14:val="tx1"/>
                  </w14:solidFill>
                </w14:textFill>
              </w:rPr>
              <w:t>优质、高产、高效标准化栽培技术开发与应用，农业生物技术开发与应用</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color w:val="000000" w:themeColor="text1"/>
                <w:sz w:val="24"/>
                <w:lang w:val="en-US" w:eastAsia="zh-CN"/>
                <w14:textFill>
                  <w14:solidFill>
                    <w14:schemeClr w14:val="tx1"/>
                  </w14:solidFill>
                </w14:textFill>
              </w:rPr>
              <w:t>第16项药材种植与养殖中的“中药材生态种植、野生抚育和仿野生栽培，珍稀濒危动植物药材培育与养殖”。因此本工程建设符合国家产业政策。</w:t>
            </w:r>
          </w:p>
          <w:p w14:paraId="653F0C8F">
            <w:pPr>
              <w:ind w:firstLine="480"/>
              <w:jc w:val="both"/>
              <w:rPr>
                <w:rFonts w:hint="default" w:ascii="Times New Roman" w:hAnsi="Times New Roman" w:eastAsia="宋体" w:cs="Times New Roman"/>
                <w:color w:val="000000" w:themeColor="text1"/>
                <w:sz w:val="24"/>
                <w14:textFill>
                  <w14:solidFill>
                    <w14:schemeClr w14:val="tx1"/>
                  </w14:solidFill>
                </w14:textFill>
              </w:rPr>
            </w:pPr>
            <w:r>
              <w:rPr>
                <w:rFonts w:hint="default" w:ascii="Times New Roman" w:hAnsi="Times New Roman" w:eastAsia="宋体" w:cs="Times New Roman"/>
                <w:color w:val="000000" w:themeColor="text1"/>
                <w:sz w:val="24"/>
                <w:lang w:eastAsia="zh-CN"/>
                <w14:textFill>
                  <w14:solidFill>
                    <w14:schemeClr w14:val="tx1"/>
                  </w14:solidFill>
                </w14:textFill>
              </w:rPr>
              <w:t>项目已</w:t>
            </w:r>
            <w:r>
              <w:rPr>
                <w:rFonts w:hint="default" w:ascii="Times New Roman" w:hAnsi="Times New Roman" w:eastAsia="宋体" w:cs="Times New Roman"/>
                <w:color w:val="000000" w:themeColor="text1"/>
                <w:sz w:val="24"/>
                <w:lang w:val="en-US" w:eastAsia="zh-CN"/>
                <w14:textFill>
                  <w14:solidFill>
                    <w14:schemeClr w14:val="tx1"/>
                  </w14:solidFill>
                </w14:textFill>
              </w:rPr>
              <w:t>于2025年12月16</w:t>
            </w:r>
            <w:r>
              <w:rPr>
                <w:rFonts w:hint="default" w:ascii="Times New Roman" w:hAnsi="Times New Roman" w:eastAsia="宋体" w:cs="Times New Roman"/>
                <w:color w:val="000000" w:themeColor="text1"/>
                <w:sz w:val="24"/>
                <w:lang w:val="en-US" w:eastAsia="zh-CN"/>
                <w14:textFill>
                  <w14:solidFill>
                    <w14:schemeClr w14:val="tx1"/>
                  </w14:solidFill>
                </w14:textFill>
              </w:rPr>
              <w:t>日</w:t>
            </w:r>
            <w:r>
              <w:rPr>
                <w:rFonts w:hint="default" w:ascii="Times New Roman" w:hAnsi="Times New Roman" w:eastAsia="宋体" w:cs="Times New Roman"/>
                <w:color w:val="000000" w:themeColor="text1"/>
                <w:sz w:val="24"/>
                <w:lang w:eastAsia="zh-CN"/>
                <w14:textFill>
                  <w14:solidFill>
                    <w14:schemeClr w14:val="tx1"/>
                  </w14:solidFill>
                </w14:textFill>
              </w:rPr>
              <w:t>取得了</w:t>
            </w:r>
            <w:r>
              <w:rPr>
                <w:rFonts w:hint="default" w:ascii="Times New Roman" w:hAnsi="Times New Roman" w:eastAsia="宋体" w:cs="Times New Roman"/>
                <w:color w:val="000000" w:themeColor="text1"/>
                <w:sz w:val="24"/>
                <w:lang w:val="en-US" w:eastAsia="zh-CN"/>
                <w14:textFill>
                  <w14:solidFill>
                    <w14:schemeClr w14:val="tx1"/>
                  </w14:solidFill>
                </w14:textFill>
              </w:rPr>
              <w:t>峨山县</w:t>
            </w:r>
            <w:r>
              <w:rPr>
                <w:rFonts w:hint="default" w:ascii="Times New Roman" w:hAnsi="Times New Roman" w:eastAsia="宋体" w:cs="Times New Roman"/>
                <w:color w:val="000000" w:themeColor="text1"/>
                <w:sz w:val="24"/>
                <w14:textFill>
                  <w14:solidFill>
                    <w14:schemeClr w14:val="tx1"/>
                  </w14:solidFill>
                </w14:textFill>
              </w:rPr>
              <w:t>发展和</w:t>
            </w:r>
            <w:r>
              <w:rPr>
                <w:rFonts w:hint="default" w:ascii="Times New Roman" w:hAnsi="Times New Roman" w:eastAsia="宋体" w:cs="Times New Roman"/>
                <w:color w:val="000000" w:themeColor="text1"/>
                <w:sz w:val="24"/>
                <w14:textFill>
                  <w14:solidFill>
                    <w14:schemeClr w14:val="tx1"/>
                  </w14:solidFill>
                </w14:textFill>
              </w:rPr>
              <w:t>改革局签发的投资项目备案证</w:t>
            </w:r>
            <w:r>
              <w:rPr>
                <w:rFonts w:hint="default" w:ascii="Times New Roman" w:hAnsi="Times New Roman" w:eastAsia="宋体" w:cs="Times New Roman"/>
                <w:color w:val="000000" w:themeColor="text1"/>
                <w:sz w:val="24"/>
                <w:lang w:eastAsia="zh-CN"/>
                <w14:textFill>
                  <w14:solidFill>
                    <w14:schemeClr w14:val="tx1"/>
                  </w14:solidFill>
                </w14:textFill>
              </w:rPr>
              <w:t>，</w:t>
            </w:r>
            <w:r>
              <w:rPr>
                <w:rFonts w:hint="default" w:ascii="Times New Roman" w:hAnsi="Times New Roman" w:eastAsia="宋体" w:cs="Times New Roman"/>
                <w:color w:val="000000" w:themeColor="text1"/>
                <w:sz w:val="24"/>
                <w:lang w:val="en-US" w:eastAsia="zh-CN"/>
                <w14:textFill>
                  <w14:solidFill>
                    <w14:schemeClr w14:val="tx1"/>
                  </w14:solidFill>
                </w14:textFill>
              </w:rPr>
              <w:t>备案证编码为</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（2512-530426-04-01-622702），</w:t>
            </w:r>
            <w:r>
              <w:rPr>
                <w:rFonts w:hint="default" w:ascii="Times New Roman" w:hAnsi="Times New Roman" w:eastAsia="宋体" w:cs="Times New Roman"/>
                <w:color w:val="000000" w:themeColor="text1"/>
                <w:sz w:val="24"/>
                <w:lang w:eastAsia="zh-CN"/>
                <w14:textFill>
                  <w14:solidFill>
                    <w14:schemeClr w14:val="tx1"/>
                  </w14:solidFill>
                </w14:textFill>
              </w:rPr>
              <w:t>项目符合国家产业政策</w:t>
            </w:r>
            <w:r>
              <w:rPr>
                <w:rFonts w:hint="default" w:ascii="Times New Roman" w:hAnsi="Times New Roman" w:eastAsia="宋体" w:cs="Times New Roman"/>
                <w:color w:val="000000" w:themeColor="text1"/>
                <w:sz w:val="24"/>
                <w14:textFill>
                  <w14:solidFill>
                    <w14:schemeClr w14:val="tx1"/>
                  </w14:solidFill>
                </w14:textFill>
              </w:rPr>
              <w:t>。</w:t>
            </w:r>
          </w:p>
          <w:p w14:paraId="797DDBEE">
            <w:pPr>
              <w:autoSpaceDE w:val="0"/>
              <w:autoSpaceDN w:val="0"/>
              <w:adjustRightInd w:val="0"/>
              <w:snapToGrid w:val="0"/>
              <w:ind w:left="0" w:leftChars="0" w:firstLine="482" w:firstLineChars="200"/>
              <w:jc w:val="both"/>
              <w:rPr>
                <w:rFonts w:hint="default" w:ascii="Times New Roman" w:hAnsi="Times New Roman" w:eastAsia="宋体" w:cs="Times New Roman"/>
                <w:b/>
                <w:bCs/>
                <w:color w:val="000000" w:themeColor="text1"/>
                <w:kern w:val="0"/>
                <w14:textFill>
                  <w14:solidFill>
                    <w14:schemeClr w14:val="tx1"/>
                  </w14:solidFill>
                </w14:textFill>
              </w:rPr>
            </w:pPr>
            <w:r>
              <w:rPr>
                <w:rFonts w:hint="default" w:ascii="Times New Roman" w:hAnsi="Times New Roman" w:eastAsia="宋体" w:cs="Times New Roman"/>
                <w:b/>
                <w:bCs/>
                <w:color w:val="000000" w:themeColor="text1"/>
                <w:kern w:val="0"/>
                <w:lang w:val="en-US" w:eastAsia="zh-CN"/>
                <w14:textFill>
                  <w14:solidFill>
                    <w14:schemeClr w14:val="tx1"/>
                  </w14:solidFill>
                </w14:textFill>
              </w:rPr>
              <w:t>2</w:t>
            </w:r>
            <w:r>
              <w:rPr>
                <w:rFonts w:hint="default" w:ascii="Times New Roman" w:hAnsi="Times New Roman" w:eastAsia="宋体" w:cs="Times New Roman"/>
                <w:b/>
                <w:bCs/>
                <w:color w:val="000000" w:themeColor="text1"/>
                <w:kern w:val="0"/>
                <w14:textFill>
                  <w14:solidFill>
                    <w14:schemeClr w14:val="tx1"/>
                  </w14:solidFill>
                </w14:textFill>
              </w:rPr>
              <w:t>、与玉溪市“三线一单”生态环境分区管控实施意见的符合性分析</w:t>
            </w:r>
          </w:p>
          <w:p w14:paraId="55FB92CC">
            <w:pPr>
              <w:autoSpaceDE w:val="0"/>
              <w:autoSpaceDN w:val="0"/>
              <w:adjustRightInd w:val="0"/>
              <w:snapToGrid w:val="0"/>
              <w:spacing w:line="360" w:lineRule="auto"/>
              <w:ind w:firstLine="480" w:firstLineChars="200"/>
              <w:jc w:val="both"/>
              <w:rPr>
                <w:rFonts w:hint="default" w:ascii="Times New Roman" w:hAnsi="Times New Roman" w:eastAsia="宋体" w:cs="Times New Roman"/>
                <w:color w:val="000000" w:themeColor="text1"/>
                <w:kern w:val="0"/>
                <w:sz w:val="24"/>
                <w:lang w:eastAsia="zh-CN"/>
                <w14:textFill>
                  <w14:solidFill>
                    <w14:schemeClr w14:val="tx1"/>
                  </w14:solidFill>
                </w14:textFill>
              </w:rPr>
            </w:pPr>
            <w:r>
              <w:rPr>
                <w:rFonts w:hint="default" w:ascii="Times New Roman" w:hAnsi="Times New Roman" w:eastAsia="宋体" w:cs="Times New Roman"/>
                <w:color w:val="000000" w:themeColor="text1"/>
                <w:kern w:val="0"/>
                <w:sz w:val="24"/>
                <w:lang w:eastAsia="zh-CN"/>
                <w14:textFill>
                  <w14:solidFill>
                    <w14:schemeClr w14:val="tx1"/>
                  </w14:solidFill>
                </w14:textFill>
              </w:rPr>
              <w:t>为贯彻落实《玉溪市生态环境局关于印发玉溪市生态环境分区管控动态更新调整方案（2023年）的通知》（玉市环〔2024〕40号）要求。</w:t>
            </w:r>
          </w:p>
          <w:p w14:paraId="11F8B800">
            <w:pPr>
              <w:pStyle w:val="7"/>
              <w:jc w:val="both"/>
              <w:rPr>
                <w:rFonts w:hint="default" w:ascii="Times New Roman" w:hAnsi="Times New Roman" w:eastAsia="宋体" w:cs="Times New Roman"/>
                <w:color w:val="000000" w:themeColor="text1"/>
                <w:sz w:val="24"/>
                <w14:textFill>
                  <w14:solidFill>
                    <w14:schemeClr w14:val="tx1"/>
                  </w14:solidFill>
                </w14:textFill>
              </w:rPr>
            </w:pPr>
            <w:r>
              <w:rPr>
                <w:rFonts w:hint="default" w:ascii="Times New Roman" w:hAnsi="Times New Roman" w:eastAsia="宋体" w:cs="Times New Roman"/>
                <w:color w:val="000000" w:themeColor="text1"/>
                <w:kern w:val="0"/>
                <w:sz w:val="24"/>
                <w:lang w:eastAsia="zh-CN"/>
                <w14:textFill>
                  <w14:solidFill>
                    <w14:schemeClr w14:val="tx1"/>
                  </w14:solidFill>
                </w14:textFill>
              </w:rPr>
              <w:t>根据“云南省生态环境分区管控公共服务查询平台”查询，项目位于</w:t>
            </w:r>
            <w:r>
              <w:rPr>
                <w:rFonts w:hint="default" w:ascii="Times New Roman" w:hAnsi="Times New Roman" w:eastAsia="宋体" w:cs="Times New Roman"/>
                <w:color w:val="000000" w:themeColor="text1"/>
                <w:sz w:val="24"/>
                <w:szCs w:val="24"/>
                <w:u w:val="none"/>
                <w:lang w:val="en-US" w:eastAsia="zh-CN"/>
                <w14:textFill>
                  <w14:solidFill>
                    <w14:schemeClr w14:val="tx1"/>
                  </w14:solidFill>
                </w14:textFill>
              </w:rPr>
              <w:t>玉溪市峨山县塔甸镇大西村委会大西山</w:t>
            </w:r>
            <w:r>
              <w:rPr>
                <w:rFonts w:hint="default" w:ascii="Times New Roman" w:hAnsi="Times New Roman" w:eastAsia="宋体" w:cs="Times New Roman"/>
                <w:color w:val="000000" w:themeColor="text1"/>
                <w:kern w:val="0"/>
                <w:sz w:val="24"/>
                <w:highlight w:val="none"/>
                <w:lang w:eastAsia="zh-CN"/>
                <w14:textFill>
                  <w14:solidFill>
                    <w14:schemeClr w14:val="tx1"/>
                  </w14:solidFill>
                </w14:textFill>
              </w:rPr>
              <w:t>，</w:t>
            </w:r>
            <w:r>
              <w:rPr>
                <w:rFonts w:hint="eastAsia" w:ascii="Times New Roman" w:hAnsi="Times New Roman" w:cs="Times New Roman"/>
                <w:color w:val="000000" w:themeColor="text1"/>
                <w:kern w:val="0"/>
                <w:sz w:val="24"/>
                <w:highlight w:val="none"/>
                <w:lang w:eastAsia="zh-CN"/>
                <w14:textFill>
                  <w14:solidFill>
                    <w14:schemeClr w14:val="tx1"/>
                  </w14:solidFill>
                </w14:textFill>
              </w:rPr>
              <w:t>涉及</w:t>
            </w:r>
            <w:r>
              <w:rPr>
                <w:rFonts w:hint="default" w:ascii="Times New Roman" w:hAnsi="Times New Roman" w:eastAsia="宋体" w:cs="Times New Roman"/>
                <w:color w:val="000000" w:themeColor="text1"/>
                <w:kern w:val="0"/>
                <w:sz w:val="24"/>
                <w:highlight w:val="none"/>
                <w:lang w:eastAsia="zh-CN"/>
                <w14:textFill>
                  <w14:solidFill>
                    <w14:schemeClr w14:val="tx1"/>
                  </w14:solidFill>
                </w14:textFill>
              </w:rPr>
              <w:t>的管控单元主要有：峨山彝族自治县饮用水水源保护区优先保护单元（</w:t>
            </w:r>
            <w:r>
              <w:rPr>
                <w:rFonts w:hint="default" w:ascii="Times New Roman" w:hAnsi="Times New Roman" w:eastAsia="宋体" w:cs="Times New Roman"/>
                <w:color w:val="000000" w:themeColor="text1"/>
                <w:kern w:val="0"/>
                <w:sz w:val="24"/>
                <w:highlight w:val="none"/>
                <w:lang w:val="en-US" w:eastAsia="zh-CN"/>
                <w14:textFill>
                  <w14:solidFill>
                    <w14:schemeClr w14:val="tx1"/>
                  </w14:solidFill>
                </w14:textFill>
              </w:rPr>
              <w:t>编码</w:t>
            </w:r>
            <w:r>
              <w:rPr>
                <w:rFonts w:hint="default" w:ascii="Times New Roman" w:hAnsi="Times New Roman" w:eastAsia="宋体" w:cs="Times New Roman"/>
                <w:color w:val="000000" w:themeColor="text1"/>
                <w:kern w:val="0"/>
                <w:sz w:val="24"/>
                <w:highlight w:val="none"/>
                <w:lang w:eastAsia="zh-CN"/>
                <w14:textFill>
                  <w14:solidFill>
                    <w14:schemeClr w14:val="tx1"/>
                  </w14:solidFill>
                </w14:textFill>
              </w:rPr>
              <w:t>ZH53042610003），峨山彝族自治县一般管控单元（编码ZH53042630001），</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峨山县一般生态空间优先保护单元（编码ZH53042610002</w:t>
            </w:r>
            <w:r>
              <w:rPr>
                <w:rFonts w:hint="default" w:ascii="Times New Roman" w:hAnsi="Times New Roman" w:eastAsia="宋体" w:cs="Times New Roman"/>
                <w:b w:val="0"/>
                <w:bCs w:val="0"/>
                <w:color w:val="000000" w:themeColor="text1"/>
                <w:lang w:val="en-US" w:eastAsia="zh-CN"/>
                <w14:textFill>
                  <w14:solidFill>
                    <w14:schemeClr w14:val="tx1"/>
                  </w14:solidFill>
                </w14:textFill>
              </w:rPr>
              <w:t>）。</w:t>
            </w:r>
            <w:r>
              <w:rPr>
                <w:rFonts w:hint="default" w:ascii="Times New Roman" w:hAnsi="Times New Roman" w:eastAsia="宋体" w:cs="Times New Roman"/>
                <w:color w:val="000000" w:themeColor="text1"/>
                <w:kern w:val="0"/>
                <w:sz w:val="24"/>
                <w:highlight w:val="none"/>
                <w:lang w:eastAsia="zh-CN"/>
                <w14:textFill>
                  <w14:solidFill>
                    <w14:schemeClr w14:val="tx1"/>
                  </w14:solidFill>
                </w14:textFill>
              </w:rPr>
              <w:t>本</w:t>
            </w:r>
            <w:r>
              <w:rPr>
                <w:rFonts w:hint="default" w:ascii="Times New Roman" w:hAnsi="Times New Roman" w:eastAsia="宋体" w:cs="Times New Roman"/>
                <w:color w:val="000000" w:themeColor="text1"/>
                <w:kern w:val="0"/>
                <w:sz w:val="24"/>
                <w:lang w:eastAsia="zh-CN"/>
                <w14:textFill>
                  <w14:solidFill>
                    <w14:schemeClr w14:val="tx1"/>
                  </w14:solidFill>
                </w14:textFill>
              </w:rPr>
              <w:t>项目与分区管控意见相符性分析详见下表。</w:t>
            </w:r>
          </w:p>
          <w:p w14:paraId="0AE489CB">
            <w:pPr>
              <w:spacing w:line="240" w:lineRule="auto"/>
              <w:ind w:firstLine="0" w:firstLineChars="0"/>
              <w:jc w:val="center"/>
              <w:rPr>
                <w:rFonts w:hint="default" w:ascii="Times New Roman" w:hAnsi="Times New Roman" w:eastAsia="宋体" w:cs="Times New Roman"/>
                <w:b/>
                <w:bCs w:val="0"/>
                <w:color w:val="000000" w:themeColor="text1"/>
                <w:sz w:val="21"/>
                <w:szCs w:val="21"/>
                <w14:textFill>
                  <w14:solidFill>
                    <w14:schemeClr w14:val="tx1"/>
                  </w14:solidFill>
                </w14:textFill>
              </w:rPr>
            </w:pPr>
            <w:r>
              <w:rPr>
                <w:rFonts w:hint="default" w:ascii="Times New Roman" w:hAnsi="Times New Roman" w:eastAsia="宋体" w:cs="Times New Roman"/>
                <w:b/>
                <w:bCs w:val="0"/>
                <w:color w:val="000000" w:themeColor="text1"/>
                <w:sz w:val="21"/>
                <w:szCs w:val="21"/>
                <w14:textFill>
                  <w14:solidFill>
                    <w14:schemeClr w14:val="tx1"/>
                  </w14:solidFill>
                </w14:textFill>
              </w:rPr>
              <w:t>表</w:t>
            </w:r>
            <w:r>
              <w:rPr>
                <w:rFonts w:hint="default" w:ascii="Times New Roman" w:hAnsi="Times New Roman" w:eastAsia="宋体" w:cs="Times New Roman"/>
                <w:b/>
                <w:bCs w:val="0"/>
                <w:color w:val="000000" w:themeColor="text1"/>
                <w:sz w:val="21"/>
                <w:szCs w:val="21"/>
                <w:lang w:val="en-US" w:eastAsia="zh-CN"/>
                <w14:textFill>
                  <w14:solidFill>
                    <w14:schemeClr w14:val="tx1"/>
                  </w14:solidFill>
                </w14:textFill>
              </w:rPr>
              <w:t>1</w:t>
            </w:r>
            <w:r>
              <w:rPr>
                <w:rFonts w:hint="default" w:ascii="Times New Roman" w:hAnsi="Times New Roman" w:eastAsia="宋体" w:cs="Times New Roman"/>
                <w:b/>
                <w:bCs w:val="0"/>
                <w:color w:val="000000" w:themeColor="text1"/>
                <w:sz w:val="21"/>
                <w:szCs w:val="21"/>
                <w14:textFill>
                  <w14:solidFill>
                    <w14:schemeClr w14:val="tx1"/>
                  </w14:solidFill>
                </w14:textFill>
              </w:rPr>
              <w:t>-</w:t>
            </w:r>
            <w:r>
              <w:rPr>
                <w:rFonts w:hint="default" w:ascii="Times New Roman" w:hAnsi="Times New Roman" w:eastAsia="宋体" w:cs="Times New Roman"/>
                <w:b/>
                <w:bCs w:val="0"/>
                <w:color w:val="000000" w:themeColor="text1"/>
                <w:sz w:val="21"/>
                <w:szCs w:val="21"/>
                <w:lang w:val="en-US" w:eastAsia="zh-CN"/>
                <w14:textFill>
                  <w14:solidFill>
                    <w14:schemeClr w14:val="tx1"/>
                  </w14:solidFill>
                </w14:textFill>
              </w:rPr>
              <w:t>2</w:t>
            </w:r>
            <w:r>
              <w:rPr>
                <w:rFonts w:hint="default" w:ascii="Times New Roman" w:hAnsi="Times New Roman" w:eastAsia="宋体" w:cs="Times New Roman"/>
                <w:b/>
                <w:bCs w:val="0"/>
                <w:color w:val="000000" w:themeColor="text1"/>
                <w:sz w:val="21"/>
                <w:szCs w:val="21"/>
                <w14:textFill>
                  <w14:solidFill>
                    <w14:schemeClr w14:val="tx1"/>
                  </w14:solidFill>
                </w14:textFill>
              </w:rPr>
              <w:t>项目与（玉市环〔2024〕40号）符合性一览表</w:t>
            </w:r>
          </w:p>
          <w:tbl>
            <w:tblPr>
              <w:tblStyle w:val="27"/>
              <w:tblW w:w="495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5"/>
              <w:gridCol w:w="3304"/>
              <w:gridCol w:w="4003"/>
              <w:gridCol w:w="506"/>
            </w:tblGrid>
            <w:tr w14:paraId="39514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7" w:type="pct"/>
                  <w:vAlign w:val="center"/>
                </w:tcPr>
                <w:p w14:paraId="2761EC43">
                  <w:pPr>
                    <w:pStyle w:val="73"/>
                    <w:bidi w:val="0"/>
                    <w:jc w:val="both"/>
                    <w:rPr>
                      <w:rFonts w:hint="default" w:ascii="Times New Roman" w:hAnsi="Times New Roman" w:eastAsia="宋体" w:cs="Times New Roman"/>
                      <w:b/>
                      <w:bCs w:val="0"/>
                      <w:color w:val="000000" w:themeColor="text1"/>
                      <w:sz w:val="21"/>
                      <w:szCs w:val="21"/>
                      <w14:textFill>
                        <w14:solidFill>
                          <w14:schemeClr w14:val="tx1"/>
                        </w14:solidFill>
                      </w14:textFill>
                    </w:rPr>
                  </w:pPr>
                  <w:r>
                    <w:rPr>
                      <w:rFonts w:hint="default" w:ascii="Times New Roman" w:hAnsi="Times New Roman" w:eastAsia="宋体" w:cs="Times New Roman"/>
                      <w:b/>
                      <w:bCs w:val="0"/>
                      <w:color w:val="000000" w:themeColor="text1"/>
                      <w:sz w:val="21"/>
                      <w:szCs w:val="21"/>
                      <w14:textFill>
                        <w14:solidFill>
                          <w14:schemeClr w14:val="tx1"/>
                        </w14:solidFill>
                      </w14:textFill>
                    </w:rPr>
                    <w:t>序号</w:t>
                  </w:r>
                </w:p>
              </w:tc>
              <w:tc>
                <w:tcPr>
                  <w:tcW w:w="1993" w:type="pct"/>
                  <w:vAlign w:val="center"/>
                </w:tcPr>
                <w:p w14:paraId="5665F755">
                  <w:pPr>
                    <w:pStyle w:val="73"/>
                    <w:bidi w:val="0"/>
                    <w:jc w:val="center"/>
                    <w:rPr>
                      <w:rFonts w:hint="default" w:ascii="Times New Roman" w:hAnsi="Times New Roman" w:eastAsia="宋体" w:cs="Times New Roman"/>
                      <w:b/>
                      <w:bCs w:val="0"/>
                      <w:color w:val="000000" w:themeColor="text1"/>
                      <w:sz w:val="21"/>
                      <w:szCs w:val="21"/>
                      <w14:textFill>
                        <w14:solidFill>
                          <w14:schemeClr w14:val="tx1"/>
                        </w14:solidFill>
                      </w14:textFill>
                    </w:rPr>
                  </w:pPr>
                  <w:r>
                    <w:rPr>
                      <w:rFonts w:hint="default" w:ascii="Times New Roman" w:hAnsi="Times New Roman" w:eastAsia="宋体" w:cs="Times New Roman"/>
                      <w:b/>
                      <w:bCs w:val="0"/>
                      <w:color w:val="000000" w:themeColor="text1"/>
                      <w:sz w:val="21"/>
                      <w:szCs w:val="21"/>
                      <w14:textFill>
                        <w14:solidFill>
                          <w14:schemeClr w14:val="tx1"/>
                        </w14:solidFill>
                      </w14:textFill>
                    </w:rPr>
                    <w:t>《通知》要求</w:t>
                  </w:r>
                </w:p>
              </w:tc>
              <w:tc>
                <w:tcPr>
                  <w:tcW w:w="2415" w:type="pct"/>
                  <w:vAlign w:val="center"/>
                </w:tcPr>
                <w:p w14:paraId="043A925A">
                  <w:pPr>
                    <w:pStyle w:val="73"/>
                    <w:bidi w:val="0"/>
                    <w:jc w:val="center"/>
                    <w:rPr>
                      <w:rFonts w:hint="default" w:ascii="Times New Roman" w:hAnsi="Times New Roman" w:eastAsia="宋体" w:cs="Times New Roman"/>
                      <w:b/>
                      <w:bCs w:val="0"/>
                      <w:color w:val="000000" w:themeColor="text1"/>
                      <w:sz w:val="21"/>
                      <w:szCs w:val="21"/>
                      <w14:textFill>
                        <w14:solidFill>
                          <w14:schemeClr w14:val="tx1"/>
                        </w14:solidFill>
                      </w14:textFill>
                    </w:rPr>
                  </w:pPr>
                  <w:r>
                    <w:rPr>
                      <w:rFonts w:hint="default" w:ascii="Times New Roman" w:hAnsi="Times New Roman" w:eastAsia="宋体" w:cs="Times New Roman"/>
                      <w:b/>
                      <w:bCs w:val="0"/>
                      <w:color w:val="000000" w:themeColor="text1"/>
                      <w:sz w:val="21"/>
                      <w:szCs w:val="21"/>
                      <w14:textFill>
                        <w14:solidFill>
                          <w14:schemeClr w14:val="tx1"/>
                        </w14:solidFill>
                      </w14:textFill>
                    </w:rPr>
                    <w:t>项目情况</w:t>
                  </w:r>
                </w:p>
              </w:tc>
              <w:tc>
                <w:tcPr>
                  <w:tcW w:w="303" w:type="pct"/>
                  <w:vAlign w:val="center"/>
                </w:tcPr>
                <w:p w14:paraId="3E5B1C90">
                  <w:pPr>
                    <w:pStyle w:val="73"/>
                    <w:bidi w:val="0"/>
                    <w:jc w:val="both"/>
                    <w:rPr>
                      <w:rFonts w:hint="default" w:ascii="Times New Roman" w:hAnsi="Times New Roman" w:eastAsia="宋体" w:cs="Times New Roman"/>
                      <w:b/>
                      <w:bCs w:val="0"/>
                      <w:color w:val="000000" w:themeColor="text1"/>
                      <w:sz w:val="21"/>
                      <w:szCs w:val="21"/>
                      <w14:textFill>
                        <w14:solidFill>
                          <w14:schemeClr w14:val="tx1"/>
                        </w14:solidFill>
                      </w14:textFill>
                    </w:rPr>
                  </w:pPr>
                  <w:r>
                    <w:rPr>
                      <w:rFonts w:hint="default" w:ascii="Times New Roman" w:hAnsi="Times New Roman" w:eastAsia="宋体" w:cs="Times New Roman"/>
                      <w:b/>
                      <w:bCs w:val="0"/>
                      <w:color w:val="000000" w:themeColor="text1"/>
                      <w:sz w:val="21"/>
                      <w:szCs w:val="21"/>
                      <w14:textFill>
                        <w14:solidFill>
                          <w14:schemeClr w14:val="tx1"/>
                        </w14:solidFill>
                      </w14:textFill>
                    </w:rPr>
                    <w:t>符合性</w:t>
                  </w:r>
                </w:p>
              </w:tc>
            </w:tr>
            <w:tr w14:paraId="4D461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00" w:type="pct"/>
                  <w:gridSpan w:val="4"/>
                  <w:vAlign w:val="center"/>
                </w:tcPr>
                <w:p w14:paraId="756D5B3C">
                  <w:pPr>
                    <w:pStyle w:val="73"/>
                    <w:bidi w:val="0"/>
                    <w:jc w:val="both"/>
                    <w:rPr>
                      <w:rFonts w:hint="default" w:ascii="Times New Roman" w:hAnsi="Times New Roman" w:eastAsia="宋体" w:cs="Times New Roman"/>
                      <w:b w:val="0"/>
                      <w:bCs/>
                      <w:color w:val="000000" w:themeColor="text1"/>
                      <w:sz w:val="21"/>
                      <w:szCs w:val="21"/>
                      <w14:textFill>
                        <w14:solidFill>
                          <w14:schemeClr w14:val="tx1"/>
                        </w14:solidFill>
                      </w14:textFill>
                    </w:rPr>
                  </w:pPr>
                  <w:r>
                    <w:rPr>
                      <w:rFonts w:hint="default" w:ascii="Times New Roman" w:hAnsi="Times New Roman" w:eastAsia="宋体" w:cs="Times New Roman"/>
                      <w:b/>
                      <w:bCs w:val="0"/>
                      <w:color w:val="000000" w:themeColor="text1"/>
                      <w:sz w:val="21"/>
                      <w:szCs w:val="21"/>
                      <w14:textFill>
                        <w14:solidFill>
                          <w14:schemeClr w14:val="tx1"/>
                        </w14:solidFill>
                      </w14:textFill>
                    </w:rPr>
                    <w:t>一、生态保护红线和一般生态空间</w:t>
                  </w:r>
                </w:p>
              </w:tc>
            </w:tr>
            <w:tr w14:paraId="43806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7" w:type="pct"/>
                  <w:vAlign w:val="center"/>
                </w:tcPr>
                <w:p w14:paraId="68A8F92C">
                  <w:pPr>
                    <w:pStyle w:val="73"/>
                    <w:bidi w:val="0"/>
                    <w:jc w:val="both"/>
                    <w:rPr>
                      <w:rFonts w:hint="default" w:ascii="Times New Roman" w:hAnsi="Times New Roman" w:eastAsia="宋体" w:cs="Times New Roman"/>
                      <w:b w:val="0"/>
                      <w:bCs/>
                      <w:color w:val="000000" w:themeColor="text1"/>
                      <w:sz w:val="21"/>
                      <w:szCs w:val="21"/>
                      <w14:textFill>
                        <w14:solidFill>
                          <w14:schemeClr w14:val="tx1"/>
                        </w14:solidFill>
                      </w14:textFill>
                    </w:rPr>
                  </w:pPr>
                  <w:r>
                    <w:rPr>
                      <w:rFonts w:hint="default" w:ascii="Times New Roman" w:hAnsi="Times New Roman" w:eastAsia="宋体" w:cs="Times New Roman"/>
                      <w:b w:val="0"/>
                      <w:bCs/>
                      <w:color w:val="000000" w:themeColor="text1"/>
                      <w:sz w:val="21"/>
                      <w:szCs w:val="21"/>
                      <w14:textFill>
                        <w14:solidFill>
                          <w14:schemeClr w14:val="tx1"/>
                        </w14:solidFill>
                      </w14:textFill>
                    </w:rPr>
                    <w:t>1</w:t>
                  </w:r>
                </w:p>
              </w:tc>
              <w:tc>
                <w:tcPr>
                  <w:tcW w:w="1993" w:type="pct"/>
                  <w:shd w:val="clear" w:color="auto" w:fill="auto"/>
                  <w:vAlign w:val="center"/>
                </w:tcPr>
                <w:p w14:paraId="50739DDB">
                  <w:pPr>
                    <w:pStyle w:val="73"/>
                    <w:bidi w:val="0"/>
                    <w:jc w:val="both"/>
                    <w:rPr>
                      <w:rFonts w:hint="default" w:ascii="Times New Roman" w:hAnsi="Times New Roman" w:eastAsia="宋体" w:cs="Times New Roman"/>
                      <w:b w:val="0"/>
                      <w:bCs/>
                      <w:color w:val="000000" w:themeColor="text1"/>
                      <w:sz w:val="21"/>
                      <w:szCs w:val="21"/>
                      <w14:textFill>
                        <w14:solidFill>
                          <w14:schemeClr w14:val="tx1"/>
                        </w14:solidFill>
                      </w14:textFill>
                    </w:rPr>
                  </w:pPr>
                  <w:r>
                    <w:rPr>
                      <w:rFonts w:hint="default" w:ascii="Times New Roman" w:hAnsi="Times New Roman" w:eastAsia="宋体" w:cs="Times New Roman"/>
                      <w:b w:val="0"/>
                      <w:bCs/>
                      <w:color w:val="000000" w:themeColor="text1"/>
                      <w:sz w:val="21"/>
                      <w:szCs w:val="21"/>
                      <w14:textFill>
                        <w14:solidFill>
                          <w14:schemeClr w14:val="tx1"/>
                        </w14:solidFill>
                      </w14:textFill>
                    </w:rPr>
                    <w:t>执行《云南省人民政府关于发布云南省生态保护红线的通知》（云政发〔2018〕32号），生态保护红线评估调整成果获批后，按照批准成果执行。将未划入生态保护红线的自然保护地、饮用水水源保护区、重要湿地、基本草原、生态公益林、天然林等生态功能重要、生态环境敏感区域划为一般生态空间。</w:t>
                  </w:r>
                </w:p>
              </w:tc>
              <w:tc>
                <w:tcPr>
                  <w:tcW w:w="2415" w:type="pct"/>
                  <w:shd w:val="clear" w:color="auto" w:fill="auto"/>
                  <w:vAlign w:val="center"/>
                </w:tcPr>
                <w:p w14:paraId="7CAC967E">
                  <w:pPr>
                    <w:pStyle w:val="7"/>
                    <w:spacing w:line="240" w:lineRule="auto"/>
                    <w:ind w:left="0" w:leftChars="0" w:firstLine="0" w:firstLineChars="0"/>
                    <w:jc w:val="both"/>
                    <w:rPr>
                      <w:rFonts w:hint="default" w:ascii="Times New Roman" w:hAnsi="Times New Roman" w:eastAsia="宋体" w:cs="Times New Roman"/>
                      <w:b w:val="0"/>
                      <w:bCs/>
                      <w:color w:val="000000" w:themeColor="text1"/>
                      <w:sz w:val="21"/>
                      <w:szCs w:val="21"/>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本项目</w:t>
                  </w: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位于峨山县塔甸镇大西村委会大西山，</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根据</w:t>
                  </w:r>
                  <w:r>
                    <w:rPr>
                      <w:rFonts w:hint="default" w:ascii="Times New Roman" w:hAnsi="Times New Roman" w:eastAsia="宋体" w:cs="Times New Roman"/>
                      <w:color w:val="000000" w:themeColor="text1"/>
                      <w:sz w:val="21"/>
                      <w:szCs w:val="21"/>
                      <w:highlight w:val="none"/>
                      <w14:textFill>
                        <w14:solidFill>
                          <w14:schemeClr w14:val="tx1"/>
                        </w14:solidFill>
                      </w14:textFill>
                    </w:rPr>
                    <w:t>峨山县自然资源局</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出具的《</w:t>
                  </w:r>
                  <w:r>
                    <w:rPr>
                      <w:rFonts w:hint="default" w:ascii="Times New Roman" w:hAnsi="Times New Roman" w:eastAsia="宋体" w:cs="Times New Roman"/>
                      <w:color w:val="000000" w:themeColor="text1"/>
                      <w:sz w:val="21"/>
                      <w:szCs w:val="21"/>
                      <w:highlight w:val="none"/>
                      <w14:textFill>
                        <w14:solidFill>
                          <w14:schemeClr w14:val="tx1"/>
                        </w14:solidFill>
                      </w14:textFill>
                    </w:rPr>
                    <w:t>峨山县自然资源局关于</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峨山县</w:t>
                  </w: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大西农林种植基地建设项目</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三区三线</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14:textFill>
                        <w14:solidFill>
                          <w14:schemeClr w14:val="tx1"/>
                        </w14:solidFill>
                      </w14:textFill>
                    </w:rPr>
                    <w:t>压覆查询情况说明</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项目不占用</w:t>
                  </w: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峨山县</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生态保护红线，</w:t>
                  </w: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项目未压占峨山县城镇开发边界。</w:t>
                  </w:r>
                </w:p>
              </w:tc>
              <w:tc>
                <w:tcPr>
                  <w:tcW w:w="303" w:type="pct"/>
                  <w:vAlign w:val="center"/>
                </w:tcPr>
                <w:p w14:paraId="0181F0BA">
                  <w:pPr>
                    <w:pStyle w:val="73"/>
                    <w:bidi w:val="0"/>
                    <w:jc w:val="both"/>
                    <w:rPr>
                      <w:rFonts w:hint="default" w:ascii="Times New Roman" w:hAnsi="Times New Roman" w:eastAsia="宋体" w:cs="Times New Roman"/>
                      <w:b w:val="0"/>
                      <w:bCs/>
                      <w:color w:val="000000" w:themeColor="text1"/>
                      <w:sz w:val="21"/>
                      <w:szCs w:val="21"/>
                      <w14:textFill>
                        <w14:solidFill>
                          <w14:schemeClr w14:val="tx1"/>
                        </w14:solidFill>
                      </w14:textFill>
                    </w:rPr>
                  </w:pPr>
                  <w:r>
                    <w:rPr>
                      <w:rFonts w:hint="default" w:ascii="Times New Roman" w:hAnsi="Times New Roman" w:eastAsia="宋体" w:cs="Times New Roman"/>
                      <w:b w:val="0"/>
                      <w:bCs/>
                      <w:color w:val="000000" w:themeColor="text1"/>
                      <w:sz w:val="21"/>
                      <w:szCs w:val="21"/>
                      <w14:textFill>
                        <w14:solidFill>
                          <w14:schemeClr w14:val="tx1"/>
                        </w14:solidFill>
                      </w14:textFill>
                    </w:rPr>
                    <w:t>符合</w:t>
                  </w:r>
                </w:p>
              </w:tc>
            </w:tr>
            <w:tr w14:paraId="7C03F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00" w:type="pct"/>
                  <w:gridSpan w:val="4"/>
                  <w:vAlign w:val="center"/>
                </w:tcPr>
                <w:p w14:paraId="416825DC">
                  <w:pPr>
                    <w:pStyle w:val="73"/>
                    <w:bidi w:val="0"/>
                    <w:jc w:val="both"/>
                    <w:rPr>
                      <w:rFonts w:hint="default" w:ascii="Times New Roman" w:hAnsi="Times New Roman" w:eastAsia="宋体" w:cs="Times New Roman"/>
                      <w:b w:val="0"/>
                      <w:bCs/>
                      <w:color w:val="000000" w:themeColor="text1"/>
                      <w:sz w:val="21"/>
                      <w:szCs w:val="21"/>
                      <w14:textFill>
                        <w14:solidFill>
                          <w14:schemeClr w14:val="tx1"/>
                        </w14:solidFill>
                      </w14:textFill>
                    </w:rPr>
                  </w:pPr>
                  <w:r>
                    <w:rPr>
                      <w:rFonts w:hint="default" w:ascii="Times New Roman" w:hAnsi="Times New Roman" w:eastAsia="宋体" w:cs="Times New Roman"/>
                      <w:b/>
                      <w:bCs w:val="0"/>
                      <w:color w:val="000000" w:themeColor="text1"/>
                      <w:sz w:val="21"/>
                      <w:szCs w:val="21"/>
                      <w14:textFill>
                        <w14:solidFill>
                          <w14:schemeClr w14:val="tx1"/>
                        </w14:solidFill>
                      </w14:textFill>
                    </w:rPr>
                    <w:t>二、环境质量底线</w:t>
                  </w:r>
                </w:p>
              </w:tc>
            </w:tr>
            <w:tr w14:paraId="7754E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7" w:type="pct"/>
                  <w:vAlign w:val="center"/>
                </w:tcPr>
                <w:p w14:paraId="26595F70">
                  <w:pPr>
                    <w:pStyle w:val="73"/>
                    <w:bidi w:val="0"/>
                    <w:jc w:val="both"/>
                    <w:rPr>
                      <w:rFonts w:hint="default" w:ascii="Times New Roman" w:hAnsi="Times New Roman" w:eastAsia="宋体" w:cs="Times New Roman"/>
                      <w:b w:val="0"/>
                      <w:bCs/>
                      <w:color w:val="000000" w:themeColor="text1"/>
                      <w:sz w:val="21"/>
                      <w:szCs w:val="21"/>
                      <w14:textFill>
                        <w14:solidFill>
                          <w14:schemeClr w14:val="tx1"/>
                        </w14:solidFill>
                      </w14:textFill>
                    </w:rPr>
                  </w:pPr>
                  <w:r>
                    <w:rPr>
                      <w:rFonts w:hint="default" w:ascii="Times New Roman" w:hAnsi="Times New Roman" w:eastAsia="宋体" w:cs="Times New Roman"/>
                      <w:b w:val="0"/>
                      <w:bCs/>
                      <w:color w:val="000000" w:themeColor="text1"/>
                      <w:sz w:val="21"/>
                      <w:szCs w:val="21"/>
                      <w14:textFill>
                        <w14:solidFill>
                          <w14:schemeClr w14:val="tx1"/>
                        </w14:solidFill>
                      </w14:textFill>
                    </w:rPr>
                    <w:t>1</w:t>
                  </w:r>
                </w:p>
              </w:tc>
              <w:tc>
                <w:tcPr>
                  <w:tcW w:w="1993" w:type="pct"/>
                  <w:vAlign w:val="center"/>
                </w:tcPr>
                <w:p w14:paraId="4639FC82">
                  <w:pPr>
                    <w:pStyle w:val="73"/>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宋体" w:cs="Times New Roman"/>
                      <w:b w:val="0"/>
                      <w:bCs/>
                      <w:color w:val="000000" w:themeColor="text1"/>
                      <w:sz w:val="21"/>
                      <w:szCs w:val="21"/>
                      <w14:textFill>
                        <w14:solidFill>
                          <w14:schemeClr w14:val="tx1"/>
                        </w14:solidFill>
                      </w14:textFill>
                    </w:rPr>
                  </w:pPr>
                  <w:r>
                    <w:rPr>
                      <w:rFonts w:hint="default" w:ascii="Times New Roman" w:hAnsi="Times New Roman" w:eastAsia="宋体" w:cs="Times New Roman"/>
                      <w:b w:val="0"/>
                      <w:bCs/>
                      <w:color w:val="000000" w:themeColor="text1"/>
                      <w:sz w:val="21"/>
                      <w:szCs w:val="21"/>
                      <w14:textFill>
                        <w14:solidFill>
                          <w14:schemeClr w14:val="tx1"/>
                        </w14:solidFill>
                      </w14:textFill>
                    </w:rPr>
                    <w:t>水环境质量底线。到2025年，全市水环境质量持续改善，纳入国家和省级考核的地表水监测断面水质优良率稳步提升。抚仙湖水质稳定保持Ⅰ类水质标准，星云湖、杞麓湖水质指标均达到Ⅴ类水质标准。中心城区及县城集中式饮用水水源地水质达标率为100%。到2035年，全市水环境质量总体改善，水生生态系统功能恢复。地表水水体水质优良率全面提升，彻底消除劣V类水体。抚仙湖水质稳定保持Ⅰ类水质标准，星云湖和杞麓湖水质持续稳定向好。</w:t>
                  </w:r>
                </w:p>
              </w:tc>
              <w:tc>
                <w:tcPr>
                  <w:tcW w:w="2415" w:type="pct"/>
                  <w:vAlign w:val="center"/>
                </w:tcPr>
                <w:p w14:paraId="42AD481B">
                  <w:pPr>
                    <w:pStyle w:val="7"/>
                    <w:spacing w:line="240" w:lineRule="auto"/>
                    <w:ind w:left="0" w:leftChars="0" w:firstLine="0" w:firstLineChars="0"/>
                    <w:jc w:val="both"/>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项目一片区涉及地表水体为小河底河、大西水库。小河底河自西向东汇入大西水库，然后由大西水库汇入尼去本水库；</w:t>
                  </w:r>
                </w:p>
                <w:p w14:paraId="6E2FC16D">
                  <w:pPr>
                    <w:pStyle w:val="7"/>
                    <w:spacing w:line="240" w:lineRule="auto"/>
                    <w:ind w:left="0" w:leftChars="0" w:firstLine="0" w:firstLineChars="0"/>
                    <w:jc w:val="both"/>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项目二片区涉及的地表水体为迭嘎个拉河，迭嘎个拉河自西向东</w:t>
                  </w:r>
                  <w:r>
                    <w:rPr>
                      <w:rFonts w:hint="eastAsia" w:ascii="Times New Roman" w:hAnsi="Times New Roman" w:cs="Times New Roman"/>
                      <w:b w:val="0"/>
                      <w:bCs/>
                      <w:color w:val="000000" w:themeColor="text1"/>
                      <w:sz w:val="21"/>
                      <w:szCs w:val="21"/>
                      <w:lang w:val="en-US" w:eastAsia="zh-CN"/>
                      <w14:textFill>
                        <w14:solidFill>
                          <w14:schemeClr w14:val="tx1"/>
                        </w14:solidFill>
                      </w14:textFill>
                    </w:rPr>
                    <w:t>汇</w:t>
                  </w: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入尼去本水库。</w:t>
                  </w:r>
                </w:p>
                <w:p w14:paraId="444655D6">
                  <w:pPr>
                    <w:pStyle w:val="7"/>
                    <w:spacing w:line="240" w:lineRule="auto"/>
                    <w:ind w:left="0" w:leftChars="0" w:firstLine="0" w:firstLineChars="0"/>
                    <w:jc w:val="both"/>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尼去本水库出水河流自北向东南汇入小河底河（涉及峨山段</w:t>
                  </w:r>
                  <w:r>
                    <w:rPr>
                      <w:rFonts w:hint="eastAsia" w:ascii="Times New Roman" w:hAnsi="Times New Roman" w:cs="Times New Roman"/>
                      <w:b w:val="0"/>
                      <w:bCs/>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尼去本水库出口至峨山彝族自治县小亚尼村西南侧约1.26kM</w:t>
                  </w:r>
                  <w:r>
                    <w:rPr>
                      <w:rFonts w:hint="eastAsia" w:ascii="Times New Roman" w:hAnsi="Times New Roman" w:cs="Times New Roman"/>
                      <w:b w:val="0"/>
                      <w:bCs/>
                      <w:color w:val="000000" w:themeColor="text1"/>
                      <w:sz w:val="21"/>
                      <w:szCs w:val="21"/>
                      <w:lang w:val="en-US" w:eastAsia="zh-CN"/>
                      <w14:textFill>
                        <w14:solidFill>
                          <w14:schemeClr w14:val="tx1"/>
                        </w14:solidFill>
                      </w14:textFill>
                    </w:rPr>
                    <w:t>；新</w:t>
                  </w: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平段</w:t>
                  </w:r>
                  <w:r>
                    <w:rPr>
                      <w:rFonts w:hint="eastAsia" w:ascii="Times New Roman" w:hAnsi="Times New Roman" w:cs="Times New Roman"/>
                      <w:b w:val="0"/>
                      <w:bCs/>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峨山彝族自治县小亚尼村西南侧约1.26kM至新平彝族傣族自治县丙聋村西南侧约1.53kM处</w:t>
                  </w:r>
                  <w:r>
                    <w:rPr>
                      <w:rFonts w:hint="eastAsia" w:ascii="Times New Roman" w:hAnsi="Times New Roman" w:cs="Times New Roman"/>
                      <w:b w:val="0"/>
                      <w:bCs/>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元江段</w:t>
                  </w:r>
                  <w:r>
                    <w:rPr>
                      <w:rFonts w:hint="eastAsia" w:ascii="Times New Roman" w:hAnsi="Times New Roman" w:cs="Times New Roman"/>
                      <w:b w:val="0"/>
                      <w:bCs/>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新平彝族傣族自治县丙聋村西南侧约1.53kM至元江哈尼族彝族傣族自治县阿地坡村东北侧约2.3kM处），最终汇入元江。</w:t>
                  </w:r>
                </w:p>
                <w:p w14:paraId="77587759">
                  <w:pPr>
                    <w:pStyle w:val="7"/>
                    <w:spacing w:line="240" w:lineRule="auto"/>
                    <w:ind w:left="0" w:leftChars="0" w:firstLine="0" w:firstLineChars="0"/>
                    <w:jc w:val="both"/>
                    <w:rPr>
                      <w:rFonts w:hint="default" w:ascii="Times New Roman" w:hAnsi="Times New Roman" w:eastAsia="宋体" w:cs="Times New Roman"/>
                      <w:b w:val="0"/>
                      <w:bCs/>
                      <w:color w:val="000000" w:themeColor="text1"/>
                      <w:sz w:val="21"/>
                      <w:szCs w:val="21"/>
                      <w:lang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eastAsia="zh-CN"/>
                      <w14:textFill>
                        <w14:solidFill>
                          <w14:schemeClr w14:val="tx1"/>
                        </w14:solidFill>
                      </w14:textFill>
                    </w:rPr>
                    <w:t>根据《云南省水功能区划（2014年修订版）》，项目区域属于“小河底河新平</w:t>
                  </w:r>
                  <w:r>
                    <w:rPr>
                      <w:rFonts w:hint="eastAsia" w:ascii="Times New Roman" w:hAnsi="Times New Roman" w:cs="Times New Roman"/>
                      <w:b w:val="0"/>
                      <w:bCs/>
                      <w:color w:val="000000" w:themeColor="text1"/>
                      <w:sz w:val="21"/>
                      <w:szCs w:val="21"/>
                      <w:lang w:eastAsia="zh-CN"/>
                      <w14:textFill>
                        <w14:solidFill>
                          <w14:schemeClr w14:val="tx1"/>
                        </w14:solidFill>
                      </w14:textFill>
                    </w:rPr>
                    <w:t>－</w:t>
                  </w:r>
                  <w:r>
                    <w:rPr>
                      <w:rFonts w:hint="default" w:ascii="Times New Roman" w:hAnsi="Times New Roman" w:eastAsia="宋体" w:cs="Times New Roman"/>
                      <w:b w:val="0"/>
                      <w:bCs/>
                      <w:color w:val="000000" w:themeColor="text1"/>
                      <w:sz w:val="21"/>
                      <w:szCs w:val="21"/>
                      <w:lang w:eastAsia="zh-CN"/>
                      <w14:textFill>
                        <w14:solidFill>
                          <w14:schemeClr w14:val="tx1"/>
                        </w14:solidFill>
                      </w14:textFill>
                    </w:rPr>
                    <w:t>元江保留区”（新平大开门至入元江口），水环境功能为景观、农业用水。2020年水质目标为Ⅳ类，2030年水质目标为Ⅲ类。地表水水质执行《地表水环境质量标准》（GB3838-2002）Ⅲ类水质标准。项目涉及地表水小河底河汇入元江上游为化念水库（小河底河），根据《2024年玉溪市生态环境状况公报》，化念水库（小河底河）2024年水质类别为Ⅲ类，汇入元江下游红河桥断面2024年水质类别为Ⅱ类。</w:t>
                  </w:r>
                </w:p>
              </w:tc>
              <w:tc>
                <w:tcPr>
                  <w:tcW w:w="303" w:type="pct"/>
                  <w:vAlign w:val="center"/>
                </w:tcPr>
                <w:p w14:paraId="537E5B81">
                  <w:pPr>
                    <w:pStyle w:val="73"/>
                    <w:bidi w:val="0"/>
                    <w:jc w:val="both"/>
                    <w:rPr>
                      <w:rFonts w:hint="default" w:ascii="Times New Roman" w:hAnsi="Times New Roman" w:eastAsia="宋体" w:cs="Times New Roman"/>
                      <w:b w:val="0"/>
                      <w:bCs/>
                      <w:color w:val="000000" w:themeColor="text1"/>
                      <w:sz w:val="21"/>
                      <w:szCs w:val="21"/>
                      <w14:textFill>
                        <w14:solidFill>
                          <w14:schemeClr w14:val="tx1"/>
                        </w14:solidFill>
                      </w14:textFill>
                    </w:rPr>
                  </w:pPr>
                  <w:r>
                    <w:rPr>
                      <w:rFonts w:hint="default" w:ascii="Times New Roman" w:hAnsi="Times New Roman" w:eastAsia="宋体" w:cs="Times New Roman"/>
                      <w:b w:val="0"/>
                      <w:bCs/>
                      <w:color w:val="000000" w:themeColor="text1"/>
                      <w:sz w:val="21"/>
                      <w:szCs w:val="21"/>
                      <w14:textFill>
                        <w14:solidFill>
                          <w14:schemeClr w14:val="tx1"/>
                        </w14:solidFill>
                      </w14:textFill>
                    </w:rPr>
                    <w:t>符合</w:t>
                  </w:r>
                </w:p>
              </w:tc>
            </w:tr>
            <w:tr w14:paraId="0E022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7" w:type="pct"/>
                  <w:vAlign w:val="center"/>
                </w:tcPr>
                <w:p w14:paraId="02603C27">
                  <w:pPr>
                    <w:pStyle w:val="73"/>
                    <w:bidi w:val="0"/>
                    <w:jc w:val="both"/>
                    <w:rPr>
                      <w:rFonts w:hint="default" w:ascii="Times New Roman" w:hAnsi="Times New Roman" w:eastAsia="宋体" w:cs="Times New Roman"/>
                      <w:b w:val="0"/>
                      <w:bCs/>
                      <w:color w:val="000000" w:themeColor="text1"/>
                      <w:sz w:val="21"/>
                      <w:szCs w:val="21"/>
                      <w14:textFill>
                        <w14:solidFill>
                          <w14:schemeClr w14:val="tx1"/>
                        </w14:solidFill>
                      </w14:textFill>
                    </w:rPr>
                  </w:pPr>
                  <w:r>
                    <w:rPr>
                      <w:rFonts w:hint="default" w:ascii="Times New Roman" w:hAnsi="Times New Roman" w:eastAsia="宋体" w:cs="Times New Roman"/>
                      <w:b w:val="0"/>
                      <w:bCs/>
                      <w:color w:val="000000" w:themeColor="text1"/>
                      <w:sz w:val="21"/>
                      <w:szCs w:val="21"/>
                      <w14:textFill>
                        <w14:solidFill>
                          <w14:schemeClr w14:val="tx1"/>
                        </w14:solidFill>
                      </w14:textFill>
                    </w:rPr>
                    <w:t>2</w:t>
                  </w:r>
                </w:p>
              </w:tc>
              <w:tc>
                <w:tcPr>
                  <w:tcW w:w="1993" w:type="pct"/>
                  <w:vAlign w:val="center"/>
                </w:tcPr>
                <w:p w14:paraId="10069847">
                  <w:pPr>
                    <w:pStyle w:val="73"/>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宋体" w:cs="Times New Roman"/>
                      <w:b w:val="0"/>
                      <w:bCs/>
                      <w:color w:val="000000" w:themeColor="text1"/>
                      <w:sz w:val="21"/>
                      <w:szCs w:val="21"/>
                      <w14:textFill>
                        <w14:solidFill>
                          <w14:schemeClr w14:val="tx1"/>
                        </w14:solidFill>
                      </w14:textFill>
                    </w:rPr>
                  </w:pPr>
                  <w:r>
                    <w:rPr>
                      <w:rFonts w:hint="default" w:ascii="Times New Roman" w:hAnsi="Times New Roman" w:eastAsia="宋体" w:cs="Times New Roman"/>
                      <w:b w:val="0"/>
                      <w:bCs/>
                      <w:color w:val="000000" w:themeColor="text1"/>
                      <w:sz w:val="21"/>
                      <w:szCs w:val="21"/>
                      <w14:textFill>
                        <w14:solidFill>
                          <w14:schemeClr w14:val="tx1"/>
                        </w14:solidFill>
                      </w14:textFill>
                    </w:rPr>
                    <w:t>大气环境质量底线。到2025年，全市环境空气质量稳中向好，中心城区城市空气质量优良天数比率保持稳定，主要污染物排放量达到国家和省级污染物总量控制要求，单位GDP二氧化碳排放控制在省下达指标内。到2035年，全市环境空气质量持续保持优良，实现稳中向好，主要污染物排放总量和二氧化碳排放量持续减少。</w:t>
                  </w:r>
                </w:p>
              </w:tc>
              <w:tc>
                <w:tcPr>
                  <w:tcW w:w="2415" w:type="pct"/>
                  <w:vAlign w:val="center"/>
                </w:tcPr>
                <w:p w14:paraId="6CF6F5DF">
                  <w:pPr>
                    <w:pStyle w:val="73"/>
                    <w:keepNext w:val="0"/>
                    <w:keepLines w:val="0"/>
                    <w:pageBreakBefore w:val="0"/>
                    <w:widowControl w:val="0"/>
                    <w:kinsoku/>
                    <w:wordWrap/>
                    <w:overflowPunct/>
                    <w:topLinePunct w:val="0"/>
                    <w:autoSpaceDE/>
                    <w:autoSpaceDN/>
                    <w:bidi w:val="0"/>
                    <w:adjustRightInd/>
                    <w:snapToGrid/>
                    <w:ind w:firstLine="210" w:firstLineChars="100"/>
                    <w:jc w:val="both"/>
                    <w:textAlignment w:val="auto"/>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color w:val="000000" w:themeColor="text1"/>
                      <w:sz w:val="21"/>
                      <w:szCs w:val="21"/>
                      <w14:textFill>
                        <w14:solidFill>
                          <w14:schemeClr w14:val="tx1"/>
                        </w14:solidFill>
                      </w14:textFill>
                    </w:rPr>
                    <w:t>项目区域属于环境空气二类功能区，</w:t>
                  </w: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根据202</w:t>
                  </w:r>
                  <w:r>
                    <w:rPr>
                      <w:rFonts w:hint="eastAsia" w:cs="Times New Roman"/>
                      <w:b w:val="0"/>
                      <w:bCs w:val="0"/>
                      <w:color w:val="000000" w:themeColor="text1"/>
                      <w:sz w:val="21"/>
                      <w:szCs w:val="21"/>
                      <w:highlight w:val="none"/>
                      <w:vertAlign w:val="baseline"/>
                      <w:lang w:val="en-US" w:eastAsia="zh-CN"/>
                      <w14:textFill>
                        <w14:solidFill>
                          <w14:schemeClr w14:val="tx1"/>
                        </w14:solidFill>
                      </w14:textFill>
                    </w:rPr>
                    <w:t>4</w:t>
                  </w: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年1月~202</w:t>
                  </w:r>
                  <w:r>
                    <w:rPr>
                      <w:rFonts w:hint="eastAsia" w:cs="Times New Roman"/>
                      <w:b w:val="0"/>
                      <w:bCs w:val="0"/>
                      <w:color w:val="000000" w:themeColor="text1"/>
                      <w:sz w:val="21"/>
                      <w:szCs w:val="21"/>
                      <w:highlight w:val="none"/>
                      <w:vertAlign w:val="baseline"/>
                      <w:lang w:val="en-US" w:eastAsia="zh-CN"/>
                      <w14:textFill>
                        <w14:solidFill>
                          <w14:schemeClr w14:val="tx1"/>
                        </w14:solidFill>
                      </w14:textFill>
                    </w:rPr>
                    <w:t>4</w:t>
                  </w: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年12月峨山县环境空气自动监测系统的监测结果可知，</w:t>
                  </w: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项目区为达标区</w:t>
                  </w:r>
                  <w:r>
                    <w:rPr>
                      <w:rFonts w:hint="default" w:ascii="Times New Roman" w:hAnsi="Times New Roman" w:eastAsia="宋体" w:cs="Times New Roman"/>
                      <w:b w:val="0"/>
                      <w:color w:val="000000" w:themeColor="text1"/>
                      <w:sz w:val="21"/>
                      <w:szCs w:val="21"/>
                      <w14:textFill>
                        <w14:solidFill>
                          <w14:schemeClr w14:val="tx1"/>
                        </w14:solidFill>
                      </w14:textFill>
                    </w:rPr>
                    <w:t>，环境空气质量满足</w:t>
                  </w:r>
                  <w:r>
                    <w:rPr>
                      <w:rFonts w:hint="default" w:ascii="Times New Roman" w:hAnsi="Times New Roman" w:eastAsia="宋体" w:cs="Times New Roman"/>
                      <w:b w:val="0"/>
                      <w:color w:val="000000" w:themeColor="text1"/>
                      <w:sz w:val="21"/>
                      <w:szCs w:val="21"/>
                      <w:highlight w:val="none"/>
                      <w:lang w:eastAsia="zh-CN"/>
                      <w14:textFill>
                        <w14:solidFill>
                          <w14:schemeClr w14:val="tx1"/>
                        </w14:solidFill>
                      </w14:textFill>
                    </w:rPr>
                    <w:t>《环境空气质量标准》（GB 3095-2026）中过渡阶段的二级标准</w:t>
                  </w:r>
                  <w:r>
                    <w:rPr>
                      <w:rFonts w:hint="eastAsia" w:cs="Times New Roman"/>
                      <w:b w:val="0"/>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项目种植过程中</w:t>
                  </w: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有施工扬尘、施工机械尾气</w:t>
                  </w:r>
                  <w:r>
                    <w:rPr>
                      <w:rFonts w:hint="eastAsia" w:cs="Times New Roman"/>
                      <w:b w:val="0"/>
                      <w:bCs/>
                      <w:color w:val="000000" w:themeColor="text1"/>
                      <w:sz w:val="21"/>
                      <w:szCs w:val="21"/>
                      <w:highlight w:val="none"/>
                      <w:lang w:val="en-US" w:eastAsia="zh-CN"/>
                      <w14:textFill>
                        <w14:solidFill>
                          <w14:schemeClr w14:val="tx1"/>
                        </w14:solidFill>
                      </w14:textFill>
                    </w:rPr>
                    <w:t>等</w:t>
                  </w: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废气污染物，</w:t>
                  </w:r>
                  <w:r>
                    <w:rPr>
                      <w:rFonts w:hint="default" w:ascii="Times New Roman" w:hAnsi="Times New Roman" w:eastAsia="宋体" w:cs="Times New Roman"/>
                      <w:b w:val="0"/>
                      <w:bCs/>
                      <w:color w:val="000000" w:themeColor="text1"/>
                      <w:sz w:val="21"/>
                      <w:szCs w:val="21"/>
                      <w14:textFill>
                        <w14:solidFill>
                          <w14:schemeClr w14:val="tx1"/>
                        </w14:solidFill>
                      </w14:textFill>
                    </w:rPr>
                    <w:t>项目废气污染物达标排放，且排放量不大，对大气环境的影响不大</w:t>
                  </w:r>
                  <w:r>
                    <w:rPr>
                      <w:rFonts w:hint="default" w:ascii="Times New Roman" w:hAnsi="Times New Roman" w:eastAsia="宋体" w:cs="Times New Roman"/>
                      <w:b w:val="0"/>
                      <w:bCs/>
                      <w:color w:val="000000" w:themeColor="text1"/>
                      <w:sz w:val="21"/>
                      <w:szCs w:val="21"/>
                      <w:lang w:eastAsia="zh-CN"/>
                      <w14:textFill>
                        <w14:solidFill>
                          <w14:schemeClr w14:val="tx1"/>
                        </w14:solidFill>
                      </w14:textFill>
                    </w:rPr>
                    <w:t>。</w:t>
                  </w:r>
                </w:p>
              </w:tc>
              <w:tc>
                <w:tcPr>
                  <w:tcW w:w="303" w:type="pct"/>
                  <w:vAlign w:val="center"/>
                </w:tcPr>
                <w:p w14:paraId="3F35DA7D">
                  <w:pPr>
                    <w:pStyle w:val="73"/>
                    <w:bidi w:val="0"/>
                    <w:jc w:val="both"/>
                    <w:rPr>
                      <w:rFonts w:hint="default" w:ascii="Times New Roman" w:hAnsi="Times New Roman" w:eastAsia="宋体" w:cs="Times New Roman"/>
                      <w:b w:val="0"/>
                      <w:bCs/>
                      <w:color w:val="000000" w:themeColor="text1"/>
                      <w:sz w:val="21"/>
                      <w:szCs w:val="21"/>
                      <w14:textFill>
                        <w14:solidFill>
                          <w14:schemeClr w14:val="tx1"/>
                        </w14:solidFill>
                      </w14:textFill>
                    </w:rPr>
                  </w:pPr>
                  <w:r>
                    <w:rPr>
                      <w:rFonts w:hint="default" w:ascii="Times New Roman" w:hAnsi="Times New Roman" w:eastAsia="宋体" w:cs="Times New Roman"/>
                      <w:b w:val="0"/>
                      <w:bCs/>
                      <w:color w:val="000000" w:themeColor="text1"/>
                      <w:sz w:val="21"/>
                      <w:szCs w:val="21"/>
                      <w14:textFill>
                        <w14:solidFill>
                          <w14:schemeClr w14:val="tx1"/>
                        </w14:solidFill>
                      </w14:textFill>
                    </w:rPr>
                    <w:t>符合</w:t>
                  </w:r>
                </w:p>
              </w:tc>
            </w:tr>
            <w:tr w14:paraId="42A56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7" w:type="pct"/>
                  <w:vAlign w:val="center"/>
                </w:tcPr>
                <w:p w14:paraId="6798D495">
                  <w:pPr>
                    <w:pStyle w:val="73"/>
                    <w:bidi w:val="0"/>
                    <w:jc w:val="both"/>
                    <w:rPr>
                      <w:rFonts w:hint="default" w:ascii="Times New Roman" w:hAnsi="Times New Roman" w:eastAsia="宋体" w:cs="Times New Roman"/>
                      <w:b w:val="0"/>
                      <w:bCs/>
                      <w:color w:val="000000" w:themeColor="text1"/>
                      <w:sz w:val="21"/>
                      <w:szCs w:val="21"/>
                      <w14:textFill>
                        <w14:solidFill>
                          <w14:schemeClr w14:val="tx1"/>
                        </w14:solidFill>
                      </w14:textFill>
                    </w:rPr>
                  </w:pPr>
                  <w:r>
                    <w:rPr>
                      <w:rFonts w:hint="default" w:ascii="Times New Roman" w:hAnsi="Times New Roman" w:eastAsia="宋体" w:cs="Times New Roman"/>
                      <w:b w:val="0"/>
                      <w:bCs/>
                      <w:color w:val="000000" w:themeColor="text1"/>
                      <w:sz w:val="21"/>
                      <w:szCs w:val="21"/>
                      <w14:textFill>
                        <w14:solidFill>
                          <w14:schemeClr w14:val="tx1"/>
                        </w14:solidFill>
                      </w14:textFill>
                    </w:rPr>
                    <w:t>3</w:t>
                  </w:r>
                </w:p>
              </w:tc>
              <w:tc>
                <w:tcPr>
                  <w:tcW w:w="1993" w:type="pct"/>
                  <w:vAlign w:val="center"/>
                </w:tcPr>
                <w:p w14:paraId="1F5F5E73">
                  <w:pPr>
                    <w:pStyle w:val="73"/>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宋体" w:cs="Times New Roman"/>
                      <w:b w:val="0"/>
                      <w:bCs/>
                      <w:color w:val="000000" w:themeColor="text1"/>
                      <w:sz w:val="21"/>
                      <w:szCs w:val="21"/>
                      <w14:textFill>
                        <w14:solidFill>
                          <w14:schemeClr w14:val="tx1"/>
                        </w14:solidFill>
                      </w14:textFill>
                    </w:rPr>
                  </w:pPr>
                  <w:r>
                    <w:rPr>
                      <w:rFonts w:hint="default" w:ascii="Times New Roman" w:hAnsi="Times New Roman" w:eastAsia="宋体" w:cs="Times New Roman"/>
                      <w:b w:val="0"/>
                      <w:bCs/>
                      <w:color w:val="000000" w:themeColor="text1"/>
                      <w:sz w:val="21"/>
                      <w:szCs w:val="21"/>
                      <w14:textFill>
                        <w14:solidFill>
                          <w14:schemeClr w14:val="tx1"/>
                        </w14:solidFill>
                      </w14:textFill>
                    </w:rPr>
                    <w:t>土壤环境风险防控底线。到2025年，全市土壤环境风险防范体系进一步完善，受污染耕地安全利用率和污染地块安全利用率达到省下达的目标要求。到2035年，全市土壤环境质量稳中向好，农用地和建设用地土壤环境安全得到有效保障，受污染耕地安全利用率和污染地块安全利用率进一步提高，土壤环境风险得到全面管控。</w:t>
                  </w:r>
                </w:p>
              </w:tc>
              <w:tc>
                <w:tcPr>
                  <w:tcW w:w="2415" w:type="pct"/>
                  <w:vAlign w:val="center"/>
                </w:tcPr>
                <w:p w14:paraId="4E27AC0C">
                  <w:pPr>
                    <w:pStyle w:val="73"/>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宋体" w:cs="Times New Roman"/>
                      <w:b w:val="0"/>
                      <w:bCs/>
                      <w:color w:val="000000" w:themeColor="text1"/>
                      <w:sz w:val="21"/>
                      <w:szCs w:val="21"/>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本项目为生态影响类建设项目。蓝莓喜酸性土壤，其专用肥通常是硫酸铵、硫酸钾等。这些肥料被称为“生理酸性肥料”，植物吸收其所需的铵离子（NH₄⁺）后，会将氢离子（H⁺）留在土壤中，从而缓慢、温和地降低土壤pH值，这个过程是符合蓝莓生长逻辑的自然酸化且蓝莓的施肥方式高度精准（滴灌水肥一体化），这种精准施肥避免了肥料大面积撒播对土壤微生物群落的剧烈冲击，也极大减少了肥料随雨水淋失或径流污染环境的风险。</w:t>
                  </w:r>
                  <w:r>
                    <w:rPr>
                      <w:rFonts w:hint="default" w:ascii="Times New Roman" w:hAnsi="Times New Roman" w:eastAsia="宋体" w:cs="Times New Roman"/>
                      <w:b w:val="0"/>
                      <w:bCs/>
                      <w:i w:val="0"/>
                      <w:iCs w:val="0"/>
                      <w:caps w:val="0"/>
                      <w:color w:val="000000" w:themeColor="text1"/>
                      <w:spacing w:val="0"/>
                      <w:sz w:val="21"/>
                      <w:szCs w:val="21"/>
                      <w:shd w:val="clear" w:fill="FFFFFF"/>
                      <w:lang w:val="en-US" w:eastAsia="zh-CN"/>
                      <w14:textFill>
                        <w14:solidFill>
                          <w14:schemeClr w14:val="tx1"/>
                        </w14:solidFill>
                      </w14:textFill>
                    </w:rPr>
                    <w:t>三七种植</w:t>
                  </w:r>
                  <w:r>
                    <w:rPr>
                      <w:rFonts w:hint="default" w:ascii="Times New Roman" w:hAnsi="Times New Roman" w:eastAsia="宋体" w:cs="Times New Roman"/>
                      <w:b w:val="0"/>
                      <w:bCs/>
                      <w:i w:val="0"/>
                      <w:iCs w:val="0"/>
                      <w:caps w:val="0"/>
                      <w:color w:val="000000" w:themeColor="text1"/>
                      <w:spacing w:val="0"/>
                      <w:sz w:val="21"/>
                      <w:szCs w:val="21"/>
                      <w:shd w:val="clear" w:fill="FFFFFF"/>
                      <w14:textFill>
                        <w14:solidFill>
                          <w14:schemeClr w14:val="tx1"/>
                        </w14:solidFill>
                      </w14:textFill>
                    </w:rPr>
                    <w:t>主要施用腐熟有机肥（如菜籽饼、草木灰）和缓释型复合肥，这些肥料养分释放平缓，能有效避免土壤板结和盐渍化。通过控制施肥量（腐熟有机肥2</w:t>
                  </w:r>
                  <w:r>
                    <w:rPr>
                      <w:rFonts w:hint="eastAsia" w:cs="Times New Roman"/>
                      <w:b w:val="0"/>
                      <w:bCs/>
                      <w:i w:val="0"/>
                      <w:iCs w:val="0"/>
                      <w:caps w:val="0"/>
                      <w:color w:val="000000" w:themeColor="text1"/>
                      <w:spacing w:val="0"/>
                      <w:sz w:val="21"/>
                      <w:szCs w:val="21"/>
                      <w:shd w:val="clear" w:fill="FFFFFF"/>
                      <w:lang w:eastAsia="zh-CN"/>
                      <w14:textFill>
                        <w14:solidFill>
                          <w14:schemeClr w14:val="tx1"/>
                        </w14:solidFill>
                      </w14:textFill>
                    </w:rPr>
                    <w:t>—</w:t>
                  </w:r>
                  <w:r>
                    <w:rPr>
                      <w:rFonts w:hint="default" w:ascii="Times New Roman" w:hAnsi="Times New Roman" w:eastAsia="宋体" w:cs="Times New Roman"/>
                      <w:b w:val="0"/>
                      <w:bCs/>
                      <w:i w:val="0"/>
                      <w:iCs w:val="0"/>
                      <w:caps w:val="0"/>
                      <w:color w:val="000000" w:themeColor="text1"/>
                      <w:spacing w:val="0"/>
                      <w:sz w:val="21"/>
                      <w:szCs w:val="21"/>
                      <w:shd w:val="clear" w:fill="FFFFFF"/>
                      <w14:textFill>
                        <w14:solidFill>
                          <w14:schemeClr w14:val="tx1"/>
                        </w14:solidFill>
                      </w14:textFill>
                    </w:rPr>
                    <w:t>3吨/亩/年）和采用轮作制度（如与绿肥作物轮作），可维持土壤pH值稳定（5.5-6.5）和微生物群落平衡。羊肚菌种植肥料不会对土壤造成显著伤害。其营养包主要采用小麦、稻壳等可降解有机材料，不仅能提供养分，还能改善土壤结构。通过控制施肥量和采用轮作制度，可有效避免土壤pH值波动和盐分积累。实际种植数据表明，配合适当的土壤管理措施，羊肚菌栽培后的土壤肥力指标仍能维持在健康范围内，对土壤生态环境的影响是可控且可逆的。</w:t>
                  </w:r>
                  <w:r>
                    <w:rPr>
                      <w:rFonts w:hint="default" w:ascii="Times New Roman" w:hAnsi="Times New Roman" w:eastAsia="宋体" w:cs="Times New Roman"/>
                      <w:b w:val="0"/>
                      <w:bCs/>
                      <w:i w:val="0"/>
                      <w:iCs w:val="0"/>
                      <w:caps w:val="0"/>
                      <w:color w:val="000000" w:themeColor="text1"/>
                      <w:spacing w:val="0"/>
                      <w:sz w:val="21"/>
                      <w:szCs w:val="21"/>
                      <w:shd w:val="clear" w:fill="FFFFFF"/>
                      <w:lang w:val="en-US" w:eastAsia="zh-CN"/>
                      <w14:textFill>
                        <w14:solidFill>
                          <w14:schemeClr w14:val="tx1"/>
                        </w14:solidFill>
                      </w14:textFill>
                    </w:rPr>
                    <w:t>桃树、苹果树的</w:t>
                  </w:r>
                  <w:r>
                    <w:rPr>
                      <w:rFonts w:hint="default" w:ascii="Times New Roman" w:hAnsi="Times New Roman" w:eastAsia="宋体" w:cs="Times New Roman"/>
                      <w:b w:val="0"/>
                      <w:bCs/>
                      <w:i w:val="0"/>
                      <w:iCs w:val="0"/>
                      <w:caps w:val="0"/>
                      <w:color w:val="000000" w:themeColor="text1"/>
                      <w:spacing w:val="0"/>
                      <w:sz w:val="21"/>
                      <w:szCs w:val="21"/>
                      <w:shd w:val="clear" w:fill="FFFFFF"/>
                      <w14:textFill>
                        <w14:solidFill>
                          <w14:schemeClr w14:val="tx1"/>
                        </w14:solidFill>
                      </w14:textFill>
                    </w:rPr>
                    <w:t>浅根系特性（主要分布在30</w:t>
                  </w:r>
                  <w:r>
                    <w:rPr>
                      <w:rFonts w:hint="eastAsia" w:cs="Times New Roman"/>
                      <w:b w:val="0"/>
                      <w:bCs/>
                      <w:i w:val="0"/>
                      <w:iCs w:val="0"/>
                      <w:caps w:val="0"/>
                      <w:color w:val="000000" w:themeColor="text1"/>
                      <w:spacing w:val="0"/>
                      <w:sz w:val="21"/>
                      <w:szCs w:val="21"/>
                      <w:shd w:val="clear" w:fill="FFFFFF"/>
                      <w:lang w:eastAsia="zh-CN"/>
                      <w14:textFill>
                        <w14:solidFill>
                          <w14:schemeClr w14:val="tx1"/>
                        </w14:solidFill>
                      </w14:textFill>
                    </w:rPr>
                    <w:t>—</w:t>
                  </w:r>
                  <w:r>
                    <w:rPr>
                      <w:rFonts w:hint="default" w:ascii="Times New Roman" w:hAnsi="Times New Roman" w:eastAsia="宋体" w:cs="Times New Roman"/>
                      <w:b w:val="0"/>
                      <w:bCs/>
                      <w:i w:val="0"/>
                      <w:iCs w:val="0"/>
                      <w:caps w:val="0"/>
                      <w:color w:val="000000" w:themeColor="text1"/>
                      <w:spacing w:val="0"/>
                      <w:sz w:val="21"/>
                      <w:szCs w:val="21"/>
                      <w:shd w:val="clear" w:fill="FFFFFF"/>
                      <w14:textFill>
                        <w14:solidFill>
                          <w14:schemeClr w14:val="tx1"/>
                        </w14:solidFill>
                      </w14:textFill>
                    </w:rPr>
                    <w:t>50cm土层）不易破坏深层土壤结构，中等养分需求（年氮素需求约15</w:t>
                  </w:r>
                  <w:r>
                    <w:rPr>
                      <w:rFonts w:hint="eastAsia" w:cs="Times New Roman"/>
                      <w:b w:val="0"/>
                      <w:bCs/>
                      <w:i w:val="0"/>
                      <w:iCs w:val="0"/>
                      <w:caps w:val="0"/>
                      <w:color w:val="000000" w:themeColor="text1"/>
                      <w:spacing w:val="0"/>
                      <w:sz w:val="21"/>
                      <w:szCs w:val="21"/>
                      <w:shd w:val="clear" w:fill="FFFFFF"/>
                      <w:lang w:eastAsia="zh-CN"/>
                      <w14:textFill>
                        <w14:solidFill>
                          <w14:schemeClr w14:val="tx1"/>
                        </w14:solidFill>
                      </w14:textFill>
                    </w:rPr>
                    <w:t>—</w:t>
                  </w:r>
                  <w:r>
                    <w:rPr>
                      <w:rFonts w:hint="default" w:ascii="Times New Roman" w:hAnsi="Times New Roman" w:eastAsia="宋体" w:cs="Times New Roman"/>
                      <w:b w:val="0"/>
                      <w:bCs/>
                      <w:i w:val="0"/>
                      <w:iCs w:val="0"/>
                      <w:caps w:val="0"/>
                      <w:color w:val="000000" w:themeColor="text1"/>
                      <w:spacing w:val="0"/>
                      <w:sz w:val="21"/>
                      <w:szCs w:val="21"/>
                      <w:shd w:val="clear" w:fill="FFFFFF"/>
                      <w14:textFill>
                        <w14:solidFill>
                          <w14:schemeClr w14:val="tx1"/>
                        </w14:solidFill>
                      </w14:textFill>
                    </w:rPr>
                    <w:t>20kg/亩）通过精准施肥可维持平衡。配合生草栽培、有机肥施用（2</w:t>
                  </w:r>
                  <w:r>
                    <w:rPr>
                      <w:rFonts w:hint="eastAsia" w:cs="Times New Roman"/>
                      <w:b w:val="0"/>
                      <w:bCs/>
                      <w:i w:val="0"/>
                      <w:iCs w:val="0"/>
                      <w:caps w:val="0"/>
                      <w:color w:val="000000" w:themeColor="text1"/>
                      <w:spacing w:val="0"/>
                      <w:sz w:val="21"/>
                      <w:szCs w:val="21"/>
                      <w:shd w:val="clear" w:fill="FFFFFF"/>
                      <w:lang w:eastAsia="zh-CN"/>
                      <w14:textFill>
                        <w14:solidFill>
                          <w14:schemeClr w14:val="tx1"/>
                        </w14:solidFill>
                      </w14:textFill>
                    </w:rPr>
                    <w:t>—</w:t>
                  </w:r>
                  <w:r>
                    <w:rPr>
                      <w:rFonts w:hint="default" w:ascii="Times New Roman" w:hAnsi="Times New Roman" w:eastAsia="宋体" w:cs="Times New Roman"/>
                      <w:b w:val="0"/>
                      <w:bCs/>
                      <w:i w:val="0"/>
                      <w:iCs w:val="0"/>
                      <w:caps w:val="0"/>
                      <w:color w:val="000000" w:themeColor="text1"/>
                      <w:spacing w:val="0"/>
                      <w:sz w:val="21"/>
                      <w:szCs w:val="21"/>
                      <w:shd w:val="clear" w:fill="FFFFFF"/>
                      <w14:textFill>
                        <w14:solidFill>
                          <w14:schemeClr w14:val="tx1"/>
                        </w14:solidFill>
                      </w14:textFill>
                    </w:rPr>
                    <w:t>3吨/亩/年）和落叶还田等常规管理措施，反而能提升土壤有机质含量（</w:t>
                  </w:r>
                  <w:r>
                    <w:rPr>
                      <w:rFonts w:hint="eastAsia" w:cs="Times New Roman"/>
                      <w:b w:val="0"/>
                      <w:bCs/>
                      <w:i w:val="0"/>
                      <w:iCs w:val="0"/>
                      <w:caps w:val="0"/>
                      <w:color w:val="000000" w:themeColor="text1"/>
                      <w:spacing w:val="0"/>
                      <w:sz w:val="21"/>
                      <w:szCs w:val="21"/>
                      <w:shd w:val="clear" w:fill="FFFFFF"/>
                      <w:lang w:eastAsia="zh-CN"/>
                      <w14:textFill>
                        <w14:solidFill>
                          <w14:schemeClr w14:val="tx1"/>
                        </w14:solidFill>
                      </w14:textFill>
                    </w:rPr>
                    <w:t>0.1%—0.3%</w:t>
                  </w:r>
                  <w:r>
                    <w:rPr>
                      <w:rFonts w:hint="default" w:ascii="Times New Roman" w:hAnsi="Times New Roman" w:eastAsia="宋体" w:cs="Times New Roman"/>
                      <w:b w:val="0"/>
                      <w:bCs/>
                      <w:i w:val="0"/>
                      <w:iCs w:val="0"/>
                      <w:caps w:val="0"/>
                      <w:color w:val="000000" w:themeColor="text1"/>
                      <w:spacing w:val="0"/>
                      <w:sz w:val="21"/>
                      <w:szCs w:val="21"/>
                      <w:shd w:val="clear" w:fill="FFFFFF"/>
                      <w14:textFill>
                        <w14:solidFill>
                          <w14:schemeClr w14:val="tx1"/>
                        </w14:solidFill>
                      </w14:textFill>
                    </w:rPr>
                    <w:t>/年），促进微生物活动和团粒结构形成。在规范种植条件下，桃园土壤侵蚀程度轻，且养分流失较少，整体对土壤系统的扰动低于大田作物。</w:t>
                  </w:r>
                  <w:r>
                    <w:rPr>
                      <w:rFonts w:hint="default" w:ascii="Times New Roman" w:hAnsi="Times New Roman" w:eastAsia="宋体" w:cs="Times New Roman"/>
                      <w:b w:val="0"/>
                      <w:bCs/>
                      <w:i w:val="0"/>
                      <w:iCs w:val="0"/>
                      <w:caps w:val="0"/>
                      <w:color w:val="000000" w:themeColor="text1"/>
                      <w:spacing w:val="0"/>
                      <w:sz w:val="21"/>
                      <w:szCs w:val="21"/>
                      <w:shd w:val="clear" w:fill="FFFFFF"/>
                      <w:lang w:val="en-US" w:eastAsia="zh-CN"/>
                      <w14:textFill>
                        <w14:solidFill>
                          <w14:schemeClr w14:val="tx1"/>
                        </w14:solidFill>
                      </w14:textFill>
                    </w:rPr>
                    <w:t>综上所述，本项目的建设造成</w:t>
                  </w:r>
                  <w:r>
                    <w:rPr>
                      <w:rFonts w:hint="default" w:ascii="Times New Roman" w:hAnsi="Times New Roman" w:eastAsia="宋体" w:cs="Times New Roman"/>
                      <w:b w:val="0"/>
                      <w:bCs/>
                      <w:color w:val="000000" w:themeColor="text1"/>
                      <w:sz w:val="21"/>
                      <w:szCs w:val="21"/>
                      <w14:textFill>
                        <w14:solidFill>
                          <w14:schemeClr w14:val="tx1"/>
                        </w14:solidFill>
                      </w14:textFill>
                    </w:rPr>
                    <w:t>土壤环境风险较低。</w:t>
                  </w:r>
                </w:p>
              </w:tc>
              <w:tc>
                <w:tcPr>
                  <w:tcW w:w="303" w:type="pct"/>
                  <w:vAlign w:val="center"/>
                </w:tcPr>
                <w:p w14:paraId="39FCB3EC">
                  <w:pPr>
                    <w:pStyle w:val="73"/>
                    <w:bidi w:val="0"/>
                    <w:jc w:val="both"/>
                    <w:rPr>
                      <w:rFonts w:hint="default" w:ascii="Times New Roman" w:hAnsi="Times New Roman" w:eastAsia="宋体" w:cs="Times New Roman"/>
                      <w:b w:val="0"/>
                      <w:bCs/>
                      <w:color w:val="000000" w:themeColor="text1"/>
                      <w:sz w:val="21"/>
                      <w:szCs w:val="21"/>
                      <w14:textFill>
                        <w14:solidFill>
                          <w14:schemeClr w14:val="tx1"/>
                        </w14:solidFill>
                      </w14:textFill>
                    </w:rPr>
                  </w:pPr>
                  <w:r>
                    <w:rPr>
                      <w:rFonts w:hint="default" w:ascii="Times New Roman" w:hAnsi="Times New Roman" w:eastAsia="宋体" w:cs="Times New Roman"/>
                      <w:b w:val="0"/>
                      <w:bCs/>
                      <w:color w:val="000000" w:themeColor="text1"/>
                      <w:sz w:val="21"/>
                      <w:szCs w:val="21"/>
                      <w14:textFill>
                        <w14:solidFill>
                          <w14:schemeClr w14:val="tx1"/>
                        </w14:solidFill>
                      </w14:textFill>
                    </w:rPr>
                    <w:t>符合</w:t>
                  </w:r>
                </w:p>
              </w:tc>
            </w:tr>
            <w:tr w14:paraId="71DDB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00" w:type="pct"/>
                  <w:gridSpan w:val="4"/>
                  <w:vAlign w:val="center"/>
                </w:tcPr>
                <w:p w14:paraId="1D0D3580">
                  <w:pPr>
                    <w:pStyle w:val="73"/>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宋体" w:cs="Times New Roman"/>
                      <w:b w:val="0"/>
                      <w:bCs/>
                      <w:color w:val="000000" w:themeColor="text1"/>
                      <w:sz w:val="21"/>
                      <w:szCs w:val="21"/>
                      <w14:textFill>
                        <w14:solidFill>
                          <w14:schemeClr w14:val="tx1"/>
                        </w14:solidFill>
                      </w14:textFill>
                    </w:rPr>
                  </w:pPr>
                  <w:r>
                    <w:rPr>
                      <w:rFonts w:hint="default" w:ascii="Times New Roman" w:hAnsi="Times New Roman" w:eastAsia="宋体" w:cs="Times New Roman"/>
                      <w:b/>
                      <w:bCs w:val="0"/>
                      <w:color w:val="000000" w:themeColor="text1"/>
                      <w:sz w:val="21"/>
                      <w:szCs w:val="21"/>
                      <w14:textFill>
                        <w14:solidFill>
                          <w14:schemeClr w14:val="tx1"/>
                        </w14:solidFill>
                      </w14:textFill>
                    </w:rPr>
                    <w:t>三、资源利用上线</w:t>
                  </w:r>
                </w:p>
              </w:tc>
            </w:tr>
            <w:tr w14:paraId="7B695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7" w:type="pct"/>
                  <w:vAlign w:val="center"/>
                </w:tcPr>
                <w:p w14:paraId="0D0B93BD">
                  <w:pPr>
                    <w:pStyle w:val="73"/>
                    <w:bidi w:val="0"/>
                    <w:jc w:val="both"/>
                    <w:rPr>
                      <w:rFonts w:hint="default" w:ascii="Times New Roman" w:hAnsi="Times New Roman" w:eastAsia="宋体" w:cs="Times New Roman"/>
                      <w:b w:val="0"/>
                      <w:bCs/>
                      <w:color w:val="000000" w:themeColor="text1"/>
                      <w:sz w:val="21"/>
                      <w:szCs w:val="21"/>
                      <w14:textFill>
                        <w14:solidFill>
                          <w14:schemeClr w14:val="tx1"/>
                        </w14:solidFill>
                      </w14:textFill>
                    </w:rPr>
                  </w:pPr>
                  <w:r>
                    <w:rPr>
                      <w:rFonts w:hint="default" w:ascii="Times New Roman" w:hAnsi="Times New Roman" w:eastAsia="宋体" w:cs="Times New Roman"/>
                      <w:b w:val="0"/>
                      <w:bCs/>
                      <w:color w:val="000000" w:themeColor="text1"/>
                      <w:sz w:val="21"/>
                      <w:szCs w:val="21"/>
                      <w14:textFill>
                        <w14:solidFill>
                          <w14:schemeClr w14:val="tx1"/>
                        </w14:solidFill>
                      </w14:textFill>
                    </w:rPr>
                    <w:t>1</w:t>
                  </w:r>
                </w:p>
              </w:tc>
              <w:tc>
                <w:tcPr>
                  <w:tcW w:w="1993" w:type="pct"/>
                  <w:vAlign w:val="center"/>
                </w:tcPr>
                <w:p w14:paraId="187ADDFA">
                  <w:pPr>
                    <w:pStyle w:val="73"/>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宋体" w:cs="Times New Roman"/>
                      <w:b w:val="0"/>
                      <w:bCs/>
                      <w:color w:val="000000" w:themeColor="text1"/>
                      <w:sz w:val="21"/>
                      <w:szCs w:val="21"/>
                      <w14:textFill>
                        <w14:solidFill>
                          <w14:schemeClr w14:val="tx1"/>
                        </w14:solidFill>
                      </w14:textFill>
                    </w:rPr>
                  </w:pPr>
                  <w:r>
                    <w:rPr>
                      <w:rFonts w:hint="default" w:ascii="Times New Roman" w:hAnsi="Times New Roman" w:eastAsia="宋体" w:cs="Times New Roman"/>
                      <w:b w:val="0"/>
                      <w:bCs/>
                      <w:color w:val="000000" w:themeColor="text1"/>
                      <w:sz w:val="21"/>
                      <w:szCs w:val="21"/>
                      <w14:textFill>
                        <w14:solidFill>
                          <w14:schemeClr w14:val="tx1"/>
                        </w14:solidFill>
                      </w14:textFill>
                    </w:rPr>
                    <w:t>强化资源能源节约集约利用，持续提升资源能源利用效率，水资源、土地资源、能源消耗等达到或优于省下达的总量和强度控制目标。</w:t>
                  </w:r>
                </w:p>
              </w:tc>
              <w:tc>
                <w:tcPr>
                  <w:tcW w:w="2415" w:type="pct"/>
                  <w:vAlign w:val="center"/>
                </w:tcPr>
                <w:p w14:paraId="660F216B">
                  <w:pPr>
                    <w:pStyle w:val="73"/>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宋体" w:cs="Times New Roman"/>
                      <w:b w:val="0"/>
                      <w:bCs/>
                      <w:color w:val="000000" w:themeColor="text1"/>
                      <w:sz w:val="21"/>
                      <w:szCs w:val="21"/>
                      <w14:textFill>
                        <w14:solidFill>
                          <w14:schemeClr w14:val="tx1"/>
                        </w14:solidFill>
                      </w14:textFill>
                    </w:rPr>
                  </w:pPr>
                  <w:r>
                    <w:rPr>
                      <w:rFonts w:hint="default" w:ascii="Times New Roman" w:hAnsi="Times New Roman" w:eastAsia="宋体" w:cs="Times New Roman"/>
                      <w:b w:val="0"/>
                      <w:bCs/>
                      <w:color w:val="000000" w:themeColor="text1"/>
                      <w:sz w:val="21"/>
                      <w:szCs w:val="21"/>
                      <w14:textFill>
                        <w14:solidFill>
                          <w14:schemeClr w14:val="tx1"/>
                        </w14:solidFill>
                      </w14:textFill>
                    </w:rPr>
                    <w:t>本项目</w:t>
                  </w: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为农产品和药材种植</w:t>
                  </w:r>
                  <w:r>
                    <w:rPr>
                      <w:rFonts w:hint="default" w:ascii="Times New Roman" w:hAnsi="Times New Roman" w:eastAsia="宋体" w:cs="Times New Roman"/>
                      <w:b w:val="0"/>
                      <w:bCs/>
                      <w:color w:val="000000" w:themeColor="text1"/>
                      <w:sz w:val="21"/>
                      <w:szCs w:val="21"/>
                      <w:lang w:eastAsia="zh-CN"/>
                      <w14:textFill>
                        <w14:solidFill>
                          <w14:schemeClr w14:val="tx1"/>
                        </w14:solidFill>
                      </w14:textFill>
                    </w:rPr>
                    <w:t>项目</w:t>
                  </w:r>
                  <w:r>
                    <w:rPr>
                      <w:rFonts w:hint="default" w:ascii="Times New Roman" w:hAnsi="Times New Roman" w:eastAsia="宋体" w:cs="Times New Roman"/>
                      <w:b w:val="0"/>
                      <w:bCs/>
                      <w:color w:val="000000" w:themeColor="text1"/>
                      <w:sz w:val="21"/>
                      <w:szCs w:val="21"/>
                      <w14:textFill>
                        <w14:solidFill>
                          <w14:schemeClr w14:val="tx1"/>
                        </w14:solidFill>
                      </w14:textFill>
                    </w:rPr>
                    <w:t>，</w:t>
                  </w:r>
                  <w:r>
                    <w:rPr>
                      <w:rFonts w:hint="default" w:ascii="Times New Roman" w:hAnsi="Times New Roman" w:eastAsia="宋体" w:cs="Times New Roman"/>
                      <w:b w:val="0"/>
                      <w:bCs/>
                      <w:color w:val="000000" w:themeColor="text1"/>
                      <w:sz w:val="21"/>
                      <w:szCs w:val="21"/>
                      <w:lang w:eastAsia="zh-CN"/>
                      <w14:textFill>
                        <w14:solidFill>
                          <w14:schemeClr w14:val="tx1"/>
                        </w14:solidFill>
                      </w14:textFill>
                    </w:rPr>
                    <w:t>项目灌溉采用喷灌形式。</w:t>
                  </w: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项目</w:t>
                  </w:r>
                  <w:r>
                    <w:rPr>
                      <w:rFonts w:hint="eastAsia" w:ascii="Times New Roman" w:hAnsi="Times New Roman" w:cs="Times New Roman"/>
                      <w:b w:val="0"/>
                      <w:bCs/>
                      <w:color w:val="000000" w:themeColor="text1"/>
                      <w:sz w:val="21"/>
                      <w:szCs w:val="21"/>
                      <w:lang w:val="en-US" w:eastAsia="zh-CN"/>
                      <w14:textFill>
                        <w14:solidFill>
                          <w14:schemeClr w14:val="tx1"/>
                        </w14:solidFill>
                      </w14:textFill>
                    </w:rPr>
                    <w:t>一片区灌溉用水依托大西村委会于项目区周边已建供水灌溉管网取水</w:t>
                  </w:r>
                  <w:r>
                    <w:rPr>
                      <w:rFonts w:hint="eastAsia" w:cs="Times New Roman"/>
                      <w:b w:val="0"/>
                      <w:bCs/>
                      <w:color w:val="000000" w:themeColor="text1"/>
                      <w:sz w:val="21"/>
                      <w:szCs w:val="21"/>
                      <w:lang w:val="en-US" w:eastAsia="zh-CN"/>
                      <w14:textFill>
                        <w14:solidFill>
                          <w14:schemeClr w14:val="tx1"/>
                        </w14:solidFill>
                      </w14:textFill>
                    </w:rPr>
                    <w:t>以及项目区内</w:t>
                  </w:r>
                  <w:r>
                    <w:rPr>
                      <w:rFonts w:hint="eastAsia" w:ascii="Times New Roman" w:hAnsi="Times New Roman" w:cs="Times New Roman"/>
                      <w:b w:val="0"/>
                      <w:bCs/>
                      <w:color w:val="000000" w:themeColor="text1"/>
                      <w:sz w:val="21"/>
                      <w:szCs w:val="21"/>
                      <w:lang w:val="en-US" w:eastAsia="zh-CN"/>
                      <w14:textFill>
                        <w14:solidFill>
                          <w14:schemeClr w14:val="tx1"/>
                        </w14:solidFill>
                      </w14:textFill>
                    </w:rPr>
                    <w:t>修建截排水沟收集雨天的雨水</w:t>
                  </w:r>
                  <w:r>
                    <w:rPr>
                      <w:rFonts w:hint="eastAsia" w:cs="Times New Roman"/>
                      <w:b w:val="0"/>
                      <w:bCs/>
                      <w:color w:val="000000" w:themeColor="text1"/>
                      <w:sz w:val="21"/>
                      <w:szCs w:val="21"/>
                      <w:lang w:val="en-US" w:eastAsia="zh-CN"/>
                      <w14:textFill>
                        <w14:solidFill>
                          <w14:schemeClr w14:val="tx1"/>
                        </w14:solidFill>
                      </w14:textFill>
                    </w:rPr>
                    <w:t>，进入水池储存</w:t>
                  </w:r>
                  <w:r>
                    <w:rPr>
                      <w:rFonts w:hint="eastAsia" w:ascii="Times New Roman" w:hAnsi="Times New Roman" w:cs="Times New Roman"/>
                      <w:b w:val="0"/>
                      <w:bCs/>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二片区</w:t>
                  </w:r>
                  <w:r>
                    <w:rPr>
                      <w:rFonts w:hint="eastAsia" w:cs="Times New Roman"/>
                      <w:b w:val="0"/>
                      <w:bCs/>
                      <w:color w:val="000000" w:themeColor="text1"/>
                      <w:sz w:val="21"/>
                      <w:szCs w:val="21"/>
                      <w:lang w:val="en-US" w:eastAsia="zh-CN"/>
                      <w14:textFill>
                        <w14:solidFill>
                          <w14:schemeClr w14:val="tx1"/>
                        </w14:solidFill>
                      </w14:textFill>
                    </w:rPr>
                    <w:t>主要</w:t>
                  </w: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从项目基地自建的水池</w:t>
                  </w:r>
                  <w:r>
                    <w:rPr>
                      <w:rFonts w:hint="eastAsia" w:cs="Times New Roman"/>
                      <w:b w:val="0"/>
                      <w:bCs/>
                      <w:color w:val="000000" w:themeColor="text1"/>
                      <w:sz w:val="21"/>
                      <w:szCs w:val="21"/>
                      <w:lang w:val="en-US" w:eastAsia="zh-CN"/>
                      <w14:textFill>
                        <w14:solidFill>
                          <w14:schemeClr w14:val="tx1"/>
                        </w14:solidFill>
                      </w14:textFill>
                    </w:rPr>
                    <w:t>内</w:t>
                  </w: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取水</w:t>
                  </w:r>
                  <w:r>
                    <w:rPr>
                      <w:rFonts w:hint="eastAsia" w:ascii="Times New Roman" w:hAnsi="Times New Roman" w:cs="Times New Roman"/>
                      <w:b w:val="0"/>
                      <w:bCs/>
                      <w:color w:val="000000" w:themeColor="text1"/>
                      <w:sz w:val="21"/>
                      <w:szCs w:val="21"/>
                      <w:lang w:val="en-US" w:eastAsia="zh-CN"/>
                      <w14:textFill>
                        <w14:solidFill>
                          <w14:schemeClr w14:val="tx1"/>
                        </w14:solidFill>
                      </w14:textFill>
                    </w:rPr>
                    <w:t>，通过修建截排水沟收集雨天的雨水</w:t>
                  </w:r>
                  <w:r>
                    <w:rPr>
                      <w:rFonts w:hint="eastAsia" w:cs="Times New Roman"/>
                      <w:b w:val="0"/>
                      <w:bCs/>
                      <w:color w:val="000000" w:themeColor="text1"/>
                      <w:sz w:val="21"/>
                      <w:szCs w:val="21"/>
                      <w:lang w:val="en-US" w:eastAsia="zh-CN"/>
                      <w14:textFill>
                        <w14:solidFill>
                          <w14:schemeClr w14:val="tx1"/>
                        </w14:solidFill>
                      </w14:textFill>
                    </w:rPr>
                    <w:t>进入修建水池内</w:t>
                  </w:r>
                  <w:r>
                    <w:rPr>
                      <w:rFonts w:hint="eastAsia" w:cs="Times New Roman"/>
                      <w:b w:val="0"/>
                      <w:bCs/>
                      <w:color w:val="000000" w:themeColor="text1"/>
                      <w:sz w:val="21"/>
                      <w:szCs w:val="21"/>
                      <w:lang w:val="en-US" w:eastAsia="zh-CN"/>
                      <w14:textFill>
                        <w14:solidFill>
                          <w14:schemeClr w14:val="tx1"/>
                        </w14:solidFill>
                      </w14:textFill>
                    </w:rPr>
                    <w:t>（12个水池均接收雨水）</w:t>
                  </w:r>
                  <w:r>
                    <w:rPr>
                      <w:rFonts w:hint="eastAsia" w:ascii="Times New Roman" w:hAnsi="Times New Roman" w:cs="Times New Roman"/>
                      <w:b w:val="0"/>
                      <w:bCs/>
                      <w:color w:val="000000" w:themeColor="text1"/>
                      <w:sz w:val="21"/>
                      <w:szCs w:val="21"/>
                      <w:lang w:val="en-US" w:eastAsia="zh-CN"/>
                      <w14:textFill>
                        <w14:solidFill>
                          <w14:schemeClr w14:val="tx1"/>
                        </w14:solidFill>
                      </w14:textFill>
                    </w:rPr>
                    <w:t>，</w:t>
                  </w:r>
                  <w:r>
                    <w:rPr>
                      <w:rFonts w:hint="eastAsia" w:ascii="Times New Roman" w:hAnsi="Times New Roman" w:cs="Times New Roman"/>
                      <w:b w:val="0"/>
                      <w:bCs/>
                      <w:color w:val="000000" w:themeColor="text1"/>
                      <w:sz w:val="21"/>
                      <w:szCs w:val="21"/>
                      <w:lang w:val="en-US" w:eastAsia="zh-CN"/>
                      <w14:textFill>
                        <w14:solidFill>
                          <w14:schemeClr w14:val="tx1"/>
                        </w14:solidFill>
                      </w14:textFill>
                    </w:rPr>
                    <w:t>晴天时回</w:t>
                  </w:r>
                  <w:r>
                    <w:rPr>
                      <w:rFonts w:hint="eastAsia" w:cs="Times New Roman"/>
                      <w:b w:val="0"/>
                      <w:bCs/>
                      <w:color w:val="000000" w:themeColor="text1"/>
                      <w:sz w:val="21"/>
                      <w:szCs w:val="21"/>
                      <w:lang w:val="en-US" w:eastAsia="zh-CN"/>
                      <w14:textFill>
                        <w14:solidFill>
                          <w14:schemeClr w14:val="tx1"/>
                        </w14:solidFill>
                      </w14:textFill>
                    </w:rPr>
                    <w:t>用于</w:t>
                  </w:r>
                  <w:r>
                    <w:rPr>
                      <w:rFonts w:hint="eastAsia" w:ascii="Times New Roman" w:hAnsi="Times New Roman" w:cs="Times New Roman"/>
                      <w:b w:val="0"/>
                      <w:bCs/>
                      <w:color w:val="000000" w:themeColor="text1"/>
                      <w:sz w:val="21"/>
                      <w:szCs w:val="21"/>
                      <w:lang w:val="en-US" w:eastAsia="zh-CN"/>
                      <w14:textFill>
                        <w14:solidFill>
                          <w14:schemeClr w14:val="tx1"/>
                        </w14:solidFill>
                      </w14:textFill>
                    </w:rPr>
                    <w:t>除</w:t>
                  </w:r>
                  <w:r>
                    <w:rPr>
                      <w:rFonts w:hint="eastAsia" w:cs="Times New Roman"/>
                      <w:b w:val="0"/>
                      <w:bCs/>
                      <w:color w:val="000000" w:themeColor="text1"/>
                      <w:sz w:val="21"/>
                      <w:szCs w:val="21"/>
                      <w:lang w:val="en-US" w:eastAsia="zh-CN"/>
                      <w14:textFill>
                        <w14:solidFill>
                          <w14:schemeClr w14:val="tx1"/>
                        </w14:solidFill>
                      </w14:textFill>
                    </w:rPr>
                    <w:t>大棚内</w:t>
                  </w:r>
                  <w:r>
                    <w:rPr>
                      <w:rFonts w:hint="eastAsia" w:ascii="Times New Roman" w:hAnsi="Times New Roman" w:cs="Times New Roman"/>
                      <w:b w:val="0"/>
                      <w:bCs/>
                      <w:color w:val="000000" w:themeColor="text1"/>
                      <w:sz w:val="21"/>
                      <w:szCs w:val="21"/>
                      <w:lang w:val="en-US" w:eastAsia="zh-CN"/>
                      <w14:textFill>
                        <w14:solidFill>
                          <w14:schemeClr w14:val="tx1"/>
                        </w14:solidFill>
                      </w14:textFill>
                    </w:rPr>
                    <w:t>蓝莓种植区外的</w:t>
                  </w:r>
                  <w:r>
                    <w:rPr>
                      <w:rFonts w:hint="eastAsia" w:cs="Times New Roman"/>
                      <w:b w:val="0"/>
                      <w:bCs/>
                      <w:color w:val="000000" w:themeColor="text1"/>
                      <w:sz w:val="21"/>
                      <w:szCs w:val="21"/>
                      <w:lang w:val="en-US" w:eastAsia="zh-CN"/>
                      <w14:textFill>
                        <w14:solidFill>
                          <w14:schemeClr w14:val="tx1"/>
                        </w14:solidFill>
                      </w14:textFill>
                    </w:rPr>
                    <w:t>其他</w:t>
                  </w:r>
                  <w:r>
                    <w:rPr>
                      <w:rFonts w:hint="eastAsia" w:ascii="Times New Roman" w:hAnsi="Times New Roman" w:cs="Times New Roman"/>
                      <w:b w:val="0"/>
                      <w:bCs/>
                      <w:color w:val="000000" w:themeColor="text1"/>
                      <w:sz w:val="21"/>
                      <w:szCs w:val="21"/>
                      <w:lang w:val="en-US" w:eastAsia="zh-CN"/>
                      <w14:textFill>
                        <w14:solidFill>
                          <w14:schemeClr w14:val="tx1"/>
                        </w14:solidFill>
                      </w14:textFill>
                    </w:rPr>
                    <w:t>区域，大棚内蓝莓种植区用水根据灌溉需求取水。</w:t>
                  </w: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项目员工不在厂区食宿，产生的生活污水仅为洗手废水，经沉淀池沉淀后回用于项目种植区灌溉，项目建成后对水资源消耗量少。</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项目用地</w:t>
                  </w:r>
                  <w:r>
                    <w:rPr>
                      <w:rFonts w:hint="default" w:ascii="Times New Roman" w:hAnsi="Times New Roman" w:eastAsia="宋体" w:cs="Times New Roman"/>
                      <w:b w:val="0"/>
                      <w:bCs/>
                      <w:color w:val="000000" w:themeColor="text1"/>
                      <w:sz w:val="21"/>
                      <w:szCs w:val="21"/>
                      <w:highlight w:val="none"/>
                      <w:lang w:eastAsia="zh-CN"/>
                      <w14:textFill>
                        <w14:solidFill>
                          <w14:schemeClr w14:val="tx1"/>
                        </w14:solidFill>
                      </w14:textFill>
                    </w:rPr>
                    <w:t>租用峨山县塔甸镇大西村委会大西山</w:t>
                  </w: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下属上下借代、迭嘎可、尼去本、大西组、以他得等六个村民小组荒山荒地</w:t>
                  </w:r>
                  <w:r>
                    <w:rPr>
                      <w:rFonts w:hint="eastAsia" w:cs="Times New Roman"/>
                      <w:b w:val="0"/>
                      <w:bCs/>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b w:val="0"/>
                      <w:color w:val="000000" w:themeColor="text1"/>
                      <w:sz w:val="21"/>
                      <w:szCs w:val="21"/>
                      <w:highlight w:val="none"/>
                      <w14:textFill>
                        <w14:solidFill>
                          <w14:schemeClr w14:val="tx1"/>
                        </w14:solidFill>
                      </w14:textFill>
                    </w:rPr>
                    <w:t>不</w:t>
                  </w:r>
                  <w:r>
                    <w:rPr>
                      <w:rFonts w:hint="default" w:ascii="Times New Roman" w:hAnsi="Times New Roman" w:eastAsia="宋体" w:cs="Times New Roman"/>
                      <w:b w:val="0"/>
                      <w:color w:val="000000" w:themeColor="text1"/>
                      <w:sz w:val="21"/>
                      <w:szCs w:val="21"/>
                      <w14:textFill>
                        <w14:solidFill>
                          <w14:schemeClr w14:val="tx1"/>
                        </w14:solidFill>
                      </w14:textFill>
                    </w:rPr>
                    <w:t>占用基本农田和耕地，符合当地规划要求</w:t>
                  </w:r>
                  <w:r>
                    <w:rPr>
                      <w:rFonts w:hint="default" w:ascii="Times New Roman" w:hAnsi="Times New Roman" w:eastAsia="宋体" w:cs="Times New Roman"/>
                      <w:b w:val="0"/>
                      <w:color w:val="000000" w:themeColor="text1"/>
                      <w:sz w:val="21"/>
                      <w:szCs w:val="21"/>
                      <w:lang w:eastAsia="zh-CN"/>
                      <w14:textFill>
                        <w14:solidFill>
                          <w14:schemeClr w14:val="tx1"/>
                        </w14:solidFill>
                      </w14:textFill>
                    </w:rPr>
                    <w:t>；</w:t>
                  </w:r>
                  <w:r>
                    <w:rPr>
                      <w:rFonts w:hint="default" w:ascii="Times New Roman" w:hAnsi="Times New Roman" w:eastAsia="宋体" w:cs="Times New Roman"/>
                      <w:b w:val="0"/>
                      <w:color w:val="000000" w:themeColor="text1"/>
                      <w:sz w:val="21"/>
                      <w:szCs w:val="21"/>
                      <w14:textFill>
                        <w14:solidFill>
                          <w14:schemeClr w14:val="tx1"/>
                        </w14:solidFill>
                      </w14:textFill>
                    </w:rPr>
                    <w:t>项目</w:t>
                  </w:r>
                  <w:r>
                    <w:rPr>
                      <w:rFonts w:hint="eastAsia" w:cs="Times New Roman"/>
                      <w:b w:val="0"/>
                      <w:color w:val="000000" w:themeColor="text1"/>
                      <w:sz w:val="21"/>
                      <w:szCs w:val="21"/>
                      <w:lang w:eastAsia="zh-CN"/>
                      <w14:textFill>
                        <w14:solidFill>
                          <w14:schemeClr w14:val="tx1"/>
                        </w14:solidFill>
                      </w14:textFill>
                    </w:rPr>
                    <w:t>生产过程中使用</w:t>
                  </w:r>
                  <w:r>
                    <w:rPr>
                      <w:rFonts w:hint="default" w:ascii="Times New Roman" w:hAnsi="Times New Roman" w:eastAsia="宋体" w:cs="Times New Roman"/>
                      <w:b w:val="0"/>
                      <w:color w:val="000000" w:themeColor="text1"/>
                      <w:sz w:val="21"/>
                      <w:szCs w:val="21"/>
                      <w14:textFill>
                        <w14:solidFill>
                          <w14:schemeClr w14:val="tx1"/>
                        </w14:solidFill>
                      </w14:textFill>
                    </w:rPr>
                    <w:t>的能源主要是电且用量不大，因此项目生产过程中不会突破当地资源利用上线，符合资源利用上线的要求。</w:t>
                  </w:r>
                </w:p>
              </w:tc>
              <w:tc>
                <w:tcPr>
                  <w:tcW w:w="303" w:type="pct"/>
                  <w:vAlign w:val="center"/>
                </w:tcPr>
                <w:p w14:paraId="74719B23">
                  <w:pPr>
                    <w:pStyle w:val="73"/>
                    <w:bidi w:val="0"/>
                    <w:jc w:val="both"/>
                    <w:rPr>
                      <w:rFonts w:hint="default" w:ascii="Times New Roman" w:hAnsi="Times New Roman" w:eastAsia="宋体" w:cs="Times New Roman"/>
                      <w:b w:val="0"/>
                      <w:bCs/>
                      <w:color w:val="000000" w:themeColor="text1"/>
                      <w:sz w:val="21"/>
                      <w:szCs w:val="21"/>
                      <w14:textFill>
                        <w14:solidFill>
                          <w14:schemeClr w14:val="tx1"/>
                        </w14:solidFill>
                      </w14:textFill>
                    </w:rPr>
                  </w:pPr>
                  <w:r>
                    <w:rPr>
                      <w:rFonts w:hint="default" w:ascii="Times New Roman" w:hAnsi="Times New Roman" w:eastAsia="宋体" w:cs="Times New Roman"/>
                      <w:b w:val="0"/>
                      <w:bCs/>
                      <w:color w:val="000000" w:themeColor="text1"/>
                      <w:sz w:val="21"/>
                      <w:szCs w:val="21"/>
                      <w14:textFill>
                        <w14:solidFill>
                          <w14:schemeClr w14:val="tx1"/>
                        </w14:solidFill>
                      </w14:textFill>
                    </w:rPr>
                    <w:t>符合</w:t>
                  </w:r>
                </w:p>
              </w:tc>
            </w:tr>
            <w:tr w14:paraId="63264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00" w:type="pct"/>
                  <w:gridSpan w:val="4"/>
                  <w:vAlign w:val="center"/>
                </w:tcPr>
                <w:p w14:paraId="2F0FECC9">
                  <w:pPr>
                    <w:pStyle w:val="73"/>
                    <w:bidi w:val="0"/>
                    <w:jc w:val="both"/>
                    <w:rPr>
                      <w:rFonts w:hint="default" w:ascii="Times New Roman" w:hAnsi="Times New Roman" w:eastAsia="宋体" w:cs="Times New Roman"/>
                      <w:b w:val="0"/>
                      <w:bCs/>
                      <w:color w:val="000000" w:themeColor="text1"/>
                      <w:sz w:val="21"/>
                      <w:szCs w:val="21"/>
                      <w14:textFill>
                        <w14:solidFill>
                          <w14:schemeClr w14:val="tx1"/>
                        </w14:solidFill>
                      </w14:textFill>
                    </w:rPr>
                  </w:pPr>
                  <w:r>
                    <w:rPr>
                      <w:rFonts w:hint="default" w:ascii="Times New Roman" w:hAnsi="Times New Roman" w:eastAsia="宋体" w:cs="Times New Roman"/>
                      <w:b/>
                      <w:bCs w:val="0"/>
                      <w:color w:val="000000" w:themeColor="text1"/>
                      <w:sz w:val="21"/>
                      <w:szCs w:val="21"/>
                      <w14:textFill>
                        <w14:solidFill>
                          <w14:schemeClr w14:val="tx1"/>
                        </w14:solidFill>
                      </w14:textFill>
                    </w:rPr>
                    <w:t>四、构建生态环境分区管控体系</w:t>
                  </w:r>
                </w:p>
              </w:tc>
            </w:tr>
            <w:tr w14:paraId="6772D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00" w:type="pct"/>
                  <w:gridSpan w:val="4"/>
                  <w:vAlign w:val="center"/>
                </w:tcPr>
                <w:p w14:paraId="2D60A59C">
                  <w:pPr>
                    <w:pStyle w:val="73"/>
                    <w:bidi w:val="0"/>
                    <w:jc w:val="both"/>
                    <w:rPr>
                      <w:rFonts w:hint="default" w:ascii="Times New Roman" w:hAnsi="Times New Roman" w:eastAsia="宋体" w:cs="Times New Roman"/>
                      <w:b w:val="0"/>
                      <w:bCs/>
                      <w:color w:val="000000" w:themeColor="text1"/>
                      <w:sz w:val="21"/>
                      <w:szCs w:val="21"/>
                      <w14:textFill>
                        <w14:solidFill>
                          <w14:schemeClr w14:val="tx1"/>
                        </w14:solidFill>
                      </w14:textFill>
                    </w:rPr>
                  </w:pPr>
                  <w:r>
                    <w:rPr>
                      <w:rFonts w:hint="default" w:ascii="Times New Roman" w:hAnsi="Times New Roman" w:eastAsia="宋体" w:cs="Times New Roman"/>
                      <w:b w:val="0"/>
                      <w:bCs/>
                      <w:color w:val="000000" w:themeColor="text1"/>
                      <w:sz w:val="21"/>
                      <w:szCs w:val="21"/>
                      <w14:textFill>
                        <w14:solidFill>
                          <w14:schemeClr w14:val="tx1"/>
                        </w14:solidFill>
                      </w14:textFill>
                    </w:rPr>
                    <w:t>生态环境管控单元划分。全市共划分8</w:t>
                  </w: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3</w:t>
                  </w:r>
                  <w:r>
                    <w:rPr>
                      <w:rFonts w:hint="default" w:ascii="Times New Roman" w:hAnsi="Times New Roman" w:eastAsia="宋体" w:cs="Times New Roman"/>
                      <w:b w:val="0"/>
                      <w:bCs/>
                      <w:color w:val="000000" w:themeColor="text1"/>
                      <w:sz w:val="21"/>
                      <w:szCs w:val="21"/>
                      <w14:textFill>
                        <w14:solidFill>
                          <w14:schemeClr w14:val="tx1"/>
                        </w14:solidFill>
                      </w14:textFill>
                    </w:rPr>
                    <w:t>个生态环境管控单元，分为优先保护、重点管控和一般管控3类。</w:t>
                  </w:r>
                </w:p>
                <w:p w14:paraId="0B948DC9">
                  <w:pPr>
                    <w:pStyle w:val="73"/>
                    <w:bidi w:val="0"/>
                    <w:jc w:val="both"/>
                    <w:rPr>
                      <w:rFonts w:hint="default" w:ascii="Times New Roman" w:hAnsi="Times New Roman" w:eastAsia="宋体" w:cs="Times New Roman"/>
                      <w:b w:val="0"/>
                      <w:bCs/>
                      <w:color w:val="000000" w:themeColor="text1"/>
                      <w:sz w:val="21"/>
                      <w:szCs w:val="21"/>
                      <w14:textFill>
                        <w14:solidFill>
                          <w14:schemeClr w14:val="tx1"/>
                        </w14:solidFill>
                      </w14:textFill>
                    </w:rPr>
                  </w:pPr>
                  <w:r>
                    <w:rPr>
                      <w:rFonts w:hint="default" w:ascii="Times New Roman" w:hAnsi="Times New Roman" w:eastAsia="宋体" w:cs="Times New Roman"/>
                      <w:b w:val="0"/>
                      <w:bCs/>
                      <w:color w:val="000000" w:themeColor="text1"/>
                      <w:sz w:val="21"/>
                      <w:szCs w:val="21"/>
                      <w14:textFill>
                        <w14:solidFill>
                          <w14:schemeClr w14:val="tx1"/>
                        </w14:solidFill>
                      </w14:textFill>
                    </w:rPr>
                    <w:t>①优先保护单元。共27个，包含生态保护红线和一般生态空间，主要分布在哀牢山、红河（元江）干热河谷、珠江上游及滇东南喀斯特地带、高原湖泊湖区及流域水源涵养区等生态功能重要、生态环境敏感区域。</w:t>
                  </w:r>
                </w:p>
                <w:p w14:paraId="30E037E2">
                  <w:pPr>
                    <w:pStyle w:val="73"/>
                    <w:bidi w:val="0"/>
                    <w:jc w:val="both"/>
                    <w:rPr>
                      <w:rFonts w:hint="default" w:ascii="Times New Roman" w:hAnsi="Times New Roman" w:eastAsia="宋体" w:cs="Times New Roman"/>
                      <w:b w:val="0"/>
                      <w:bCs/>
                      <w:color w:val="000000" w:themeColor="text1"/>
                      <w:sz w:val="21"/>
                      <w:szCs w:val="21"/>
                      <w14:textFill>
                        <w14:solidFill>
                          <w14:schemeClr w14:val="tx1"/>
                        </w14:solidFill>
                      </w14:textFill>
                    </w:rPr>
                  </w:pPr>
                  <w:r>
                    <w:rPr>
                      <w:rFonts w:hint="default" w:ascii="Times New Roman" w:hAnsi="Times New Roman" w:eastAsia="宋体" w:cs="Times New Roman"/>
                      <w:b w:val="0"/>
                      <w:bCs/>
                      <w:color w:val="000000" w:themeColor="text1"/>
                      <w:sz w:val="21"/>
                      <w:szCs w:val="21"/>
                      <w14:textFill>
                        <w14:solidFill>
                          <w14:schemeClr w14:val="tx1"/>
                        </w14:solidFill>
                      </w14:textFill>
                    </w:rPr>
                    <w:t>②重点管控单元。共47个，包含开发强度高、污染物排放强度大、环境问题相对集中的区域和大气环境布局敏感区等，主要分布在“三湖”（抚仙湖、星云湖、杞麓湖）坝区、各类开发区和工业集中区、城镇规划区及环境质量改善压力较大的区域。</w:t>
                  </w:r>
                </w:p>
                <w:p w14:paraId="09FE10EE">
                  <w:pPr>
                    <w:pStyle w:val="73"/>
                    <w:bidi w:val="0"/>
                    <w:jc w:val="both"/>
                    <w:rPr>
                      <w:rFonts w:hint="eastAsia" w:cs="Times New Roman"/>
                      <w:b/>
                      <w:bCs w:val="0"/>
                      <w:color w:val="000000" w:themeColor="text1"/>
                      <w:sz w:val="21"/>
                      <w:szCs w:val="21"/>
                      <w:lang w:eastAsia="zh-CN"/>
                      <w14:textFill>
                        <w14:solidFill>
                          <w14:schemeClr w14:val="tx1"/>
                        </w14:solidFill>
                      </w14:textFill>
                    </w:rPr>
                  </w:pPr>
                  <w:r>
                    <w:rPr>
                      <w:rFonts w:hint="default" w:ascii="Times New Roman" w:hAnsi="Times New Roman" w:eastAsia="宋体" w:cs="Times New Roman"/>
                      <w:b/>
                      <w:bCs w:val="0"/>
                      <w:color w:val="000000" w:themeColor="text1"/>
                      <w:sz w:val="21"/>
                      <w:szCs w:val="21"/>
                      <w:lang w:val="en-US" w:eastAsia="zh-CN"/>
                      <w14:textFill>
                        <w14:solidFill>
                          <w14:schemeClr w14:val="tx1"/>
                        </w14:solidFill>
                      </w14:textFill>
                    </w:rPr>
                    <w:t>项目</w:t>
                  </w:r>
                  <w:r>
                    <w:rPr>
                      <w:rFonts w:hint="default" w:ascii="Times New Roman" w:hAnsi="Times New Roman" w:eastAsia="宋体" w:cs="Times New Roman"/>
                      <w:b/>
                      <w:bCs w:val="0"/>
                      <w:color w:val="000000" w:themeColor="text1"/>
                      <w:sz w:val="21"/>
                      <w:szCs w:val="21"/>
                      <w14:textFill>
                        <w14:solidFill>
                          <w14:schemeClr w14:val="tx1"/>
                        </w14:solidFill>
                      </w14:textFill>
                    </w:rPr>
                    <w:t>区位于</w:t>
                  </w:r>
                  <w:r>
                    <w:rPr>
                      <w:rFonts w:hint="default" w:ascii="Times New Roman" w:hAnsi="Times New Roman" w:eastAsia="宋体" w:cs="Times New Roman"/>
                      <w:b/>
                      <w:bCs w:val="0"/>
                      <w:color w:val="000000" w:themeColor="text1"/>
                      <w:sz w:val="21"/>
                      <w:szCs w:val="21"/>
                      <w:lang w:val="en-US" w:eastAsia="zh-CN"/>
                      <w14:textFill>
                        <w14:solidFill>
                          <w14:schemeClr w14:val="tx1"/>
                        </w14:solidFill>
                      </w14:textFill>
                    </w:rPr>
                    <w:t>峨山县塔甸镇大西村委会</w:t>
                  </w:r>
                  <w:r>
                    <w:rPr>
                      <w:rFonts w:hint="eastAsia" w:cs="Times New Roman"/>
                      <w:b/>
                      <w:bCs w:val="0"/>
                      <w:color w:val="000000" w:themeColor="text1"/>
                      <w:sz w:val="21"/>
                      <w:szCs w:val="21"/>
                      <w:lang w:val="en-US" w:eastAsia="zh-CN"/>
                      <w14:textFill>
                        <w14:solidFill>
                          <w14:schemeClr w14:val="tx1"/>
                        </w14:solidFill>
                      </w14:textFill>
                    </w:rPr>
                    <w:t>大西山</w:t>
                  </w:r>
                  <w:r>
                    <w:rPr>
                      <w:rFonts w:hint="default" w:ascii="Times New Roman" w:hAnsi="Times New Roman" w:eastAsia="宋体" w:cs="Times New Roman"/>
                      <w:b/>
                      <w:bCs w:val="0"/>
                      <w:color w:val="000000" w:themeColor="text1"/>
                      <w:sz w:val="21"/>
                      <w:szCs w:val="21"/>
                      <w14:textFill>
                        <w14:solidFill>
                          <w14:schemeClr w14:val="tx1"/>
                        </w14:solidFill>
                      </w14:textFill>
                    </w:rPr>
                    <w:t>，</w:t>
                  </w:r>
                  <w:r>
                    <w:rPr>
                      <w:rFonts w:hint="default" w:ascii="Times New Roman" w:hAnsi="Times New Roman" w:eastAsia="宋体" w:cs="Times New Roman"/>
                      <w:b/>
                      <w:bCs w:val="0"/>
                      <w:color w:val="000000" w:themeColor="text1"/>
                      <w:sz w:val="21"/>
                      <w:szCs w:val="21"/>
                      <w:lang w:val="en-US" w:eastAsia="zh-CN"/>
                      <w14:textFill>
                        <w14:solidFill>
                          <w14:schemeClr w14:val="tx1"/>
                        </w14:solidFill>
                      </w14:textFill>
                    </w:rPr>
                    <w:t>项目区范围</w:t>
                  </w:r>
                  <w:r>
                    <w:rPr>
                      <w:rFonts w:hint="eastAsia" w:ascii="Times New Roman" w:hAnsi="Times New Roman" w:eastAsia="宋体" w:cs="Times New Roman"/>
                      <w:b/>
                      <w:bCs w:val="0"/>
                      <w:color w:val="000000" w:themeColor="text1"/>
                      <w:sz w:val="21"/>
                      <w:szCs w:val="21"/>
                      <w:lang w:val="en-US" w:eastAsia="zh-CN"/>
                      <w14:textFill>
                        <w14:solidFill>
                          <w14:schemeClr w14:val="tx1"/>
                        </w14:solidFill>
                      </w14:textFill>
                    </w:rPr>
                    <w:t>涉及</w:t>
                  </w:r>
                  <w:r>
                    <w:rPr>
                      <w:rFonts w:hint="default" w:ascii="Times New Roman" w:hAnsi="Times New Roman" w:eastAsia="宋体" w:cs="Times New Roman"/>
                      <w:b/>
                      <w:bCs w:val="0"/>
                      <w:color w:val="000000" w:themeColor="text1"/>
                      <w:sz w:val="21"/>
                      <w:szCs w:val="21"/>
                      <w:lang w:val="en-US" w:eastAsia="zh-CN"/>
                      <w14:textFill>
                        <w14:solidFill>
                          <w14:schemeClr w14:val="tx1"/>
                        </w14:solidFill>
                      </w14:textFill>
                    </w:rPr>
                    <w:t>3个管控单元：峨山县饮用水水源保护区优先保护单元、峨山县一般管控单元、峨山</w:t>
                  </w:r>
                  <w:r>
                    <w:rPr>
                      <w:rFonts w:hint="default" w:ascii="Times New Roman" w:hAnsi="Times New Roman" w:eastAsia="宋体" w:cs="Times New Roman"/>
                      <w:b/>
                      <w:bCs w:val="0"/>
                      <w:color w:val="000000" w:themeColor="text1"/>
                      <w:sz w:val="21"/>
                      <w:szCs w:val="21"/>
                      <w14:textFill>
                        <w14:solidFill>
                          <w14:schemeClr w14:val="tx1"/>
                        </w14:solidFill>
                      </w14:textFill>
                    </w:rPr>
                    <w:t>县一般生态空间优先保护单元</w:t>
                  </w:r>
                  <w:r>
                    <w:rPr>
                      <w:rFonts w:hint="eastAsia" w:cs="Times New Roman"/>
                      <w:b/>
                      <w:bCs w:val="0"/>
                      <w:color w:val="000000" w:themeColor="text1"/>
                      <w:sz w:val="21"/>
                      <w:szCs w:val="21"/>
                      <w:lang w:eastAsia="zh-CN"/>
                      <w14:textFill>
                        <w14:solidFill>
                          <w14:schemeClr w14:val="tx1"/>
                        </w14:solidFill>
                      </w14:textFill>
                    </w:rPr>
                    <w:t>。</w:t>
                  </w:r>
                </w:p>
                <w:p w14:paraId="0B5A1CBC">
                  <w:pPr>
                    <w:pStyle w:val="73"/>
                    <w:bidi w:val="0"/>
                    <w:jc w:val="both"/>
                    <w:rPr>
                      <w:rFonts w:hint="default" w:ascii="Times New Roman" w:hAnsi="Times New Roman" w:eastAsia="宋体" w:cs="Times New Roman"/>
                      <w:b w:val="0"/>
                      <w:bCs/>
                      <w:color w:val="000000" w:themeColor="text1"/>
                      <w:sz w:val="21"/>
                      <w:szCs w:val="21"/>
                      <w:lang w:val="en-US"/>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注：尼去本水库已划定为峨山县饮用水水源保护区</w:t>
                  </w:r>
                  <w:r>
                    <w:rPr>
                      <w:rFonts w:hint="eastAsia" w:cs="Times New Roman"/>
                      <w:b w:val="0"/>
                      <w:bCs/>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尚未完成审批。</w:t>
                  </w:r>
                </w:p>
              </w:tc>
            </w:tr>
            <w:tr w14:paraId="12824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00" w:type="pct"/>
                  <w:gridSpan w:val="4"/>
                  <w:vAlign w:val="center"/>
                </w:tcPr>
                <w:p w14:paraId="5DF2306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峨山县</w:t>
                  </w:r>
                  <w:r>
                    <w:rPr>
                      <w:rFonts w:hint="default" w:ascii="Times New Roman" w:hAnsi="Times New Roman" w:eastAsia="宋体" w:cs="Times New Roman"/>
                      <w:b/>
                      <w:bCs/>
                      <w:color w:val="000000" w:themeColor="text1"/>
                      <w:sz w:val="21"/>
                      <w:szCs w:val="21"/>
                      <w:lang w:eastAsia="zh-CN"/>
                      <w14:textFill>
                        <w14:solidFill>
                          <w14:schemeClr w14:val="tx1"/>
                        </w14:solidFill>
                      </w14:textFill>
                    </w:rPr>
                    <w:t>饮用水水源保护区</w:t>
                  </w:r>
                  <w:r>
                    <w:rPr>
                      <w:rFonts w:hint="default" w:ascii="Times New Roman" w:hAnsi="Times New Roman" w:eastAsia="宋体" w:cs="Times New Roman"/>
                      <w:b/>
                      <w:bCs/>
                      <w:color w:val="000000" w:themeColor="text1"/>
                      <w:sz w:val="21"/>
                      <w:szCs w:val="21"/>
                      <w14:textFill>
                        <w14:solidFill>
                          <w14:schemeClr w14:val="tx1"/>
                        </w14:solidFill>
                      </w14:textFill>
                    </w:rPr>
                    <w:t>优先保护单元</w:t>
                  </w:r>
                </w:p>
              </w:tc>
            </w:tr>
            <w:tr w14:paraId="35015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7" w:type="pct"/>
                  <w:vAlign w:val="center"/>
                </w:tcPr>
                <w:p w14:paraId="24980177">
                  <w:pPr>
                    <w:pStyle w:val="73"/>
                    <w:keepNext w:val="0"/>
                    <w:keepLines w:val="0"/>
                    <w:pageBreakBefore w:val="0"/>
                    <w:widowControl w:val="0"/>
                    <w:kinsoku/>
                    <w:wordWrap/>
                    <w:overflowPunct/>
                    <w:topLinePunct w:val="0"/>
                    <w:autoSpaceDE/>
                    <w:autoSpaceDN/>
                    <w:bidi w:val="0"/>
                    <w:spacing w:line="240" w:lineRule="auto"/>
                    <w:ind w:firstLine="0" w:firstLineChars="0"/>
                    <w:jc w:val="both"/>
                    <w:textAlignment w:val="auto"/>
                    <w:rPr>
                      <w:rFonts w:hint="default" w:ascii="Times New Roman" w:hAnsi="Times New Roman" w:eastAsia="宋体" w:cs="Times New Roman"/>
                      <w:b w:val="0"/>
                      <w:bCs/>
                      <w:color w:val="000000" w:themeColor="text1"/>
                      <w:sz w:val="21"/>
                      <w:szCs w:val="21"/>
                      <w:lang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eastAsia="zh-CN"/>
                      <w14:textFill>
                        <w14:solidFill>
                          <w14:schemeClr w14:val="tx1"/>
                        </w14:solidFill>
                      </w14:textFill>
                    </w:rPr>
                    <w:t>空间布局约束</w:t>
                  </w:r>
                </w:p>
              </w:tc>
              <w:tc>
                <w:tcPr>
                  <w:tcW w:w="1993" w:type="pct"/>
                  <w:vAlign w:val="center"/>
                </w:tcPr>
                <w:p w14:paraId="5B363AA3">
                  <w:pPr>
                    <w:pStyle w:val="73"/>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14:textFill>
                        <w14:solidFill>
                          <w14:schemeClr w14:val="tx1"/>
                        </w14:solidFill>
                      </w14:textFill>
                    </w:rPr>
                    <w:t>依据《中华人民共和国水污染防治法》《饮用水水源保护区污染防治管理规定》《中华人民共和国水法》《地下水管理条例》《云南省地下水管理办法》等进行管理。</w:t>
                  </w:r>
                </w:p>
              </w:tc>
              <w:tc>
                <w:tcPr>
                  <w:tcW w:w="2415" w:type="pct"/>
                  <w:vAlign w:val="center"/>
                </w:tcPr>
                <w:p w14:paraId="1F43A0D8">
                  <w:pPr>
                    <w:pStyle w:val="73"/>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14:textFill>
                        <w14:solidFill>
                          <w14:schemeClr w14:val="tx1"/>
                        </w14:solidFill>
                      </w14:textFill>
                    </w:rPr>
                    <w:t>本</w:t>
                  </w: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项目位于峨山县塔甸镇大西村委会</w:t>
                  </w:r>
                  <w:r>
                    <w:rPr>
                      <w:rFonts w:hint="eastAsia" w:cs="Times New Roman"/>
                      <w:b w:val="0"/>
                      <w:bCs/>
                      <w:color w:val="000000" w:themeColor="text1"/>
                      <w:sz w:val="21"/>
                      <w:szCs w:val="21"/>
                      <w:lang w:val="en-US" w:eastAsia="zh-CN"/>
                      <w14:textFill>
                        <w14:solidFill>
                          <w14:schemeClr w14:val="tx1"/>
                        </w14:solidFill>
                      </w14:textFill>
                    </w:rPr>
                    <w:t>大西山</w:t>
                  </w: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b w:val="0"/>
                      <w:bCs/>
                      <w:color w:val="000000" w:themeColor="text1"/>
                      <w:sz w:val="21"/>
                      <w:szCs w:val="21"/>
                      <w14:textFill>
                        <w14:solidFill>
                          <w14:schemeClr w14:val="tx1"/>
                        </w14:solidFill>
                      </w14:textFill>
                    </w:rPr>
                    <w:t>主要为</w:t>
                  </w: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农产品、药材种植项目，主要种植蓝莓、三七、羊肚菌</w:t>
                  </w:r>
                  <w:r>
                    <w:rPr>
                      <w:rFonts w:hint="default" w:ascii="Times New Roman" w:hAnsi="Times New Roman" w:eastAsia="宋体" w:cs="Times New Roman"/>
                      <w:b w:val="0"/>
                      <w:bCs/>
                      <w:color w:val="000000" w:themeColor="text1"/>
                      <w:sz w:val="21"/>
                      <w:szCs w:val="21"/>
                      <w14:textFill>
                        <w14:solidFill>
                          <w14:schemeClr w14:val="tx1"/>
                        </w14:solidFill>
                      </w14:textFill>
                    </w:rPr>
                    <w:t>，</w:t>
                  </w: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桃、苹果，项目地块分2个片区，一片区位于已划定大西水库饮用水源保护区二级保护区范围内，距离大西水库最近距离为1640m；二片区位于正在划定的尼去本水库饮用水源保护区二级保护区范围内，距离尼去本水库最近距离为2150m。</w:t>
                  </w:r>
                </w:p>
                <w:p w14:paraId="428B0E35">
                  <w:pPr>
                    <w:pStyle w:val="73"/>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eastAsia" w:cs="Times New Roman"/>
                      <w:b w:val="0"/>
                      <w:bCs/>
                      <w:color w:val="000000" w:themeColor="text1"/>
                      <w:sz w:val="21"/>
                      <w:szCs w:val="21"/>
                      <w:lang w:val="en-US" w:eastAsia="zh-CN"/>
                      <w14:textFill>
                        <w14:solidFill>
                          <w14:schemeClr w14:val="tx1"/>
                        </w14:solidFill>
                      </w14:textFill>
                    </w:rPr>
                    <w:t>与</w:t>
                  </w:r>
                  <w:r>
                    <w:rPr>
                      <w:rFonts w:hint="default" w:ascii="Times New Roman" w:hAnsi="Times New Roman" w:eastAsia="宋体" w:cs="Times New Roman"/>
                      <w:b w:val="0"/>
                      <w:bCs/>
                      <w:color w:val="000000" w:themeColor="text1"/>
                      <w:sz w:val="21"/>
                      <w:szCs w:val="21"/>
                      <w14:textFill>
                        <w14:solidFill>
                          <w14:schemeClr w14:val="tx1"/>
                        </w14:solidFill>
                      </w14:textFill>
                    </w:rPr>
                    <w:t>《中华人民共和国水污染防治法》</w:t>
                  </w:r>
                  <w:r>
                    <w:rPr>
                      <w:rFonts w:hint="eastAsia" w:cs="Times New Roman"/>
                      <w:b w:val="0"/>
                      <w:bCs/>
                      <w:color w:val="000000" w:themeColor="text1"/>
                      <w:sz w:val="21"/>
                      <w:szCs w:val="21"/>
                      <w:lang w:val="en-US" w:eastAsia="zh-CN"/>
                      <w14:textFill>
                        <w14:solidFill>
                          <w14:schemeClr w14:val="tx1"/>
                        </w14:solidFill>
                      </w14:textFill>
                    </w:rPr>
                    <w:t>及</w:t>
                  </w:r>
                  <w:r>
                    <w:rPr>
                      <w:rFonts w:hint="default" w:ascii="Times New Roman" w:hAnsi="Times New Roman" w:eastAsia="宋体" w:cs="Times New Roman"/>
                      <w:b w:val="0"/>
                      <w:bCs/>
                      <w:color w:val="000000" w:themeColor="text1"/>
                      <w:sz w:val="21"/>
                      <w:szCs w:val="21"/>
                      <w14:textFill>
                        <w14:solidFill>
                          <w14:schemeClr w14:val="tx1"/>
                        </w14:solidFill>
                      </w14:textFill>
                    </w:rPr>
                    <w:t>《饮用水水源保护区污染防治管理规定》</w:t>
                  </w:r>
                  <w:r>
                    <w:rPr>
                      <w:rFonts w:hint="eastAsia" w:cs="Times New Roman"/>
                      <w:b w:val="0"/>
                      <w:bCs/>
                      <w:color w:val="000000" w:themeColor="text1"/>
                      <w:sz w:val="21"/>
                      <w:szCs w:val="21"/>
                      <w:lang w:val="en-US" w:eastAsia="zh-CN"/>
                      <w14:textFill>
                        <w14:solidFill>
                          <w14:schemeClr w14:val="tx1"/>
                        </w14:solidFill>
                      </w14:textFill>
                    </w:rPr>
                    <w:t>相关符合性分析见后文表1-9及1-10，符合文件的相关要求；项目区及周边不涉及地下水源。</w:t>
                  </w:r>
                </w:p>
              </w:tc>
              <w:tc>
                <w:tcPr>
                  <w:tcW w:w="303" w:type="pct"/>
                  <w:vAlign w:val="center"/>
                </w:tcPr>
                <w:p w14:paraId="47288D95">
                  <w:pPr>
                    <w:pStyle w:val="73"/>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eastAsia="宋体" w:cs="Times New Roman"/>
                      <w:b w:val="0"/>
                      <w:bCs/>
                      <w:color w:val="000000" w:themeColor="text1"/>
                      <w:sz w:val="21"/>
                      <w:szCs w:val="21"/>
                      <w14:textFill>
                        <w14:solidFill>
                          <w14:schemeClr w14:val="tx1"/>
                        </w14:solidFill>
                      </w14:textFill>
                    </w:rPr>
                  </w:pPr>
                  <w:r>
                    <w:rPr>
                      <w:rFonts w:hint="default" w:ascii="Times New Roman" w:hAnsi="Times New Roman" w:eastAsia="宋体" w:cs="Times New Roman"/>
                      <w:b w:val="0"/>
                      <w:bCs/>
                      <w:color w:val="000000" w:themeColor="text1"/>
                      <w:sz w:val="21"/>
                      <w:szCs w:val="21"/>
                      <w14:textFill>
                        <w14:solidFill>
                          <w14:schemeClr w14:val="tx1"/>
                        </w14:solidFill>
                      </w14:textFill>
                    </w:rPr>
                    <w:t>符合</w:t>
                  </w:r>
                </w:p>
              </w:tc>
            </w:tr>
            <w:tr w14:paraId="2397E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00" w:type="pct"/>
                  <w:gridSpan w:val="4"/>
                  <w:vAlign w:val="center"/>
                </w:tcPr>
                <w:p w14:paraId="18DA18D1">
                  <w:pPr>
                    <w:pStyle w:val="73"/>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eastAsia="宋体" w:cs="Times New Roman"/>
                      <w:b w:val="0"/>
                      <w:bCs/>
                      <w:color w:val="000000" w:themeColor="text1"/>
                      <w:sz w:val="21"/>
                      <w:szCs w:val="21"/>
                      <w:lang w:eastAsia="zh-CN"/>
                      <w14:textFill>
                        <w14:solidFill>
                          <w14:schemeClr w14:val="tx1"/>
                        </w14:solidFill>
                      </w14:textFill>
                    </w:rPr>
                  </w:pPr>
                  <w:r>
                    <w:rPr>
                      <w:rFonts w:hint="default" w:ascii="Times New Roman" w:hAnsi="Times New Roman" w:eastAsia="宋体" w:cs="Times New Roman"/>
                      <w:b/>
                      <w:bCs w:val="0"/>
                      <w:color w:val="000000" w:themeColor="text1"/>
                      <w:sz w:val="21"/>
                      <w:szCs w:val="21"/>
                      <w:lang w:val="en-US" w:eastAsia="zh-CN"/>
                      <w14:textFill>
                        <w14:solidFill>
                          <w14:schemeClr w14:val="tx1"/>
                        </w14:solidFill>
                      </w14:textFill>
                    </w:rPr>
                    <w:t>峨山</w:t>
                  </w:r>
                  <w:r>
                    <w:rPr>
                      <w:rFonts w:hint="default" w:ascii="Times New Roman" w:hAnsi="Times New Roman" w:eastAsia="宋体" w:cs="Times New Roman"/>
                      <w:b/>
                      <w:bCs w:val="0"/>
                      <w:color w:val="000000" w:themeColor="text1"/>
                      <w:sz w:val="21"/>
                      <w:szCs w:val="21"/>
                      <w:lang w:eastAsia="zh-CN"/>
                      <w14:textFill>
                        <w14:solidFill>
                          <w14:schemeClr w14:val="tx1"/>
                        </w14:solidFill>
                      </w14:textFill>
                    </w:rPr>
                    <w:t>县一般管控单元</w:t>
                  </w:r>
                </w:p>
              </w:tc>
            </w:tr>
            <w:tr w14:paraId="70E7D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7" w:type="pct"/>
                  <w:vAlign w:val="center"/>
                </w:tcPr>
                <w:p w14:paraId="23ACF1A2">
                  <w:pPr>
                    <w:pStyle w:val="73"/>
                    <w:keepNext w:val="0"/>
                    <w:keepLines w:val="0"/>
                    <w:pageBreakBefore w:val="0"/>
                    <w:widowControl w:val="0"/>
                    <w:kinsoku/>
                    <w:wordWrap/>
                    <w:overflowPunct/>
                    <w:topLinePunct w:val="0"/>
                    <w:autoSpaceDE/>
                    <w:autoSpaceDN/>
                    <w:bidi w:val="0"/>
                    <w:spacing w:line="240" w:lineRule="auto"/>
                    <w:ind w:firstLine="0" w:firstLineChars="0"/>
                    <w:jc w:val="both"/>
                    <w:textAlignment w:val="auto"/>
                    <w:rPr>
                      <w:rFonts w:hint="default" w:ascii="Times New Roman" w:hAnsi="Times New Roman" w:eastAsia="宋体" w:cs="Times New Roman"/>
                      <w:b w:val="0"/>
                      <w:bCs/>
                      <w:color w:val="000000" w:themeColor="text1"/>
                      <w:sz w:val="21"/>
                      <w:szCs w:val="21"/>
                      <w:lang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eastAsia="zh-CN"/>
                      <w14:textFill>
                        <w14:solidFill>
                          <w14:schemeClr w14:val="tx1"/>
                        </w14:solidFill>
                      </w14:textFill>
                    </w:rPr>
                    <w:t>空间布局约束</w:t>
                  </w:r>
                </w:p>
              </w:tc>
              <w:tc>
                <w:tcPr>
                  <w:tcW w:w="1993" w:type="pct"/>
                  <w:vAlign w:val="center"/>
                </w:tcPr>
                <w:p w14:paraId="3E56B27E">
                  <w:pPr>
                    <w:pStyle w:val="73"/>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落实生态环境保护基本要求，项目建设和运行应满足产业准入、污染物削减、污染物排放标准等管理规定和国家法律法规要求。</w:t>
                  </w:r>
                </w:p>
              </w:tc>
              <w:tc>
                <w:tcPr>
                  <w:tcW w:w="2415" w:type="pct"/>
                  <w:vAlign w:val="center"/>
                </w:tcPr>
                <w:p w14:paraId="755CDE51">
                  <w:pPr>
                    <w:pStyle w:val="73"/>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eastAsia="宋体" w:cs="Times New Roman"/>
                      <w:b w:val="0"/>
                      <w:bCs/>
                      <w:color w:val="000000" w:themeColor="text1"/>
                      <w:sz w:val="21"/>
                      <w:szCs w:val="21"/>
                      <w:lang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eastAsia="zh-CN"/>
                      <w14:textFill>
                        <w14:solidFill>
                          <w14:schemeClr w14:val="tx1"/>
                        </w14:solidFill>
                      </w14:textFill>
                    </w:rPr>
                    <w:t>项目主要为</w:t>
                  </w: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农产品、药材种植项目，主要种植蓝莓、三七、羊肚菌、桃、苹果</w:t>
                  </w:r>
                  <w:r>
                    <w:rPr>
                      <w:rFonts w:hint="default" w:ascii="Times New Roman" w:hAnsi="Times New Roman" w:eastAsia="宋体" w:cs="Times New Roman"/>
                      <w:b w:val="0"/>
                      <w:bCs/>
                      <w:color w:val="000000" w:themeColor="text1"/>
                      <w:sz w:val="21"/>
                      <w:szCs w:val="21"/>
                      <w:lang w:eastAsia="zh-CN"/>
                      <w14:textFill>
                        <w14:solidFill>
                          <w14:schemeClr w14:val="tx1"/>
                        </w14:solidFill>
                      </w14:textFill>
                    </w:rPr>
                    <w:t>，</w:t>
                  </w:r>
                  <w:r>
                    <w:rPr>
                      <w:rFonts w:hint="default" w:ascii="Times New Roman" w:hAnsi="Times New Roman" w:eastAsia="宋体" w:cs="Times New Roman"/>
                      <w:b w:val="0"/>
                      <w:bCs/>
                      <w:color w:val="000000" w:themeColor="text1"/>
                      <w:sz w:val="21"/>
                      <w:szCs w:val="21"/>
                      <w:lang w:val="en-US" w:eastAsia="zh-CN" w:bidi="zh-CN"/>
                      <w14:textFill>
                        <w14:solidFill>
                          <w14:schemeClr w14:val="tx1"/>
                        </w14:solidFill>
                      </w14:textFill>
                    </w:rPr>
                    <w:t>项目施工期污染源主要是施工扬尘、施工生活污水、施工噪声、大棚建设的废弃材料、施工区域原有地表挖除的灌木杂草、施工人员产生的生活垃圾等。在落实本次环评提出的措施前提下，项目施工扬尘可以得到有效控制，能够达标排放</w:t>
                  </w:r>
                  <w:r>
                    <w:rPr>
                      <w:rFonts w:hint="eastAsia" w:cs="Times New Roman"/>
                      <w:b w:val="0"/>
                      <w:bCs/>
                      <w:color w:val="000000" w:themeColor="text1"/>
                      <w:sz w:val="21"/>
                      <w:szCs w:val="21"/>
                      <w:lang w:val="en-US" w:eastAsia="zh-CN" w:bidi="zh-CN"/>
                      <w14:textFill>
                        <w14:solidFill>
                          <w14:schemeClr w14:val="tx1"/>
                        </w14:solidFill>
                      </w14:textFill>
                    </w:rPr>
                    <w:t>；</w:t>
                  </w:r>
                  <w:r>
                    <w:rPr>
                      <w:rFonts w:hint="default" w:ascii="Times New Roman" w:hAnsi="Times New Roman" w:eastAsia="宋体" w:cs="Times New Roman"/>
                      <w:b w:val="0"/>
                      <w:bCs/>
                      <w:color w:val="000000" w:themeColor="text1"/>
                      <w:sz w:val="21"/>
                      <w:szCs w:val="21"/>
                      <w:lang w:val="en-US" w:eastAsia="zh-CN" w:bidi="zh-CN"/>
                      <w14:textFill>
                        <w14:solidFill>
                          <w14:schemeClr w14:val="tx1"/>
                        </w14:solidFill>
                      </w14:textFill>
                    </w:rPr>
                    <w:t>项目区内施工人员日常产生的洗手废水经收集后就近进入沉淀池或水池，回用于施工区域内降尘</w:t>
                  </w:r>
                  <w:r>
                    <w:rPr>
                      <w:rFonts w:hint="eastAsia" w:cs="Times New Roman"/>
                      <w:b w:val="0"/>
                      <w:bCs/>
                      <w:color w:val="000000" w:themeColor="text1"/>
                      <w:sz w:val="21"/>
                      <w:szCs w:val="21"/>
                      <w:lang w:val="en-US" w:eastAsia="zh-CN" w:bidi="zh-CN"/>
                      <w14:textFill>
                        <w14:solidFill>
                          <w14:schemeClr w14:val="tx1"/>
                        </w14:solidFill>
                      </w14:textFill>
                    </w:rPr>
                    <w:t>，</w:t>
                  </w:r>
                  <w:r>
                    <w:rPr>
                      <w:rFonts w:hint="default" w:ascii="Times New Roman" w:hAnsi="Times New Roman" w:eastAsia="宋体" w:cs="Times New Roman"/>
                      <w:b w:val="0"/>
                      <w:bCs/>
                      <w:color w:val="000000" w:themeColor="text1"/>
                      <w:sz w:val="21"/>
                      <w:szCs w:val="21"/>
                      <w:lang w:val="en-US" w:eastAsia="zh-CN" w:bidi="zh-CN"/>
                      <w14:textFill>
                        <w14:solidFill>
                          <w14:schemeClr w14:val="tx1"/>
                        </w14:solidFill>
                      </w14:textFill>
                    </w:rPr>
                    <w:t>不外排；项目施工场地场界噪声能够达标排放。项目施工期间只要严格执行文明施工条例，对所产生的污染物进行合理的处理处置后，项目施工</w:t>
                  </w:r>
                  <w:r>
                    <w:rPr>
                      <w:rFonts w:hint="eastAsia" w:cs="Times New Roman"/>
                      <w:b w:val="0"/>
                      <w:bCs/>
                      <w:color w:val="000000" w:themeColor="text1"/>
                      <w:sz w:val="21"/>
                      <w:szCs w:val="21"/>
                      <w:lang w:val="en-US" w:eastAsia="zh-CN" w:bidi="zh-CN"/>
                      <w14:textFill>
                        <w14:solidFill>
                          <w14:schemeClr w14:val="tx1"/>
                        </w14:solidFill>
                      </w14:textFill>
                    </w:rPr>
                    <w:t>期间</w:t>
                  </w:r>
                  <w:r>
                    <w:rPr>
                      <w:rFonts w:hint="default" w:ascii="Times New Roman" w:hAnsi="Times New Roman" w:eastAsia="宋体" w:cs="Times New Roman"/>
                      <w:b w:val="0"/>
                      <w:bCs/>
                      <w:color w:val="000000" w:themeColor="text1"/>
                      <w:sz w:val="21"/>
                      <w:szCs w:val="21"/>
                      <w:lang w:val="en-US" w:eastAsia="zh-CN" w:bidi="zh-CN"/>
                      <w14:textFill>
                        <w14:solidFill>
                          <w14:schemeClr w14:val="tx1"/>
                        </w14:solidFill>
                      </w14:textFill>
                    </w:rPr>
                    <w:t>对环境影响较小。</w:t>
                  </w:r>
                  <w:r>
                    <w:rPr>
                      <w:rFonts w:hint="default" w:ascii="Times New Roman" w:hAnsi="Times New Roman" w:eastAsia="宋体" w:cs="Times New Roman"/>
                      <w:b w:val="0"/>
                      <w:bCs/>
                      <w:color w:val="000000" w:themeColor="text1"/>
                      <w:sz w:val="21"/>
                      <w:szCs w:val="21"/>
                      <w:lang w:eastAsia="zh-CN"/>
                      <w14:textFill>
                        <w14:solidFill>
                          <w14:schemeClr w14:val="tx1"/>
                        </w14:solidFill>
                      </w14:textFill>
                    </w:rPr>
                    <w:t>项目污染物均通过相关的治理措施后，能够实现达标排放。</w:t>
                  </w:r>
                </w:p>
              </w:tc>
              <w:tc>
                <w:tcPr>
                  <w:tcW w:w="303" w:type="pct"/>
                  <w:vAlign w:val="center"/>
                </w:tcPr>
                <w:p w14:paraId="1D95687D">
                  <w:pPr>
                    <w:pStyle w:val="73"/>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符合</w:t>
                  </w:r>
                </w:p>
              </w:tc>
            </w:tr>
            <w:tr w14:paraId="44917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00" w:type="pct"/>
                  <w:gridSpan w:val="4"/>
                  <w:vAlign w:val="center"/>
                </w:tcPr>
                <w:p w14:paraId="666CCB90">
                  <w:pPr>
                    <w:pStyle w:val="73"/>
                    <w:keepNext w:val="0"/>
                    <w:keepLines w:val="0"/>
                    <w:pageBreakBefore w:val="0"/>
                    <w:widowControl w:val="0"/>
                    <w:kinsoku/>
                    <w:wordWrap/>
                    <w:overflowPunct/>
                    <w:topLinePunct w:val="0"/>
                    <w:autoSpaceDE/>
                    <w:autoSpaceDN/>
                    <w:bidi w:val="0"/>
                    <w:spacing w:line="240" w:lineRule="auto"/>
                    <w:jc w:val="both"/>
                    <w:textAlignment w:val="auto"/>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val="0"/>
                      <w:color w:val="000000" w:themeColor="text1"/>
                      <w:sz w:val="21"/>
                      <w:szCs w:val="21"/>
                      <w:lang w:val="en-US" w:eastAsia="zh-CN"/>
                      <w14:textFill>
                        <w14:solidFill>
                          <w14:schemeClr w14:val="tx1"/>
                        </w14:solidFill>
                      </w14:textFill>
                    </w:rPr>
                    <w:t>峨山</w:t>
                  </w:r>
                  <w:r>
                    <w:rPr>
                      <w:rFonts w:hint="default" w:ascii="Times New Roman" w:hAnsi="Times New Roman" w:eastAsia="宋体" w:cs="Times New Roman"/>
                      <w:b/>
                      <w:bCs w:val="0"/>
                      <w:color w:val="000000" w:themeColor="text1"/>
                      <w:sz w:val="21"/>
                      <w:szCs w:val="21"/>
                      <w14:textFill>
                        <w14:solidFill>
                          <w14:schemeClr w14:val="tx1"/>
                        </w14:solidFill>
                      </w14:textFill>
                    </w:rPr>
                    <w:t>县一般生态空间优先保护单元</w:t>
                  </w:r>
                </w:p>
              </w:tc>
            </w:tr>
            <w:tr w14:paraId="254B7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7" w:type="pct"/>
                  <w:vMerge w:val="restart"/>
                  <w:vAlign w:val="center"/>
                </w:tcPr>
                <w:p w14:paraId="41EB01A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color w:val="000000" w:themeColor="text1"/>
                      <w:sz w:val="21"/>
                      <w:szCs w:val="21"/>
                      <w:lang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14:textFill>
                        <w14:solidFill>
                          <w14:schemeClr w14:val="tx1"/>
                        </w14:solidFill>
                      </w14:textFill>
                    </w:rPr>
                    <w:t>空间布局约束</w:t>
                  </w:r>
                </w:p>
              </w:tc>
              <w:tc>
                <w:tcPr>
                  <w:tcW w:w="1993" w:type="pct"/>
                  <w:vAlign w:val="center"/>
                </w:tcPr>
                <w:p w14:paraId="1C36E9A3">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14:textFill>
                        <w14:solidFill>
                          <w14:schemeClr w14:val="tx1"/>
                        </w14:solidFill>
                      </w14:textFill>
                    </w:rPr>
                    <w:t>1.一般生态空间优先保护单元以保护和修复生态环境、提供生态产品为首要任务，参照主体功能区中重点生态功能区的开发和管制原则进行管控，加强资源环境承载力控制，防止过度垦殖、放牧、采伐、取水、渔猎、旅游等对生态功能造成损害，确保自然生态系统稳定。涉及占用一般生态空间的开发活动应符合相关法律法规规定，没有明确规定的，加强论证和管理。</w:t>
                  </w:r>
                </w:p>
              </w:tc>
              <w:tc>
                <w:tcPr>
                  <w:tcW w:w="2415" w:type="pct"/>
                  <w:vAlign w:val="center"/>
                </w:tcPr>
                <w:p w14:paraId="13A77EB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color w:val="000000" w:themeColor="text1"/>
                      <w:sz w:val="21"/>
                      <w:szCs w:val="21"/>
                      <w:lang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14:textFill>
                        <w14:solidFill>
                          <w14:schemeClr w14:val="tx1"/>
                        </w14:solidFill>
                      </w14:textFill>
                    </w:rPr>
                    <w:t>项目为</w:t>
                  </w: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农产品、药材种植项目</w:t>
                  </w:r>
                  <w:r>
                    <w:rPr>
                      <w:rFonts w:hint="default" w:ascii="Times New Roman" w:hAnsi="Times New Roman" w:eastAsia="宋体" w:cs="Times New Roman"/>
                      <w:b w:val="0"/>
                      <w:bCs/>
                      <w:color w:val="000000" w:themeColor="text1"/>
                      <w:sz w:val="21"/>
                      <w:szCs w:val="21"/>
                      <w14:textFill>
                        <w14:solidFill>
                          <w14:schemeClr w14:val="tx1"/>
                        </w14:solidFill>
                      </w14:textFill>
                    </w:rPr>
                    <w:t>，主要</w:t>
                  </w: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种植蓝莓、三七、羊肚菌、桃、苹果</w:t>
                  </w:r>
                  <w:r>
                    <w:rPr>
                      <w:rFonts w:hint="default" w:ascii="Times New Roman" w:hAnsi="Times New Roman" w:eastAsia="宋体" w:cs="Times New Roman"/>
                      <w:b w:val="0"/>
                      <w:bCs/>
                      <w:color w:val="000000" w:themeColor="text1"/>
                      <w:sz w:val="21"/>
                      <w:szCs w:val="21"/>
                      <w:lang w:eastAsia="zh-CN"/>
                      <w14:textFill>
                        <w14:solidFill>
                          <w14:schemeClr w14:val="tx1"/>
                        </w14:solidFill>
                      </w14:textFill>
                    </w:rPr>
                    <w:t>，选址充分考量生态因素，严格遵循相关法规要求。项目建设区域避开了生态保护红线，</w:t>
                  </w:r>
                  <w:r>
                    <w:rPr>
                      <w:rFonts w:hint="eastAsia" w:ascii="Times New Roman" w:hAnsi="Times New Roman" w:cs="Times New Roman"/>
                      <w:b w:val="0"/>
                      <w:bCs/>
                      <w:color w:val="000000" w:themeColor="text1"/>
                      <w:sz w:val="21"/>
                      <w:szCs w:val="21"/>
                      <w:lang w:eastAsia="zh-CN"/>
                      <w14:textFill>
                        <w14:solidFill>
                          <w14:schemeClr w14:val="tx1"/>
                        </w14:solidFill>
                      </w14:textFill>
                    </w:rPr>
                    <w:t>在</w:t>
                  </w:r>
                  <w:r>
                    <w:rPr>
                      <w:rFonts w:hint="default" w:ascii="Times New Roman" w:hAnsi="Times New Roman" w:eastAsia="宋体" w:cs="Times New Roman"/>
                      <w:b w:val="0"/>
                      <w:bCs/>
                      <w:color w:val="000000" w:themeColor="text1"/>
                      <w:sz w:val="21"/>
                      <w:szCs w:val="21"/>
                      <w:lang w:eastAsia="zh-CN"/>
                      <w14:textFill>
                        <w14:solidFill>
                          <w14:schemeClr w14:val="tx1"/>
                        </w14:solidFill>
                      </w14:textFill>
                    </w:rPr>
                    <w:t>一般生态空间优先保护单元内，</w:t>
                  </w: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不涉及</w:t>
                  </w:r>
                  <w:r>
                    <w:rPr>
                      <w:rFonts w:hint="default" w:ascii="Times New Roman" w:hAnsi="Times New Roman" w:eastAsia="宋体" w:cs="Times New Roman"/>
                      <w:b w:val="0"/>
                      <w:bCs/>
                      <w:color w:val="000000" w:themeColor="text1"/>
                      <w:sz w:val="21"/>
                      <w:szCs w:val="21"/>
                      <w:lang w:eastAsia="zh-CN"/>
                      <w14:textFill>
                        <w14:solidFill>
                          <w14:schemeClr w14:val="tx1"/>
                        </w14:solidFill>
                      </w14:textFill>
                    </w:rPr>
                    <w:t>垦殖、放牧</w:t>
                  </w: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行为。</w:t>
                  </w:r>
                  <w:r>
                    <w:rPr>
                      <w:rFonts w:hint="default" w:ascii="Times New Roman" w:hAnsi="Times New Roman" w:eastAsia="宋体" w:cs="Times New Roman"/>
                      <w:b w:val="0"/>
                      <w:bCs/>
                      <w:color w:val="000000" w:themeColor="text1"/>
                      <w:sz w:val="21"/>
                      <w:szCs w:val="21"/>
                      <w:lang w:eastAsia="zh-CN"/>
                      <w14:textFill>
                        <w14:solidFill>
                          <w14:schemeClr w14:val="tx1"/>
                        </w14:solidFill>
                      </w14:textFill>
                    </w:rPr>
                    <w:t>严格按照重点生态功能区开发管制原则管控，合理控制资源环境承载力，确保自然生态系统稳定。</w:t>
                  </w:r>
                </w:p>
              </w:tc>
              <w:tc>
                <w:tcPr>
                  <w:tcW w:w="303" w:type="pct"/>
                  <w:vAlign w:val="center"/>
                </w:tcPr>
                <w:p w14:paraId="67E5F520">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符合</w:t>
                  </w:r>
                </w:p>
              </w:tc>
            </w:tr>
            <w:tr w14:paraId="4E917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7" w:type="pct"/>
                  <w:vMerge w:val="continue"/>
                  <w:vAlign w:val="center"/>
                </w:tcPr>
                <w:p w14:paraId="6DA96A83">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color w:val="000000" w:themeColor="text1"/>
                      <w:sz w:val="21"/>
                      <w:szCs w:val="21"/>
                      <w14:textFill>
                        <w14:solidFill>
                          <w14:schemeClr w14:val="tx1"/>
                        </w14:solidFill>
                      </w14:textFill>
                    </w:rPr>
                  </w:pPr>
                </w:p>
              </w:tc>
              <w:tc>
                <w:tcPr>
                  <w:tcW w:w="1993" w:type="pct"/>
                  <w:vAlign w:val="center"/>
                </w:tcPr>
                <w:p w14:paraId="44280AA3">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2.暂未纳入生态保护红线的自然保护地按照相关保护地法律法规进行管理；公益林依据《国家级公益林管理办法</w:t>
                  </w:r>
                  <w:r>
                    <w:rPr>
                      <w:rFonts w:hint="eastAsia" w:ascii="Times New Roman" w:hAnsi="Times New Roman" w:cs="Times New Roman"/>
                      <w:b w:val="0"/>
                      <w:bCs/>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云南省公益林管理办法》进行管理；天然林依据《国家林业局关于严格保护天然林的通知》（林资发〔2015〕181 号）</w:t>
                  </w:r>
                  <w:r>
                    <w:rPr>
                      <w:rFonts w:hint="eastAsia" w:ascii="Times New Roman" w:hAnsi="Times New Roman" w:cs="Times New Roman"/>
                      <w:b w:val="0"/>
                      <w:bCs/>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《中共中央办公厅 国务院办公厅关于印发〈天然林保护修复制度方案〉的通知》（厅字〔2019〕39 号）等进行管理。</w:t>
                  </w:r>
                </w:p>
              </w:tc>
              <w:tc>
                <w:tcPr>
                  <w:tcW w:w="2415" w:type="pct"/>
                  <w:vAlign w:val="center"/>
                </w:tcPr>
                <w:p w14:paraId="2EDF293A">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color w:val="000000" w:themeColor="text1"/>
                      <w:sz w:val="21"/>
                      <w:szCs w:val="21"/>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项目</w:t>
                  </w: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位于峨山县塔甸镇大西村委会大西山，</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根据</w:t>
                  </w:r>
                  <w:r>
                    <w:rPr>
                      <w:rFonts w:hint="default" w:ascii="Times New Roman" w:hAnsi="Times New Roman" w:eastAsia="宋体" w:cs="Times New Roman"/>
                      <w:color w:val="000000" w:themeColor="text1"/>
                      <w:sz w:val="21"/>
                      <w:szCs w:val="21"/>
                      <w:highlight w:val="none"/>
                      <w14:textFill>
                        <w14:solidFill>
                          <w14:schemeClr w14:val="tx1"/>
                        </w14:solidFill>
                      </w14:textFill>
                    </w:rPr>
                    <w:t>峨山县自然资源局</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出具的《</w:t>
                  </w:r>
                  <w:r>
                    <w:rPr>
                      <w:rFonts w:hint="default" w:ascii="Times New Roman" w:hAnsi="Times New Roman" w:eastAsia="宋体" w:cs="Times New Roman"/>
                      <w:color w:val="000000" w:themeColor="text1"/>
                      <w:sz w:val="21"/>
                      <w:szCs w:val="21"/>
                      <w:highlight w:val="none"/>
                      <w14:textFill>
                        <w14:solidFill>
                          <w14:schemeClr w14:val="tx1"/>
                        </w14:solidFill>
                      </w14:textFill>
                    </w:rPr>
                    <w:t>峨山县自然资源局关于</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峨山县</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大西农林种植基地</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建设项目</w:t>
                  </w:r>
                  <w:r>
                    <w:rPr>
                      <w:rFonts w:hint="default" w:ascii="Times New Roman" w:hAnsi="Times New Roman" w:eastAsia="宋体" w:cs="Times New Roman"/>
                      <w:color w:val="000000" w:themeColor="text1"/>
                      <w:sz w:val="21"/>
                      <w:szCs w:val="21"/>
                      <w:highlight w:val="none"/>
                      <w14:textFill>
                        <w14:solidFill>
                          <w14:schemeClr w14:val="tx1"/>
                        </w14:solidFill>
                      </w14:textFill>
                    </w:rPr>
                    <w:t>“三区三线”压覆查询情况说明</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项目不占用</w:t>
                  </w: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峨山县</w:t>
                  </w: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生态保护红线，</w:t>
                  </w: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未占用基本农田。</w:t>
                  </w:r>
                  <w:r>
                    <w:rPr>
                      <w:rFonts w:hint="default" w:ascii="Times New Roman" w:hAnsi="Times New Roman" w:eastAsia="宋体" w:cs="Times New Roman"/>
                      <w:b w:val="0"/>
                      <w:bCs/>
                      <w:color w:val="000000" w:themeColor="text1"/>
                      <w:sz w:val="21"/>
                      <w:szCs w:val="21"/>
                      <w:lang w:eastAsia="zh-CN"/>
                      <w14:textFill>
                        <w14:solidFill>
                          <w14:schemeClr w14:val="tx1"/>
                        </w14:solidFill>
                      </w14:textFill>
                    </w:rPr>
                    <w:t>项目建设区域避开了生态保护红线，严格按照重点生态功能区开发管制原则管控，合理控制资源环境承载力，确保自然生态系统稳定。</w:t>
                  </w:r>
                </w:p>
              </w:tc>
              <w:tc>
                <w:tcPr>
                  <w:tcW w:w="303" w:type="pct"/>
                  <w:vAlign w:val="center"/>
                </w:tcPr>
                <w:p w14:paraId="640D11AB">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eastAsia" w:ascii="Times New Roman" w:hAnsi="Times New Roman" w:cs="Times New Roman"/>
                      <w:b w:val="0"/>
                      <w:bCs/>
                      <w:color w:val="000000" w:themeColor="text1"/>
                      <w:sz w:val="21"/>
                      <w:szCs w:val="21"/>
                      <w:lang w:val="en-US" w:eastAsia="zh-CN"/>
                      <w14:textFill>
                        <w14:solidFill>
                          <w14:schemeClr w14:val="tx1"/>
                        </w14:solidFill>
                      </w14:textFill>
                    </w:rPr>
                    <w:t>符合</w:t>
                  </w:r>
                </w:p>
              </w:tc>
            </w:tr>
          </w:tbl>
          <w:p w14:paraId="661502FC">
            <w:pPr>
              <w:keepNext w:val="0"/>
              <w:keepLines w:val="0"/>
              <w:pageBreakBefore w:val="0"/>
              <w:widowControl w:val="0"/>
              <w:kinsoku/>
              <w:wordWrap/>
              <w:overflowPunct/>
              <w:topLinePunct w:val="0"/>
              <w:autoSpaceDE/>
              <w:autoSpaceDN/>
              <w:bidi w:val="0"/>
              <w:adjustRightInd w:val="0"/>
              <w:snapToGrid w:val="0"/>
              <w:spacing w:before="157" w:beforeLines="50"/>
              <w:ind w:firstLine="480" w:firstLineChars="200"/>
              <w:jc w:val="both"/>
              <w:textAlignment w:val="auto"/>
              <w:rPr>
                <w:rFonts w:hint="default" w:ascii="Times New Roman" w:hAnsi="Times New Roman" w:eastAsia="宋体" w:cs="Times New Roman"/>
                <w:color w:val="000000" w:themeColor="text1"/>
                <w14:textFill>
                  <w14:solidFill>
                    <w14:schemeClr w14:val="tx1"/>
                  </w14:solidFill>
                </w14:textFill>
              </w:rPr>
            </w:pPr>
          </w:p>
          <w:p w14:paraId="7A929008">
            <w:pPr>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hint="default" w:ascii="Times New Roman" w:hAnsi="Times New Roman" w:eastAsia="宋体" w:cs="Times New Roman"/>
                <w:b/>
                <w:bCs/>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综</w:t>
            </w:r>
            <w:r>
              <w:rPr>
                <w:rFonts w:hint="default" w:ascii="Times New Roman" w:hAnsi="Times New Roman" w:eastAsia="宋体" w:cs="Times New Roman"/>
                <w:color w:val="000000" w:themeColor="text1"/>
                <w:kern w:val="0"/>
                <w:sz w:val="24"/>
                <w:lang w:eastAsia="zh-CN"/>
                <w14:textFill>
                  <w14:solidFill>
                    <w14:schemeClr w14:val="tx1"/>
                  </w14:solidFill>
                </w14:textFill>
              </w:rPr>
              <w:t>上</w:t>
            </w:r>
            <w:r>
              <w:rPr>
                <w:rFonts w:hint="default" w:ascii="Times New Roman" w:hAnsi="Times New Roman" w:eastAsia="宋体" w:cs="Times New Roman"/>
                <w:color w:val="000000" w:themeColor="text1"/>
                <w:kern w:val="0"/>
                <w:sz w:val="24"/>
                <w:lang w:val="en-US" w:eastAsia="zh-CN"/>
                <w14:textFill>
                  <w14:solidFill>
                    <w14:schemeClr w14:val="tx1"/>
                  </w14:solidFill>
                </w14:textFill>
              </w:rPr>
              <w:t>所述</w:t>
            </w:r>
            <w:r>
              <w:rPr>
                <w:rFonts w:hint="default" w:ascii="Times New Roman" w:hAnsi="Times New Roman" w:eastAsia="宋体" w:cs="Times New Roman"/>
                <w:color w:val="000000" w:themeColor="text1"/>
                <w:kern w:val="0"/>
                <w:sz w:val="24"/>
                <w:lang w:eastAsia="zh-CN"/>
                <w14:textFill>
                  <w14:solidFill>
                    <w14:schemeClr w14:val="tx1"/>
                  </w14:solidFill>
                </w14:textFill>
              </w:rPr>
              <w:t>，本项目符合</w:t>
            </w:r>
            <w:r>
              <w:rPr>
                <w:rFonts w:hint="default" w:ascii="Times New Roman" w:hAnsi="Times New Roman" w:eastAsia="宋体" w:cs="Times New Roman"/>
                <w:color w:val="000000" w:themeColor="text1"/>
                <w:kern w:val="0"/>
                <w:sz w:val="24"/>
                <w:lang w:val="en-US" w:eastAsia="zh-CN"/>
                <w14:textFill>
                  <w14:solidFill>
                    <w14:schemeClr w14:val="tx1"/>
                  </w14:solidFill>
                </w14:textFill>
              </w:rPr>
              <w:t>《玉溪市生态环境局关于印发玉溪市生态环境分区管控动态更新调整方案（2023年</w:t>
            </w:r>
            <w:r>
              <w:rPr>
                <w:rFonts w:hint="eastAsia" w:ascii="Times New Roman" w:hAnsi="Times New Roman" w:cs="Times New Roman"/>
                <w:color w:val="000000" w:themeColor="text1"/>
                <w:kern w:val="0"/>
                <w:sz w:val="24"/>
                <w:lang w:val="en-US" w:eastAsia="zh-CN"/>
                <w14:textFill>
                  <w14:solidFill>
                    <w14:schemeClr w14:val="tx1"/>
                  </w14:solidFill>
                </w14:textFill>
              </w:rPr>
              <w:t>）</w:t>
            </w:r>
            <w:r>
              <w:rPr>
                <w:rFonts w:hint="default" w:ascii="Times New Roman" w:hAnsi="Times New Roman" w:eastAsia="宋体" w:cs="Times New Roman"/>
                <w:color w:val="000000" w:themeColor="text1"/>
                <w:kern w:val="0"/>
                <w:sz w:val="24"/>
                <w:lang w:val="en-US" w:eastAsia="zh-CN"/>
                <w14:textFill>
                  <w14:solidFill>
                    <w14:schemeClr w14:val="tx1"/>
                  </w14:solidFill>
                </w14:textFill>
              </w:rPr>
              <w:t>的通知》（玉市环〔2024〕40号）</w:t>
            </w:r>
            <w:r>
              <w:rPr>
                <w:rFonts w:hint="default" w:ascii="Times New Roman" w:hAnsi="Times New Roman" w:eastAsia="宋体" w:cs="Times New Roman"/>
                <w:color w:val="000000" w:themeColor="text1"/>
                <w:kern w:val="0"/>
                <w:sz w:val="24"/>
                <w:lang w:eastAsia="zh-CN"/>
                <w14:textFill>
                  <w14:solidFill>
                    <w14:schemeClr w14:val="tx1"/>
                  </w14:solidFill>
                </w14:textFill>
              </w:rPr>
              <w:t>中相关要求。</w:t>
            </w:r>
          </w:p>
          <w:p w14:paraId="4FCA212B">
            <w:pPr>
              <w:keepNext w:val="0"/>
              <w:keepLines w:val="0"/>
              <w:pageBreakBefore w:val="0"/>
              <w:widowControl w:val="0"/>
              <w:kinsoku/>
              <w:wordWrap/>
              <w:overflowPunct/>
              <w:topLinePunct w:val="0"/>
              <w:autoSpaceDE w:val="0"/>
              <w:autoSpaceDN w:val="0"/>
              <w:bidi w:val="0"/>
              <w:adjustRightInd w:val="0"/>
              <w:snapToGrid w:val="0"/>
              <w:ind w:left="0" w:leftChars="0" w:firstLine="482" w:firstLineChars="200"/>
              <w:jc w:val="both"/>
              <w:textAlignment w:val="auto"/>
              <w:rPr>
                <w:rFonts w:hint="default" w:ascii="Times New Roman" w:hAnsi="Times New Roman" w:eastAsia="宋体" w:cs="Times New Roman"/>
                <w:b/>
                <w:bCs/>
                <w:color w:val="000000" w:themeColor="text1"/>
                <w:kern w:val="0"/>
                <w:lang w:val="en-US" w:eastAsia="zh-CN"/>
                <w14:textFill>
                  <w14:solidFill>
                    <w14:schemeClr w14:val="tx1"/>
                  </w14:solidFill>
                </w14:textFill>
              </w:rPr>
            </w:pPr>
            <w:r>
              <w:rPr>
                <w:rFonts w:hint="default" w:ascii="Times New Roman" w:hAnsi="Times New Roman" w:eastAsia="宋体" w:cs="Times New Roman"/>
                <w:b/>
                <w:bCs/>
                <w:color w:val="000000" w:themeColor="text1"/>
                <w:kern w:val="0"/>
                <w:lang w:val="en-US" w:eastAsia="zh-CN"/>
                <w14:textFill>
                  <w14:solidFill>
                    <w14:schemeClr w14:val="tx1"/>
                  </w14:solidFill>
                </w14:textFill>
              </w:rPr>
              <w:t>3、</w:t>
            </w:r>
            <w:r>
              <w:rPr>
                <w:rFonts w:hint="eastAsia" w:ascii="Times New Roman" w:hAnsi="Times New Roman" w:cs="Times New Roman"/>
                <w:b/>
                <w:bCs/>
                <w:color w:val="000000" w:themeColor="text1"/>
                <w:kern w:val="0"/>
                <w:lang w:val="en-US" w:eastAsia="zh-CN"/>
                <w14:textFill>
                  <w14:solidFill>
                    <w14:schemeClr w14:val="tx1"/>
                  </w14:solidFill>
                </w14:textFill>
              </w:rPr>
              <w:t>“三区三线”</w:t>
            </w:r>
            <w:r>
              <w:rPr>
                <w:rFonts w:hint="default" w:ascii="Times New Roman" w:hAnsi="Times New Roman" w:eastAsia="宋体" w:cs="Times New Roman"/>
                <w:b/>
                <w:bCs/>
                <w:color w:val="000000" w:themeColor="text1"/>
                <w:kern w:val="0"/>
                <w:lang w:val="en-US" w:eastAsia="zh-CN"/>
                <w14:textFill>
                  <w14:solidFill>
                    <w14:schemeClr w14:val="tx1"/>
                  </w14:solidFill>
                </w14:textFill>
              </w:rPr>
              <w:t>符合性分析</w:t>
            </w:r>
          </w:p>
          <w:p w14:paraId="44C73B92">
            <w:pPr>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hint="default" w:ascii="Times New Roman" w:hAnsi="Times New Roman" w:eastAsia="宋体" w:cs="Times New Roman"/>
                <w:color w:val="000000" w:themeColor="text1"/>
                <w:kern w:val="0"/>
                <w:sz w:val="24"/>
                <w:lang w:eastAsia="zh-CN"/>
                <w14:textFill>
                  <w14:solidFill>
                    <w14:schemeClr w14:val="tx1"/>
                  </w14:solidFill>
                </w14:textFill>
              </w:rPr>
            </w:pPr>
            <w:r>
              <w:rPr>
                <w:rFonts w:hint="default" w:ascii="Times New Roman" w:hAnsi="Times New Roman" w:eastAsia="宋体" w:cs="Times New Roman"/>
                <w:color w:val="000000" w:themeColor="text1"/>
                <w:kern w:val="0"/>
                <w:sz w:val="24"/>
                <w:lang w:val="en-US" w:eastAsia="zh-CN"/>
                <w14:textFill>
                  <w14:solidFill>
                    <w14:schemeClr w14:val="tx1"/>
                  </w14:solidFill>
                </w14:textFill>
              </w:rPr>
              <w:t>本项目位于峨山县塔甸镇大西村委会大西山，</w:t>
            </w:r>
            <w:r>
              <w:rPr>
                <w:rFonts w:hint="default" w:ascii="Times New Roman" w:hAnsi="Times New Roman" w:eastAsia="宋体" w:cs="Times New Roman"/>
                <w:color w:val="000000" w:themeColor="text1"/>
                <w:kern w:val="0"/>
                <w:sz w:val="24"/>
                <w:lang w:eastAsia="zh-CN"/>
                <w14:textFill>
                  <w14:solidFill>
                    <w14:schemeClr w14:val="tx1"/>
                  </w14:solidFill>
                </w14:textFill>
              </w:rPr>
              <w:t>根据峨山县自然资源局</w:t>
            </w:r>
            <w:r>
              <w:rPr>
                <w:rFonts w:hint="default" w:ascii="Times New Roman" w:hAnsi="Times New Roman" w:eastAsia="宋体" w:cs="Times New Roman"/>
                <w:color w:val="000000" w:themeColor="text1"/>
                <w:kern w:val="0"/>
                <w:sz w:val="24"/>
                <w:lang w:val="en-US" w:eastAsia="zh-CN"/>
                <w14:textFill>
                  <w14:solidFill>
                    <w14:schemeClr w14:val="tx1"/>
                  </w14:solidFill>
                </w14:textFill>
              </w:rPr>
              <w:t>出具的</w:t>
            </w:r>
            <w:r>
              <w:rPr>
                <w:rFonts w:hint="default" w:ascii="Times New Roman" w:hAnsi="Times New Roman" w:eastAsia="宋体" w:cs="Times New Roman"/>
                <w:color w:val="000000" w:themeColor="text1"/>
                <w:kern w:val="0"/>
                <w:sz w:val="24"/>
                <w:lang w:eastAsia="zh-CN"/>
                <w14:textFill>
                  <w14:solidFill>
                    <w14:schemeClr w14:val="tx1"/>
                  </w14:solidFill>
                </w14:textFill>
              </w:rPr>
              <w:t>关于</w:t>
            </w:r>
            <w:r>
              <w:rPr>
                <w:rFonts w:hint="default" w:ascii="Times New Roman" w:hAnsi="Times New Roman" w:eastAsia="宋体" w:cs="Times New Roman"/>
                <w:color w:val="000000" w:themeColor="text1"/>
                <w:kern w:val="0"/>
                <w:sz w:val="24"/>
                <w:lang w:val="en-US" w:eastAsia="zh-CN"/>
                <w14:textFill>
                  <w14:solidFill>
                    <w14:schemeClr w14:val="tx1"/>
                  </w14:solidFill>
                </w14:textFill>
              </w:rPr>
              <w:t>《峨山县</w:t>
            </w:r>
            <w:r>
              <w:rPr>
                <w:rFonts w:hint="default" w:ascii="Times New Roman" w:hAnsi="Times New Roman" w:eastAsia="宋体" w:cs="Times New Roman"/>
                <w:color w:val="000000" w:themeColor="text1"/>
                <w:kern w:val="0"/>
                <w:sz w:val="24"/>
                <w:lang w:eastAsia="zh-CN"/>
                <w14:textFill>
                  <w14:solidFill>
                    <w14:schemeClr w14:val="tx1"/>
                  </w14:solidFill>
                </w14:textFill>
              </w:rPr>
              <w:t>大西农林基地</w:t>
            </w:r>
            <w:r>
              <w:rPr>
                <w:rFonts w:hint="default" w:ascii="Times New Roman" w:hAnsi="Times New Roman" w:eastAsia="宋体" w:cs="Times New Roman"/>
                <w:color w:val="000000" w:themeColor="text1"/>
                <w:kern w:val="0"/>
                <w:sz w:val="24"/>
                <w:lang w:val="en-US" w:eastAsia="zh-CN"/>
                <w14:textFill>
                  <w14:solidFill>
                    <w14:schemeClr w14:val="tx1"/>
                  </w14:solidFill>
                </w14:textFill>
              </w:rPr>
              <w:t>建设项目</w:t>
            </w:r>
            <w:r>
              <w:rPr>
                <w:rFonts w:hint="default" w:ascii="Times New Roman" w:hAnsi="Times New Roman" w:eastAsia="宋体" w:cs="Times New Roman"/>
                <w:color w:val="000000" w:themeColor="text1"/>
                <w:kern w:val="0"/>
                <w:sz w:val="24"/>
                <w:lang w:eastAsia="zh-CN"/>
                <w14:textFill>
                  <w14:solidFill>
                    <w14:schemeClr w14:val="tx1"/>
                  </w14:solidFill>
                </w14:textFill>
              </w:rPr>
              <w:t>“三区三线”压覆查询情况说明》</w:t>
            </w:r>
            <w:r>
              <w:rPr>
                <w:rFonts w:hint="default" w:ascii="Times New Roman" w:hAnsi="Times New Roman" w:eastAsia="宋体" w:cs="Times New Roman"/>
                <w:color w:val="000000" w:themeColor="text1"/>
                <w:kern w:val="0"/>
                <w:sz w:val="24"/>
                <w:lang w:val="en-US" w:eastAsia="zh-CN"/>
                <w14:textFill>
                  <w14:solidFill>
                    <w14:schemeClr w14:val="tx1"/>
                  </w14:solidFill>
                </w14:textFill>
              </w:rPr>
              <w:t>，项目与“三区三线”符合性见下表。</w:t>
            </w:r>
          </w:p>
          <w:p w14:paraId="237CD478">
            <w:pPr>
              <w:spacing w:line="240" w:lineRule="auto"/>
              <w:ind w:firstLine="0" w:firstLineChars="0"/>
              <w:jc w:val="center"/>
              <w:rPr>
                <w:rFonts w:hint="default" w:ascii="Times New Roman" w:hAnsi="Times New Roman" w:eastAsia="宋体" w:cs="Times New Roman"/>
                <w:b/>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val="0"/>
                <w:color w:val="000000" w:themeColor="text1"/>
                <w:sz w:val="21"/>
                <w:szCs w:val="21"/>
                <w14:textFill>
                  <w14:solidFill>
                    <w14:schemeClr w14:val="tx1"/>
                  </w14:solidFill>
                </w14:textFill>
              </w:rPr>
              <w:t>表1-</w:t>
            </w:r>
            <w:r>
              <w:rPr>
                <w:rFonts w:hint="default" w:ascii="Times New Roman" w:hAnsi="Times New Roman" w:eastAsia="宋体" w:cs="Times New Roman"/>
                <w:b/>
                <w:bCs w:val="0"/>
                <w:color w:val="000000" w:themeColor="text1"/>
                <w:sz w:val="21"/>
                <w:szCs w:val="21"/>
                <w:lang w:val="en-US" w:eastAsia="zh-CN"/>
                <w14:textFill>
                  <w14:solidFill>
                    <w14:schemeClr w14:val="tx1"/>
                  </w14:solidFill>
                </w14:textFill>
              </w:rPr>
              <w:t xml:space="preserve">3     </w:t>
            </w:r>
            <w:r>
              <w:rPr>
                <w:rFonts w:hint="default" w:ascii="Times New Roman" w:hAnsi="Times New Roman" w:eastAsia="宋体" w:cs="Times New Roman"/>
                <w:b/>
                <w:bCs w:val="0"/>
                <w:color w:val="000000" w:themeColor="text1"/>
                <w:sz w:val="21"/>
                <w:szCs w:val="21"/>
                <w14:textFill>
                  <w14:solidFill>
                    <w14:schemeClr w14:val="tx1"/>
                  </w14:solidFill>
                </w14:textFill>
              </w:rPr>
              <w:t>项目与</w:t>
            </w:r>
            <w:r>
              <w:rPr>
                <w:rFonts w:hint="eastAsia" w:ascii="Times New Roman" w:hAnsi="Times New Roman" w:cs="Times New Roman"/>
                <w:b/>
                <w:bCs w:val="0"/>
                <w:color w:val="000000" w:themeColor="text1"/>
                <w:sz w:val="21"/>
                <w:szCs w:val="21"/>
                <w:lang w:eastAsia="zh-CN"/>
                <w14:textFill>
                  <w14:solidFill>
                    <w14:schemeClr w14:val="tx1"/>
                  </w14:solidFill>
                </w14:textFill>
              </w:rPr>
              <w:t>“三区三线”</w:t>
            </w:r>
            <w:r>
              <w:rPr>
                <w:rFonts w:hint="default" w:ascii="Times New Roman" w:hAnsi="Times New Roman" w:eastAsia="宋体" w:cs="Times New Roman"/>
                <w:b/>
                <w:bCs w:val="0"/>
                <w:color w:val="000000" w:themeColor="text1"/>
                <w:sz w:val="21"/>
                <w:szCs w:val="21"/>
                <w14:textFill>
                  <w14:solidFill>
                    <w14:schemeClr w14:val="tx1"/>
                  </w14:solidFill>
                </w14:textFill>
              </w:rPr>
              <w:t>符合性分析</w:t>
            </w:r>
          </w:p>
          <w:tbl>
            <w:tblPr>
              <w:tblStyle w:val="26"/>
              <w:tblW w:w="495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8"/>
              <w:gridCol w:w="2968"/>
              <w:gridCol w:w="3891"/>
              <w:gridCol w:w="740"/>
            </w:tblGrid>
            <w:tr w14:paraId="297AE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15" w:type="pct"/>
                  <w:noWrap w:val="0"/>
                  <w:vAlign w:val="center"/>
                </w:tcPr>
                <w:p w14:paraId="7E465C30">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bCs w:val="0"/>
                      <w:color w:val="000000" w:themeColor="text1"/>
                      <w:sz w:val="21"/>
                      <w:szCs w:val="21"/>
                      <w14:textFill>
                        <w14:solidFill>
                          <w14:schemeClr w14:val="tx1"/>
                        </w14:solidFill>
                      </w14:textFill>
                    </w:rPr>
                  </w:pPr>
                  <w:r>
                    <w:rPr>
                      <w:rFonts w:hint="default" w:ascii="Times New Roman" w:hAnsi="Times New Roman" w:eastAsia="宋体" w:cs="Times New Roman"/>
                      <w:b/>
                      <w:bCs w:val="0"/>
                      <w:color w:val="000000" w:themeColor="text1"/>
                      <w:sz w:val="21"/>
                      <w:szCs w:val="21"/>
                      <w14:textFill>
                        <w14:solidFill>
                          <w14:schemeClr w14:val="tx1"/>
                        </w14:solidFill>
                      </w14:textFill>
                    </w:rPr>
                    <w:t>类别</w:t>
                  </w:r>
                </w:p>
              </w:tc>
              <w:tc>
                <w:tcPr>
                  <w:tcW w:w="1790" w:type="pct"/>
                  <w:noWrap w:val="0"/>
                  <w:vAlign w:val="center"/>
                </w:tcPr>
                <w:p w14:paraId="65453EF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bCs w:val="0"/>
                      <w:color w:val="000000" w:themeColor="text1"/>
                      <w:sz w:val="21"/>
                      <w:szCs w:val="21"/>
                      <w14:textFill>
                        <w14:solidFill>
                          <w14:schemeClr w14:val="tx1"/>
                        </w14:solidFill>
                      </w14:textFill>
                    </w:rPr>
                  </w:pPr>
                  <w:r>
                    <w:rPr>
                      <w:rFonts w:hint="default" w:ascii="Times New Roman" w:hAnsi="Times New Roman" w:eastAsia="宋体" w:cs="Times New Roman"/>
                      <w:b/>
                      <w:bCs w:val="0"/>
                      <w:color w:val="000000" w:themeColor="text1"/>
                      <w:sz w:val="21"/>
                      <w:szCs w:val="21"/>
                      <w:lang w:val="en-US" w:eastAsia="zh-CN"/>
                      <w14:textFill>
                        <w14:solidFill>
                          <w14:schemeClr w14:val="tx1"/>
                        </w14:solidFill>
                      </w14:textFill>
                    </w:rPr>
                    <w:t>定义</w:t>
                  </w:r>
                  <w:r>
                    <w:rPr>
                      <w:rFonts w:hint="default" w:ascii="Times New Roman" w:hAnsi="Times New Roman" w:eastAsia="宋体" w:cs="Times New Roman"/>
                      <w:b/>
                      <w:bCs w:val="0"/>
                      <w:color w:val="000000" w:themeColor="text1"/>
                      <w:sz w:val="21"/>
                      <w:szCs w:val="21"/>
                      <w14:textFill>
                        <w14:solidFill>
                          <w14:schemeClr w14:val="tx1"/>
                        </w14:solidFill>
                      </w14:textFill>
                    </w:rPr>
                    <w:t>内容</w:t>
                  </w:r>
                </w:p>
              </w:tc>
              <w:tc>
                <w:tcPr>
                  <w:tcW w:w="2347" w:type="pct"/>
                  <w:noWrap w:val="0"/>
                  <w:vAlign w:val="center"/>
                </w:tcPr>
                <w:p w14:paraId="359657B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bCs w:val="0"/>
                      <w:color w:val="000000" w:themeColor="text1"/>
                      <w:sz w:val="21"/>
                      <w:szCs w:val="21"/>
                      <w14:textFill>
                        <w14:solidFill>
                          <w14:schemeClr w14:val="tx1"/>
                        </w14:solidFill>
                      </w14:textFill>
                    </w:rPr>
                  </w:pPr>
                  <w:r>
                    <w:rPr>
                      <w:rFonts w:hint="default" w:ascii="Times New Roman" w:hAnsi="Times New Roman" w:eastAsia="宋体" w:cs="Times New Roman"/>
                      <w:b/>
                      <w:bCs w:val="0"/>
                      <w:color w:val="000000" w:themeColor="text1"/>
                      <w:sz w:val="21"/>
                      <w:szCs w:val="21"/>
                      <w14:textFill>
                        <w14:solidFill>
                          <w14:schemeClr w14:val="tx1"/>
                        </w14:solidFill>
                      </w14:textFill>
                    </w:rPr>
                    <w:t>本项目情况</w:t>
                  </w:r>
                </w:p>
              </w:tc>
              <w:tc>
                <w:tcPr>
                  <w:tcW w:w="446" w:type="pct"/>
                  <w:noWrap w:val="0"/>
                  <w:vAlign w:val="center"/>
                </w:tcPr>
                <w:p w14:paraId="20DC4A4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bCs w:val="0"/>
                      <w:color w:val="000000" w:themeColor="text1"/>
                      <w:sz w:val="21"/>
                      <w:szCs w:val="21"/>
                      <w14:textFill>
                        <w14:solidFill>
                          <w14:schemeClr w14:val="tx1"/>
                        </w14:solidFill>
                      </w14:textFill>
                    </w:rPr>
                  </w:pPr>
                  <w:r>
                    <w:rPr>
                      <w:rFonts w:hint="default" w:ascii="Times New Roman" w:hAnsi="Times New Roman" w:eastAsia="宋体" w:cs="Times New Roman"/>
                      <w:b/>
                      <w:bCs w:val="0"/>
                      <w:color w:val="000000" w:themeColor="text1"/>
                      <w:sz w:val="21"/>
                      <w:szCs w:val="21"/>
                      <w14:textFill>
                        <w14:solidFill>
                          <w14:schemeClr w14:val="tx1"/>
                        </w14:solidFill>
                      </w14:textFill>
                    </w:rPr>
                    <w:t>符合性</w:t>
                  </w:r>
                </w:p>
              </w:tc>
            </w:tr>
            <w:tr w14:paraId="163C3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1" w:hRule="atLeast"/>
                <w:jc w:val="center"/>
              </w:trPr>
              <w:tc>
                <w:tcPr>
                  <w:tcW w:w="415" w:type="pct"/>
                  <w:noWrap w:val="0"/>
                  <w:vAlign w:val="center"/>
                </w:tcPr>
                <w:p w14:paraId="4A1B5C1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‌‌生态空间‌</w:t>
                  </w:r>
                </w:p>
              </w:tc>
              <w:tc>
                <w:tcPr>
                  <w:tcW w:w="1790" w:type="pct"/>
                  <w:noWrap w:val="0"/>
                  <w:vAlign w:val="center"/>
                </w:tcPr>
                <w:p w14:paraId="284BA4A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color w:val="000000" w:themeColor="text1"/>
                      <w:sz w:val="21"/>
                      <w:szCs w:val="21"/>
                      <w14:textFill>
                        <w14:solidFill>
                          <w14:schemeClr w14:val="tx1"/>
                        </w14:solidFill>
                      </w14:textFill>
                    </w:rPr>
                  </w:pPr>
                  <w:r>
                    <w:rPr>
                      <w:rFonts w:hint="default" w:ascii="Times New Roman" w:hAnsi="Times New Roman" w:eastAsia="宋体" w:cs="Times New Roman"/>
                      <w:b w:val="0"/>
                      <w:bCs/>
                      <w:color w:val="000000" w:themeColor="text1"/>
                      <w:sz w:val="21"/>
                      <w:szCs w:val="21"/>
                      <w14:textFill>
                        <w14:solidFill>
                          <w14:schemeClr w14:val="tx1"/>
                        </w14:solidFill>
                      </w14:textFill>
                    </w:rPr>
                    <w:t>具有自然属性的，以提供生态服务或生态产品为主体功能的国土空间，包括森林、草原、湿地、河流、湖泊、滩涂、荒地、荒漠等。</w:t>
                  </w:r>
                </w:p>
              </w:tc>
              <w:tc>
                <w:tcPr>
                  <w:tcW w:w="2347" w:type="pct"/>
                  <w:noWrap w:val="0"/>
                  <w:vAlign w:val="center"/>
                </w:tcPr>
                <w:p w14:paraId="008716E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项目</w:t>
                  </w:r>
                  <w:r>
                    <w:rPr>
                      <w:rFonts w:hint="default" w:ascii="Times New Roman" w:hAnsi="Times New Roman" w:eastAsia="宋体" w:cs="Times New Roman"/>
                      <w:b w:val="0"/>
                      <w:bCs/>
                      <w:color w:val="000000" w:themeColor="text1"/>
                      <w:sz w:val="21"/>
                      <w:szCs w:val="21"/>
                      <w14:textFill>
                        <w14:solidFill>
                          <w14:schemeClr w14:val="tx1"/>
                        </w14:solidFill>
                      </w14:textFill>
                    </w:rPr>
                    <w:t>位于</w:t>
                  </w:r>
                  <w:r>
                    <w:rPr>
                      <w:rFonts w:hint="default" w:ascii="Times New Roman" w:hAnsi="Times New Roman" w:eastAsia="宋体" w:cs="Times New Roman"/>
                      <w:b w:val="0"/>
                      <w:bCs/>
                      <w:color w:val="000000" w:themeColor="text1"/>
                      <w:sz w:val="21"/>
                      <w:szCs w:val="21"/>
                      <w:lang w:eastAsia="zh-CN"/>
                      <w14:textFill>
                        <w14:solidFill>
                          <w14:schemeClr w14:val="tx1"/>
                        </w14:solidFill>
                      </w14:textFill>
                    </w:rPr>
                    <w:t>峨山县塔甸镇大西村委会大西山</w:t>
                  </w:r>
                  <w:r>
                    <w:rPr>
                      <w:rFonts w:hint="default" w:ascii="Times New Roman" w:hAnsi="Times New Roman" w:eastAsia="宋体" w:cs="Times New Roman"/>
                      <w:b w:val="0"/>
                      <w:bCs/>
                      <w:color w:val="000000" w:themeColor="text1"/>
                      <w:sz w:val="21"/>
                      <w:szCs w:val="21"/>
                      <w14:textFill>
                        <w14:solidFill>
                          <w14:schemeClr w14:val="tx1"/>
                        </w14:solidFill>
                      </w14:textFill>
                    </w:rPr>
                    <w:t>，峨山县自然资源局</w:t>
                  </w: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出具的《关于峨山县大西农林种植基地建设项目“三区三线”压覆查询情况说明》</w:t>
                  </w:r>
                  <w:r>
                    <w:rPr>
                      <w:rFonts w:hint="default" w:ascii="Times New Roman" w:hAnsi="Times New Roman" w:eastAsia="宋体" w:cs="Times New Roman"/>
                      <w:b w:val="0"/>
                      <w:bCs/>
                      <w:color w:val="000000" w:themeColor="text1"/>
                      <w:sz w:val="21"/>
                      <w:szCs w:val="21"/>
                      <w14:textFill>
                        <w14:solidFill>
                          <w14:schemeClr w14:val="tx1"/>
                        </w14:solidFill>
                      </w14:textFill>
                    </w:rPr>
                    <w:t>，项目</w:t>
                  </w:r>
                  <w:r>
                    <w:rPr>
                      <w:rFonts w:hint="default" w:ascii="Times New Roman" w:hAnsi="Times New Roman" w:eastAsia="宋体" w:cs="Times New Roman"/>
                      <w:b w:val="0"/>
                      <w:bCs/>
                      <w:color w:val="000000" w:themeColor="text1"/>
                      <w:sz w:val="21"/>
                      <w:szCs w:val="21"/>
                      <w:lang w:eastAsia="zh-CN"/>
                      <w14:textFill>
                        <w14:solidFill>
                          <w14:schemeClr w14:val="tx1"/>
                        </w14:solidFill>
                      </w14:textFill>
                    </w:rPr>
                    <w:t>属于</w:t>
                  </w: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农产品、药材种植项目</w:t>
                  </w:r>
                  <w:r>
                    <w:rPr>
                      <w:rFonts w:hint="default" w:ascii="Times New Roman" w:hAnsi="Times New Roman" w:eastAsia="宋体" w:cs="Times New Roman"/>
                      <w:b w:val="0"/>
                      <w:bCs/>
                      <w:color w:val="000000" w:themeColor="text1"/>
                      <w:sz w:val="21"/>
                      <w:szCs w:val="21"/>
                      <w:lang w:eastAsia="zh-CN"/>
                      <w14:textFill>
                        <w14:solidFill>
                          <w14:schemeClr w14:val="tx1"/>
                        </w14:solidFill>
                      </w14:textFill>
                    </w:rPr>
                    <w:t>，租用</w:t>
                  </w: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大西村委会荒山荒地</w:t>
                  </w:r>
                  <w:r>
                    <w:rPr>
                      <w:rFonts w:hint="default" w:ascii="Times New Roman" w:hAnsi="Times New Roman" w:eastAsia="宋体" w:cs="Times New Roman"/>
                      <w:b w:val="0"/>
                      <w:bCs/>
                      <w:color w:val="000000" w:themeColor="text1"/>
                      <w:sz w:val="21"/>
                      <w:szCs w:val="21"/>
                      <w:lang w:eastAsia="zh-CN"/>
                      <w14:textFill>
                        <w14:solidFill>
                          <w14:schemeClr w14:val="tx1"/>
                        </w14:solidFill>
                      </w14:textFill>
                    </w:rPr>
                    <w:t>进行种植，不违背原有生态空间的结构。</w:t>
                  </w:r>
                </w:p>
              </w:tc>
              <w:tc>
                <w:tcPr>
                  <w:tcW w:w="446" w:type="pct"/>
                  <w:noWrap w:val="0"/>
                  <w:vAlign w:val="center"/>
                </w:tcPr>
                <w:p w14:paraId="2DAE09CA">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color w:val="000000" w:themeColor="text1"/>
                      <w:sz w:val="21"/>
                      <w:szCs w:val="21"/>
                      <w14:textFill>
                        <w14:solidFill>
                          <w14:schemeClr w14:val="tx1"/>
                        </w14:solidFill>
                      </w14:textFill>
                    </w:rPr>
                  </w:pPr>
                  <w:r>
                    <w:rPr>
                      <w:rFonts w:hint="default" w:ascii="Times New Roman" w:hAnsi="Times New Roman" w:eastAsia="宋体" w:cs="Times New Roman"/>
                      <w:b w:val="0"/>
                      <w:bCs/>
                      <w:color w:val="000000" w:themeColor="text1"/>
                      <w:sz w:val="21"/>
                      <w:szCs w:val="21"/>
                      <w14:textFill>
                        <w14:solidFill>
                          <w14:schemeClr w14:val="tx1"/>
                        </w14:solidFill>
                      </w14:textFill>
                    </w:rPr>
                    <w:t>符合</w:t>
                  </w:r>
                </w:p>
              </w:tc>
            </w:tr>
            <w:tr w14:paraId="6FE91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5" w:hRule="atLeast"/>
                <w:jc w:val="center"/>
              </w:trPr>
              <w:tc>
                <w:tcPr>
                  <w:tcW w:w="415" w:type="pct"/>
                  <w:noWrap w:val="0"/>
                  <w:vAlign w:val="center"/>
                </w:tcPr>
                <w:p w14:paraId="7364963B">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color w:val="000000" w:themeColor="text1"/>
                      <w:sz w:val="21"/>
                      <w:szCs w:val="21"/>
                      <w14:textFill>
                        <w14:solidFill>
                          <w14:schemeClr w14:val="tx1"/>
                        </w14:solidFill>
                      </w14:textFill>
                    </w:rPr>
                  </w:pPr>
                  <w:r>
                    <w:rPr>
                      <w:rFonts w:hint="default" w:ascii="Times New Roman" w:hAnsi="Times New Roman" w:eastAsia="宋体" w:cs="Times New Roman"/>
                      <w:b w:val="0"/>
                      <w:bCs/>
                      <w:color w:val="000000" w:themeColor="text1"/>
                      <w:sz w:val="21"/>
                      <w:szCs w:val="21"/>
                      <w14:textFill>
                        <w14:solidFill>
                          <w14:schemeClr w14:val="tx1"/>
                        </w14:solidFill>
                      </w14:textFill>
                    </w:rPr>
                    <w:t>‌农业空间‌</w:t>
                  </w:r>
                </w:p>
              </w:tc>
              <w:tc>
                <w:tcPr>
                  <w:tcW w:w="1790" w:type="pct"/>
                  <w:noWrap w:val="0"/>
                  <w:vAlign w:val="center"/>
                </w:tcPr>
                <w:p w14:paraId="3EE1F0D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color w:val="000000" w:themeColor="text1"/>
                      <w:sz w:val="21"/>
                      <w:szCs w:val="21"/>
                      <w14:textFill>
                        <w14:solidFill>
                          <w14:schemeClr w14:val="tx1"/>
                        </w14:solidFill>
                      </w14:textFill>
                    </w:rPr>
                  </w:pPr>
                  <w:r>
                    <w:rPr>
                      <w:rFonts w:hint="default" w:ascii="Times New Roman" w:hAnsi="Times New Roman" w:eastAsia="宋体" w:cs="Times New Roman"/>
                      <w:b w:val="0"/>
                      <w:bCs/>
                      <w:color w:val="000000" w:themeColor="text1"/>
                      <w:sz w:val="21"/>
                      <w:szCs w:val="21"/>
                      <w14:textFill>
                        <w14:solidFill>
                          <w14:schemeClr w14:val="tx1"/>
                        </w14:solidFill>
                      </w14:textFill>
                    </w:rPr>
                    <w:t>以农业生产、农村生活为主体的功能空间，主要包括永久基本农田、一般农田等农业生产用地和村庄等农村生活用地。</w:t>
                  </w:r>
                </w:p>
              </w:tc>
              <w:tc>
                <w:tcPr>
                  <w:tcW w:w="2347" w:type="pct"/>
                  <w:noWrap w:val="0"/>
                  <w:vAlign w:val="center"/>
                </w:tcPr>
                <w:p w14:paraId="2395808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color w:val="000000" w:themeColor="text1"/>
                      <w:sz w:val="21"/>
                      <w:szCs w:val="21"/>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项目</w:t>
                  </w:r>
                  <w:r>
                    <w:rPr>
                      <w:rFonts w:hint="default" w:ascii="Times New Roman" w:hAnsi="Times New Roman" w:eastAsia="宋体" w:cs="Times New Roman"/>
                      <w:b w:val="0"/>
                      <w:bCs/>
                      <w:color w:val="000000" w:themeColor="text1"/>
                      <w:sz w:val="21"/>
                      <w:szCs w:val="21"/>
                      <w14:textFill>
                        <w14:solidFill>
                          <w14:schemeClr w14:val="tx1"/>
                        </w14:solidFill>
                      </w14:textFill>
                    </w:rPr>
                    <w:t>位于</w:t>
                  </w:r>
                  <w:r>
                    <w:rPr>
                      <w:rFonts w:hint="default" w:ascii="Times New Roman" w:hAnsi="Times New Roman" w:eastAsia="宋体" w:cs="Times New Roman"/>
                      <w:b w:val="0"/>
                      <w:bCs/>
                      <w:color w:val="000000" w:themeColor="text1"/>
                      <w:sz w:val="21"/>
                      <w:szCs w:val="21"/>
                      <w:lang w:eastAsia="zh-CN"/>
                      <w14:textFill>
                        <w14:solidFill>
                          <w14:schemeClr w14:val="tx1"/>
                        </w14:solidFill>
                      </w14:textFill>
                    </w:rPr>
                    <w:t>峨山县塔甸镇大西村委会大西山</w:t>
                  </w:r>
                  <w:r>
                    <w:rPr>
                      <w:rFonts w:hint="default" w:ascii="Times New Roman" w:hAnsi="Times New Roman" w:eastAsia="宋体" w:cs="Times New Roman"/>
                      <w:b w:val="0"/>
                      <w:bCs/>
                      <w:color w:val="000000" w:themeColor="text1"/>
                      <w:sz w:val="21"/>
                      <w:szCs w:val="21"/>
                      <w14:textFill>
                        <w14:solidFill>
                          <w14:schemeClr w14:val="tx1"/>
                        </w14:solidFill>
                      </w14:textFill>
                    </w:rPr>
                    <w:t>，峨山县自然资源局</w:t>
                  </w: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出具的《关于峨山县大西农林种植基地建设项目“三区三线”压覆查询情况说明》</w:t>
                  </w:r>
                  <w:r>
                    <w:rPr>
                      <w:rFonts w:hint="default" w:ascii="Times New Roman" w:hAnsi="Times New Roman" w:eastAsia="宋体" w:cs="Times New Roman"/>
                      <w:b w:val="0"/>
                      <w:bCs/>
                      <w:color w:val="000000" w:themeColor="text1"/>
                      <w:sz w:val="21"/>
                      <w:szCs w:val="21"/>
                      <w14:textFill>
                        <w14:solidFill>
                          <w14:schemeClr w14:val="tx1"/>
                        </w14:solidFill>
                      </w14:textFill>
                    </w:rPr>
                    <w:t>，项目所在地</w:t>
                  </w:r>
                  <w:r>
                    <w:rPr>
                      <w:rFonts w:hint="eastAsia" w:ascii="Times New Roman" w:hAnsi="Times New Roman" w:cs="Times New Roman"/>
                      <w:b w:val="0"/>
                      <w:bCs/>
                      <w:color w:val="000000" w:themeColor="text1"/>
                      <w:sz w:val="21"/>
                      <w:szCs w:val="21"/>
                      <w:lang w:val="en-US" w:eastAsia="zh-CN"/>
                      <w14:textFill>
                        <w14:solidFill>
                          <w14:schemeClr w14:val="tx1"/>
                        </w14:solidFill>
                      </w14:textFill>
                    </w:rPr>
                    <w:t>不占用永久基本农田</w:t>
                  </w: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w:t>
                  </w:r>
                </w:p>
              </w:tc>
              <w:tc>
                <w:tcPr>
                  <w:tcW w:w="446" w:type="pct"/>
                  <w:noWrap w:val="0"/>
                  <w:vAlign w:val="center"/>
                </w:tcPr>
                <w:p w14:paraId="6FBF2DE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color w:val="000000" w:themeColor="text1"/>
                      <w:sz w:val="21"/>
                      <w:szCs w:val="21"/>
                      <w14:textFill>
                        <w14:solidFill>
                          <w14:schemeClr w14:val="tx1"/>
                        </w14:solidFill>
                      </w14:textFill>
                    </w:rPr>
                  </w:pPr>
                  <w:r>
                    <w:rPr>
                      <w:rFonts w:hint="default" w:ascii="Times New Roman" w:hAnsi="Times New Roman" w:eastAsia="宋体" w:cs="Times New Roman"/>
                      <w:b w:val="0"/>
                      <w:bCs/>
                      <w:color w:val="000000" w:themeColor="text1"/>
                      <w:sz w:val="21"/>
                      <w:szCs w:val="21"/>
                      <w14:textFill>
                        <w14:solidFill>
                          <w14:schemeClr w14:val="tx1"/>
                        </w14:solidFill>
                      </w14:textFill>
                    </w:rPr>
                    <w:t>符合</w:t>
                  </w:r>
                </w:p>
              </w:tc>
            </w:tr>
            <w:tr w14:paraId="4688E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4" w:hRule="atLeast"/>
                <w:jc w:val="center"/>
              </w:trPr>
              <w:tc>
                <w:tcPr>
                  <w:tcW w:w="415" w:type="pct"/>
                  <w:noWrap w:val="0"/>
                  <w:vAlign w:val="center"/>
                </w:tcPr>
                <w:p w14:paraId="2E34F83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color w:val="000000" w:themeColor="text1"/>
                      <w:sz w:val="21"/>
                      <w:szCs w:val="21"/>
                      <w14:textFill>
                        <w14:solidFill>
                          <w14:schemeClr w14:val="tx1"/>
                        </w14:solidFill>
                      </w14:textFill>
                    </w:rPr>
                  </w:pPr>
                  <w:r>
                    <w:rPr>
                      <w:rFonts w:hint="default" w:ascii="Times New Roman" w:hAnsi="Times New Roman" w:eastAsia="宋体" w:cs="Times New Roman"/>
                      <w:b w:val="0"/>
                      <w:bCs/>
                      <w:color w:val="000000" w:themeColor="text1"/>
                      <w:sz w:val="21"/>
                      <w:szCs w:val="21"/>
                      <w14:textFill>
                        <w14:solidFill>
                          <w14:schemeClr w14:val="tx1"/>
                        </w14:solidFill>
                      </w14:textFill>
                    </w:rPr>
                    <w:t>城镇空间‌</w:t>
                  </w:r>
                </w:p>
              </w:tc>
              <w:tc>
                <w:tcPr>
                  <w:tcW w:w="1790" w:type="pct"/>
                  <w:noWrap w:val="0"/>
                  <w:vAlign w:val="center"/>
                </w:tcPr>
                <w:p w14:paraId="1C73118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color w:val="000000" w:themeColor="text1"/>
                      <w:sz w:val="21"/>
                      <w:szCs w:val="21"/>
                      <w14:textFill>
                        <w14:solidFill>
                          <w14:schemeClr w14:val="tx1"/>
                        </w14:solidFill>
                      </w14:textFill>
                    </w:rPr>
                  </w:pPr>
                  <w:r>
                    <w:rPr>
                      <w:rFonts w:hint="default" w:ascii="Times New Roman" w:hAnsi="Times New Roman" w:eastAsia="宋体" w:cs="Times New Roman"/>
                      <w:b w:val="0"/>
                      <w:bCs/>
                      <w:color w:val="000000" w:themeColor="text1"/>
                      <w:sz w:val="21"/>
                      <w:szCs w:val="21"/>
                      <w14:textFill>
                        <w14:solidFill>
                          <w14:schemeClr w14:val="tx1"/>
                        </w14:solidFill>
                      </w14:textFill>
                    </w:rPr>
                    <w:t>以城镇居民生产、生活为主体功能的国土空间，包括城镇建设空间、工矿建设空间及部分乡级政府驻地的开发建设空间。</w:t>
                  </w:r>
                </w:p>
              </w:tc>
              <w:tc>
                <w:tcPr>
                  <w:tcW w:w="2347" w:type="pct"/>
                  <w:noWrap w:val="0"/>
                  <w:vAlign w:val="center"/>
                </w:tcPr>
                <w:p w14:paraId="7F8D7550">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项目</w:t>
                  </w:r>
                  <w:r>
                    <w:rPr>
                      <w:rFonts w:hint="default" w:ascii="Times New Roman" w:hAnsi="Times New Roman" w:eastAsia="宋体" w:cs="Times New Roman"/>
                      <w:b w:val="0"/>
                      <w:bCs/>
                      <w:color w:val="000000" w:themeColor="text1"/>
                      <w:sz w:val="21"/>
                      <w:szCs w:val="21"/>
                      <w14:textFill>
                        <w14:solidFill>
                          <w14:schemeClr w14:val="tx1"/>
                        </w14:solidFill>
                      </w14:textFill>
                    </w:rPr>
                    <w:t>位于</w:t>
                  </w:r>
                  <w:r>
                    <w:rPr>
                      <w:rFonts w:hint="default" w:ascii="Times New Roman" w:hAnsi="Times New Roman" w:eastAsia="宋体" w:cs="Times New Roman"/>
                      <w:b w:val="0"/>
                      <w:bCs/>
                      <w:color w:val="000000" w:themeColor="text1"/>
                      <w:sz w:val="21"/>
                      <w:szCs w:val="21"/>
                      <w:lang w:eastAsia="zh-CN"/>
                      <w14:textFill>
                        <w14:solidFill>
                          <w14:schemeClr w14:val="tx1"/>
                        </w14:solidFill>
                      </w14:textFill>
                    </w:rPr>
                    <w:t>峨山县塔甸镇大西村委会大西山，</w:t>
                  </w: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选址不涉及</w:t>
                  </w:r>
                  <w:r>
                    <w:rPr>
                      <w:rFonts w:hint="default" w:ascii="Times New Roman" w:hAnsi="Times New Roman" w:eastAsia="宋体" w:cs="Times New Roman"/>
                      <w:b w:val="0"/>
                      <w:bCs/>
                      <w:color w:val="000000" w:themeColor="text1"/>
                      <w:sz w:val="21"/>
                      <w:szCs w:val="21"/>
                      <w14:textFill>
                        <w14:solidFill>
                          <w14:schemeClr w14:val="tx1"/>
                        </w14:solidFill>
                      </w14:textFill>
                    </w:rPr>
                    <w:t>城镇建设空间、工矿建设空间及部分乡级政府驻地的开发建设空间。</w:t>
                  </w:r>
                </w:p>
              </w:tc>
              <w:tc>
                <w:tcPr>
                  <w:tcW w:w="446" w:type="pct"/>
                  <w:noWrap w:val="0"/>
                  <w:vAlign w:val="center"/>
                </w:tcPr>
                <w:p w14:paraId="6D70DE2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符合</w:t>
                  </w:r>
                </w:p>
              </w:tc>
            </w:tr>
            <w:tr w14:paraId="50BEF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5" w:hRule="atLeast"/>
                <w:jc w:val="center"/>
              </w:trPr>
              <w:tc>
                <w:tcPr>
                  <w:tcW w:w="415" w:type="pct"/>
                  <w:noWrap w:val="0"/>
                  <w:vAlign w:val="center"/>
                </w:tcPr>
                <w:p w14:paraId="7B88104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生态保护红线</w:t>
                  </w:r>
                </w:p>
              </w:tc>
              <w:tc>
                <w:tcPr>
                  <w:tcW w:w="1790" w:type="pct"/>
                  <w:noWrap w:val="0"/>
                  <w:vAlign w:val="center"/>
                </w:tcPr>
                <w:p w14:paraId="0720B8B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color w:val="000000" w:themeColor="text1"/>
                      <w:sz w:val="21"/>
                      <w:szCs w:val="21"/>
                      <w14:textFill>
                        <w14:solidFill>
                          <w14:schemeClr w14:val="tx1"/>
                        </w14:solidFill>
                      </w14:textFill>
                    </w:rPr>
                  </w:pPr>
                  <w:r>
                    <w:rPr>
                      <w:rFonts w:hint="default" w:ascii="Times New Roman" w:hAnsi="Times New Roman" w:eastAsia="宋体" w:cs="Times New Roman"/>
                      <w:b w:val="0"/>
                      <w:bCs/>
                      <w:color w:val="000000" w:themeColor="text1"/>
                      <w:sz w:val="21"/>
                      <w:szCs w:val="21"/>
                      <w14:textFill>
                        <w14:solidFill>
                          <w14:schemeClr w14:val="tx1"/>
                        </w14:solidFill>
                      </w14:textFill>
                    </w:rPr>
                    <w:t>在生态空间范围内具有特殊重要生态功能、必须强制性严格保护的区域，是保障和维护国家生态安全的底线和生命线。</w:t>
                  </w:r>
                </w:p>
              </w:tc>
              <w:tc>
                <w:tcPr>
                  <w:tcW w:w="2347" w:type="pct"/>
                  <w:noWrap w:val="0"/>
                  <w:vAlign w:val="center"/>
                </w:tcPr>
                <w:p w14:paraId="5A46151D">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项目</w:t>
                  </w:r>
                  <w:r>
                    <w:rPr>
                      <w:rFonts w:hint="default" w:ascii="Times New Roman" w:hAnsi="Times New Roman" w:eastAsia="宋体" w:cs="Times New Roman"/>
                      <w:b w:val="0"/>
                      <w:bCs/>
                      <w:color w:val="000000" w:themeColor="text1"/>
                      <w:sz w:val="21"/>
                      <w:szCs w:val="21"/>
                      <w14:textFill>
                        <w14:solidFill>
                          <w14:schemeClr w14:val="tx1"/>
                        </w14:solidFill>
                      </w14:textFill>
                    </w:rPr>
                    <w:t>位于</w:t>
                  </w:r>
                  <w:r>
                    <w:rPr>
                      <w:rFonts w:hint="default" w:ascii="Times New Roman" w:hAnsi="Times New Roman" w:eastAsia="宋体" w:cs="Times New Roman"/>
                      <w:b w:val="0"/>
                      <w:bCs/>
                      <w:color w:val="000000" w:themeColor="text1"/>
                      <w:sz w:val="21"/>
                      <w:szCs w:val="21"/>
                      <w:lang w:eastAsia="zh-CN"/>
                      <w14:textFill>
                        <w14:solidFill>
                          <w14:schemeClr w14:val="tx1"/>
                        </w14:solidFill>
                      </w14:textFill>
                    </w:rPr>
                    <w:t>峨山县塔甸镇大西村委会大西山</w:t>
                  </w:r>
                  <w:r>
                    <w:rPr>
                      <w:rFonts w:hint="default" w:ascii="Times New Roman" w:hAnsi="Times New Roman" w:eastAsia="宋体" w:cs="Times New Roman"/>
                      <w:b w:val="0"/>
                      <w:bCs/>
                      <w:color w:val="000000" w:themeColor="text1"/>
                      <w:sz w:val="21"/>
                      <w:szCs w:val="21"/>
                      <w14:textFill>
                        <w14:solidFill>
                          <w14:schemeClr w14:val="tx1"/>
                        </w14:solidFill>
                      </w14:textFill>
                    </w:rPr>
                    <w:t>，根据峨山县自然资源局</w:t>
                  </w: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出具的《关于峨山县大西农林种植基地建设项目“三区三线”压覆查询情况说明》</w:t>
                  </w:r>
                  <w:r>
                    <w:rPr>
                      <w:rFonts w:hint="default" w:ascii="Times New Roman" w:hAnsi="Times New Roman" w:eastAsia="宋体" w:cs="Times New Roman"/>
                      <w:b w:val="0"/>
                      <w:bCs/>
                      <w:color w:val="000000" w:themeColor="text1"/>
                      <w:sz w:val="21"/>
                      <w:szCs w:val="21"/>
                      <w14:textFill>
                        <w14:solidFill>
                          <w14:schemeClr w14:val="tx1"/>
                        </w14:solidFill>
                      </w14:textFill>
                    </w:rPr>
                    <w:t>，项目所在地不</w:t>
                  </w:r>
                  <w:r>
                    <w:rPr>
                      <w:rFonts w:hint="eastAsia" w:ascii="Times New Roman" w:hAnsi="Times New Roman" w:cs="Times New Roman"/>
                      <w:b w:val="0"/>
                      <w:bCs/>
                      <w:color w:val="000000" w:themeColor="text1"/>
                      <w:sz w:val="21"/>
                      <w:szCs w:val="21"/>
                      <w:lang w:eastAsia="zh-CN"/>
                      <w14:textFill>
                        <w14:solidFill>
                          <w14:schemeClr w14:val="tx1"/>
                        </w14:solidFill>
                      </w14:textFill>
                    </w:rPr>
                    <w:t>涉及</w:t>
                  </w: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生态保护红线。</w:t>
                  </w:r>
                </w:p>
              </w:tc>
              <w:tc>
                <w:tcPr>
                  <w:tcW w:w="446" w:type="pct"/>
                  <w:noWrap w:val="0"/>
                  <w:vAlign w:val="center"/>
                </w:tcPr>
                <w:p w14:paraId="33D337B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符合</w:t>
                  </w:r>
                </w:p>
              </w:tc>
            </w:tr>
            <w:tr w14:paraId="2D1F1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5" w:hRule="atLeast"/>
                <w:jc w:val="center"/>
              </w:trPr>
              <w:tc>
                <w:tcPr>
                  <w:tcW w:w="415" w:type="pct"/>
                  <w:noWrap w:val="0"/>
                  <w:vAlign w:val="center"/>
                </w:tcPr>
                <w:p w14:paraId="726EC95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永久基本农田</w:t>
                  </w:r>
                </w:p>
              </w:tc>
              <w:tc>
                <w:tcPr>
                  <w:tcW w:w="1790" w:type="pct"/>
                  <w:noWrap w:val="0"/>
                  <w:vAlign w:val="center"/>
                </w:tcPr>
                <w:p w14:paraId="1C5B487D">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color w:val="000000" w:themeColor="text1"/>
                      <w:sz w:val="21"/>
                      <w:szCs w:val="21"/>
                      <w14:textFill>
                        <w14:solidFill>
                          <w14:schemeClr w14:val="tx1"/>
                        </w14:solidFill>
                      </w14:textFill>
                    </w:rPr>
                  </w:pPr>
                  <w:r>
                    <w:rPr>
                      <w:rFonts w:hint="default" w:ascii="Times New Roman" w:hAnsi="Times New Roman" w:eastAsia="宋体" w:cs="Times New Roman"/>
                      <w:b w:val="0"/>
                      <w:bCs/>
                      <w:color w:val="000000" w:themeColor="text1"/>
                      <w:sz w:val="21"/>
                      <w:szCs w:val="21"/>
                      <w14:textFill>
                        <w14:solidFill>
                          <w14:schemeClr w14:val="tx1"/>
                        </w14:solidFill>
                      </w14:textFill>
                    </w:rPr>
                    <w:t>按照一定时期人口和经济社会发展对农产品的需求，依法确定的不得占用、不得开发、需要永久性保护的耕地空间边界。</w:t>
                  </w:r>
                </w:p>
              </w:tc>
              <w:tc>
                <w:tcPr>
                  <w:tcW w:w="2347" w:type="pct"/>
                  <w:noWrap w:val="0"/>
                  <w:vAlign w:val="center"/>
                </w:tcPr>
                <w:p w14:paraId="177E623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color w:val="000000" w:themeColor="text1"/>
                      <w:sz w:val="21"/>
                      <w:szCs w:val="21"/>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项目</w:t>
                  </w:r>
                  <w:r>
                    <w:rPr>
                      <w:rFonts w:hint="default" w:ascii="Times New Roman" w:hAnsi="Times New Roman" w:eastAsia="宋体" w:cs="Times New Roman"/>
                      <w:b w:val="0"/>
                      <w:bCs/>
                      <w:color w:val="000000" w:themeColor="text1"/>
                      <w:sz w:val="21"/>
                      <w:szCs w:val="21"/>
                      <w14:textFill>
                        <w14:solidFill>
                          <w14:schemeClr w14:val="tx1"/>
                        </w14:solidFill>
                      </w14:textFill>
                    </w:rPr>
                    <w:t>位于</w:t>
                  </w:r>
                  <w:r>
                    <w:rPr>
                      <w:rFonts w:hint="default" w:ascii="Times New Roman" w:hAnsi="Times New Roman" w:eastAsia="宋体" w:cs="Times New Roman"/>
                      <w:b w:val="0"/>
                      <w:bCs/>
                      <w:color w:val="000000" w:themeColor="text1"/>
                      <w:sz w:val="21"/>
                      <w:szCs w:val="21"/>
                      <w:lang w:eastAsia="zh-CN"/>
                      <w14:textFill>
                        <w14:solidFill>
                          <w14:schemeClr w14:val="tx1"/>
                        </w14:solidFill>
                      </w14:textFill>
                    </w:rPr>
                    <w:t>峨山县塔甸镇大西村委会大西山</w:t>
                  </w:r>
                  <w:r>
                    <w:rPr>
                      <w:rFonts w:hint="default" w:ascii="Times New Roman" w:hAnsi="Times New Roman" w:eastAsia="宋体" w:cs="Times New Roman"/>
                      <w:b w:val="0"/>
                      <w:bCs/>
                      <w:color w:val="000000" w:themeColor="text1"/>
                      <w:sz w:val="21"/>
                      <w:szCs w:val="21"/>
                      <w14:textFill>
                        <w14:solidFill>
                          <w14:schemeClr w14:val="tx1"/>
                        </w14:solidFill>
                      </w14:textFill>
                    </w:rPr>
                    <w:t>，</w:t>
                  </w:r>
                  <w:r>
                    <w:rPr>
                      <w:rFonts w:hint="eastAsia" w:ascii="Times New Roman" w:hAnsi="Times New Roman" w:cs="Times New Roman"/>
                      <w:b w:val="0"/>
                      <w:bCs/>
                      <w:color w:val="000000" w:themeColor="text1"/>
                      <w:sz w:val="21"/>
                      <w:szCs w:val="21"/>
                      <w:lang w:val="en-US" w:eastAsia="zh-CN"/>
                      <w14:textFill>
                        <w14:solidFill>
                          <w14:schemeClr w14:val="tx1"/>
                        </w14:solidFill>
                      </w14:textFill>
                    </w:rPr>
                    <w:t>根据租赁协议，项目占地范围主要为荒山荒地，</w:t>
                  </w:r>
                  <w:r>
                    <w:rPr>
                      <w:rFonts w:hint="default" w:ascii="Times New Roman" w:hAnsi="Times New Roman" w:eastAsia="宋体" w:cs="Times New Roman"/>
                      <w:b w:val="0"/>
                      <w:bCs/>
                      <w:color w:val="000000" w:themeColor="text1"/>
                      <w:sz w:val="21"/>
                      <w:szCs w:val="21"/>
                      <w14:textFill>
                        <w14:solidFill>
                          <w14:schemeClr w14:val="tx1"/>
                        </w14:solidFill>
                      </w14:textFill>
                    </w:rPr>
                    <w:t>不涉</w:t>
                  </w: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及永久性保护基本耕地。</w:t>
                  </w:r>
                </w:p>
              </w:tc>
              <w:tc>
                <w:tcPr>
                  <w:tcW w:w="446" w:type="pct"/>
                  <w:noWrap w:val="0"/>
                  <w:vAlign w:val="center"/>
                </w:tcPr>
                <w:p w14:paraId="12DB540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符合</w:t>
                  </w:r>
                </w:p>
              </w:tc>
            </w:tr>
            <w:tr w14:paraId="78F25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4" w:hRule="atLeast"/>
                <w:jc w:val="center"/>
              </w:trPr>
              <w:tc>
                <w:tcPr>
                  <w:tcW w:w="415" w:type="pct"/>
                  <w:noWrap w:val="0"/>
                  <w:vAlign w:val="center"/>
                </w:tcPr>
                <w:p w14:paraId="69A7CD8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城镇开发边界‌</w:t>
                  </w:r>
                </w:p>
              </w:tc>
              <w:tc>
                <w:tcPr>
                  <w:tcW w:w="1790" w:type="pct"/>
                  <w:noWrap w:val="0"/>
                  <w:vAlign w:val="center"/>
                </w:tcPr>
                <w:p w14:paraId="7AA8059D">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color w:val="000000" w:themeColor="text1"/>
                      <w:sz w:val="21"/>
                      <w:szCs w:val="21"/>
                      <w:lang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14:textFill>
                        <w14:solidFill>
                          <w14:schemeClr w14:val="tx1"/>
                        </w14:solidFill>
                      </w14:textFill>
                    </w:rPr>
                    <w:t>在一定时期内因城镇发展和建设需要，可以集中进行开发建设，重点完善城镇功能的区域边界</w:t>
                  </w:r>
                  <w:r>
                    <w:rPr>
                      <w:rFonts w:hint="default" w:ascii="Times New Roman" w:hAnsi="Times New Roman" w:eastAsia="宋体" w:cs="Times New Roman"/>
                      <w:b w:val="0"/>
                      <w:bCs/>
                      <w:color w:val="000000" w:themeColor="text1"/>
                      <w:sz w:val="21"/>
                      <w:szCs w:val="21"/>
                      <w:lang w:eastAsia="zh-CN"/>
                      <w14:textFill>
                        <w14:solidFill>
                          <w14:schemeClr w14:val="tx1"/>
                        </w14:solidFill>
                      </w14:textFill>
                    </w:rPr>
                    <w:t>。</w:t>
                  </w:r>
                </w:p>
              </w:tc>
              <w:tc>
                <w:tcPr>
                  <w:tcW w:w="2347" w:type="pct"/>
                  <w:noWrap w:val="0"/>
                  <w:vAlign w:val="center"/>
                </w:tcPr>
                <w:p w14:paraId="6C7DF9CD">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本项目</w:t>
                  </w:r>
                  <w:r>
                    <w:rPr>
                      <w:rFonts w:hint="default" w:ascii="Times New Roman" w:hAnsi="Times New Roman" w:eastAsia="宋体" w:cs="Times New Roman"/>
                      <w:b w:val="0"/>
                      <w:bCs/>
                      <w:color w:val="000000" w:themeColor="text1"/>
                      <w:sz w:val="21"/>
                      <w:szCs w:val="21"/>
                      <w14:textFill>
                        <w14:solidFill>
                          <w14:schemeClr w14:val="tx1"/>
                        </w14:solidFill>
                      </w14:textFill>
                    </w:rPr>
                    <w:t>位于</w:t>
                  </w:r>
                  <w:r>
                    <w:rPr>
                      <w:rFonts w:hint="default" w:ascii="Times New Roman" w:hAnsi="Times New Roman" w:eastAsia="宋体" w:cs="Times New Roman"/>
                      <w:b w:val="0"/>
                      <w:bCs/>
                      <w:color w:val="000000" w:themeColor="text1"/>
                      <w:sz w:val="21"/>
                      <w:szCs w:val="21"/>
                      <w:lang w:eastAsia="zh-CN"/>
                      <w14:textFill>
                        <w14:solidFill>
                          <w14:schemeClr w14:val="tx1"/>
                        </w14:solidFill>
                      </w14:textFill>
                    </w:rPr>
                    <w:t>峨山县塔甸镇大西村委会大西山</w:t>
                  </w:r>
                  <w:r>
                    <w:rPr>
                      <w:rFonts w:hint="default" w:ascii="Times New Roman" w:hAnsi="Times New Roman" w:eastAsia="宋体" w:cs="Times New Roman"/>
                      <w:b w:val="0"/>
                      <w:bCs/>
                      <w:color w:val="000000" w:themeColor="text1"/>
                      <w:sz w:val="21"/>
                      <w:szCs w:val="21"/>
                      <w14:textFill>
                        <w14:solidFill>
                          <w14:schemeClr w14:val="tx1"/>
                        </w14:solidFill>
                      </w14:textFill>
                    </w:rPr>
                    <w:t>，峨山县自然资源局</w:t>
                  </w: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出具的《关于峨山县大西农林种植基地建设项目“三区三线”压覆查询情况说明》</w:t>
                  </w:r>
                  <w:r>
                    <w:rPr>
                      <w:rFonts w:hint="default" w:ascii="Times New Roman" w:hAnsi="Times New Roman" w:eastAsia="宋体" w:cs="Times New Roman"/>
                      <w:b w:val="0"/>
                      <w:bCs/>
                      <w:color w:val="000000" w:themeColor="text1"/>
                      <w:sz w:val="21"/>
                      <w:szCs w:val="21"/>
                      <w:lang w:eastAsia="zh-CN"/>
                      <w14:textFill>
                        <w14:solidFill>
                          <w14:schemeClr w14:val="tx1"/>
                        </w14:solidFill>
                      </w14:textFill>
                    </w:rPr>
                    <w:t>，</w:t>
                  </w:r>
                  <w:r>
                    <w:rPr>
                      <w:rFonts w:hint="default" w:ascii="Times New Roman" w:hAnsi="Times New Roman" w:eastAsia="宋体" w:cs="Times New Roman"/>
                      <w:b w:val="0"/>
                      <w:bCs/>
                      <w:color w:val="000000" w:themeColor="text1"/>
                      <w:sz w:val="21"/>
                      <w:szCs w:val="21"/>
                      <w14:textFill>
                        <w14:solidFill>
                          <w14:schemeClr w14:val="tx1"/>
                        </w14:solidFill>
                      </w14:textFill>
                    </w:rPr>
                    <w:t>项目所在地</w:t>
                  </w: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不</w:t>
                  </w:r>
                  <w:r>
                    <w:rPr>
                      <w:rFonts w:hint="eastAsia" w:ascii="Times New Roman" w:hAnsi="Times New Roman" w:cs="Times New Roman"/>
                      <w:b w:val="0"/>
                      <w:bCs/>
                      <w:color w:val="000000" w:themeColor="text1"/>
                      <w:sz w:val="21"/>
                      <w:szCs w:val="21"/>
                      <w:lang w:val="en-US" w:eastAsia="zh-CN"/>
                      <w14:textFill>
                        <w14:solidFill>
                          <w14:schemeClr w14:val="tx1"/>
                        </w14:solidFill>
                      </w14:textFill>
                    </w:rPr>
                    <w:t>涉及</w:t>
                  </w: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城镇开发边界。</w:t>
                  </w:r>
                </w:p>
              </w:tc>
              <w:tc>
                <w:tcPr>
                  <w:tcW w:w="446" w:type="pct"/>
                  <w:noWrap w:val="0"/>
                  <w:vAlign w:val="center"/>
                </w:tcPr>
                <w:p w14:paraId="54A68BC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符合</w:t>
                  </w:r>
                </w:p>
              </w:tc>
            </w:tr>
          </w:tbl>
          <w:p w14:paraId="4C96932C">
            <w:pPr>
              <w:keepNext w:val="0"/>
              <w:keepLines w:val="0"/>
              <w:pageBreakBefore w:val="0"/>
              <w:widowControl w:val="0"/>
              <w:kinsoku/>
              <w:wordWrap/>
              <w:overflowPunct/>
              <w:topLinePunct w:val="0"/>
              <w:autoSpaceDE/>
              <w:autoSpaceDN/>
              <w:bidi w:val="0"/>
              <w:adjustRightInd w:val="0"/>
              <w:snapToGrid w:val="0"/>
              <w:spacing w:before="157" w:beforeLines="50"/>
              <w:ind w:firstLine="480" w:firstLineChars="200"/>
              <w:jc w:val="both"/>
              <w:textAlignment w:val="auto"/>
              <w:rPr>
                <w:rFonts w:hint="default" w:ascii="Times New Roman" w:hAnsi="Times New Roman" w:eastAsia="宋体" w:cs="Times New Roman"/>
                <w:color w:val="000000" w:themeColor="text1"/>
                <w:kern w:val="0"/>
                <w:sz w:val="24"/>
                <w:lang w:val="en-US" w:eastAsia="zh-CN"/>
                <w14:textFill>
                  <w14:solidFill>
                    <w14:schemeClr w14:val="tx1"/>
                  </w14:solidFill>
                </w14:textFill>
              </w:rPr>
            </w:pPr>
          </w:p>
          <w:p w14:paraId="7DD60199">
            <w:pPr>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hint="default" w:ascii="Times New Roman" w:hAnsi="Times New Roman" w:eastAsia="宋体" w:cs="Times New Roman"/>
                <w:color w:val="000000" w:themeColor="text1"/>
                <w:kern w:val="0"/>
                <w:sz w:val="24"/>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lang w:val="en-US" w:eastAsia="zh-CN"/>
                <w14:textFill>
                  <w14:solidFill>
                    <w14:schemeClr w14:val="tx1"/>
                  </w14:solidFill>
                </w14:textFill>
              </w:rPr>
              <w:t>根据上表分析，项目选址符合“三区三线”相关要求。</w:t>
            </w:r>
          </w:p>
          <w:p w14:paraId="1952CB03">
            <w:pPr>
              <w:keepNext w:val="0"/>
              <w:keepLines w:val="0"/>
              <w:pageBreakBefore w:val="0"/>
              <w:widowControl w:val="0"/>
              <w:kinsoku/>
              <w:wordWrap/>
              <w:overflowPunct/>
              <w:topLinePunct w:val="0"/>
              <w:autoSpaceDE w:val="0"/>
              <w:autoSpaceDN w:val="0"/>
              <w:bidi w:val="0"/>
              <w:adjustRightInd w:val="0"/>
              <w:snapToGrid w:val="0"/>
              <w:ind w:left="0" w:leftChars="0" w:firstLine="482" w:firstLineChars="200"/>
              <w:jc w:val="both"/>
              <w:textAlignment w:val="auto"/>
              <w:rPr>
                <w:rFonts w:hint="default" w:ascii="Times New Roman" w:hAnsi="Times New Roman" w:eastAsia="宋体" w:cs="Times New Roman"/>
                <w:b/>
                <w:bCs/>
                <w:color w:val="000000" w:themeColor="text1"/>
                <w:kern w:val="0"/>
                <w:lang w:val="en-US" w:eastAsia="zh-CN"/>
                <w14:textFill>
                  <w14:solidFill>
                    <w14:schemeClr w14:val="tx1"/>
                  </w14:solidFill>
                </w14:textFill>
              </w:rPr>
            </w:pPr>
            <w:r>
              <w:rPr>
                <w:rFonts w:hint="default" w:ascii="Times New Roman" w:hAnsi="Times New Roman" w:eastAsia="宋体" w:cs="Times New Roman"/>
                <w:b/>
                <w:bCs/>
                <w:color w:val="000000" w:themeColor="text1"/>
                <w:kern w:val="0"/>
                <w:lang w:val="en-US" w:eastAsia="zh-CN"/>
                <w14:textFill>
                  <w14:solidFill>
                    <w14:schemeClr w14:val="tx1"/>
                  </w14:solidFill>
                </w14:textFill>
              </w:rPr>
              <w:t>4、与《云南省主体功能区规划》符合性分析</w:t>
            </w:r>
          </w:p>
          <w:p w14:paraId="2CF87471">
            <w:pPr>
              <w:keepNext w:val="0"/>
              <w:keepLines w:val="0"/>
              <w:pageBreakBefore w:val="0"/>
              <w:widowControl w:val="0"/>
              <w:kinsoku/>
              <w:wordWrap/>
              <w:overflowPunct/>
              <w:topLinePunct w:val="0"/>
              <w:autoSpaceDE w:val="0"/>
              <w:autoSpaceDN w:val="0"/>
              <w:bidi w:val="0"/>
              <w:adjustRightInd w:val="0"/>
              <w:snapToGrid w:val="0"/>
              <w:ind w:left="0" w:leftChars="0" w:firstLine="482" w:firstLineChars="200"/>
              <w:jc w:val="both"/>
              <w:textAlignment w:val="auto"/>
              <w:rPr>
                <w:rFonts w:hint="default" w:ascii="Times New Roman" w:hAnsi="Times New Roman" w:eastAsia="宋体" w:cs="Times New Roman"/>
                <w:b/>
                <w:bCs/>
                <w:color w:val="000000" w:themeColor="text1"/>
                <w:kern w:val="0"/>
                <w:lang w:val="en-US" w:eastAsia="zh-CN"/>
                <w14:textFill>
                  <w14:solidFill>
                    <w14:schemeClr w14:val="tx1"/>
                  </w14:solidFill>
                </w14:textFill>
              </w:rPr>
            </w:pPr>
            <w:r>
              <w:rPr>
                <w:rFonts w:hint="default" w:ascii="Times New Roman" w:hAnsi="Times New Roman" w:eastAsia="宋体" w:cs="Times New Roman"/>
                <w:b/>
                <w:bCs/>
                <w:color w:val="000000" w:themeColor="text1"/>
                <w:kern w:val="0"/>
                <w:lang w:val="zh-CN" w:eastAsia="zh-CN"/>
                <w14:textFill>
                  <w14:solidFill>
                    <w14:schemeClr w14:val="tx1"/>
                  </w14:solidFill>
                </w14:textFill>
              </w:rPr>
              <w:t>（1）</w:t>
            </w:r>
            <w:r>
              <w:rPr>
                <w:rFonts w:hint="default" w:ascii="Times New Roman" w:hAnsi="Times New Roman" w:eastAsia="宋体" w:cs="Times New Roman"/>
                <w:b/>
                <w:bCs/>
                <w:color w:val="000000" w:themeColor="text1"/>
                <w:kern w:val="0"/>
                <w:lang w:val="en-US" w:eastAsia="zh-CN"/>
                <w14:textFill>
                  <w14:solidFill>
                    <w14:schemeClr w14:val="tx1"/>
                  </w14:solidFill>
                </w14:textFill>
              </w:rPr>
              <w:t>与</w:t>
            </w:r>
            <w:r>
              <w:rPr>
                <w:rFonts w:hint="default" w:ascii="Times New Roman" w:hAnsi="Times New Roman" w:eastAsia="宋体" w:cs="Times New Roman"/>
                <w:b/>
                <w:bCs/>
                <w:color w:val="000000" w:themeColor="text1"/>
                <w:kern w:val="0"/>
                <w:lang w:val="zh-CN" w:eastAsia="zh-CN"/>
                <w14:textFill>
                  <w14:solidFill>
                    <w14:schemeClr w14:val="tx1"/>
                  </w14:solidFill>
                </w14:textFill>
              </w:rPr>
              <w:t>《云南省主体功能区规划》</w:t>
            </w:r>
            <w:r>
              <w:rPr>
                <w:rFonts w:hint="default" w:ascii="Times New Roman" w:hAnsi="Times New Roman" w:eastAsia="宋体" w:cs="Times New Roman"/>
                <w:b/>
                <w:bCs/>
                <w:color w:val="000000" w:themeColor="text1"/>
                <w:kern w:val="0"/>
                <w:lang w:val="en-US" w:eastAsia="zh-CN"/>
                <w14:textFill>
                  <w14:solidFill>
                    <w14:schemeClr w14:val="tx1"/>
                  </w14:solidFill>
                </w14:textFill>
              </w:rPr>
              <w:t>符合性分析</w:t>
            </w:r>
          </w:p>
          <w:p w14:paraId="421B2FAF">
            <w:pPr>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hint="default" w:ascii="Times New Roman" w:hAnsi="Times New Roman" w:eastAsia="宋体" w:cs="Times New Roman"/>
                <w:color w:val="000000" w:themeColor="text1"/>
                <w:kern w:val="0"/>
                <w:sz w:val="24"/>
                <w:lang w:val="zh-CN" w:eastAsia="zh-CN"/>
                <w14:textFill>
                  <w14:solidFill>
                    <w14:schemeClr w14:val="tx1"/>
                  </w14:solidFill>
                </w14:textFill>
              </w:rPr>
            </w:pPr>
            <w:r>
              <w:rPr>
                <w:rFonts w:hint="default" w:ascii="Times New Roman" w:hAnsi="Times New Roman" w:eastAsia="宋体" w:cs="Times New Roman"/>
                <w:color w:val="000000" w:themeColor="text1"/>
                <w:kern w:val="0"/>
                <w:sz w:val="24"/>
                <w:lang w:val="zh-CN" w:eastAsia="zh-CN"/>
                <w14:textFill>
                  <w14:solidFill>
                    <w14:schemeClr w14:val="tx1"/>
                  </w14:solidFill>
                </w14:textFill>
              </w:rPr>
              <w:t>根据云南省人民政府2014年1月6日印发的《云南省主体功能区规划》（云政发</w:t>
            </w:r>
            <w:r>
              <w:rPr>
                <w:rFonts w:hint="eastAsia" w:ascii="Times New Roman" w:hAnsi="Times New Roman" w:cs="Times New Roman"/>
                <w:color w:val="000000" w:themeColor="text1"/>
                <w:kern w:val="0"/>
                <w:sz w:val="24"/>
                <w:lang w:val="zh-CN" w:eastAsia="zh-CN"/>
                <w14:textFill>
                  <w14:solidFill>
                    <w14:schemeClr w14:val="tx1"/>
                  </w14:solidFill>
                </w14:textFill>
              </w:rPr>
              <w:t>〔2014〕1号</w:t>
            </w:r>
            <w:r>
              <w:rPr>
                <w:rFonts w:hint="default" w:ascii="Times New Roman" w:hAnsi="Times New Roman" w:eastAsia="宋体" w:cs="Times New Roman"/>
                <w:color w:val="000000" w:themeColor="text1"/>
                <w:kern w:val="0"/>
                <w:sz w:val="24"/>
                <w:lang w:val="zh-CN" w:eastAsia="zh-CN"/>
                <w14:textFill>
                  <w14:solidFill>
                    <w14:schemeClr w14:val="tx1"/>
                  </w14:solidFill>
                </w14:textFill>
              </w:rPr>
              <w:t>文），将云南省</w:t>
            </w:r>
            <w:r>
              <w:rPr>
                <w:rFonts w:hint="default" w:ascii="Times New Roman" w:hAnsi="Times New Roman" w:eastAsia="宋体" w:cs="Times New Roman"/>
                <w:color w:val="000000" w:themeColor="text1"/>
                <w:kern w:val="0"/>
                <w:sz w:val="24"/>
                <w:lang w:val="en-US" w:eastAsia="zh-CN"/>
                <w14:textFill>
                  <w14:solidFill>
                    <w14:schemeClr w14:val="tx1"/>
                  </w14:solidFill>
                </w14:textFill>
              </w:rPr>
              <w:t>国土</w:t>
            </w:r>
            <w:r>
              <w:rPr>
                <w:rFonts w:hint="default" w:ascii="Times New Roman" w:hAnsi="Times New Roman" w:eastAsia="宋体" w:cs="Times New Roman"/>
                <w:color w:val="000000" w:themeColor="text1"/>
                <w:kern w:val="0"/>
                <w:sz w:val="24"/>
                <w:lang w:val="zh-CN" w:eastAsia="zh-CN"/>
                <w14:textFill>
                  <w14:solidFill>
                    <w14:schemeClr w14:val="tx1"/>
                  </w14:solidFill>
                </w14:textFill>
              </w:rPr>
              <w:t>空间分为重点开发区、限制开发和禁止开发区三种区域。云南省重点开发的区域集中连片重点开发区域和其他重点开发的区域两类；云南省限制开发的区域主要为保障农产品供给和生态安全的重要区域，包括农产品主产区和重点生态功能区2类；云南省的禁止开发区域分为国家级和省级，具体包括：自然保护区、世界遗产、风景名胜区、森林公园、地质公园、城市饮用水源保护区、湿地公园、水产种质资源保护区、牛栏江流域上游保护区水源保护核心区等。</w:t>
            </w:r>
          </w:p>
          <w:p w14:paraId="2F602D09">
            <w:pPr>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hint="default" w:ascii="Times New Roman" w:hAnsi="Times New Roman" w:eastAsia="宋体" w:cs="Times New Roman"/>
                <w:color w:val="000000" w:themeColor="text1"/>
                <w:kern w:val="0"/>
                <w:sz w:val="24"/>
                <w:lang w:val="zh-CN" w:eastAsia="zh-CN"/>
                <w14:textFill>
                  <w14:solidFill>
                    <w14:schemeClr w14:val="tx1"/>
                  </w14:solidFill>
                </w14:textFill>
              </w:rPr>
            </w:pPr>
            <w:r>
              <w:rPr>
                <w:rFonts w:hint="default" w:ascii="Times New Roman" w:hAnsi="Times New Roman" w:eastAsia="宋体" w:cs="Times New Roman"/>
                <w:color w:val="000000" w:themeColor="text1"/>
                <w:kern w:val="0"/>
                <w:sz w:val="24"/>
                <w:lang w:val="zh-CN" w:eastAsia="zh-CN"/>
                <w14:textFill>
                  <w14:solidFill>
                    <w14:schemeClr w14:val="tx1"/>
                  </w14:solidFill>
                </w14:textFill>
              </w:rPr>
              <w:t>根据云南省主体功能区划分总图（详见附图</w:t>
            </w:r>
            <w:r>
              <w:rPr>
                <w:rFonts w:hint="default" w:ascii="Times New Roman" w:hAnsi="Times New Roman" w:eastAsia="宋体" w:cs="Times New Roman"/>
                <w:color w:val="000000" w:themeColor="text1"/>
                <w:kern w:val="0"/>
                <w:sz w:val="24"/>
                <w:lang w:val="en-US" w:eastAsia="zh-CN"/>
                <w14:textFill>
                  <w14:solidFill>
                    <w14:schemeClr w14:val="tx1"/>
                  </w14:solidFill>
                </w14:textFill>
              </w:rPr>
              <w:t>4</w:t>
            </w:r>
            <w:r>
              <w:rPr>
                <w:rFonts w:hint="default" w:ascii="Times New Roman" w:hAnsi="Times New Roman" w:eastAsia="宋体" w:cs="Times New Roman"/>
                <w:color w:val="000000" w:themeColor="text1"/>
                <w:kern w:val="0"/>
                <w:sz w:val="24"/>
                <w:lang w:val="zh-CN" w:eastAsia="zh-CN"/>
                <w14:textFill>
                  <w14:solidFill>
                    <w14:schemeClr w14:val="tx1"/>
                  </w14:solidFill>
                </w14:textFill>
              </w:rPr>
              <w:t>），本项目所在的玉溪市峨山彝族自治县，属于《云南省主体功能区划》中国家重点开发区，不属于限制开发区域和禁止开发区域，符合《云南省主体功能区划》</w:t>
            </w:r>
            <w:r>
              <w:rPr>
                <w:rFonts w:hint="default" w:ascii="Times New Roman" w:hAnsi="Times New Roman" w:eastAsia="宋体" w:cs="Times New Roman"/>
                <w:color w:val="000000" w:themeColor="text1"/>
                <w:kern w:val="0"/>
                <w:sz w:val="24"/>
                <w:lang w:val="en-US" w:eastAsia="zh-CN"/>
                <w14:textFill>
                  <w14:solidFill>
                    <w14:schemeClr w14:val="tx1"/>
                  </w14:solidFill>
                </w14:textFill>
              </w:rPr>
              <w:t>相关要求</w:t>
            </w:r>
            <w:r>
              <w:rPr>
                <w:rFonts w:hint="default" w:ascii="Times New Roman" w:hAnsi="Times New Roman" w:eastAsia="宋体" w:cs="Times New Roman"/>
                <w:color w:val="000000" w:themeColor="text1"/>
                <w:kern w:val="0"/>
                <w:sz w:val="24"/>
                <w:lang w:val="zh-CN" w:eastAsia="zh-CN"/>
                <w14:textFill>
                  <w14:solidFill>
                    <w14:schemeClr w14:val="tx1"/>
                  </w14:solidFill>
                </w14:textFill>
              </w:rPr>
              <w:t>。</w:t>
            </w:r>
          </w:p>
          <w:p w14:paraId="619C68E8">
            <w:pPr>
              <w:keepNext w:val="0"/>
              <w:keepLines w:val="0"/>
              <w:pageBreakBefore w:val="0"/>
              <w:widowControl w:val="0"/>
              <w:kinsoku/>
              <w:wordWrap/>
              <w:overflowPunct/>
              <w:topLinePunct w:val="0"/>
              <w:autoSpaceDE w:val="0"/>
              <w:autoSpaceDN w:val="0"/>
              <w:bidi w:val="0"/>
              <w:adjustRightInd w:val="0"/>
              <w:snapToGrid w:val="0"/>
              <w:ind w:left="0" w:leftChars="0" w:firstLine="482" w:firstLineChars="200"/>
              <w:jc w:val="both"/>
              <w:textAlignment w:val="auto"/>
              <w:rPr>
                <w:rFonts w:hint="default" w:ascii="Times New Roman" w:hAnsi="Times New Roman" w:eastAsia="宋体" w:cs="Times New Roman"/>
                <w:b/>
                <w:bCs/>
                <w:color w:val="000000" w:themeColor="text1"/>
                <w:kern w:val="0"/>
                <w:lang w:val="en-US" w:eastAsia="zh-CN"/>
                <w14:textFill>
                  <w14:solidFill>
                    <w14:schemeClr w14:val="tx1"/>
                  </w14:solidFill>
                </w14:textFill>
              </w:rPr>
            </w:pPr>
            <w:r>
              <w:rPr>
                <w:rFonts w:hint="default" w:ascii="Times New Roman" w:hAnsi="Times New Roman" w:eastAsia="宋体" w:cs="Times New Roman"/>
                <w:b/>
                <w:bCs/>
                <w:color w:val="000000" w:themeColor="text1"/>
                <w:kern w:val="0"/>
                <w:lang w:val="en-US" w:eastAsia="zh-CN"/>
                <w14:textFill>
                  <w14:solidFill>
                    <w14:schemeClr w14:val="tx1"/>
                  </w14:solidFill>
                </w14:textFill>
              </w:rPr>
              <w:t>5、与《云南省生态功能区划》的符合性分析</w:t>
            </w:r>
          </w:p>
          <w:p w14:paraId="708971E6">
            <w:pPr>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hint="default" w:ascii="Times New Roman" w:hAnsi="Times New Roman" w:eastAsia="宋体" w:cs="Times New Roman"/>
                <w:color w:val="000000" w:themeColor="text1"/>
                <w:kern w:val="0"/>
                <w:sz w:val="24"/>
                <w:lang w:val="zh-CN" w:eastAsia="zh-CN"/>
                <w14:textFill>
                  <w14:solidFill>
                    <w14:schemeClr w14:val="tx1"/>
                  </w14:solidFill>
                </w14:textFill>
              </w:rPr>
            </w:pPr>
            <w:r>
              <w:rPr>
                <w:rFonts w:hint="default" w:ascii="Times New Roman" w:hAnsi="Times New Roman" w:eastAsia="宋体" w:cs="Times New Roman"/>
                <w:color w:val="000000" w:themeColor="text1"/>
                <w:kern w:val="0"/>
                <w:sz w:val="24"/>
                <w:lang w:val="zh-CN" w:eastAsia="zh-CN"/>
                <w14:textFill>
                  <w14:solidFill>
                    <w14:schemeClr w14:val="tx1"/>
                  </w14:solidFill>
                </w14:textFill>
              </w:rPr>
              <w:t>根据《云南省生态功能区划》，云南省生态功能区划系统分为三个等级：</w:t>
            </w:r>
          </w:p>
          <w:p w14:paraId="518E3937">
            <w:pPr>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hint="default" w:ascii="Times New Roman" w:hAnsi="Times New Roman" w:eastAsia="宋体" w:cs="Times New Roman"/>
                <w:color w:val="000000" w:themeColor="text1"/>
                <w:kern w:val="0"/>
                <w:sz w:val="24"/>
                <w:lang w:val="zh-CN" w:eastAsia="zh-CN"/>
                <w14:textFill>
                  <w14:solidFill>
                    <w14:schemeClr w14:val="tx1"/>
                  </w14:solidFill>
                </w14:textFill>
              </w:rPr>
            </w:pPr>
            <w:r>
              <w:rPr>
                <w:rFonts w:hint="default" w:ascii="Times New Roman" w:hAnsi="Times New Roman" w:eastAsia="宋体" w:cs="Times New Roman"/>
                <w:color w:val="000000" w:themeColor="text1"/>
                <w:kern w:val="0"/>
                <w:sz w:val="24"/>
                <w:lang w:val="zh-CN" w:eastAsia="zh-CN"/>
                <w14:textFill>
                  <w14:solidFill>
                    <w14:schemeClr w14:val="tx1"/>
                  </w14:solidFill>
                </w14:textFill>
              </w:rPr>
              <w:t>一级区（生态区）：一级区为国家生态环境功能区划中的三级区，在云南省表现为生物气候带。</w:t>
            </w:r>
          </w:p>
          <w:p w14:paraId="242D8FC4">
            <w:pPr>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hint="default" w:ascii="Times New Roman" w:hAnsi="Times New Roman" w:eastAsia="宋体" w:cs="Times New Roman"/>
                <w:color w:val="000000" w:themeColor="text1"/>
                <w:kern w:val="0"/>
                <w:sz w:val="24"/>
                <w:lang w:val="zh-CN" w:eastAsia="zh-CN"/>
                <w14:textFill>
                  <w14:solidFill>
                    <w14:schemeClr w14:val="tx1"/>
                  </w14:solidFill>
                </w14:textFill>
              </w:rPr>
            </w:pPr>
            <w:r>
              <w:rPr>
                <w:rFonts w:hint="default" w:ascii="Times New Roman" w:hAnsi="Times New Roman" w:eastAsia="宋体" w:cs="Times New Roman"/>
                <w:color w:val="000000" w:themeColor="text1"/>
                <w:kern w:val="0"/>
                <w:sz w:val="24"/>
                <w:lang w:val="zh-CN" w:eastAsia="zh-CN"/>
                <w14:textFill>
                  <w14:solidFill>
                    <w14:schemeClr w14:val="tx1"/>
                  </w14:solidFill>
                </w14:textFill>
              </w:rPr>
              <w:t>二级区（生态亚区）：以一级生态区内，由地貌引起的气候、生态系统类型组合的差异为依据进行划分。</w:t>
            </w:r>
          </w:p>
          <w:p w14:paraId="1B82FF8A">
            <w:pPr>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hint="default" w:ascii="Times New Roman" w:hAnsi="Times New Roman" w:eastAsia="宋体" w:cs="Times New Roman"/>
                <w:color w:val="000000" w:themeColor="text1"/>
                <w:kern w:val="0"/>
                <w:sz w:val="24"/>
                <w:lang w:val="zh-CN" w:eastAsia="zh-CN"/>
                <w14:textFill>
                  <w14:solidFill>
                    <w14:schemeClr w14:val="tx1"/>
                  </w14:solidFill>
                </w14:textFill>
              </w:rPr>
            </w:pPr>
            <w:r>
              <w:rPr>
                <w:rFonts w:hint="default" w:ascii="Times New Roman" w:hAnsi="Times New Roman" w:eastAsia="宋体" w:cs="Times New Roman"/>
                <w:color w:val="000000" w:themeColor="text1"/>
                <w:kern w:val="0"/>
                <w:sz w:val="24"/>
                <w:lang w:val="zh-CN" w:eastAsia="zh-CN"/>
                <w14:textFill>
                  <w14:solidFill>
                    <w14:schemeClr w14:val="tx1"/>
                  </w14:solidFill>
                </w14:textFill>
              </w:rPr>
              <w:t>三级区（生态功能区）：以生态服务功能的重要性、生态环境敏感性等指标进行划分。</w:t>
            </w:r>
          </w:p>
          <w:p w14:paraId="0F3495E5">
            <w:pPr>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hint="default" w:ascii="Times New Roman" w:hAnsi="Times New Roman" w:eastAsia="宋体" w:cs="Times New Roman"/>
                <w:color w:val="000000" w:themeColor="text1"/>
                <w:kern w:val="0"/>
                <w:sz w:val="24"/>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lang w:val="zh-CN" w:eastAsia="zh-CN"/>
                <w14:textFill>
                  <w14:solidFill>
                    <w14:schemeClr w14:val="tx1"/>
                  </w14:solidFill>
                </w14:textFill>
              </w:rPr>
              <w:t>其中，一级区（生态区）5个，二级区（生态亚区）19个，三级区（生态功能区）65个。</w:t>
            </w:r>
            <w:r>
              <w:rPr>
                <w:rFonts w:hint="default" w:ascii="Times New Roman" w:hAnsi="Times New Roman" w:eastAsia="宋体" w:cs="Times New Roman"/>
                <w:color w:val="000000" w:themeColor="text1"/>
                <w:kern w:val="0"/>
                <w:sz w:val="24"/>
                <w:lang w:val="en-US" w:eastAsia="zh-CN"/>
                <w14:textFill>
                  <w14:solidFill>
                    <w14:schemeClr w14:val="tx1"/>
                  </w14:solidFill>
                </w14:textFill>
              </w:rPr>
              <w:t>本项目属于</w:t>
            </w:r>
            <w:r>
              <w:rPr>
                <w:rFonts w:hint="default" w:ascii="Times New Roman" w:hAnsi="Times New Roman" w:eastAsia="宋体" w:cs="Times New Roman"/>
                <w:color w:val="000000" w:themeColor="text1"/>
                <w:kern w:val="0"/>
                <w:sz w:val="24"/>
                <w:lang w:val="zh-CN" w:eastAsia="zh-CN"/>
                <w14:textFill>
                  <w14:solidFill>
                    <w14:schemeClr w14:val="tx1"/>
                  </w14:solidFill>
                </w14:textFill>
              </w:rPr>
              <w:t>Ⅲ高原亚热带北部常绿阔叶林生态区，Ⅲ1滇中高原谷盆半湿润常绿阔叶林、暖性针叶林生态亚区，Ⅲ1-5绿汁江河谷水土保持生态功能区。</w:t>
            </w:r>
            <w:r>
              <w:rPr>
                <w:rFonts w:hint="default" w:ascii="Times New Roman" w:hAnsi="Times New Roman" w:eastAsia="宋体" w:cs="Times New Roman"/>
                <w:color w:val="000000" w:themeColor="text1"/>
                <w:kern w:val="0"/>
                <w:sz w:val="24"/>
                <w:lang w:val="en-US" w:eastAsia="zh-CN"/>
                <w14:textFill>
                  <w14:solidFill>
                    <w14:schemeClr w14:val="tx1"/>
                  </w14:solidFill>
                </w14:textFill>
              </w:rPr>
              <w:t>所在的区域与面积为：</w:t>
            </w:r>
            <w:r>
              <w:rPr>
                <w:rFonts w:hint="default" w:ascii="Times New Roman" w:hAnsi="Times New Roman" w:eastAsia="宋体" w:cs="Times New Roman"/>
                <w:color w:val="000000" w:themeColor="text1"/>
                <w:kern w:val="0"/>
                <w:sz w:val="24"/>
                <w:lang w:val="zh-CN" w:eastAsia="zh-CN"/>
                <w14:textFill>
                  <w14:solidFill>
                    <w14:schemeClr w14:val="tx1"/>
                  </w14:solidFill>
                </w14:textFill>
              </w:rPr>
              <w:t>易门、峨山、双柏、新平等县的河谷地带，面积5172.51平方公里。</w:t>
            </w:r>
            <w:r>
              <w:rPr>
                <w:rFonts w:hint="default" w:ascii="Times New Roman" w:hAnsi="Times New Roman" w:eastAsia="宋体" w:cs="Times New Roman"/>
                <w:color w:val="000000" w:themeColor="text1"/>
                <w:kern w:val="0"/>
                <w:sz w:val="24"/>
                <w:lang w:val="en-US" w:eastAsia="zh-CN"/>
                <w14:textFill>
                  <w14:solidFill>
                    <w14:schemeClr w14:val="tx1"/>
                  </w14:solidFill>
                </w14:textFill>
              </w:rPr>
              <w:t>主要生态特征</w:t>
            </w:r>
            <w:r>
              <w:rPr>
                <w:rFonts w:hint="eastAsia" w:ascii="Times New Roman" w:hAnsi="Times New Roman" w:cs="Times New Roman"/>
                <w:color w:val="000000" w:themeColor="text1"/>
                <w:kern w:val="0"/>
                <w:sz w:val="24"/>
                <w:lang w:val="en-US" w:eastAsia="zh-CN"/>
                <w14:textFill>
                  <w14:solidFill>
                    <w14:schemeClr w14:val="tx1"/>
                  </w14:solidFill>
                </w14:textFill>
              </w:rPr>
              <w:t>：</w:t>
            </w:r>
            <w:r>
              <w:rPr>
                <w:rFonts w:hint="default" w:ascii="Times New Roman" w:hAnsi="Times New Roman" w:eastAsia="宋体" w:cs="Times New Roman"/>
                <w:color w:val="000000" w:themeColor="text1"/>
                <w:kern w:val="0"/>
                <w:sz w:val="24"/>
                <w:lang w:val="zh-CN" w:eastAsia="zh-CN"/>
                <w14:textFill>
                  <w14:solidFill>
                    <w14:schemeClr w14:val="tx1"/>
                  </w14:solidFill>
                </w14:textFill>
              </w:rPr>
              <w:t>大部地区为中山河谷地貌，降雨量800</w:t>
            </w:r>
            <w:r>
              <w:rPr>
                <w:rFonts w:hint="eastAsia" w:ascii="Times New Roman" w:hAnsi="Times New Roman" w:cs="Times New Roman"/>
                <w:color w:val="000000" w:themeColor="text1"/>
                <w:kern w:val="0"/>
                <w:sz w:val="24"/>
                <w:lang w:val="zh-CN" w:eastAsia="zh-CN"/>
                <w14:textFill>
                  <w14:solidFill>
                    <w14:schemeClr w14:val="tx1"/>
                  </w14:solidFill>
                </w14:textFill>
              </w:rPr>
              <w:t>—</w:t>
            </w:r>
            <w:r>
              <w:rPr>
                <w:rFonts w:hint="default" w:ascii="Times New Roman" w:hAnsi="Times New Roman" w:eastAsia="宋体" w:cs="Times New Roman"/>
                <w:color w:val="000000" w:themeColor="text1"/>
                <w:kern w:val="0"/>
                <w:sz w:val="24"/>
                <w:lang w:val="zh-CN" w:eastAsia="zh-CN"/>
                <w14:textFill>
                  <w14:solidFill>
                    <w14:schemeClr w14:val="tx1"/>
                  </w14:solidFill>
                </w14:textFill>
              </w:rPr>
              <w:t>1000毫米</w:t>
            </w:r>
            <w:r>
              <w:rPr>
                <w:rFonts w:hint="eastAsia" w:ascii="Times New Roman" w:hAnsi="Times New Roman" w:cs="Times New Roman"/>
                <w:color w:val="000000" w:themeColor="text1"/>
                <w:kern w:val="0"/>
                <w:sz w:val="24"/>
                <w:lang w:val="zh-CN" w:eastAsia="zh-CN"/>
                <w14:textFill>
                  <w14:solidFill>
                    <w14:schemeClr w14:val="tx1"/>
                  </w14:solidFill>
                </w14:textFill>
              </w:rPr>
              <w:t>，</w:t>
            </w:r>
            <w:r>
              <w:rPr>
                <w:rFonts w:hint="default" w:ascii="Times New Roman" w:hAnsi="Times New Roman" w:eastAsia="宋体" w:cs="Times New Roman"/>
                <w:color w:val="000000" w:themeColor="text1"/>
                <w:kern w:val="0"/>
                <w:sz w:val="24"/>
                <w:lang w:val="zh-CN" w:eastAsia="zh-CN"/>
                <w14:textFill>
                  <w14:solidFill>
                    <w14:schemeClr w14:val="tx1"/>
                  </w14:solidFill>
                </w14:textFill>
              </w:rPr>
              <w:t>现存植被以云南松林为主，土壤以紫色土为主，</w:t>
            </w:r>
            <w:r>
              <w:rPr>
                <w:rFonts w:hint="default" w:ascii="Times New Roman" w:hAnsi="Times New Roman" w:eastAsia="宋体" w:cs="Times New Roman"/>
                <w:color w:val="000000" w:themeColor="text1"/>
                <w:kern w:val="0"/>
                <w:sz w:val="24"/>
                <w:lang w:val="en-US" w:eastAsia="zh-CN"/>
                <w14:textFill>
                  <w14:solidFill>
                    <w14:schemeClr w14:val="tx1"/>
                  </w14:solidFill>
                </w14:textFill>
              </w:rPr>
              <w:t>主要生态环境问题为：</w:t>
            </w:r>
            <w:r>
              <w:rPr>
                <w:rFonts w:hint="default" w:ascii="Times New Roman" w:hAnsi="Times New Roman" w:eastAsia="宋体" w:cs="Times New Roman"/>
                <w:color w:val="000000" w:themeColor="text1"/>
                <w:kern w:val="0"/>
                <w:sz w:val="24"/>
                <w:lang w:val="zh-CN" w:eastAsia="zh-CN"/>
                <w14:textFill>
                  <w14:solidFill>
                    <w14:schemeClr w14:val="tx1"/>
                  </w14:solidFill>
                </w14:textFill>
              </w:rPr>
              <w:t>不合理的土地利用带来的水土流失严重。</w:t>
            </w:r>
            <w:r>
              <w:rPr>
                <w:rFonts w:hint="default" w:ascii="Times New Roman" w:hAnsi="Times New Roman" w:eastAsia="宋体" w:cs="Times New Roman"/>
                <w:color w:val="000000" w:themeColor="text1"/>
                <w:kern w:val="0"/>
                <w:sz w:val="24"/>
                <w:lang w:val="en-US" w:eastAsia="zh-CN"/>
                <w14:textFill>
                  <w14:solidFill>
                    <w14:schemeClr w14:val="tx1"/>
                  </w14:solidFill>
                </w14:textFill>
              </w:rPr>
              <w:t>生态环境敏感性为：</w:t>
            </w:r>
            <w:r>
              <w:rPr>
                <w:rFonts w:hint="default" w:ascii="Times New Roman" w:hAnsi="Times New Roman" w:eastAsia="宋体" w:cs="Times New Roman"/>
                <w:color w:val="000000" w:themeColor="text1"/>
                <w:kern w:val="0"/>
                <w:sz w:val="24"/>
                <w:lang w:val="zh-CN" w:eastAsia="zh-CN"/>
                <w14:textFill>
                  <w14:solidFill>
                    <w14:schemeClr w14:val="tx1"/>
                  </w14:solidFill>
                </w14:textFill>
              </w:rPr>
              <w:t>土壤侵蚀高度敏感。</w:t>
            </w:r>
            <w:r>
              <w:rPr>
                <w:rFonts w:hint="default" w:ascii="Times New Roman" w:hAnsi="Times New Roman" w:eastAsia="宋体" w:cs="Times New Roman"/>
                <w:color w:val="000000" w:themeColor="text1"/>
                <w:kern w:val="0"/>
                <w:sz w:val="24"/>
                <w:lang w:val="en-US" w:eastAsia="zh-CN"/>
                <w14:textFill>
                  <w14:solidFill>
                    <w14:schemeClr w14:val="tx1"/>
                  </w14:solidFill>
                </w14:textFill>
              </w:rPr>
              <w:t>主要生态系统服务功能为：</w:t>
            </w:r>
            <w:r>
              <w:rPr>
                <w:rFonts w:hint="default" w:ascii="Times New Roman" w:hAnsi="Times New Roman" w:eastAsia="宋体" w:cs="Times New Roman"/>
                <w:color w:val="000000" w:themeColor="text1"/>
                <w:kern w:val="0"/>
                <w:sz w:val="24"/>
                <w:lang w:val="zh-CN" w:eastAsia="zh-CN"/>
                <w14:textFill>
                  <w14:solidFill>
                    <w14:schemeClr w14:val="tx1"/>
                  </w14:solidFill>
                </w14:textFill>
              </w:rPr>
              <w:t>水土流失严重地区的综合整治。</w:t>
            </w:r>
            <w:r>
              <w:rPr>
                <w:rFonts w:hint="default" w:ascii="Times New Roman" w:hAnsi="Times New Roman" w:eastAsia="宋体" w:cs="Times New Roman"/>
                <w:color w:val="000000" w:themeColor="text1"/>
                <w:kern w:val="0"/>
                <w:sz w:val="24"/>
                <w:lang w:val="en-US" w:eastAsia="zh-CN"/>
                <w14:textFill>
                  <w14:solidFill>
                    <w14:schemeClr w14:val="tx1"/>
                  </w14:solidFill>
                </w14:textFill>
              </w:rPr>
              <w:t>以</w:t>
            </w:r>
            <w:r>
              <w:rPr>
                <w:rFonts w:hint="default" w:ascii="Times New Roman" w:hAnsi="Times New Roman" w:eastAsia="宋体" w:cs="Times New Roman"/>
                <w:color w:val="000000" w:themeColor="text1"/>
                <w:kern w:val="0"/>
                <w:sz w:val="24"/>
                <w:lang w:val="zh-CN" w:eastAsia="zh-CN"/>
                <w14:textFill>
                  <w14:solidFill>
                    <w14:schemeClr w14:val="tx1"/>
                  </w14:solidFill>
                </w14:textFill>
              </w:rPr>
              <w:t>工程治理与生物治理相结合，改造水土流失严重地区的生态环境，加大封山育林的强度，调整土地利用方式，发展多种经营</w:t>
            </w:r>
            <w:r>
              <w:rPr>
                <w:rFonts w:hint="default" w:ascii="Times New Roman" w:hAnsi="Times New Roman" w:eastAsia="宋体" w:cs="Times New Roman"/>
                <w:color w:val="000000" w:themeColor="text1"/>
                <w:kern w:val="0"/>
                <w:sz w:val="24"/>
                <w:lang w:val="en-US" w:eastAsia="zh-CN"/>
                <w14:textFill>
                  <w14:solidFill>
                    <w14:schemeClr w14:val="tx1"/>
                  </w14:solidFill>
                </w14:textFill>
              </w:rPr>
              <w:t>为保护措施和发展方向。</w:t>
            </w:r>
          </w:p>
          <w:p w14:paraId="04EC5E2D">
            <w:pPr>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hint="default" w:ascii="Times New Roman" w:hAnsi="Times New Roman" w:eastAsia="宋体" w:cs="Times New Roman"/>
                <w:color w:val="000000" w:themeColor="text1"/>
                <w:kern w:val="0"/>
                <w:sz w:val="24"/>
                <w:lang w:val="zh-CN" w:eastAsia="zh-CN"/>
                <w14:textFill>
                  <w14:solidFill>
                    <w14:schemeClr w14:val="tx1"/>
                  </w14:solidFill>
                </w14:textFill>
              </w:rPr>
            </w:pPr>
            <w:r>
              <w:rPr>
                <w:rFonts w:hint="default" w:ascii="Times New Roman" w:hAnsi="Times New Roman" w:eastAsia="宋体" w:cs="Times New Roman"/>
                <w:color w:val="000000" w:themeColor="text1"/>
                <w:kern w:val="2"/>
                <w:sz w:val="24"/>
                <w:szCs w:val="24"/>
                <w:lang w:eastAsia="zh-CN"/>
                <w14:textFill>
                  <w14:solidFill>
                    <w14:schemeClr w14:val="tx1"/>
                  </w14:solidFill>
                </w14:textFill>
              </w:rPr>
              <w:t>生</w:t>
            </w:r>
            <w:r>
              <w:rPr>
                <w:rFonts w:hint="default" w:ascii="Times New Roman" w:hAnsi="Times New Roman" w:eastAsia="宋体" w:cs="Times New Roman"/>
                <w:color w:val="000000" w:themeColor="text1"/>
                <w:kern w:val="0"/>
                <w:sz w:val="24"/>
                <w:lang w:val="zh-CN" w:eastAsia="zh-CN"/>
                <w14:textFill>
                  <w14:solidFill>
                    <w14:schemeClr w14:val="tx1"/>
                  </w14:solidFill>
                </w14:textFill>
              </w:rPr>
              <w:t>态功能区类型</w:t>
            </w:r>
            <w:r>
              <w:rPr>
                <w:rFonts w:hint="default" w:ascii="Times New Roman" w:hAnsi="Times New Roman" w:eastAsia="宋体" w:cs="Times New Roman"/>
                <w:color w:val="000000" w:themeColor="text1"/>
                <w:kern w:val="0"/>
                <w:sz w:val="24"/>
                <w:lang w:val="en-US" w:eastAsia="zh-CN"/>
                <w14:textFill>
                  <w14:solidFill>
                    <w14:schemeClr w14:val="tx1"/>
                  </w14:solidFill>
                </w14:textFill>
              </w:rPr>
              <w:t>为三级功能区中的</w:t>
            </w:r>
            <w:r>
              <w:rPr>
                <w:rFonts w:hint="default" w:ascii="Times New Roman" w:hAnsi="Times New Roman" w:eastAsia="宋体" w:cs="Times New Roman"/>
                <w:color w:val="000000" w:themeColor="text1"/>
                <w:kern w:val="0"/>
                <w:sz w:val="24"/>
                <w:lang w:val="zh-CN" w:eastAsia="zh-CN"/>
                <w14:textFill>
                  <w14:solidFill>
                    <w14:schemeClr w14:val="tx1"/>
                  </w14:solidFill>
                </w14:textFill>
              </w:rPr>
              <w:t>林产品提供生态功能区，该类生态功能区的主要生态问题：林区过量砍伐，森林质量下降较为普遍，林种较为单一。</w:t>
            </w:r>
          </w:p>
          <w:p w14:paraId="03DF425E">
            <w:pPr>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hint="default" w:ascii="Times New Roman" w:hAnsi="Times New Roman" w:eastAsia="宋体" w:cs="Times New Roman"/>
                <w:color w:val="000000" w:themeColor="text1"/>
                <w:kern w:val="0"/>
                <w:sz w:val="24"/>
                <w:lang w:val="zh-CN" w:eastAsia="zh-CN"/>
                <w14:textFill>
                  <w14:solidFill>
                    <w14:schemeClr w14:val="tx1"/>
                  </w14:solidFill>
                </w14:textFill>
              </w:rPr>
            </w:pPr>
            <w:r>
              <w:rPr>
                <w:rFonts w:hint="default" w:ascii="Times New Roman" w:hAnsi="Times New Roman" w:eastAsia="宋体" w:cs="Times New Roman"/>
                <w:color w:val="000000" w:themeColor="text1"/>
                <w:kern w:val="0"/>
                <w:sz w:val="24"/>
                <w:lang w:val="zh-CN" w:eastAsia="zh-CN"/>
                <w14:textFill>
                  <w14:solidFill>
                    <w14:schemeClr w14:val="tx1"/>
                  </w14:solidFill>
                </w14:textFill>
              </w:rPr>
              <w:t>生态保护的主要方向是：</w:t>
            </w:r>
          </w:p>
          <w:p w14:paraId="3336F749">
            <w:pPr>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hint="default" w:ascii="Times New Roman" w:hAnsi="Times New Roman" w:eastAsia="宋体" w:cs="Times New Roman"/>
                <w:color w:val="000000" w:themeColor="text1"/>
                <w:kern w:val="0"/>
                <w:sz w:val="24"/>
                <w:lang w:val="zh-CN" w:eastAsia="zh-CN"/>
                <w14:textFill>
                  <w14:solidFill>
                    <w14:schemeClr w14:val="tx1"/>
                  </w14:solidFill>
                </w14:textFill>
              </w:rPr>
            </w:pPr>
            <w:r>
              <w:rPr>
                <w:rFonts w:hint="default" w:ascii="Times New Roman" w:hAnsi="Times New Roman" w:eastAsia="宋体" w:cs="Times New Roman"/>
                <w:color w:val="000000" w:themeColor="text1"/>
                <w:kern w:val="0"/>
                <w:sz w:val="24"/>
                <w:lang w:val="zh-CN" w:eastAsia="zh-CN"/>
                <w14:textFill>
                  <w14:solidFill>
                    <w14:schemeClr w14:val="tx1"/>
                  </w14:solidFill>
                </w14:textFill>
              </w:rPr>
              <w:t>（1）加强林区的管理、合理采伐，实现采育平衡，协调木材生产与生态功能保护的关系。</w:t>
            </w:r>
          </w:p>
          <w:p w14:paraId="768F4DB8">
            <w:pPr>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hint="default" w:ascii="Times New Roman" w:hAnsi="Times New Roman" w:eastAsia="宋体" w:cs="Times New Roman"/>
                <w:color w:val="000000" w:themeColor="text1"/>
                <w:kern w:val="0"/>
                <w:sz w:val="24"/>
                <w:lang w:val="zh-CN" w:eastAsia="zh-CN"/>
                <w14:textFill>
                  <w14:solidFill>
                    <w14:schemeClr w14:val="tx1"/>
                  </w14:solidFill>
                </w14:textFill>
              </w:rPr>
            </w:pPr>
            <w:r>
              <w:rPr>
                <w:rFonts w:hint="default" w:ascii="Times New Roman" w:hAnsi="Times New Roman" w:eastAsia="宋体" w:cs="Times New Roman"/>
                <w:color w:val="000000" w:themeColor="text1"/>
                <w:kern w:val="0"/>
                <w:sz w:val="24"/>
                <w:lang w:val="zh-CN" w:eastAsia="zh-CN"/>
                <w14:textFill>
                  <w14:solidFill>
                    <w14:schemeClr w14:val="tx1"/>
                  </w14:solidFill>
                </w14:textFill>
              </w:rPr>
              <w:t>（2）改善农村能源结构，减少对林地的压力。</w:t>
            </w:r>
          </w:p>
          <w:p w14:paraId="6363737E">
            <w:pPr>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hint="default" w:ascii="Times New Roman" w:hAnsi="Times New Roman" w:eastAsia="宋体" w:cs="Times New Roman"/>
                <w:color w:val="000000" w:themeColor="text1"/>
                <w:kern w:val="0"/>
                <w:sz w:val="24"/>
                <w:lang w:val="zh-CN" w:eastAsia="zh-CN"/>
                <w14:textFill>
                  <w14:solidFill>
                    <w14:schemeClr w14:val="tx1"/>
                  </w14:solidFill>
                </w14:textFill>
              </w:rPr>
            </w:pPr>
            <w:r>
              <w:rPr>
                <w:rFonts w:hint="default" w:ascii="Times New Roman" w:hAnsi="Times New Roman" w:eastAsia="宋体" w:cs="Times New Roman"/>
                <w:color w:val="000000" w:themeColor="text1"/>
                <w:kern w:val="0"/>
                <w:sz w:val="24"/>
                <w:lang w:val="zh-CN" w:eastAsia="zh-CN"/>
                <w14:textFill>
                  <w14:solidFill>
                    <w14:schemeClr w14:val="tx1"/>
                  </w14:solidFill>
                </w14:textFill>
              </w:rPr>
              <w:t>（3）提高森林的数量和质量，</w:t>
            </w:r>
            <w:r>
              <w:rPr>
                <w:rFonts w:hint="default" w:ascii="Times New Roman" w:hAnsi="Times New Roman" w:eastAsia="宋体" w:cs="Times New Roman"/>
                <w:color w:val="000000" w:themeColor="text1"/>
                <w:kern w:val="0"/>
                <w:sz w:val="24"/>
                <w:lang w:val="en-US" w:eastAsia="zh-CN"/>
                <w14:textFill>
                  <w14:solidFill>
                    <w14:schemeClr w14:val="tx1"/>
                  </w14:solidFill>
                </w14:textFill>
              </w:rPr>
              <w:t>防治</w:t>
            </w:r>
            <w:r>
              <w:rPr>
                <w:rFonts w:hint="default" w:ascii="Times New Roman" w:hAnsi="Times New Roman" w:eastAsia="宋体" w:cs="Times New Roman"/>
                <w:color w:val="000000" w:themeColor="text1"/>
                <w:kern w:val="0"/>
                <w:sz w:val="24"/>
                <w:lang w:val="zh-CN" w:eastAsia="zh-CN"/>
                <w14:textFill>
                  <w14:solidFill>
                    <w14:schemeClr w14:val="tx1"/>
                  </w14:solidFill>
                </w14:textFill>
              </w:rPr>
              <w:t>水土流失。</w:t>
            </w:r>
          </w:p>
          <w:p w14:paraId="4DADDA69">
            <w:pPr>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hint="default" w:ascii="Times New Roman" w:hAnsi="Times New Roman" w:eastAsia="宋体" w:cs="Times New Roman"/>
                <w:color w:val="000000" w:themeColor="text1"/>
                <w:kern w:val="0"/>
                <w:sz w:val="24"/>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lang w:val="zh-CN" w:eastAsia="zh-CN"/>
                <w14:textFill>
                  <w14:solidFill>
                    <w14:schemeClr w14:val="tx1"/>
                  </w14:solidFill>
                </w14:textFill>
              </w:rPr>
              <w:t>根据《云南省生态功能区划》</w:t>
            </w:r>
            <w:r>
              <w:rPr>
                <w:rFonts w:hint="default" w:ascii="Times New Roman" w:hAnsi="Times New Roman" w:eastAsia="宋体" w:cs="Times New Roman"/>
                <w:color w:val="000000" w:themeColor="text1"/>
                <w:kern w:val="0"/>
                <w:sz w:val="24"/>
                <w:lang w:val="en-US" w:eastAsia="zh-CN"/>
                <w14:textFill>
                  <w14:solidFill>
                    <w14:schemeClr w14:val="tx1"/>
                  </w14:solidFill>
                </w14:textFill>
              </w:rPr>
              <w:t>以及《</w:t>
            </w:r>
            <w:r>
              <w:rPr>
                <w:rFonts w:hint="default" w:ascii="Times New Roman" w:hAnsi="Times New Roman" w:eastAsia="宋体" w:cs="Times New Roman"/>
                <w:color w:val="000000" w:themeColor="text1"/>
                <w:kern w:val="0"/>
                <w:sz w:val="24"/>
                <w:lang w:val="zh-CN" w:eastAsia="zh-CN"/>
                <w14:textFill>
                  <w14:solidFill>
                    <w14:schemeClr w14:val="tx1"/>
                  </w14:solidFill>
                </w14:textFill>
              </w:rPr>
              <w:t>云南省生态功能</w:t>
            </w:r>
            <w:r>
              <w:rPr>
                <w:rFonts w:hint="default" w:ascii="Times New Roman" w:hAnsi="Times New Roman" w:eastAsia="宋体" w:cs="Times New Roman"/>
                <w:color w:val="000000" w:themeColor="text1"/>
                <w:kern w:val="0"/>
                <w:sz w:val="24"/>
                <w:lang w:val="en-US" w:eastAsia="zh-CN"/>
                <w14:textFill>
                  <w14:solidFill>
                    <w14:schemeClr w14:val="tx1"/>
                  </w14:solidFill>
                </w14:textFill>
              </w:rPr>
              <w:t>类型图》</w:t>
            </w:r>
            <w:r>
              <w:rPr>
                <w:rFonts w:hint="default" w:ascii="Times New Roman" w:hAnsi="Times New Roman" w:eastAsia="宋体" w:cs="Times New Roman"/>
                <w:color w:val="000000" w:themeColor="text1"/>
                <w:kern w:val="0"/>
                <w:sz w:val="24"/>
                <w:lang w:val="zh-CN" w:eastAsia="zh-CN"/>
                <w14:textFill>
                  <w14:solidFill>
                    <w14:schemeClr w14:val="tx1"/>
                  </w14:solidFill>
                </w14:textFill>
              </w:rPr>
              <w:t>（详见附图</w:t>
            </w:r>
            <w:r>
              <w:rPr>
                <w:rFonts w:hint="default" w:ascii="Times New Roman" w:hAnsi="Times New Roman" w:eastAsia="宋体" w:cs="Times New Roman"/>
                <w:color w:val="000000" w:themeColor="text1"/>
                <w:kern w:val="0"/>
                <w:sz w:val="24"/>
                <w:lang w:val="en-US" w:eastAsia="zh-CN"/>
                <w14:textFill>
                  <w14:solidFill>
                    <w14:schemeClr w14:val="tx1"/>
                  </w14:solidFill>
                </w14:textFill>
              </w:rPr>
              <w:t>3</w:t>
            </w:r>
            <w:r>
              <w:rPr>
                <w:rFonts w:hint="default" w:ascii="Times New Roman" w:hAnsi="Times New Roman" w:eastAsia="宋体" w:cs="Times New Roman"/>
                <w:color w:val="000000" w:themeColor="text1"/>
                <w:kern w:val="0"/>
                <w:sz w:val="24"/>
                <w:lang w:val="zh-CN" w:eastAsia="zh-CN"/>
                <w14:textFill>
                  <w14:solidFill>
                    <w14:schemeClr w14:val="tx1"/>
                  </w14:solidFill>
                </w14:textFill>
              </w:rPr>
              <w:t>）的符合性分析，</w:t>
            </w:r>
            <w:r>
              <w:rPr>
                <w:rFonts w:hint="default" w:ascii="Times New Roman" w:hAnsi="Times New Roman" w:eastAsia="宋体" w:cs="Times New Roman"/>
                <w:color w:val="000000" w:themeColor="text1"/>
                <w:kern w:val="0"/>
                <w:sz w:val="24"/>
                <w:lang w:val="en-US" w:eastAsia="zh-CN"/>
                <w14:textFill>
                  <w14:solidFill>
                    <w14:schemeClr w14:val="tx1"/>
                  </w14:solidFill>
                </w14:textFill>
              </w:rPr>
              <w:t>本项目为农产品、药材种植项目，主要种植蓝莓、三七、羊肚菌、桃树、苹果树。项目的建设可以一定程度的解决</w:t>
            </w:r>
            <w:r>
              <w:rPr>
                <w:rFonts w:hint="default" w:ascii="Times New Roman" w:hAnsi="Times New Roman" w:eastAsia="宋体" w:cs="Times New Roman"/>
                <w:color w:val="000000" w:themeColor="text1"/>
                <w:kern w:val="0"/>
                <w:sz w:val="24"/>
                <w:lang w:val="zh-CN" w:eastAsia="zh-CN"/>
                <w14:textFill>
                  <w14:solidFill>
                    <w14:schemeClr w14:val="tx1"/>
                  </w14:solidFill>
                </w14:textFill>
              </w:rPr>
              <w:t>Ⅲ1滇中高原谷盆半湿润常绿阔叶林、暖性针叶林生态亚区，Ⅲ1-5绿汁江河谷水土保持生态功能区</w:t>
            </w:r>
            <w:r>
              <w:rPr>
                <w:rFonts w:hint="default" w:ascii="Times New Roman" w:hAnsi="Times New Roman" w:eastAsia="宋体" w:cs="Times New Roman"/>
                <w:color w:val="000000" w:themeColor="text1"/>
                <w:kern w:val="0"/>
                <w:sz w:val="24"/>
                <w:lang w:val="en-US" w:eastAsia="zh-CN"/>
                <w14:textFill>
                  <w14:solidFill>
                    <w14:schemeClr w14:val="tx1"/>
                  </w14:solidFill>
                </w14:textFill>
              </w:rPr>
              <w:t>中</w:t>
            </w:r>
            <w:r>
              <w:rPr>
                <w:rFonts w:hint="default" w:ascii="Times New Roman" w:hAnsi="Times New Roman" w:eastAsia="宋体" w:cs="Times New Roman"/>
                <w:color w:val="000000" w:themeColor="text1"/>
                <w:kern w:val="0"/>
                <w:sz w:val="24"/>
                <w:lang w:val="zh-CN" w:eastAsia="zh-CN"/>
                <w14:textFill>
                  <w14:solidFill>
                    <w14:schemeClr w14:val="tx1"/>
                  </w14:solidFill>
                </w14:textFill>
              </w:rPr>
              <w:t>不合理的土地利用带来的水土流失严重</w:t>
            </w:r>
            <w:r>
              <w:rPr>
                <w:rFonts w:hint="default" w:ascii="Times New Roman" w:hAnsi="Times New Roman" w:eastAsia="宋体" w:cs="Times New Roman"/>
                <w:color w:val="000000" w:themeColor="text1"/>
                <w:kern w:val="0"/>
                <w:sz w:val="24"/>
                <w:lang w:val="en-US" w:eastAsia="zh-CN"/>
                <w14:textFill>
                  <w14:solidFill>
                    <w14:schemeClr w14:val="tx1"/>
                  </w14:solidFill>
                </w14:textFill>
              </w:rPr>
              <w:t>的生态问题，还可以通过发展农产品基地项目，改善土壤环境，减少土地的过度利用带来的土地退化，</w:t>
            </w:r>
            <w:r>
              <w:rPr>
                <w:rFonts w:hint="default" w:ascii="Times New Roman" w:hAnsi="Times New Roman" w:eastAsia="宋体" w:cs="Times New Roman"/>
                <w:color w:val="000000" w:themeColor="text1"/>
                <w:kern w:val="0"/>
                <w:sz w:val="24"/>
                <w:lang w:val="zh-CN" w:eastAsia="zh-CN"/>
                <w14:textFill>
                  <w14:solidFill>
                    <w14:schemeClr w14:val="tx1"/>
                  </w14:solidFill>
                </w14:textFill>
              </w:rPr>
              <w:t>符合《云南省生态功能区划》</w:t>
            </w:r>
            <w:r>
              <w:rPr>
                <w:rFonts w:hint="default" w:ascii="Times New Roman" w:hAnsi="Times New Roman" w:eastAsia="宋体" w:cs="Times New Roman"/>
                <w:color w:val="000000" w:themeColor="text1"/>
                <w:kern w:val="0"/>
                <w:sz w:val="24"/>
                <w:lang w:val="en-US" w:eastAsia="zh-CN"/>
                <w14:textFill>
                  <w14:solidFill>
                    <w14:schemeClr w14:val="tx1"/>
                  </w14:solidFill>
                </w14:textFill>
              </w:rPr>
              <w:t>相关要求</w:t>
            </w:r>
            <w:r>
              <w:rPr>
                <w:rFonts w:hint="default" w:ascii="Times New Roman" w:hAnsi="Times New Roman" w:eastAsia="宋体" w:cs="Times New Roman"/>
                <w:color w:val="000000" w:themeColor="text1"/>
                <w:kern w:val="0"/>
                <w:sz w:val="24"/>
                <w:lang w:val="zh-CN" w:eastAsia="zh-CN"/>
                <w14:textFill>
                  <w14:solidFill>
                    <w14:schemeClr w14:val="tx1"/>
                  </w14:solidFill>
                </w14:textFill>
              </w:rPr>
              <w:t>。</w:t>
            </w:r>
          </w:p>
          <w:p w14:paraId="1115C60B">
            <w:pPr>
              <w:ind w:firstLine="482"/>
              <w:jc w:val="both"/>
              <w:rPr>
                <w:b/>
                <w:bCs/>
                <w:color w:val="000000" w:themeColor="text1"/>
                <w14:textFill>
                  <w14:solidFill>
                    <w14:schemeClr w14:val="tx1"/>
                  </w14:solidFill>
                </w14:textFill>
              </w:rPr>
            </w:pPr>
            <w:r>
              <w:rPr>
                <w:rFonts w:hint="eastAsia" w:ascii="Times New Roman" w:hAnsi="Times New Roman" w:eastAsia="宋体" w:cs="Times New Roman"/>
                <w:b/>
                <w:bCs/>
                <w:color w:val="000000" w:themeColor="text1"/>
                <w:kern w:val="0"/>
                <w:lang w:val="en-US" w:eastAsia="zh-CN"/>
                <w14:textFill>
                  <w14:solidFill>
                    <w14:schemeClr w14:val="tx1"/>
                  </w14:solidFill>
                </w14:textFill>
              </w:rPr>
              <w:t>6、</w:t>
            </w:r>
            <w:r>
              <w:rPr>
                <w:rFonts w:hint="eastAsia"/>
                <w:b/>
                <w:bCs/>
                <w:color w:val="000000" w:themeColor="text1"/>
                <w14:textFill>
                  <w14:solidFill>
                    <w14:schemeClr w14:val="tx1"/>
                  </w14:solidFill>
                </w14:textFill>
              </w:rPr>
              <w:t>与《云南省生物多样性保护条例》符合性分析</w:t>
            </w:r>
          </w:p>
          <w:p w14:paraId="604B465B">
            <w:pPr>
              <w:pStyle w:val="11"/>
              <w:adjustRightInd w:val="0"/>
              <w:snapToGrid w:val="0"/>
              <w:spacing w:line="240" w:lineRule="auto"/>
              <w:ind w:firstLine="0" w:firstLineChars="0"/>
              <w:jc w:val="center"/>
              <w:rPr>
                <w:rFonts w:hint="default" w:cs="Times New Roman"/>
                <w:b/>
                <w:bCs/>
                <w:color w:val="000000" w:themeColor="text1"/>
                <w:sz w:val="21"/>
                <w:szCs w:val="21"/>
                <w14:textFill>
                  <w14:solidFill>
                    <w14:schemeClr w14:val="tx1"/>
                  </w14:solidFill>
                </w14:textFill>
              </w:rPr>
            </w:pPr>
            <w:r>
              <w:rPr>
                <w:rFonts w:hint="default" w:cs="Times New Roman"/>
                <w:b/>
                <w:bCs/>
                <w:color w:val="000000" w:themeColor="text1"/>
                <w:sz w:val="21"/>
                <w:szCs w:val="21"/>
                <w14:textFill>
                  <w14:solidFill>
                    <w14:schemeClr w14:val="tx1"/>
                  </w14:solidFill>
                </w14:textFill>
              </w:rPr>
              <w:t>表1-</w:t>
            </w:r>
            <w:r>
              <w:rPr>
                <w:rFonts w:hint="eastAsia" w:cs="Times New Roman"/>
                <w:b/>
                <w:bCs/>
                <w:color w:val="000000" w:themeColor="text1"/>
                <w:sz w:val="21"/>
                <w:szCs w:val="21"/>
                <w:lang w:val="en-US" w:eastAsia="zh-CN"/>
                <w14:textFill>
                  <w14:solidFill>
                    <w14:schemeClr w14:val="tx1"/>
                  </w14:solidFill>
                </w14:textFill>
              </w:rPr>
              <w:t>4</w:t>
            </w:r>
            <w:r>
              <w:rPr>
                <w:rFonts w:hint="default" w:cs="Times New Roman"/>
                <w:b/>
                <w:bCs/>
                <w:color w:val="000000" w:themeColor="text1"/>
                <w:sz w:val="21"/>
                <w:szCs w:val="21"/>
                <w14:textFill>
                  <w14:solidFill>
                    <w14:schemeClr w14:val="tx1"/>
                  </w14:solidFill>
                </w14:textFill>
              </w:rPr>
              <w:t xml:space="preserve"> </w:t>
            </w:r>
            <w:r>
              <w:rPr>
                <w:rFonts w:cs="Times New Roman"/>
                <w:b/>
                <w:bCs/>
                <w:color w:val="000000" w:themeColor="text1"/>
                <w:sz w:val="21"/>
                <w:szCs w:val="21"/>
                <w14:textFill>
                  <w14:solidFill>
                    <w14:schemeClr w14:val="tx1"/>
                  </w14:solidFill>
                </w14:textFill>
              </w:rPr>
              <w:t xml:space="preserve"> </w:t>
            </w:r>
            <w:r>
              <w:rPr>
                <w:rFonts w:hint="default" w:cs="Times New Roman"/>
                <w:b/>
                <w:bCs/>
                <w:color w:val="000000" w:themeColor="text1"/>
                <w:sz w:val="21"/>
                <w:szCs w:val="21"/>
                <w14:textFill>
                  <w14:solidFill>
                    <w14:schemeClr w14:val="tx1"/>
                  </w14:solidFill>
                </w14:textFill>
              </w:rPr>
              <w:t>与</w:t>
            </w:r>
            <w:r>
              <w:rPr>
                <w:b/>
                <w:bCs/>
                <w:color w:val="000000" w:themeColor="text1"/>
                <w:sz w:val="21"/>
                <w:szCs w:val="21"/>
                <w14:textFill>
                  <w14:solidFill>
                    <w14:schemeClr w14:val="tx1"/>
                  </w14:solidFill>
                </w14:textFill>
              </w:rPr>
              <w:t>《云南省生物多样性保护条例》</w:t>
            </w:r>
            <w:r>
              <w:rPr>
                <w:rFonts w:hint="default" w:cs="Times New Roman"/>
                <w:b/>
                <w:bCs/>
                <w:color w:val="000000" w:themeColor="text1"/>
                <w:sz w:val="21"/>
                <w:szCs w:val="21"/>
                <w14:textFill>
                  <w14:solidFill>
                    <w14:schemeClr w14:val="tx1"/>
                  </w14:solidFill>
                </w14:textFill>
              </w:rPr>
              <w:t>符合性</w:t>
            </w:r>
          </w:p>
          <w:tbl>
            <w:tblPr>
              <w:tblStyle w:val="27"/>
              <w:tblW w:w="482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00"/>
              <w:gridCol w:w="1317"/>
              <w:gridCol w:w="941"/>
            </w:tblGrid>
            <w:tr w14:paraId="09076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598" w:type="pct"/>
                  <w:vAlign w:val="center"/>
                </w:tcPr>
                <w:p w14:paraId="5A83EDAA">
                  <w:pPr>
                    <w:pStyle w:val="79"/>
                    <w:spacing w:line="240" w:lineRule="auto"/>
                    <w:ind w:firstLine="0" w:firstLineChars="0"/>
                    <w:jc w:val="center"/>
                    <w:rPr>
                      <w:rFonts w:hint="eastAsia" w:ascii="Times New Roman" w:hAnsi="Times New Roman" w:eastAsia="宋体" w:cs="Times New Roman"/>
                      <w:b/>
                      <w:bCs/>
                      <w:color w:val="000000" w:themeColor="text1"/>
                      <w:kern w:val="0"/>
                      <w:vertAlign w:val="baseline"/>
                      <w:lang w:val="en-US" w:eastAsia="zh-CN"/>
                      <w14:textFill>
                        <w14:solidFill>
                          <w14:schemeClr w14:val="tx1"/>
                        </w14:solidFill>
                      </w14:textFill>
                    </w:rPr>
                  </w:pPr>
                  <w:r>
                    <w:rPr>
                      <w:rFonts w:hint="eastAsia" w:ascii="Times New Roman" w:hAnsi="Times New Roman" w:cs="Times New Roman"/>
                      <w:b/>
                      <w:bCs/>
                      <w:color w:val="000000" w:themeColor="text1"/>
                      <w:kern w:val="0"/>
                      <w:sz w:val="21"/>
                      <w:szCs w:val="21"/>
                      <w:lang w:eastAsia="zh-CN"/>
                      <w14:textFill>
                        <w14:solidFill>
                          <w14:schemeClr w14:val="tx1"/>
                        </w14:solidFill>
                      </w14:textFill>
                    </w:rPr>
                    <w:t>法规相关要求</w:t>
                  </w:r>
                </w:p>
              </w:tc>
              <w:tc>
                <w:tcPr>
                  <w:tcW w:w="817" w:type="pct"/>
                  <w:vAlign w:val="center"/>
                </w:tcPr>
                <w:p w14:paraId="06021132">
                  <w:pPr>
                    <w:pStyle w:val="79"/>
                    <w:spacing w:line="240" w:lineRule="auto"/>
                    <w:ind w:firstLine="0" w:firstLineChars="0"/>
                    <w:jc w:val="center"/>
                    <w:rPr>
                      <w:rFonts w:hint="eastAsia" w:ascii="Times New Roman" w:hAnsi="Times New Roman" w:eastAsia="宋体" w:cs="Times New Roman"/>
                      <w:b/>
                      <w:bCs/>
                      <w:color w:val="000000" w:themeColor="text1"/>
                      <w:kern w:val="0"/>
                      <w:vertAlign w:val="baseline"/>
                      <w:lang w:val="en-US" w:eastAsia="zh-CN"/>
                      <w14:textFill>
                        <w14:solidFill>
                          <w14:schemeClr w14:val="tx1"/>
                        </w14:solidFill>
                      </w14:textFill>
                    </w:rPr>
                  </w:pPr>
                  <w:r>
                    <w:rPr>
                      <w:rFonts w:hint="eastAsia" w:ascii="Times New Roman" w:hAnsi="Times New Roman" w:cs="Times New Roman"/>
                      <w:b/>
                      <w:bCs/>
                      <w:color w:val="000000" w:themeColor="text1"/>
                      <w:kern w:val="0"/>
                      <w:sz w:val="21"/>
                      <w:szCs w:val="21"/>
                      <w:lang w:eastAsia="zh-CN"/>
                      <w14:textFill>
                        <w14:solidFill>
                          <w14:schemeClr w14:val="tx1"/>
                        </w14:solidFill>
                      </w14:textFill>
                    </w:rPr>
                    <w:t>本项目情况</w:t>
                  </w:r>
                </w:p>
              </w:tc>
              <w:tc>
                <w:tcPr>
                  <w:tcW w:w="584" w:type="pct"/>
                  <w:vAlign w:val="center"/>
                </w:tcPr>
                <w:p w14:paraId="5A3F6F09">
                  <w:pPr>
                    <w:pStyle w:val="79"/>
                    <w:spacing w:line="240" w:lineRule="auto"/>
                    <w:ind w:firstLine="0" w:firstLineChars="0"/>
                    <w:jc w:val="center"/>
                    <w:rPr>
                      <w:rFonts w:hint="eastAsia" w:ascii="Times New Roman" w:hAnsi="Times New Roman" w:eastAsia="宋体" w:cs="Times New Roman"/>
                      <w:b/>
                      <w:bCs/>
                      <w:color w:val="000000" w:themeColor="text1"/>
                      <w:kern w:val="0"/>
                      <w:vertAlign w:val="baseline"/>
                      <w:lang w:val="en-US" w:eastAsia="zh-CN"/>
                      <w14:textFill>
                        <w14:solidFill>
                          <w14:schemeClr w14:val="tx1"/>
                        </w14:solidFill>
                      </w14:textFill>
                    </w:rPr>
                  </w:pPr>
                  <w:r>
                    <w:rPr>
                      <w:rFonts w:hint="eastAsia" w:ascii="Times New Roman" w:hAnsi="Times New Roman" w:cs="Times New Roman"/>
                      <w:b/>
                      <w:bCs/>
                      <w:color w:val="000000" w:themeColor="text1"/>
                      <w:kern w:val="0"/>
                      <w:sz w:val="21"/>
                      <w:szCs w:val="21"/>
                      <w:lang w:eastAsia="zh-CN"/>
                      <w14:textFill>
                        <w14:solidFill>
                          <w14:schemeClr w14:val="tx1"/>
                        </w14:solidFill>
                      </w14:textFill>
                    </w:rPr>
                    <w:t>符合性</w:t>
                  </w:r>
                </w:p>
              </w:tc>
            </w:tr>
            <w:tr w14:paraId="3BCC8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598" w:type="pct"/>
                  <w:vAlign w:val="center"/>
                </w:tcPr>
                <w:p w14:paraId="3EAB9833">
                  <w:pPr>
                    <w:autoSpaceDE w:val="0"/>
                    <w:autoSpaceDN w:val="0"/>
                    <w:adjustRightInd w:val="0"/>
                    <w:spacing w:line="240" w:lineRule="auto"/>
                    <w:ind w:firstLine="0" w:firstLineChars="0"/>
                    <w:jc w:val="both"/>
                    <w:rPr>
                      <w:rFonts w:hint="eastAsia" w:ascii="Times New Roman" w:hAnsi="Times New Roman" w:eastAsia="宋体" w:cs="Times New Roman"/>
                      <w:b/>
                      <w:bCs/>
                      <w:color w:val="000000" w:themeColor="text1"/>
                      <w:kern w:val="0"/>
                      <w:vertAlign w:val="baseline"/>
                      <w:lang w:val="en-US" w:eastAsia="zh-CN"/>
                      <w14:textFill>
                        <w14:solidFill>
                          <w14:schemeClr w14:val="tx1"/>
                        </w14:solidFill>
                      </w14:textFill>
                    </w:rPr>
                  </w:pPr>
                  <w:r>
                    <w:rPr>
                      <w:rFonts w:hint="eastAsia" w:ascii="宋体" w:hAnsi="宋体" w:cs="宋体"/>
                      <w:b/>
                      <w:color w:val="000000" w:themeColor="text1"/>
                      <w:sz w:val="21"/>
                      <w:szCs w:val="21"/>
                      <w:shd w:val="clear" w:color="auto" w:fill="FFFFFF"/>
                      <w14:textFill>
                        <w14:solidFill>
                          <w14:schemeClr w14:val="tx1"/>
                        </w14:solidFill>
                      </w14:textFill>
                    </w:rPr>
                    <w:t>第二十四条</w:t>
                  </w:r>
                  <w:r>
                    <w:rPr>
                      <w:rFonts w:hint="eastAsia" w:ascii="宋体" w:hAnsi="宋体" w:cs="宋体"/>
                      <w:color w:val="000000" w:themeColor="text1"/>
                      <w:sz w:val="21"/>
                      <w:szCs w:val="21"/>
                      <w:shd w:val="clear" w:color="auto" w:fill="FFFFFF"/>
                      <w14:textFill>
                        <w14:solidFill>
                          <w14:schemeClr w14:val="tx1"/>
                        </w14:solidFill>
                      </w14:textFill>
                    </w:rPr>
                    <w:t>：任何单位和个人不得擅自向自然保护区引进外来物种。确需引进的，应当依法办理审批手续，并按照有关技术规范进行试验。</w:t>
                  </w:r>
                </w:p>
              </w:tc>
              <w:tc>
                <w:tcPr>
                  <w:tcW w:w="817" w:type="pct"/>
                  <w:vAlign w:val="center"/>
                </w:tcPr>
                <w:p w14:paraId="0D0C6EE4">
                  <w:pPr>
                    <w:pStyle w:val="79"/>
                    <w:spacing w:line="240" w:lineRule="auto"/>
                    <w:ind w:firstLine="0" w:firstLineChars="0"/>
                    <w:jc w:val="both"/>
                    <w:rPr>
                      <w:rFonts w:hint="eastAsia" w:ascii="Times New Roman" w:hAnsi="Times New Roman" w:eastAsia="宋体" w:cs="Times New Roman"/>
                      <w:b/>
                      <w:bCs/>
                      <w:color w:val="000000" w:themeColor="text1"/>
                      <w:kern w:val="0"/>
                      <w:vertAlign w:val="baseline"/>
                      <w:lang w:val="en-US" w:eastAsia="zh-CN"/>
                      <w14:textFill>
                        <w14:solidFill>
                          <w14:schemeClr w14:val="tx1"/>
                        </w14:solidFill>
                      </w14:textFill>
                    </w:rPr>
                  </w:pPr>
                  <w:r>
                    <w:rPr>
                      <w:rFonts w:hint="eastAsia" w:ascii="Times New Roman" w:hAnsi="Times New Roman" w:cs="Times New Roman"/>
                      <w:color w:val="000000" w:themeColor="text1"/>
                      <w:kern w:val="0"/>
                      <w:sz w:val="21"/>
                      <w:szCs w:val="21"/>
                      <w:lang w:eastAsia="zh-CN"/>
                      <w14:textFill>
                        <w14:solidFill>
                          <w14:schemeClr w14:val="tx1"/>
                        </w14:solidFill>
                      </w14:textFill>
                    </w:rPr>
                    <w:t>本项目不涉及保护区，不涉及引进外来物种，植被</w:t>
                  </w:r>
                  <w:r>
                    <w:rPr>
                      <w:rFonts w:hint="eastAsia" w:ascii="Times New Roman" w:hAnsi="Times New Roman" w:cs="Times New Roman"/>
                      <w:color w:val="000000" w:themeColor="text1"/>
                      <w:kern w:val="0"/>
                      <w:sz w:val="21"/>
                      <w:szCs w:val="21"/>
                      <w:lang w:val="en-US" w:eastAsia="zh-CN"/>
                      <w14:textFill>
                        <w14:solidFill>
                          <w14:schemeClr w14:val="tx1"/>
                        </w14:solidFill>
                      </w14:textFill>
                    </w:rPr>
                    <w:t>恢复</w:t>
                  </w:r>
                  <w:r>
                    <w:rPr>
                      <w:rFonts w:hint="eastAsia" w:ascii="Times New Roman" w:hAnsi="Times New Roman" w:cs="Times New Roman"/>
                      <w:color w:val="000000" w:themeColor="text1"/>
                      <w:kern w:val="0"/>
                      <w:sz w:val="21"/>
                      <w:szCs w:val="21"/>
                      <w:lang w:eastAsia="zh-CN"/>
                      <w14:textFill>
                        <w14:solidFill>
                          <w14:schemeClr w14:val="tx1"/>
                        </w14:solidFill>
                      </w14:textFill>
                    </w:rPr>
                    <w:t>选用当地种。</w:t>
                  </w:r>
                </w:p>
              </w:tc>
              <w:tc>
                <w:tcPr>
                  <w:tcW w:w="584" w:type="pct"/>
                  <w:vAlign w:val="center"/>
                </w:tcPr>
                <w:p w14:paraId="2EB641DB">
                  <w:pPr>
                    <w:pStyle w:val="79"/>
                    <w:spacing w:line="240" w:lineRule="auto"/>
                    <w:ind w:firstLine="0" w:firstLineChars="0"/>
                    <w:jc w:val="both"/>
                    <w:rPr>
                      <w:rFonts w:hint="eastAsia" w:ascii="Times New Roman" w:hAnsi="Times New Roman" w:eastAsia="宋体" w:cs="Times New Roman"/>
                      <w:b/>
                      <w:bCs/>
                      <w:color w:val="000000" w:themeColor="text1"/>
                      <w:kern w:val="0"/>
                      <w:vertAlign w:val="baseline"/>
                      <w:lang w:val="en-US" w:eastAsia="zh-CN"/>
                      <w14:textFill>
                        <w14:solidFill>
                          <w14:schemeClr w14:val="tx1"/>
                        </w14:solidFill>
                      </w14:textFill>
                    </w:rPr>
                  </w:pPr>
                  <w:r>
                    <w:rPr>
                      <w:rFonts w:hint="eastAsia" w:ascii="Times New Roman" w:hAnsi="Times New Roman" w:cs="Times New Roman"/>
                      <w:color w:val="000000" w:themeColor="text1"/>
                      <w:kern w:val="0"/>
                      <w:sz w:val="21"/>
                      <w:szCs w:val="21"/>
                      <w:lang w:eastAsia="zh-CN"/>
                      <w14:textFill>
                        <w14:solidFill>
                          <w14:schemeClr w14:val="tx1"/>
                        </w14:solidFill>
                      </w14:textFill>
                    </w:rPr>
                    <w:t>符合</w:t>
                  </w:r>
                </w:p>
              </w:tc>
            </w:tr>
            <w:tr w14:paraId="0B377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598" w:type="pct"/>
                  <w:vAlign w:val="center"/>
                </w:tcPr>
                <w:p w14:paraId="71283053">
                  <w:pPr>
                    <w:autoSpaceDE w:val="0"/>
                    <w:autoSpaceDN w:val="0"/>
                    <w:adjustRightInd w:val="0"/>
                    <w:spacing w:line="240" w:lineRule="auto"/>
                    <w:ind w:firstLine="0" w:firstLineChars="0"/>
                    <w:jc w:val="both"/>
                    <w:rPr>
                      <w:rFonts w:hint="eastAsia" w:ascii="宋体" w:hAnsi="宋体" w:cs="宋体"/>
                      <w:color w:val="000000" w:themeColor="text1"/>
                      <w:sz w:val="21"/>
                      <w:szCs w:val="21"/>
                      <w:shd w:val="clear" w:color="auto" w:fill="FFFFFF"/>
                      <w:lang w:eastAsia="zh-CN"/>
                      <w14:textFill>
                        <w14:solidFill>
                          <w14:schemeClr w14:val="tx1"/>
                        </w14:solidFill>
                      </w14:textFill>
                    </w:rPr>
                  </w:pPr>
                  <w:r>
                    <w:rPr>
                      <w:rFonts w:hint="eastAsia" w:ascii="宋体" w:hAnsi="宋体" w:cs="宋体"/>
                      <w:b/>
                      <w:bCs/>
                      <w:color w:val="000000" w:themeColor="text1"/>
                      <w:sz w:val="21"/>
                      <w:szCs w:val="21"/>
                      <w:shd w:val="clear" w:color="auto" w:fill="FFFFFF"/>
                      <w:lang w:eastAsia="zh-CN"/>
                      <w14:textFill>
                        <w14:solidFill>
                          <w14:schemeClr w14:val="tx1"/>
                        </w14:solidFill>
                      </w14:textFill>
                    </w:rPr>
                    <w:t>第二十五条</w:t>
                  </w:r>
                  <w:r>
                    <w:rPr>
                      <w:rFonts w:hint="eastAsia" w:ascii="宋体" w:hAnsi="宋体" w:cs="宋体"/>
                      <w:color w:val="000000" w:themeColor="text1"/>
                      <w:sz w:val="21"/>
                      <w:szCs w:val="21"/>
                      <w:shd w:val="clear" w:color="auto" w:fill="FFFFFF"/>
                      <w:lang w:eastAsia="zh-CN"/>
                      <w14:textFill>
                        <w14:solidFill>
                          <w14:schemeClr w14:val="tx1"/>
                        </w14:solidFill>
                      </w14:textFill>
                    </w:rPr>
                    <w:t>：禁止扩散、放生或者丢弃外来入侵物种。</w:t>
                  </w:r>
                </w:p>
                <w:p w14:paraId="1F3A2809">
                  <w:pPr>
                    <w:autoSpaceDE w:val="0"/>
                    <w:autoSpaceDN w:val="0"/>
                    <w:adjustRightInd w:val="0"/>
                    <w:spacing w:line="240" w:lineRule="auto"/>
                    <w:ind w:firstLine="0" w:firstLineChars="0"/>
                    <w:jc w:val="both"/>
                    <w:rPr>
                      <w:rFonts w:hint="eastAsia" w:ascii="宋体" w:hAnsi="宋体" w:cs="宋体"/>
                      <w:color w:val="000000" w:themeColor="text1"/>
                      <w:sz w:val="21"/>
                      <w:szCs w:val="21"/>
                      <w:shd w:val="clear" w:color="auto" w:fill="FFFFFF"/>
                      <w:lang w:eastAsia="zh-CN"/>
                      <w14:textFill>
                        <w14:solidFill>
                          <w14:schemeClr w14:val="tx1"/>
                        </w14:solidFill>
                      </w14:textFill>
                    </w:rPr>
                  </w:pPr>
                  <w:r>
                    <w:rPr>
                      <w:rFonts w:hint="eastAsia" w:ascii="宋体" w:hAnsi="宋体" w:cs="宋体"/>
                      <w:color w:val="000000" w:themeColor="text1"/>
                      <w:sz w:val="21"/>
                      <w:szCs w:val="21"/>
                      <w:shd w:val="clear" w:color="auto" w:fill="FFFFFF"/>
                      <w:lang w:eastAsia="zh-CN"/>
                      <w14:textFill>
                        <w14:solidFill>
                          <w14:schemeClr w14:val="tx1"/>
                        </w14:solidFill>
                      </w14:textFill>
                    </w:rPr>
                    <w:t>任何单位和个人发现疑似外来物种的，应当及时向当地环境保护、林业、农业、卫生等行政主管部门或者相关自然保护地管理机构报告。接到报告的部门或者机构应当立即组织现场勘查，确认为本行政区域内新出现的外来入侵物种的，应当及时处置，向当地人民政府和上一级主管部门报告，并通报相邻地区。</w:t>
                  </w:r>
                </w:p>
                <w:p w14:paraId="64FD84BC">
                  <w:pPr>
                    <w:autoSpaceDE w:val="0"/>
                    <w:autoSpaceDN w:val="0"/>
                    <w:adjustRightInd w:val="0"/>
                    <w:spacing w:line="240" w:lineRule="auto"/>
                    <w:ind w:firstLine="0" w:firstLineChars="0"/>
                    <w:jc w:val="both"/>
                    <w:rPr>
                      <w:rFonts w:hint="eastAsia" w:ascii="Times New Roman" w:hAnsi="Times New Roman" w:eastAsia="宋体" w:cs="Times New Roman"/>
                      <w:b/>
                      <w:bCs/>
                      <w:color w:val="000000" w:themeColor="text1"/>
                      <w:kern w:val="0"/>
                      <w:vertAlign w:val="baseline"/>
                      <w:lang w:val="en-US" w:eastAsia="zh-CN"/>
                      <w14:textFill>
                        <w14:solidFill>
                          <w14:schemeClr w14:val="tx1"/>
                        </w14:solidFill>
                      </w14:textFill>
                    </w:rPr>
                  </w:pPr>
                  <w:r>
                    <w:rPr>
                      <w:rFonts w:hint="eastAsia" w:ascii="宋体" w:hAnsi="宋体" w:cs="宋体"/>
                      <w:color w:val="000000" w:themeColor="text1"/>
                      <w:sz w:val="21"/>
                      <w:szCs w:val="21"/>
                      <w:shd w:val="clear" w:color="auto" w:fill="FFFFFF"/>
                      <w:lang w:eastAsia="zh-CN"/>
                      <w14:textFill>
                        <w14:solidFill>
                          <w14:schemeClr w14:val="tx1"/>
                        </w14:solidFill>
                      </w14:textFill>
                    </w:rPr>
                    <w:t>接到报告的部门或者机构没有能力认定或者处置的，应当及时将有关情况转报具有认定和处置能力的部门。具有认定和处置能力的部门应当按照前款规定的程序及时处理。</w:t>
                  </w:r>
                </w:p>
              </w:tc>
              <w:tc>
                <w:tcPr>
                  <w:tcW w:w="817" w:type="pct"/>
                  <w:vAlign w:val="center"/>
                </w:tcPr>
                <w:p w14:paraId="2084007F">
                  <w:pPr>
                    <w:pStyle w:val="79"/>
                    <w:spacing w:line="240" w:lineRule="auto"/>
                    <w:ind w:firstLine="0" w:firstLineChars="0"/>
                    <w:jc w:val="both"/>
                    <w:rPr>
                      <w:rFonts w:hint="eastAsia" w:ascii="Times New Roman" w:hAnsi="Times New Roman" w:eastAsia="宋体" w:cs="Times New Roman"/>
                      <w:b/>
                      <w:bCs/>
                      <w:color w:val="000000" w:themeColor="text1"/>
                      <w:kern w:val="0"/>
                      <w:vertAlign w:val="baseline"/>
                      <w:lang w:val="en-US" w:eastAsia="zh-CN"/>
                      <w14:textFill>
                        <w14:solidFill>
                          <w14:schemeClr w14:val="tx1"/>
                        </w14:solidFill>
                      </w14:textFill>
                    </w:rPr>
                  </w:pPr>
                  <w:r>
                    <w:rPr>
                      <w:rFonts w:hint="eastAsia" w:ascii="Times New Roman" w:hAnsi="Times New Roman" w:cs="Times New Roman"/>
                      <w:color w:val="000000" w:themeColor="text1"/>
                      <w:kern w:val="0"/>
                      <w:sz w:val="21"/>
                      <w:szCs w:val="21"/>
                      <w:lang w:eastAsia="zh-CN"/>
                      <w14:textFill>
                        <w14:solidFill>
                          <w14:schemeClr w14:val="tx1"/>
                        </w14:solidFill>
                      </w14:textFill>
                    </w:rPr>
                    <w:t>本项目植被恢复选用当地植物，不引进入侵物种</w:t>
                  </w:r>
                </w:p>
              </w:tc>
              <w:tc>
                <w:tcPr>
                  <w:tcW w:w="584" w:type="pct"/>
                  <w:vAlign w:val="center"/>
                </w:tcPr>
                <w:p w14:paraId="2DE95197">
                  <w:pPr>
                    <w:pStyle w:val="79"/>
                    <w:spacing w:line="240" w:lineRule="auto"/>
                    <w:ind w:firstLine="0" w:firstLineChars="0"/>
                    <w:jc w:val="both"/>
                    <w:rPr>
                      <w:rFonts w:hint="eastAsia" w:ascii="Times New Roman" w:hAnsi="Times New Roman" w:eastAsia="宋体" w:cs="Times New Roman"/>
                      <w:b/>
                      <w:bCs/>
                      <w:color w:val="000000" w:themeColor="text1"/>
                      <w:kern w:val="0"/>
                      <w:vertAlign w:val="baseline"/>
                      <w:lang w:val="en-US" w:eastAsia="zh-CN"/>
                      <w14:textFill>
                        <w14:solidFill>
                          <w14:schemeClr w14:val="tx1"/>
                        </w14:solidFill>
                      </w14:textFill>
                    </w:rPr>
                  </w:pPr>
                  <w:r>
                    <w:rPr>
                      <w:rFonts w:hint="eastAsia" w:ascii="Times New Roman" w:hAnsi="Times New Roman" w:cs="Times New Roman"/>
                      <w:color w:val="000000" w:themeColor="text1"/>
                      <w:kern w:val="0"/>
                      <w:sz w:val="21"/>
                      <w:szCs w:val="21"/>
                      <w:lang w:eastAsia="zh-CN"/>
                      <w14:textFill>
                        <w14:solidFill>
                          <w14:schemeClr w14:val="tx1"/>
                        </w14:solidFill>
                      </w14:textFill>
                    </w:rPr>
                    <w:t>符合</w:t>
                  </w:r>
                </w:p>
              </w:tc>
            </w:tr>
            <w:tr w14:paraId="6CC5A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598" w:type="pct"/>
                  <w:vAlign w:val="center"/>
                </w:tcPr>
                <w:p w14:paraId="13CC00F3">
                  <w:pPr>
                    <w:autoSpaceDE w:val="0"/>
                    <w:autoSpaceDN w:val="0"/>
                    <w:adjustRightInd w:val="0"/>
                    <w:spacing w:line="240" w:lineRule="auto"/>
                    <w:ind w:firstLine="0" w:firstLineChars="0"/>
                    <w:jc w:val="both"/>
                    <w:rPr>
                      <w:rFonts w:hint="eastAsia" w:ascii="宋体" w:hAnsi="宋体" w:cs="宋体"/>
                      <w:color w:val="000000" w:themeColor="text1"/>
                      <w:sz w:val="21"/>
                      <w:szCs w:val="21"/>
                      <w:shd w:val="clear" w:color="auto" w:fill="FFFFFF"/>
                      <w:lang w:eastAsia="zh-CN"/>
                      <w14:textFill>
                        <w14:solidFill>
                          <w14:schemeClr w14:val="tx1"/>
                        </w14:solidFill>
                      </w14:textFill>
                    </w:rPr>
                  </w:pPr>
                  <w:r>
                    <w:rPr>
                      <w:rFonts w:hint="eastAsia" w:ascii="宋体" w:hAnsi="宋体" w:cs="宋体"/>
                      <w:b/>
                      <w:color w:val="000000" w:themeColor="text1"/>
                      <w:sz w:val="21"/>
                      <w:szCs w:val="21"/>
                      <w:shd w:val="clear" w:color="auto" w:fill="FFFFFF"/>
                      <w14:textFill>
                        <w14:solidFill>
                          <w14:schemeClr w14:val="tx1"/>
                        </w14:solidFill>
                      </w14:textFill>
                    </w:rPr>
                    <w:t>第二十九条</w:t>
                  </w:r>
                  <w:r>
                    <w:rPr>
                      <w:rFonts w:hint="eastAsia" w:ascii="宋体" w:hAnsi="宋体" w:cs="宋体"/>
                      <w:color w:val="000000" w:themeColor="text1"/>
                      <w:sz w:val="21"/>
                      <w:szCs w:val="21"/>
                      <w:shd w:val="clear" w:color="auto" w:fill="FFFFFF"/>
                      <w14:textFill>
                        <w14:solidFill>
                          <w14:schemeClr w14:val="tx1"/>
                        </w14:solidFill>
                      </w14:textFill>
                    </w:rPr>
                    <w:t>：</w:t>
                  </w:r>
                  <w:r>
                    <w:rPr>
                      <w:rFonts w:hint="eastAsia" w:ascii="宋体" w:hAnsi="宋体" w:cs="宋体"/>
                      <w:color w:val="000000" w:themeColor="text1"/>
                      <w:sz w:val="21"/>
                      <w:szCs w:val="21"/>
                      <w:shd w:val="clear" w:color="auto" w:fill="FFFFFF"/>
                      <w:lang w:eastAsia="zh-CN"/>
                      <w14:textFill>
                        <w14:solidFill>
                          <w14:schemeClr w14:val="tx1"/>
                        </w14:solidFill>
                      </w14:textFill>
                    </w:rPr>
                    <w:t>新建、改建、扩建建设项目以及开发自然资源，应当依法开展环境影响评价。对可能造成重要生态系统破坏、损害重要物种及其栖息地和生境的，应当制定专项保护、恢复和补偿方案，纳入环境影响评价。</w:t>
                  </w:r>
                </w:p>
                <w:p w14:paraId="098C2A33">
                  <w:pPr>
                    <w:autoSpaceDE w:val="0"/>
                    <w:autoSpaceDN w:val="0"/>
                    <w:adjustRightInd w:val="0"/>
                    <w:spacing w:line="240" w:lineRule="auto"/>
                    <w:ind w:firstLine="0" w:firstLineChars="0"/>
                    <w:jc w:val="both"/>
                    <w:rPr>
                      <w:rFonts w:hint="eastAsia" w:ascii="Times New Roman" w:hAnsi="Times New Roman" w:eastAsia="宋体" w:cs="Times New Roman"/>
                      <w:b/>
                      <w:bCs/>
                      <w:color w:val="000000" w:themeColor="text1"/>
                      <w:kern w:val="0"/>
                      <w:vertAlign w:val="baseline"/>
                      <w:lang w:val="en-US" w:eastAsia="zh-CN"/>
                      <w14:textFill>
                        <w14:solidFill>
                          <w14:schemeClr w14:val="tx1"/>
                        </w14:solidFill>
                      </w14:textFill>
                    </w:rPr>
                  </w:pPr>
                  <w:r>
                    <w:rPr>
                      <w:rFonts w:hint="eastAsia" w:ascii="宋体" w:hAnsi="宋体" w:cs="宋体"/>
                      <w:color w:val="000000" w:themeColor="text1"/>
                      <w:sz w:val="21"/>
                      <w:szCs w:val="21"/>
                      <w:shd w:val="clear" w:color="auto" w:fill="FFFFFF"/>
                      <w:lang w:eastAsia="zh-CN"/>
                      <w14:textFill>
                        <w14:solidFill>
                          <w14:schemeClr w14:val="tx1"/>
                        </w14:solidFill>
                      </w14:textFill>
                    </w:rPr>
                    <w:t>在生物多样性保护优先区域的建设项目以及自然资源开发，应当评价对生物多样性的影响，并作为环境影响评价的重要组成部分。</w:t>
                  </w:r>
                </w:p>
              </w:tc>
              <w:tc>
                <w:tcPr>
                  <w:tcW w:w="817" w:type="pct"/>
                  <w:vAlign w:val="center"/>
                </w:tcPr>
                <w:p w14:paraId="26F15A08">
                  <w:pPr>
                    <w:pStyle w:val="79"/>
                    <w:spacing w:line="240" w:lineRule="auto"/>
                    <w:ind w:firstLine="0" w:firstLineChars="0"/>
                    <w:jc w:val="both"/>
                    <w:rPr>
                      <w:rFonts w:hint="eastAsia" w:ascii="Times New Roman" w:hAnsi="Times New Roman" w:eastAsia="宋体" w:cs="Times New Roman"/>
                      <w:b/>
                      <w:bCs/>
                      <w:color w:val="000000" w:themeColor="text1"/>
                      <w:kern w:val="0"/>
                      <w:vertAlign w:val="baseline"/>
                      <w:lang w:val="en-US" w:eastAsia="zh-CN"/>
                      <w14:textFill>
                        <w14:solidFill>
                          <w14:schemeClr w14:val="tx1"/>
                        </w14:solidFill>
                      </w14:textFill>
                    </w:rPr>
                  </w:pPr>
                  <w:r>
                    <w:rPr>
                      <w:rFonts w:hint="eastAsia" w:ascii="Times New Roman" w:hAnsi="Times New Roman" w:cs="Times New Roman"/>
                      <w:color w:val="000000" w:themeColor="text1"/>
                      <w:kern w:val="0"/>
                      <w:sz w:val="21"/>
                      <w:szCs w:val="21"/>
                      <w:lang w:eastAsia="zh-CN"/>
                      <w14:textFill>
                        <w14:solidFill>
                          <w14:schemeClr w14:val="tx1"/>
                        </w14:solidFill>
                      </w14:textFill>
                    </w:rPr>
                    <w:t>本项目正在办理环评手续，本项目区不涉及重要物种及其栖息地和生境</w:t>
                  </w:r>
                </w:p>
              </w:tc>
              <w:tc>
                <w:tcPr>
                  <w:tcW w:w="584" w:type="pct"/>
                  <w:vAlign w:val="center"/>
                </w:tcPr>
                <w:p w14:paraId="7534EC5C">
                  <w:pPr>
                    <w:pStyle w:val="79"/>
                    <w:spacing w:line="240" w:lineRule="auto"/>
                    <w:ind w:firstLine="0" w:firstLineChars="0"/>
                    <w:jc w:val="both"/>
                    <w:rPr>
                      <w:rFonts w:hint="eastAsia" w:ascii="Times New Roman" w:hAnsi="Times New Roman" w:eastAsia="宋体" w:cs="Times New Roman"/>
                      <w:b/>
                      <w:bCs/>
                      <w:color w:val="000000" w:themeColor="text1"/>
                      <w:kern w:val="0"/>
                      <w:vertAlign w:val="baseline"/>
                      <w:lang w:val="en-US" w:eastAsia="zh-CN"/>
                      <w14:textFill>
                        <w14:solidFill>
                          <w14:schemeClr w14:val="tx1"/>
                        </w14:solidFill>
                      </w14:textFill>
                    </w:rPr>
                  </w:pPr>
                  <w:r>
                    <w:rPr>
                      <w:rFonts w:hint="eastAsia" w:ascii="Times New Roman" w:hAnsi="Times New Roman" w:cs="Times New Roman"/>
                      <w:color w:val="000000" w:themeColor="text1"/>
                      <w:kern w:val="0"/>
                      <w:sz w:val="21"/>
                      <w:szCs w:val="21"/>
                      <w:lang w:eastAsia="zh-CN"/>
                      <w14:textFill>
                        <w14:solidFill>
                          <w14:schemeClr w14:val="tx1"/>
                        </w14:solidFill>
                      </w14:textFill>
                    </w:rPr>
                    <w:t>符合</w:t>
                  </w:r>
                </w:p>
              </w:tc>
            </w:tr>
          </w:tbl>
          <w:p w14:paraId="75ED7566">
            <w:pPr>
              <w:autoSpaceDE w:val="0"/>
              <w:autoSpaceDN w:val="0"/>
              <w:adjustRightInd w:val="0"/>
              <w:snapToGrid w:val="0"/>
              <w:ind w:left="0" w:leftChars="0" w:firstLine="482" w:firstLineChars="200"/>
              <w:jc w:val="both"/>
              <w:rPr>
                <w:rFonts w:hint="eastAsia" w:ascii="Times New Roman" w:hAnsi="Times New Roman" w:eastAsia="宋体" w:cs="Times New Roman"/>
                <w:b/>
                <w:bCs/>
                <w:color w:val="000000" w:themeColor="text1"/>
                <w:kern w:val="0"/>
                <w:lang w:val="en-US" w:eastAsia="zh-CN"/>
                <w14:textFill>
                  <w14:solidFill>
                    <w14:schemeClr w14:val="tx1"/>
                  </w14:solidFill>
                </w14:textFill>
              </w:rPr>
            </w:pPr>
          </w:p>
          <w:p w14:paraId="08E84BC2">
            <w:pPr>
              <w:keepNext w:val="0"/>
              <w:keepLines w:val="0"/>
              <w:pageBreakBefore w:val="0"/>
              <w:widowControl w:val="0"/>
              <w:kinsoku/>
              <w:wordWrap/>
              <w:overflowPunct/>
              <w:topLinePunct w:val="0"/>
              <w:bidi w:val="0"/>
              <w:adjustRightInd w:val="0"/>
              <w:snapToGrid w:val="0"/>
              <w:ind w:firstLine="482"/>
              <w:jc w:val="both"/>
              <w:textAlignment w:val="auto"/>
              <w:rPr>
                <w:rFonts w:hint="eastAsia"/>
                <w:b w:val="0"/>
                <w:bCs w:val="0"/>
                <w:color w:val="000000" w:themeColor="text1"/>
                <w:lang w:val="en-US" w:eastAsia="zh-CN"/>
                <w14:textFill>
                  <w14:solidFill>
                    <w14:schemeClr w14:val="tx1"/>
                  </w14:solidFill>
                </w14:textFill>
              </w:rPr>
            </w:pPr>
            <w:r>
              <w:rPr>
                <w:rFonts w:hint="eastAsia"/>
                <w:b w:val="0"/>
                <w:bCs w:val="0"/>
                <w:color w:val="000000" w:themeColor="text1"/>
                <w:lang w:val="en-US" w:eastAsia="zh-CN"/>
                <w14:textFill>
                  <w14:solidFill>
                    <w14:schemeClr w14:val="tx1"/>
                  </w14:solidFill>
                </w14:textFill>
              </w:rPr>
              <w:t>根据上述分析，本项目符合《云南省生物多样性保护条例》相关要求。</w:t>
            </w:r>
          </w:p>
          <w:p w14:paraId="4DB9A59B">
            <w:pPr>
              <w:keepNext w:val="0"/>
              <w:keepLines w:val="0"/>
              <w:pageBreakBefore w:val="0"/>
              <w:widowControl w:val="0"/>
              <w:kinsoku/>
              <w:wordWrap/>
              <w:overflowPunct/>
              <w:topLinePunct w:val="0"/>
              <w:autoSpaceDE w:val="0"/>
              <w:autoSpaceDN w:val="0"/>
              <w:bidi w:val="0"/>
              <w:adjustRightInd w:val="0"/>
              <w:snapToGrid w:val="0"/>
              <w:ind w:left="0" w:leftChars="0" w:firstLine="482" w:firstLineChars="200"/>
              <w:jc w:val="both"/>
              <w:textAlignment w:val="auto"/>
              <w:rPr>
                <w:rFonts w:hint="default" w:ascii="Times New Roman" w:hAnsi="Times New Roman" w:eastAsia="宋体" w:cs="Times New Roman"/>
                <w:b/>
                <w:bCs/>
                <w:color w:val="000000" w:themeColor="text1"/>
                <w:kern w:val="0"/>
                <w:lang w:val="en-US" w:eastAsia="zh-CN"/>
                <w14:textFill>
                  <w14:solidFill>
                    <w14:schemeClr w14:val="tx1"/>
                  </w14:solidFill>
                </w14:textFill>
              </w:rPr>
            </w:pPr>
            <w:r>
              <w:rPr>
                <w:rFonts w:hint="eastAsia" w:ascii="Times New Roman" w:hAnsi="Times New Roman" w:cs="Times New Roman"/>
                <w:b/>
                <w:bCs/>
                <w:color w:val="000000" w:themeColor="text1"/>
                <w:kern w:val="0"/>
                <w:lang w:val="en-US" w:eastAsia="zh-CN"/>
                <w14:textFill>
                  <w14:solidFill>
                    <w14:schemeClr w14:val="tx1"/>
                  </w14:solidFill>
                </w14:textFill>
              </w:rPr>
              <w:t>7、</w:t>
            </w:r>
            <w:r>
              <w:rPr>
                <w:rFonts w:hint="default" w:ascii="Times New Roman" w:hAnsi="Times New Roman" w:eastAsia="宋体" w:cs="Times New Roman"/>
                <w:b/>
                <w:bCs/>
                <w:color w:val="000000" w:themeColor="text1"/>
                <w:kern w:val="0"/>
                <w:lang w:val="en-US" w:eastAsia="zh-CN"/>
                <w14:textFill>
                  <w14:solidFill>
                    <w14:schemeClr w14:val="tx1"/>
                  </w14:solidFill>
                </w14:textFill>
              </w:rPr>
              <w:t>与《玉溪市林业和草原保护发展“十四五”规划》的符合性分析</w:t>
            </w:r>
          </w:p>
          <w:p w14:paraId="36CD098E">
            <w:pPr>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hint="default" w:ascii="Times New Roman" w:hAnsi="Times New Roman" w:eastAsia="宋体" w:cs="Times New Roman"/>
                <w:color w:val="000000" w:themeColor="text1"/>
                <w:kern w:val="0"/>
                <w:sz w:val="24"/>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lang w:val="zh-CN" w:eastAsia="zh-CN"/>
                <w14:textFill>
                  <w14:solidFill>
                    <w14:schemeClr w14:val="tx1"/>
                  </w14:solidFill>
                </w14:textFill>
              </w:rPr>
              <w:t>本项目与</w:t>
            </w:r>
            <w:r>
              <w:rPr>
                <w:rFonts w:hint="default" w:ascii="Times New Roman" w:hAnsi="Times New Roman" w:eastAsia="宋体" w:cs="Times New Roman"/>
                <w:color w:val="000000" w:themeColor="text1"/>
                <w:kern w:val="0"/>
                <w:sz w:val="24"/>
                <w:lang w:val="en-US" w:eastAsia="zh-CN"/>
                <w14:textFill>
                  <w14:solidFill>
                    <w14:schemeClr w14:val="tx1"/>
                  </w14:solidFill>
                </w14:textFill>
              </w:rPr>
              <w:t>《玉溪市林业和草原保护发展“十四五”规划》</w:t>
            </w:r>
            <w:r>
              <w:rPr>
                <w:rFonts w:hint="default" w:ascii="Times New Roman" w:hAnsi="Times New Roman" w:eastAsia="宋体" w:cs="Times New Roman"/>
                <w:color w:val="000000" w:themeColor="text1"/>
                <w:kern w:val="0"/>
                <w:sz w:val="24"/>
                <w:lang w:val="zh-CN" w:eastAsia="zh-CN"/>
                <w14:textFill>
                  <w14:solidFill>
                    <w14:schemeClr w14:val="tx1"/>
                  </w14:solidFill>
                </w14:textFill>
              </w:rPr>
              <w:t>相关内容的符合性分析详见下表。</w:t>
            </w:r>
          </w:p>
          <w:p w14:paraId="0DE49710">
            <w:pPr>
              <w:pStyle w:val="74"/>
              <w:bidi w:val="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表1-</w:t>
            </w:r>
            <w:r>
              <w:rPr>
                <w:rFonts w:hint="eastAsia" w:ascii="Times New Roman" w:hAnsi="Times New Roman" w:cs="Times New Roman"/>
                <w:color w:val="000000" w:themeColor="text1"/>
                <w:sz w:val="21"/>
                <w:szCs w:val="21"/>
                <w:lang w:val="en-US" w:eastAsia="zh-CN"/>
                <w14:textFill>
                  <w14:solidFill>
                    <w14:schemeClr w14:val="tx1"/>
                  </w14:solidFill>
                </w14:textFill>
              </w:rPr>
              <w:t xml:space="preserve">5   </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与《玉溪市林业和草原保护发展“十四五”规划》的符合性分析</w:t>
            </w:r>
          </w:p>
          <w:tbl>
            <w:tblPr>
              <w:tblStyle w:val="27"/>
              <w:tblW w:w="471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7"/>
              <w:gridCol w:w="4359"/>
              <w:gridCol w:w="2439"/>
              <w:gridCol w:w="474"/>
            </w:tblGrid>
            <w:tr w14:paraId="13B6F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jc w:val="center"/>
              </w:trPr>
              <w:tc>
                <w:tcPr>
                  <w:tcW w:w="385" w:type="pct"/>
                  <w:vAlign w:val="center"/>
                </w:tcPr>
                <w:p w14:paraId="64365D46">
                  <w:pPr>
                    <w:pStyle w:val="73"/>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b/>
                      <w:bCs w:val="0"/>
                      <w:color w:val="000000" w:themeColor="text1"/>
                      <w:lang w:val="en-US" w:eastAsia="zh-CN"/>
                      <w14:textFill>
                        <w14:solidFill>
                          <w14:schemeClr w14:val="tx1"/>
                        </w14:solidFill>
                      </w14:textFill>
                    </w:rPr>
                  </w:pPr>
                  <w:r>
                    <w:rPr>
                      <w:rFonts w:hint="default" w:ascii="Times New Roman" w:hAnsi="Times New Roman" w:eastAsia="宋体" w:cs="Times New Roman"/>
                      <w:b/>
                      <w:bCs w:val="0"/>
                      <w:color w:val="000000" w:themeColor="text1"/>
                      <w:lang w:val="en-US" w:eastAsia="zh-CN"/>
                      <w14:textFill>
                        <w14:solidFill>
                          <w14:schemeClr w14:val="tx1"/>
                        </w14:solidFill>
                      </w14:textFill>
                    </w:rPr>
                    <w:t>序号</w:t>
                  </w:r>
                </w:p>
              </w:tc>
              <w:tc>
                <w:tcPr>
                  <w:tcW w:w="2765" w:type="pct"/>
                  <w:vAlign w:val="center"/>
                </w:tcPr>
                <w:p w14:paraId="49468E48">
                  <w:pPr>
                    <w:pStyle w:val="73"/>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bCs w:val="0"/>
                      <w:color w:val="000000" w:themeColor="text1"/>
                      <w:lang w:val="en-US" w:eastAsia="zh-CN"/>
                      <w14:textFill>
                        <w14:solidFill>
                          <w14:schemeClr w14:val="tx1"/>
                        </w14:solidFill>
                      </w14:textFill>
                    </w:rPr>
                  </w:pPr>
                  <w:r>
                    <w:rPr>
                      <w:rFonts w:hint="default" w:ascii="Times New Roman" w:hAnsi="Times New Roman" w:eastAsia="宋体" w:cs="Times New Roman"/>
                      <w:b/>
                      <w:bCs w:val="0"/>
                      <w:color w:val="000000" w:themeColor="text1"/>
                      <w:lang w:val="en-US" w:eastAsia="zh-CN"/>
                      <w14:textFill>
                        <w14:solidFill>
                          <w14:schemeClr w14:val="tx1"/>
                        </w14:solidFill>
                      </w14:textFill>
                    </w:rPr>
                    <w:t>规划要求</w:t>
                  </w:r>
                </w:p>
              </w:tc>
              <w:tc>
                <w:tcPr>
                  <w:tcW w:w="1547" w:type="pct"/>
                  <w:vAlign w:val="center"/>
                </w:tcPr>
                <w:p w14:paraId="5E4965A0">
                  <w:pPr>
                    <w:pStyle w:val="73"/>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b/>
                      <w:bCs w:val="0"/>
                      <w:color w:val="000000" w:themeColor="text1"/>
                      <w:lang w:val="en-US" w:eastAsia="zh-CN"/>
                      <w14:textFill>
                        <w14:solidFill>
                          <w14:schemeClr w14:val="tx1"/>
                        </w14:solidFill>
                      </w14:textFill>
                    </w:rPr>
                  </w:pPr>
                  <w:r>
                    <w:rPr>
                      <w:rFonts w:hint="default" w:ascii="Times New Roman" w:hAnsi="Times New Roman" w:eastAsia="宋体" w:cs="Times New Roman"/>
                      <w:b/>
                      <w:bCs w:val="0"/>
                      <w:color w:val="000000" w:themeColor="text1"/>
                      <w:lang w:val="en-US" w:eastAsia="zh-CN"/>
                      <w14:textFill>
                        <w14:solidFill>
                          <w14:schemeClr w14:val="tx1"/>
                        </w14:solidFill>
                      </w14:textFill>
                    </w:rPr>
                    <w:t>项目情况</w:t>
                  </w:r>
                </w:p>
              </w:tc>
              <w:tc>
                <w:tcPr>
                  <w:tcW w:w="301" w:type="pct"/>
                  <w:vAlign w:val="center"/>
                </w:tcPr>
                <w:p w14:paraId="167D8134">
                  <w:pPr>
                    <w:pStyle w:val="73"/>
                    <w:bidi w:val="0"/>
                    <w:jc w:val="center"/>
                    <w:rPr>
                      <w:rFonts w:hint="default" w:ascii="Times New Roman" w:hAnsi="Times New Roman" w:eastAsia="宋体" w:cs="Times New Roman"/>
                      <w:b/>
                      <w:bCs w:val="0"/>
                      <w:color w:val="000000" w:themeColor="text1"/>
                      <w:lang w:val="en-US" w:eastAsia="zh-CN"/>
                      <w14:textFill>
                        <w14:solidFill>
                          <w14:schemeClr w14:val="tx1"/>
                        </w14:solidFill>
                      </w14:textFill>
                    </w:rPr>
                  </w:pPr>
                  <w:r>
                    <w:rPr>
                      <w:rFonts w:hint="default" w:ascii="Times New Roman" w:hAnsi="Times New Roman" w:eastAsia="宋体" w:cs="Times New Roman"/>
                      <w:b/>
                      <w:bCs w:val="0"/>
                      <w:color w:val="000000" w:themeColor="text1"/>
                      <w:lang w:val="en-US" w:eastAsia="zh-CN"/>
                      <w14:textFill>
                        <w14:solidFill>
                          <w14:schemeClr w14:val="tx1"/>
                        </w14:solidFill>
                      </w14:textFill>
                    </w:rPr>
                    <w:t>符合性</w:t>
                  </w:r>
                </w:p>
              </w:tc>
            </w:tr>
            <w:tr w14:paraId="0E536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8" w:hRule="atLeast"/>
                <w:jc w:val="center"/>
              </w:trPr>
              <w:tc>
                <w:tcPr>
                  <w:tcW w:w="385" w:type="pct"/>
                  <w:vAlign w:val="center"/>
                </w:tcPr>
                <w:p w14:paraId="12F7DCFB">
                  <w:pPr>
                    <w:pStyle w:val="73"/>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eastAsia="宋体" w:cs="Times New Roman"/>
                      <w:b w:val="0"/>
                      <w:bCs/>
                      <w:color w:val="000000" w:themeColor="text1"/>
                      <w:lang w:val="en-US" w:eastAsia="zh-CN"/>
                      <w14:textFill>
                        <w14:solidFill>
                          <w14:schemeClr w14:val="tx1"/>
                        </w14:solidFill>
                      </w14:textFill>
                    </w:rPr>
                  </w:pPr>
                  <w:r>
                    <w:rPr>
                      <w:rFonts w:hint="default" w:ascii="Times New Roman" w:hAnsi="Times New Roman" w:eastAsia="宋体" w:cs="Times New Roman"/>
                      <w:b w:val="0"/>
                      <w:bCs/>
                      <w:color w:val="000000" w:themeColor="text1"/>
                      <w:lang w:val="en-US" w:eastAsia="zh-CN"/>
                      <w14:textFill>
                        <w14:solidFill>
                          <w14:schemeClr w14:val="tx1"/>
                        </w14:solidFill>
                      </w14:textFill>
                    </w:rPr>
                    <w:t>1</w:t>
                  </w:r>
                </w:p>
              </w:tc>
              <w:tc>
                <w:tcPr>
                  <w:tcW w:w="2765" w:type="pct"/>
                  <w:vAlign w:val="center"/>
                </w:tcPr>
                <w:p w14:paraId="5743360E">
                  <w:pPr>
                    <w:pStyle w:val="73"/>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一、资源管护网格化</w:t>
                  </w:r>
                </w:p>
                <w:p w14:paraId="0E8933DD">
                  <w:pPr>
                    <w:pStyle w:val="73"/>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科学编制林地保护利用规划，严格执行林地红线管理、林地用途管制和森林采伐限额管理制度，强化审核（批）使用林地和采伐林木中后期监管与服务。停止天然林商业性采伐政策，稳步推进天然林和公益林保护管理并轨。科学编制森林经营规划和方案，坚持和完善分类经营，不断优化林分结构，提高森林质量，增强森林多种功能，实施林草资源综合监测和保护修复成效评估。全面保护天然草原，强化草原资源管理，严格落实基本草原保护制度、禁牧休牧和草畜平衡制度。强化湿地资源管理，建立和完善湿地保护制度体系建设，健全完善湿地分级管理制度、监测预警机制和评价体系，落实湿地面积总量管控机制。</w:t>
                  </w:r>
                </w:p>
              </w:tc>
              <w:tc>
                <w:tcPr>
                  <w:tcW w:w="1547" w:type="pct"/>
                  <w:vAlign w:val="center"/>
                </w:tcPr>
                <w:p w14:paraId="1E107CC7">
                  <w:pPr>
                    <w:pStyle w:val="73"/>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项目为农产品、药材种植项目，主要种植蓝莓、三七、羊肚菌、桃树、苹果树。项目严格执行林地红线管理、林地用途管制和森林采伐限额管理制度，不涉及天然草原和湿地资源，道路、管护用房、水池、电力塔基建设等占用林地部分已取得峨山县林业和草原局出具的批复文件，分别为峨林发〔2023〕74号、峨林审批〔2024〕3号</w:t>
                  </w:r>
                  <w:r>
                    <w:rPr>
                      <w:rFonts w:hint="eastAsia" w:cs="Times New Roman"/>
                      <w:b w:val="0"/>
                      <w:bCs/>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峨林许准〔2025〕12号。其余占用林地部分主要是种植果树，无需办理相关手续</w:t>
                  </w:r>
                  <w:r>
                    <w:rPr>
                      <w:rFonts w:hint="eastAsia" w:cs="Times New Roman"/>
                      <w:b w:val="0"/>
                      <w:bCs/>
                      <w:color w:val="000000" w:themeColor="text1"/>
                      <w:sz w:val="21"/>
                      <w:szCs w:val="21"/>
                      <w:highlight w:val="none"/>
                      <w:lang w:val="en-US" w:eastAsia="zh-CN"/>
                      <w14:textFill>
                        <w14:solidFill>
                          <w14:schemeClr w14:val="tx1"/>
                        </w14:solidFill>
                      </w14:textFill>
                    </w:rPr>
                    <w:t>。</w:t>
                  </w:r>
                </w:p>
              </w:tc>
              <w:tc>
                <w:tcPr>
                  <w:tcW w:w="301" w:type="pct"/>
                  <w:vAlign w:val="center"/>
                </w:tcPr>
                <w:p w14:paraId="1E831B37">
                  <w:pPr>
                    <w:pStyle w:val="73"/>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符合</w:t>
                  </w:r>
                </w:p>
              </w:tc>
            </w:tr>
            <w:tr w14:paraId="62A9B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85" w:type="pct"/>
                  <w:vAlign w:val="center"/>
                </w:tcPr>
                <w:p w14:paraId="73754254">
                  <w:pPr>
                    <w:pStyle w:val="73"/>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eastAsia="宋体" w:cs="Times New Roman"/>
                      <w:b w:val="0"/>
                      <w:bCs/>
                      <w:color w:val="000000" w:themeColor="text1"/>
                      <w:lang w:val="en-US" w:eastAsia="zh-CN"/>
                      <w14:textFill>
                        <w14:solidFill>
                          <w14:schemeClr w14:val="tx1"/>
                        </w14:solidFill>
                      </w14:textFill>
                    </w:rPr>
                  </w:pPr>
                  <w:r>
                    <w:rPr>
                      <w:rFonts w:hint="default" w:ascii="Times New Roman" w:hAnsi="Times New Roman" w:eastAsia="宋体" w:cs="Times New Roman"/>
                      <w:b w:val="0"/>
                      <w:bCs/>
                      <w:color w:val="000000" w:themeColor="text1"/>
                      <w:lang w:val="en-US" w:eastAsia="zh-CN"/>
                      <w14:textFill>
                        <w14:solidFill>
                          <w14:schemeClr w14:val="tx1"/>
                        </w14:solidFill>
                      </w14:textFill>
                    </w:rPr>
                    <w:t>2</w:t>
                  </w:r>
                </w:p>
              </w:tc>
              <w:tc>
                <w:tcPr>
                  <w:tcW w:w="2765" w:type="pct"/>
                  <w:vAlign w:val="center"/>
                </w:tcPr>
                <w:p w14:paraId="0992ED88">
                  <w:pPr>
                    <w:pStyle w:val="73"/>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二、生态修复全域化</w:t>
                  </w:r>
                </w:p>
                <w:p w14:paraId="3973C7D3">
                  <w:pPr>
                    <w:pStyle w:val="73"/>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树立“科学绿化”思维，持续打好生态保护修复攻坚战，实施以森林抚育、低效林改造、退化林修复为主的森林质量精准提升工程，加强红河谷—绿汁江热区难造林地区植被恢复，全面加强“三湖”流域森林经营，着力构建滇中城市群安全生态屏障，提升区域生态承载力和生态系统稳定性。扎实推进乡村绿化美化，重点抓好古树名木保护管理、四旁绿化、森林乡村申报认定等工作。利用好国家开发性、政策性和商业性金融渠道，培育和保护珍稀树种种质资源，培育储备乡土树种，加快推进国家储备林建设。加快推进人工种草、草地改良的退化草原修复治理，逐步恢复和提升草原生态质量，选育、扩繁和推进利用优良乡土草种。开展精准提升森林质量、增加森林蓄积量的固碳能力提升行动，科学评估林草碳汇能力，探索推进林草碳汇交易。加强重要湿地保护和恢复，全面恢复自然湿地，加强小微湿地保护修复，积极推进乡村小微湿地保护示范建设。强化绿化委员会作用，创新义务植树尽责形式，推进“互联网+义务植树”。加大林草良种选育和推广力度，提高良种化水平，加快优质种苗培育，提升生态修复苗木保障能</w:t>
                  </w:r>
                  <w:r>
                    <w:rPr>
                      <w:rFonts w:hint="eastAsia" w:cs="Times New Roman"/>
                      <w:b w:val="0"/>
                      <w:bCs/>
                      <w:color w:val="000000" w:themeColor="text1"/>
                      <w:sz w:val="21"/>
                      <w:szCs w:val="21"/>
                      <w:highlight w:val="none"/>
                      <w:lang w:val="en-US" w:eastAsia="zh-CN"/>
                      <w14:textFill>
                        <w14:solidFill>
                          <w14:schemeClr w14:val="tx1"/>
                        </w14:solidFill>
                      </w14:textFill>
                    </w:rPr>
                    <w:t>力和</w:t>
                  </w: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水平。</w:t>
                  </w:r>
                </w:p>
              </w:tc>
              <w:tc>
                <w:tcPr>
                  <w:tcW w:w="1547" w:type="pct"/>
                  <w:vAlign w:val="center"/>
                </w:tcPr>
                <w:p w14:paraId="3A0E30F6">
                  <w:pPr>
                    <w:pStyle w:val="73"/>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项目为农产品、药材种植项目，主要种植蓝莓、三七、羊肚菌、桃树、苹果树。现状土地为荒山荒地，项目的建设有助于红河谷—绿汁江热区难造林地区植被恢复；项目位于峨山县塔甸镇大西村委会大西山，不在“三湖”流域范围内，</w:t>
                  </w:r>
                </w:p>
              </w:tc>
              <w:tc>
                <w:tcPr>
                  <w:tcW w:w="301" w:type="pct"/>
                  <w:vAlign w:val="center"/>
                </w:tcPr>
                <w:p w14:paraId="319EC7C1">
                  <w:pPr>
                    <w:pStyle w:val="73"/>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符合</w:t>
                  </w:r>
                </w:p>
              </w:tc>
            </w:tr>
            <w:tr w14:paraId="00271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85" w:type="pct"/>
                  <w:vAlign w:val="center"/>
                </w:tcPr>
                <w:p w14:paraId="5DC33A48">
                  <w:pPr>
                    <w:pStyle w:val="73"/>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eastAsia="宋体" w:cs="Times New Roman"/>
                      <w:b w:val="0"/>
                      <w:bCs/>
                      <w:color w:val="000000" w:themeColor="text1"/>
                      <w:lang w:val="en-US" w:eastAsia="zh-CN"/>
                      <w14:textFill>
                        <w14:solidFill>
                          <w14:schemeClr w14:val="tx1"/>
                        </w14:solidFill>
                      </w14:textFill>
                    </w:rPr>
                  </w:pPr>
                  <w:r>
                    <w:rPr>
                      <w:rFonts w:hint="default" w:ascii="Times New Roman" w:hAnsi="Times New Roman" w:eastAsia="宋体" w:cs="Times New Roman"/>
                      <w:b w:val="0"/>
                      <w:bCs/>
                      <w:color w:val="000000" w:themeColor="text1"/>
                      <w:lang w:val="en-US" w:eastAsia="zh-CN"/>
                      <w14:textFill>
                        <w14:solidFill>
                          <w14:schemeClr w14:val="tx1"/>
                        </w14:solidFill>
                      </w14:textFill>
                    </w:rPr>
                    <w:t>3</w:t>
                  </w:r>
                </w:p>
              </w:tc>
              <w:tc>
                <w:tcPr>
                  <w:tcW w:w="2765" w:type="pct"/>
                  <w:vAlign w:val="center"/>
                </w:tcPr>
                <w:p w14:paraId="1E56BE48">
                  <w:pPr>
                    <w:pStyle w:val="73"/>
                    <w:keepNext w:val="0"/>
                    <w:keepLines w:val="0"/>
                    <w:pageBreakBefore w:val="0"/>
                    <w:widowControl/>
                    <w:kinsoku/>
                    <w:wordWrap/>
                    <w:overflowPunct/>
                    <w:topLinePunct w:val="0"/>
                    <w:autoSpaceDE/>
                    <w:autoSpaceDN/>
                    <w:bidi w:val="0"/>
                    <w:adjustRightInd/>
                    <w:snapToGrid/>
                    <w:jc w:val="both"/>
                    <w:textAlignment w:val="auto"/>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三、林草产业生态化</w:t>
                  </w:r>
                </w:p>
                <w:p w14:paraId="0CFF2A73">
                  <w:pPr>
                    <w:pStyle w:val="73"/>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以提高发展质量和效益为核心，深化林草产业供给侧结构性改革，加快构建林草现代化产业体系，提高优质林草产业产品供给能力。构建全市“一中心、三带、五群”的林草产业发展布局，重点发展好特色经济林、林下经济、生态旅游、森林康养、野生菌、观赏苗木、竹藤产业等七个重点产业，支持巩固提升木材加工、林化工、林（竹）浆纸等传统产业的升级改造。探索发展壮大观赏苗木产业发展，打造全省具有影响力的观赏苗木基地、产业园、产业小镇主题公园和交易市场。加强统筹协调，深化“放管服”改革，聚集发展要素，加强宣传招商和科技支撑，全力打通“绿水青山”到“金山银山”的转换通道，推动林草产业高质量发展。</w:t>
                  </w:r>
                </w:p>
              </w:tc>
              <w:tc>
                <w:tcPr>
                  <w:tcW w:w="1547" w:type="pct"/>
                  <w:vAlign w:val="center"/>
                </w:tcPr>
                <w:p w14:paraId="32DC5588">
                  <w:pPr>
                    <w:pStyle w:val="73"/>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项目为农产品、药材种植项目，主要种植蓝莓、三七、羊肚菌、桃树、苹果树。项目建设符合</w:t>
                  </w: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重点发展好特色农产品基地项目、野生菌的特色农产品基地项目要求</w:t>
                  </w:r>
                </w:p>
              </w:tc>
              <w:tc>
                <w:tcPr>
                  <w:tcW w:w="301" w:type="pct"/>
                  <w:vAlign w:val="center"/>
                </w:tcPr>
                <w:p w14:paraId="03178AB8">
                  <w:pPr>
                    <w:pStyle w:val="73"/>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符合</w:t>
                  </w:r>
                </w:p>
              </w:tc>
            </w:tr>
            <w:tr w14:paraId="3C0C4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85" w:type="pct"/>
                  <w:vAlign w:val="center"/>
                </w:tcPr>
                <w:p w14:paraId="38D4E06B">
                  <w:pPr>
                    <w:pStyle w:val="73"/>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eastAsia="宋体" w:cs="Times New Roman"/>
                      <w:b w:val="0"/>
                      <w:bCs/>
                      <w:color w:val="000000" w:themeColor="text1"/>
                      <w:lang w:val="en-US" w:eastAsia="zh-CN"/>
                      <w14:textFill>
                        <w14:solidFill>
                          <w14:schemeClr w14:val="tx1"/>
                        </w14:solidFill>
                      </w14:textFill>
                    </w:rPr>
                  </w:pPr>
                  <w:r>
                    <w:rPr>
                      <w:rFonts w:hint="default" w:ascii="Times New Roman" w:hAnsi="Times New Roman" w:eastAsia="宋体" w:cs="Times New Roman"/>
                      <w:b w:val="0"/>
                      <w:bCs/>
                      <w:color w:val="000000" w:themeColor="text1"/>
                      <w:lang w:val="en-US" w:eastAsia="zh-CN"/>
                      <w14:textFill>
                        <w14:solidFill>
                          <w14:schemeClr w14:val="tx1"/>
                        </w14:solidFill>
                      </w14:textFill>
                    </w:rPr>
                    <w:t>4</w:t>
                  </w:r>
                </w:p>
              </w:tc>
              <w:tc>
                <w:tcPr>
                  <w:tcW w:w="2765" w:type="pct"/>
                  <w:vAlign w:val="center"/>
                </w:tcPr>
                <w:p w14:paraId="1DA29ED2">
                  <w:pPr>
                    <w:pStyle w:val="73"/>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四、防灾减灾科学化</w:t>
                  </w:r>
                </w:p>
                <w:p w14:paraId="37AFBD75">
                  <w:pPr>
                    <w:pStyle w:val="73"/>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全面压实森林草原防火和林草有害生物防治责任，提升林草防灾减灾设施装备保障能力，加强野生动物疫源疫病监测防控，提高林业草原防控能力。牢固树立森林草原防灭火一体化理念，认真履行“防”的法定职责，强化源头管控，严格落实5项100%</w:t>
                  </w:r>
                </w:p>
                <w:p w14:paraId="509785E4">
                  <w:pPr>
                    <w:pStyle w:val="73"/>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野外火源管理制度，突出“技防”、加强“物防”、创新“人防”，构建“天空地”一体化林火监测体系。加大森林草原防火装备和基础设施建设力度，加密重点区域的工程阻隔带、生物隔离带建设，加强专业队营房、物资储备库和培训基地建设。坚持“预防为主、综合治理、依法监管、强化责任”的林业有害生物防治方针，建立健全区域联防联治机制，全面落实“双线”目标责任制，健全监测预报体系和防治检疫管理制度。坚决遏制红火蚁、锈色棕榈象扩散蔓延，切实抓好松小蠹、松毛虫、经济林病虫害等林业有害生物防治工作。</w:t>
                  </w:r>
                </w:p>
              </w:tc>
              <w:tc>
                <w:tcPr>
                  <w:tcW w:w="1547" w:type="pct"/>
                  <w:vAlign w:val="center"/>
                </w:tcPr>
                <w:p w14:paraId="397FE8A9">
                  <w:pPr>
                    <w:pStyle w:val="73"/>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项目加强森林防火队伍建设、完善消防器材配置；建立较完备的森林防火体系，构建县、乡、村完备的森林火灾联防组织，互通情报，互相支援，联防群治，共同做好森林火灾控制和消灭工作。在农产品、药材的种植和管理过程中，严格遵循《森林保护条例</w:t>
                  </w:r>
                  <w:r>
                    <w:rPr>
                      <w:rFonts w:hint="eastAsia" w:cs="Times New Roman"/>
                      <w:b w:val="0"/>
                      <w:bCs/>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国家森林火灾应急预案</w:t>
                  </w:r>
                  <w:r>
                    <w:rPr>
                      <w:rFonts w:hint="eastAsia" w:cs="Times New Roman"/>
                      <w:b w:val="0"/>
                      <w:bCs/>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森林</w:t>
                  </w:r>
                  <w:r>
                    <w:rPr>
                      <w:rFonts w:hint="eastAsia" w:cs="Times New Roman"/>
                      <w:b w:val="0"/>
                      <w:bCs/>
                      <w:color w:val="000000" w:themeColor="text1"/>
                      <w:sz w:val="21"/>
                      <w:szCs w:val="21"/>
                      <w:lang w:val="en-US" w:eastAsia="zh-CN"/>
                      <w14:textFill>
                        <w14:solidFill>
                          <w14:schemeClr w14:val="tx1"/>
                        </w14:solidFill>
                      </w14:textFill>
                    </w:rPr>
                    <w:t>草原</w:t>
                  </w: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防</w:t>
                  </w:r>
                  <w:r>
                    <w:rPr>
                      <w:rFonts w:hint="eastAsia" w:cs="Times New Roman"/>
                      <w:b w:val="0"/>
                      <w:bCs/>
                      <w:color w:val="000000" w:themeColor="text1"/>
                      <w:sz w:val="21"/>
                      <w:szCs w:val="21"/>
                      <w:lang w:val="en-US" w:eastAsia="zh-CN"/>
                      <w14:textFill>
                        <w14:solidFill>
                          <w14:schemeClr w14:val="tx1"/>
                        </w14:solidFill>
                      </w14:textFill>
                    </w:rPr>
                    <w:t>灭</w:t>
                  </w: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火条例</w:t>
                  </w:r>
                  <w:r>
                    <w:rPr>
                      <w:rFonts w:hint="eastAsia" w:cs="Times New Roman"/>
                      <w:b w:val="0"/>
                      <w:bCs/>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云南省森林防火条例》等相关规定，加强火险防范。</w:t>
                  </w:r>
                </w:p>
              </w:tc>
              <w:tc>
                <w:tcPr>
                  <w:tcW w:w="301" w:type="pct"/>
                  <w:vAlign w:val="center"/>
                </w:tcPr>
                <w:p w14:paraId="14A2F756">
                  <w:pPr>
                    <w:pStyle w:val="73"/>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符合</w:t>
                  </w:r>
                </w:p>
              </w:tc>
            </w:tr>
            <w:tr w14:paraId="3A5CE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4" w:hRule="atLeast"/>
                <w:jc w:val="center"/>
              </w:trPr>
              <w:tc>
                <w:tcPr>
                  <w:tcW w:w="385" w:type="pct"/>
                  <w:vAlign w:val="center"/>
                </w:tcPr>
                <w:p w14:paraId="2F3ACA32">
                  <w:pPr>
                    <w:pStyle w:val="73"/>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eastAsia="宋体" w:cs="Times New Roman"/>
                      <w:b w:val="0"/>
                      <w:bCs/>
                      <w:color w:val="000000" w:themeColor="text1"/>
                      <w:lang w:val="en-US" w:eastAsia="zh-CN"/>
                      <w14:textFill>
                        <w14:solidFill>
                          <w14:schemeClr w14:val="tx1"/>
                        </w14:solidFill>
                      </w14:textFill>
                    </w:rPr>
                  </w:pPr>
                  <w:r>
                    <w:rPr>
                      <w:rFonts w:hint="default" w:ascii="Times New Roman" w:hAnsi="Times New Roman" w:eastAsia="宋体" w:cs="Times New Roman"/>
                      <w:b w:val="0"/>
                      <w:bCs/>
                      <w:color w:val="000000" w:themeColor="text1"/>
                      <w:lang w:val="en-US" w:eastAsia="zh-CN"/>
                      <w14:textFill>
                        <w14:solidFill>
                          <w14:schemeClr w14:val="tx1"/>
                        </w14:solidFill>
                      </w14:textFill>
                    </w:rPr>
                    <w:t>5</w:t>
                  </w:r>
                </w:p>
              </w:tc>
              <w:tc>
                <w:tcPr>
                  <w:tcW w:w="2765" w:type="pct"/>
                  <w:vAlign w:val="center"/>
                </w:tcPr>
                <w:p w14:paraId="029E0A67">
                  <w:pPr>
                    <w:pStyle w:val="73"/>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六、生物多样性保护</w:t>
                  </w:r>
                </w:p>
                <w:p w14:paraId="0C832CA6">
                  <w:pPr>
                    <w:pStyle w:val="73"/>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加快实施自然保护地提升行动，继续做好15个自然保护区整合优化工作，推进保护地总体规划编制和勘界立标工作，全面提升自然保护地监测体系能力和水平，规范保护地体系管理。坚决贯彻禁食野生动物决定，指导野生动物驯养繁殖企业和农户转型转产。全面加强野生动植物资源的保护管理，做好西黑冠长臂猿、绿孔雀、黑颈长尾雉、林麝、伯乐、苏铁、文山兜兰、云南火焰兰等濒危、珍贵野生动植物保护，加强珍稀濒危物种、极小种群物种抢救保护和人工繁育，开展重要物种栖息地保护恢复建设。</w:t>
                  </w:r>
                </w:p>
              </w:tc>
              <w:tc>
                <w:tcPr>
                  <w:tcW w:w="1547" w:type="pct"/>
                  <w:vAlign w:val="center"/>
                </w:tcPr>
                <w:p w14:paraId="19C51947">
                  <w:pPr>
                    <w:pStyle w:val="73"/>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项目位于峨山县塔甸镇大西村委会</w:t>
                  </w:r>
                  <w:r>
                    <w:rPr>
                      <w:rFonts w:hint="eastAsia" w:cs="Times New Roman"/>
                      <w:b w:val="0"/>
                      <w:bCs/>
                      <w:color w:val="000000" w:themeColor="text1"/>
                      <w:sz w:val="21"/>
                      <w:szCs w:val="21"/>
                      <w:lang w:val="en-US" w:eastAsia="zh-CN"/>
                      <w14:textFill>
                        <w14:solidFill>
                          <w14:schemeClr w14:val="tx1"/>
                        </w14:solidFill>
                      </w14:textFill>
                    </w:rPr>
                    <w:t>大西山</w:t>
                  </w: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项目施工及种植期间严格贯彻禁食野生动物决定，禁止施工人员及后期种植区员工周边打猎，项目区周边不涉及西黑冠长臂猿、绿孔雀、黑颈长尾雉、林麝、伯乐、苏铁、文山兜兰、云南火焰兰等濒危、珍贵野生动植物</w:t>
                  </w:r>
                </w:p>
              </w:tc>
              <w:tc>
                <w:tcPr>
                  <w:tcW w:w="301" w:type="pct"/>
                  <w:vAlign w:val="center"/>
                </w:tcPr>
                <w:p w14:paraId="3E5F1CB2">
                  <w:pPr>
                    <w:pStyle w:val="73"/>
                    <w:keepNext w:val="0"/>
                    <w:keepLines w:val="0"/>
                    <w:pageBreakBefore w:val="0"/>
                    <w:kinsoku/>
                    <w:wordWrap/>
                    <w:overflowPunct/>
                    <w:topLinePunct w:val="0"/>
                    <w:autoSpaceDE/>
                    <w:autoSpaceDN/>
                    <w:bidi w:val="0"/>
                    <w:adjustRightInd/>
                    <w:snapToGrid/>
                    <w:jc w:val="both"/>
                    <w:textAlignment w:val="auto"/>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符合</w:t>
                  </w:r>
                </w:p>
              </w:tc>
            </w:tr>
          </w:tbl>
          <w:p w14:paraId="18F48BC2">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80" w:firstLineChars="200"/>
              <w:jc w:val="both"/>
              <w:textAlignment w:val="auto"/>
              <w:rPr>
                <w:rFonts w:hint="default" w:ascii="Times New Roman" w:hAnsi="Times New Roman" w:eastAsia="宋体" w:cs="Times New Roman"/>
                <w:b w:val="0"/>
                <w:bCs/>
                <w:color w:val="000000" w:themeColor="text1"/>
                <w:sz w:val="24"/>
                <w:szCs w:val="24"/>
                <w:lang w:val="en-US" w:eastAsia="zh-CN"/>
                <w14:textFill>
                  <w14:solidFill>
                    <w14:schemeClr w14:val="tx1"/>
                  </w14:solidFill>
                </w14:textFill>
              </w:rPr>
            </w:pPr>
          </w:p>
          <w:p w14:paraId="6357216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color w:val="000000" w:themeColor="text1"/>
                <w:sz w:val="24"/>
                <w:szCs w:val="24"/>
                <w:lang w:val="en-US" w:eastAsia="zh-CN"/>
                <w14:textFill>
                  <w14:solidFill>
                    <w14:schemeClr w14:val="tx1"/>
                  </w14:solidFill>
                </w14:textFill>
              </w:rPr>
              <w:t>综上分析，项目符合《玉溪市林业和草原保护发展“十四五”规划》中的相关要求。</w:t>
            </w:r>
          </w:p>
          <w:p w14:paraId="45CE71AE">
            <w:pPr>
              <w:keepNext w:val="0"/>
              <w:keepLines w:val="0"/>
              <w:pageBreakBefore w:val="0"/>
              <w:widowControl w:val="0"/>
              <w:kinsoku/>
              <w:wordWrap/>
              <w:overflowPunct/>
              <w:topLinePunct w:val="0"/>
              <w:autoSpaceDE w:val="0"/>
              <w:autoSpaceDN w:val="0"/>
              <w:bidi w:val="0"/>
              <w:adjustRightInd w:val="0"/>
              <w:snapToGrid w:val="0"/>
              <w:ind w:left="0" w:leftChars="0" w:firstLine="482" w:firstLineChars="200"/>
              <w:jc w:val="both"/>
              <w:textAlignment w:val="auto"/>
              <w:rPr>
                <w:rFonts w:hint="default" w:ascii="Times New Roman" w:hAnsi="Times New Roman" w:eastAsia="宋体" w:cs="Times New Roman"/>
                <w:b/>
                <w:bCs/>
                <w:color w:val="000000" w:themeColor="text1"/>
                <w:kern w:val="0"/>
                <w:lang w:val="en-US" w:eastAsia="zh-CN"/>
                <w14:textFill>
                  <w14:solidFill>
                    <w14:schemeClr w14:val="tx1"/>
                  </w14:solidFill>
                </w14:textFill>
              </w:rPr>
            </w:pPr>
            <w:r>
              <w:rPr>
                <w:rFonts w:hint="eastAsia" w:ascii="Times New Roman" w:hAnsi="Times New Roman" w:cs="Times New Roman"/>
                <w:b/>
                <w:bCs/>
                <w:color w:val="000000" w:themeColor="text1"/>
                <w:kern w:val="0"/>
                <w:lang w:val="en-US" w:eastAsia="zh-CN"/>
                <w14:textFill>
                  <w14:solidFill>
                    <w14:schemeClr w14:val="tx1"/>
                  </w14:solidFill>
                </w14:textFill>
              </w:rPr>
              <w:t>8</w:t>
            </w:r>
            <w:r>
              <w:rPr>
                <w:rFonts w:hint="default" w:ascii="Times New Roman" w:hAnsi="Times New Roman" w:eastAsia="宋体" w:cs="Times New Roman"/>
                <w:b/>
                <w:bCs/>
                <w:color w:val="000000" w:themeColor="text1"/>
                <w:kern w:val="0"/>
                <w:lang w:val="en-US" w:eastAsia="zh-CN"/>
                <w14:textFill>
                  <w14:solidFill>
                    <w14:schemeClr w14:val="tx1"/>
                  </w14:solidFill>
                </w14:textFill>
              </w:rPr>
              <w:t>、与《长江经济带发展负面清单指南实施细则（试行，2022年版）》符合性分析</w:t>
            </w:r>
          </w:p>
          <w:p w14:paraId="7F0D8A89">
            <w:pPr>
              <w:pStyle w:val="25"/>
              <w:keepNext w:val="0"/>
              <w:keepLines w:val="0"/>
              <w:pageBreakBefore w:val="0"/>
              <w:widowControl w:val="0"/>
              <w:kinsoku/>
              <w:wordWrap/>
              <w:overflowPunct/>
              <w:topLinePunct w:val="0"/>
              <w:bidi w:val="0"/>
              <w:adjustRightInd w:val="0"/>
              <w:snapToGrid w:val="0"/>
              <w:spacing w:after="0" w:afterLines="0" w:line="360" w:lineRule="auto"/>
              <w:ind w:left="0" w:leftChars="0" w:firstLine="480"/>
              <w:jc w:val="both"/>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本项目位于峨山县塔甸镇大西村委会大西山</w:t>
            </w:r>
            <w:r>
              <w:rPr>
                <w:rFonts w:hint="default" w:ascii="Times New Roman" w:hAnsi="Times New Roman" w:eastAsia="宋体" w:cs="Times New Roman"/>
                <w:color w:val="000000" w:themeColor="text1"/>
                <w:sz w:val="24"/>
                <w:szCs w:val="24"/>
                <w14:textFill>
                  <w14:solidFill>
                    <w14:schemeClr w14:val="tx1"/>
                  </w14:solidFill>
                </w14:textFill>
              </w:rPr>
              <w:t>，不在《云南省长江经济带发展负面清单指南实施细则（试行，2022年版）》禁止建设的负面清单内。具体符合性分析见下表。</w:t>
            </w:r>
          </w:p>
          <w:p w14:paraId="4BF85B39">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表1</w:t>
            </w: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w:t>
            </w:r>
            <w:r>
              <w:rPr>
                <w:rFonts w:hint="eastAsia" w:ascii="Times New Roman" w:hAnsi="Times New Roman" w:cs="Times New Roman"/>
                <w:b/>
                <w:bCs/>
                <w:color w:val="000000" w:themeColor="text1"/>
                <w:sz w:val="21"/>
                <w:szCs w:val="21"/>
                <w:lang w:val="en-US" w:eastAsia="zh-CN"/>
                <w14:textFill>
                  <w14:solidFill>
                    <w14:schemeClr w14:val="tx1"/>
                  </w14:solidFill>
                </w14:textFill>
              </w:rPr>
              <w:t>6</w:t>
            </w: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 xml:space="preserve">   </w:t>
            </w:r>
            <w:r>
              <w:rPr>
                <w:rFonts w:hint="default" w:ascii="Times New Roman" w:hAnsi="Times New Roman" w:eastAsia="宋体" w:cs="Times New Roman"/>
                <w:b/>
                <w:bCs/>
                <w:color w:val="000000" w:themeColor="text1"/>
                <w:sz w:val="21"/>
                <w:szCs w:val="21"/>
                <w14:textFill>
                  <w14:solidFill>
                    <w14:schemeClr w14:val="tx1"/>
                  </w14:solidFill>
                </w14:textFill>
              </w:rPr>
              <w:t>与《长江经济带发展负面清单指南实施细则》符合性分析一览表</w:t>
            </w:r>
          </w:p>
          <w:tbl>
            <w:tblPr>
              <w:tblStyle w:val="27"/>
              <w:tblW w:w="489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76"/>
              <w:gridCol w:w="3204"/>
              <w:gridCol w:w="695"/>
            </w:tblGrid>
            <w:tr w14:paraId="634CE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2615" w:type="pct"/>
                  <w:vAlign w:val="center"/>
                </w:tcPr>
                <w:p w14:paraId="124DDF08">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法律规定保护要求</w:t>
                  </w:r>
                </w:p>
              </w:tc>
              <w:tc>
                <w:tcPr>
                  <w:tcW w:w="1959" w:type="pct"/>
                  <w:vAlign w:val="center"/>
                </w:tcPr>
                <w:p w14:paraId="4B81C379">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本项目保护情况</w:t>
                  </w:r>
                </w:p>
              </w:tc>
              <w:tc>
                <w:tcPr>
                  <w:tcW w:w="425" w:type="pct"/>
                  <w:vAlign w:val="center"/>
                </w:tcPr>
                <w:p w14:paraId="13E69B48">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符合性</w:t>
                  </w:r>
                </w:p>
              </w:tc>
            </w:tr>
            <w:tr w14:paraId="5DDCF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2615" w:type="pct"/>
                  <w:vAlign w:val="center"/>
                </w:tcPr>
                <w:p w14:paraId="24AB6918">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禁止新建、改建和扩建不符合《全国内河航道与港口布局规划》等全国港口规划和《昭通市港口码头岸线规划（金沙江段2019年—2035年）</w:t>
                  </w:r>
                  <w:r>
                    <w:rPr>
                      <w:rFonts w:hint="eastAsia" w:ascii="Times New Roman" w:hAnsi="Times New Roman"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景洪港总体规划（2019—2035年）》等州（市）级以上港口布局规划以及港口总体规划的码头项目。</w:t>
                  </w:r>
                </w:p>
              </w:tc>
              <w:tc>
                <w:tcPr>
                  <w:tcW w:w="1959" w:type="pct"/>
                  <w:vAlign w:val="center"/>
                </w:tcPr>
                <w:p w14:paraId="204E4DFC">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项目</w:t>
                  </w:r>
                  <w:r>
                    <w:rPr>
                      <w:rFonts w:hint="default" w:ascii="Times New Roman" w:hAnsi="Times New Roman" w:eastAsia="宋体" w:cs="Times New Roman"/>
                      <w:b w:val="0"/>
                      <w:color w:val="000000" w:themeColor="text1"/>
                      <w:sz w:val="21"/>
                      <w:szCs w:val="21"/>
                      <w14:textFill>
                        <w14:solidFill>
                          <w14:schemeClr w14:val="tx1"/>
                        </w14:solidFill>
                      </w14:textFill>
                    </w:rPr>
                    <w:t>为</w:t>
                  </w:r>
                  <w:r>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t>农产品、药材种植项目</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。不属于码头和过长江通道项目。</w:t>
                  </w:r>
                </w:p>
              </w:tc>
              <w:tc>
                <w:tcPr>
                  <w:tcW w:w="425" w:type="pct"/>
                  <w:vAlign w:val="center"/>
                </w:tcPr>
                <w:p w14:paraId="3AF4D418">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符合</w:t>
                  </w:r>
                </w:p>
              </w:tc>
            </w:tr>
            <w:tr w14:paraId="6A3D7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615" w:type="pct"/>
                  <w:vAlign w:val="center"/>
                </w:tcPr>
                <w:p w14:paraId="4831CA70">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禁止在自然保护区核心区、缓冲区的岸线和河段范围内投资建设旅游和生产经营项目。禁止建设与自然保护区保护方向不一致的旅游项目。禁止在自然保护区内进行开矿、采石、挖沙等活动。禁止在自然保护区的核心区和缓冲区内建设任何生产设施，禁止在自然保护区的实验区内建设污染环境、破坏资源或者景观的生产设施</w:t>
                  </w:r>
                  <w:r>
                    <w:rPr>
                      <w:rFonts w:hint="default" w:ascii="Times New Roman" w:hAnsi="Times New Roman" w:eastAsia="宋体" w:cs="Times New Roman"/>
                      <w:color w:val="000000" w:themeColor="text1"/>
                      <w:sz w:val="21"/>
                      <w:szCs w:val="21"/>
                      <w:lang w:eastAsia="zh-CN"/>
                      <w14:textFill>
                        <w14:solidFill>
                          <w14:schemeClr w14:val="tx1"/>
                        </w14:solidFill>
                      </w14:textFill>
                    </w:rPr>
                    <w:t>。</w:t>
                  </w:r>
                </w:p>
              </w:tc>
              <w:tc>
                <w:tcPr>
                  <w:tcW w:w="1959" w:type="pct"/>
                  <w:vAlign w:val="center"/>
                </w:tcPr>
                <w:p w14:paraId="5E5AB16F">
                  <w:pPr>
                    <w:pStyle w:val="7"/>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项目位于峨山县塔甸镇大西村委会</w:t>
                  </w:r>
                  <w:r>
                    <w:rPr>
                      <w:rFonts w:hint="eastAsia" w:ascii="Times New Roman" w:hAnsi="Times New Roman" w:cs="Times New Roman"/>
                      <w:color w:val="000000" w:themeColor="text1"/>
                      <w:kern w:val="0"/>
                      <w:sz w:val="21"/>
                      <w:szCs w:val="21"/>
                      <w:lang w:val="en-US" w:eastAsia="zh-CN" w:bidi="ar"/>
                      <w14:textFill>
                        <w14:solidFill>
                          <w14:schemeClr w14:val="tx1"/>
                        </w14:solidFill>
                      </w14:textFill>
                    </w:rPr>
                    <w:t>大西山</w:t>
                  </w:r>
                  <w:r>
                    <w:rPr>
                      <w:rFonts w:hint="default" w:ascii="Times New Roman" w:hAnsi="Times New Roman" w:eastAsia="宋体" w:cs="Times New Roman"/>
                      <w:color w:val="000000" w:themeColor="text1"/>
                      <w:sz w:val="21"/>
                      <w:szCs w:val="21"/>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选址不在自然保护区核心区、缓冲区的岸线和河段范围内。项目</w:t>
                  </w:r>
                  <w:r>
                    <w:rPr>
                      <w:rFonts w:hint="default" w:ascii="Times New Roman" w:hAnsi="Times New Roman" w:eastAsia="宋体" w:cs="Times New Roman"/>
                      <w:b w:val="0"/>
                      <w:color w:val="000000" w:themeColor="text1"/>
                      <w:sz w:val="21"/>
                      <w:szCs w:val="21"/>
                      <w14:textFill>
                        <w14:solidFill>
                          <w14:schemeClr w14:val="tx1"/>
                        </w14:solidFill>
                      </w14:textFill>
                    </w:rPr>
                    <w:t>为</w:t>
                  </w:r>
                  <w:r>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t>农产品、药材种植项目，不涉及</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开矿、采石、挖沙。</w:t>
                  </w:r>
                </w:p>
              </w:tc>
              <w:tc>
                <w:tcPr>
                  <w:tcW w:w="425" w:type="pct"/>
                  <w:vAlign w:val="center"/>
                </w:tcPr>
                <w:p w14:paraId="1778CA89">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符合</w:t>
                  </w:r>
                </w:p>
              </w:tc>
            </w:tr>
            <w:tr w14:paraId="47CA8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15" w:type="pct"/>
                  <w:vAlign w:val="center"/>
                </w:tcPr>
                <w:p w14:paraId="032D5B2C">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禁止在风景名胜区核心景区的岸线和河段范围内投资建设与风景名胜资源保护无关的项目。禁止在风景名胜区内进行开山、采石、开矿、开荒、修坟立碑等破坏景观、植被和地形地貌的活动以及修建储存爆炸性、易燃性、放射性、毒害性、腐蚀性物品的设施；禁止在风景名胜区内设立开发区和在核心景区内建设宾馆、会所、培训中心、疗养院以及与风景名胜资源保护无关的投资建设项目。</w:t>
                  </w:r>
                </w:p>
              </w:tc>
              <w:tc>
                <w:tcPr>
                  <w:tcW w:w="1959" w:type="pct"/>
                  <w:vAlign w:val="center"/>
                </w:tcPr>
                <w:p w14:paraId="1E0B4858">
                  <w:pPr>
                    <w:pStyle w:val="7"/>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项目位于峨山县塔甸镇大西村委会</w:t>
                  </w:r>
                  <w:r>
                    <w:rPr>
                      <w:rFonts w:hint="eastAsia" w:ascii="Times New Roman" w:hAnsi="Times New Roman" w:cs="Times New Roman"/>
                      <w:color w:val="000000" w:themeColor="text1"/>
                      <w:kern w:val="0"/>
                      <w:sz w:val="21"/>
                      <w:szCs w:val="21"/>
                      <w:highlight w:val="none"/>
                      <w:lang w:val="en-US" w:eastAsia="zh-CN" w:bidi="ar"/>
                      <w14:textFill>
                        <w14:solidFill>
                          <w14:schemeClr w14:val="tx1"/>
                        </w14:solidFill>
                      </w14:textFill>
                    </w:rPr>
                    <w:t>大西山</w:t>
                  </w:r>
                  <w:r>
                    <w:rPr>
                      <w:rFonts w:hint="default" w:ascii="Times New Roman" w:hAnsi="Times New Roman" w:eastAsia="宋体" w:cs="Times New Roman"/>
                      <w:color w:val="000000" w:themeColor="text1"/>
                      <w:kern w:val="0"/>
                      <w:sz w:val="21"/>
                      <w:szCs w:val="21"/>
                      <w:highlight w:val="none"/>
                      <w:lang w:val="en-US" w:eastAsia="zh-CN" w:bidi="ar"/>
                      <w14:textFill>
                        <w14:solidFill>
                          <w14:schemeClr w14:val="tx1"/>
                        </w14:solidFill>
                      </w14:textFill>
                    </w:rPr>
                    <w:t>，选址不涉及风景名胜区。</w:t>
                  </w: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本项目为农产品、药材种植项目，主要以种植蓝莓、三七、羊肚菌、桃树、苹果树为主，不涉及</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开山、采石、开矿、开荒、修坟立碑等破坏景观、植被和地形地貌的活动，也不涉及修建储存爆炸性、易燃性、放射性、毒害性、腐蚀性物品的设施。</w:t>
                  </w:r>
                </w:p>
              </w:tc>
              <w:tc>
                <w:tcPr>
                  <w:tcW w:w="425" w:type="pct"/>
                  <w:vAlign w:val="center"/>
                </w:tcPr>
                <w:p w14:paraId="5B912413">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符合</w:t>
                  </w:r>
                </w:p>
              </w:tc>
            </w:tr>
            <w:tr w14:paraId="1C67C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615" w:type="pct"/>
                  <w:vAlign w:val="center"/>
                </w:tcPr>
                <w:p w14:paraId="60D41BE7">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禁止在饮用水水源一级保护区的岸线和河段范围内新建、改建、扩建与供水设施和保护水源无关的投资建设项目，以及网箱养殖、畜禽养殖、旅游等可能污染饮用水水体的投资建设项目。禁止在饮用水水源二级保护区的岸线和河段范围内新建、改建、扩建排放污染物的投资建设项目。</w:t>
                  </w:r>
                </w:p>
              </w:tc>
              <w:tc>
                <w:tcPr>
                  <w:tcW w:w="1959" w:type="pct"/>
                  <w:vAlign w:val="center"/>
                </w:tcPr>
                <w:p w14:paraId="6A6A9815">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项目为农产品、药材种植项目，</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项目一片区涉及大西水库饮用水源地二级保护区，二片区涉及尼去本水库饮用水源地二级保护区。项目</w:t>
                  </w: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主要种植蓝莓、三七、羊肚菌、桃树、苹果树。</w:t>
                  </w:r>
                  <w:r>
                    <w:rPr>
                      <w:rFonts w:hint="eastAsia" w:ascii="Times New Roman" w:hAnsi="Times New Roman" w:cs="Times New Roman"/>
                      <w:b/>
                      <w:bCs w:val="0"/>
                      <w:color w:val="000000" w:themeColor="text1"/>
                      <w:sz w:val="21"/>
                      <w:szCs w:val="21"/>
                      <w:lang w:val="en-US" w:eastAsia="zh-CN"/>
                      <w14:textFill>
                        <w14:solidFill>
                          <w14:schemeClr w14:val="tx1"/>
                        </w14:solidFill>
                      </w14:textFill>
                    </w:rPr>
                    <w:t>施工期：</w:t>
                  </w:r>
                  <w:r>
                    <w:rPr>
                      <w:rFonts w:hint="default" w:ascii="Times New Roman" w:hAnsi="Times New Roman" w:eastAsia="宋体" w:cs="Times New Roman"/>
                      <w:b w:val="0"/>
                      <w:bCs/>
                      <w:color w:val="000000" w:themeColor="text1"/>
                      <w:sz w:val="21"/>
                      <w:szCs w:val="21"/>
                      <w:lang w:val="en-US" w:eastAsia="zh-CN" w:bidi="zh-CN"/>
                      <w14:textFill>
                        <w14:solidFill>
                          <w14:schemeClr w14:val="tx1"/>
                        </w14:solidFill>
                      </w14:textFill>
                    </w:rPr>
                    <w:t>废气主要为施工挖填扬尘、机械车辆尾气，经过大气扩散后，对周边环境影响较小；</w:t>
                  </w:r>
                  <w:r>
                    <w:rPr>
                      <w:rFonts w:hint="eastAsia" w:ascii="Times New Roman" w:hAnsi="Times New Roman" w:cs="Times New Roman"/>
                      <w:b/>
                      <w:bCs w:val="0"/>
                      <w:color w:val="000000" w:themeColor="text1"/>
                      <w:sz w:val="21"/>
                      <w:szCs w:val="21"/>
                      <w:lang w:val="en-US" w:eastAsia="zh-CN" w:bidi="zh-CN"/>
                      <w14:textFill>
                        <w14:solidFill>
                          <w14:schemeClr w14:val="tx1"/>
                        </w14:solidFill>
                      </w14:textFill>
                    </w:rPr>
                    <w:t>运营</w:t>
                  </w:r>
                  <w:r>
                    <w:rPr>
                      <w:rFonts w:hint="eastAsia" w:ascii="Times New Roman" w:hAnsi="Times New Roman" w:cs="Times New Roman"/>
                      <w:b/>
                      <w:bCs w:val="0"/>
                      <w:color w:val="000000" w:themeColor="text1"/>
                      <w:sz w:val="21"/>
                      <w:szCs w:val="21"/>
                      <w:lang w:val="en-US" w:eastAsia="zh-CN" w:bidi="zh-CN"/>
                      <w14:textFill>
                        <w14:solidFill>
                          <w14:schemeClr w14:val="tx1"/>
                        </w14:solidFill>
                      </w14:textFill>
                    </w:rPr>
                    <w:t>期：</w:t>
                  </w:r>
                  <w:r>
                    <w:rPr>
                      <w:rFonts w:hint="eastAsia" w:ascii="Times New Roman" w:hAnsi="Times New Roman" w:cs="Times New Roman"/>
                      <w:b w:val="0"/>
                      <w:bCs/>
                      <w:color w:val="000000" w:themeColor="text1"/>
                      <w:sz w:val="21"/>
                      <w:szCs w:val="21"/>
                      <w:lang w:val="en-US" w:eastAsia="zh-CN" w:bidi="zh-CN"/>
                      <w14:textFill>
                        <w14:solidFill>
                          <w14:schemeClr w14:val="tx1"/>
                        </w14:solidFill>
                      </w14:textFill>
                    </w:rPr>
                    <w:t>废气主要为病虫害防治农药废气、种植翻地扬尘、运输车辆尾气，</w:t>
                  </w:r>
                  <w:r>
                    <w:rPr>
                      <w:rFonts w:hint="default" w:ascii="Times New Roman" w:hAnsi="Times New Roman" w:eastAsia="宋体" w:cs="Times New Roman"/>
                      <w:b w:val="0"/>
                      <w:bCs/>
                      <w:color w:val="000000" w:themeColor="text1"/>
                      <w:sz w:val="21"/>
                      <w:szCs w:val="21"/>
                      <w:lang w:val="en-US" w:eastAsia="zh-CN" w:bidi="zh-CN"/>
                      <w14:textFill>
                        <w14:solidFill>
                          <w14:schemeClr w14:val="tx1"/>
                        </w14:solidFill>
                      </w14:textFill>
                    </w:rPr>
                    <w:t>经过大气扩散后，对周边环境影响较小</w:t>
                  </w:r>
                  <w:r>
                    <w:rPr>
                      <w:rFonts w:hint="eastAsia" w:ascii="Times New Roman" w:hAnsi="Times New Roman" w:cs="Times New Roman"/>
                      <w:b w:val="0"/>
                      <w:bCs/>
                      <w:color w:val="000000" w:themeColor="text1"/>
                      <w:sz w:val="21"/>
                      <w:szCs w:val="21"/>
                      <w:lang w:val="en-US" w:eastAsia="zh-CN" w:bidi="zh-CN"/>
                      <w14:textFill>
                        <w14:solidFill>
                          <w14:schemeClr w14:val="tx1"/>
                        </w14:solidFill>
                      </w14:textFill>
                    </w:rPr>
                    <w:t>；</w:t>
                  </w:r>
                  <w:r>
                    <w:rPr>
                      <w:rFonts w:hint="eastAsia" w:ascii="Times New Roman" w:hAnsi="Times New Roman" w:cs="Times New Roman"/>
                      <w:b/>
                      <w:bCs w:val="0"/>
                      <w:color w:val="000000" w:themeColor="text1"/>
                      <w:sz w:val="21"/>
                      <w:szCs w:val="21"/>
                      <w:lang w:val="en-US" w:eastAsia="zh-CN" w:bidi="zh-CN"/>
                      <w14:textFill>
                        <w14:solidFill>
                          <w14:schemeClr w14:val="tx1"/>
                        </w14:solidFill>
                      </w14:textFill>
                    </w:rPr>
                    <w:t>施工期：</w:t>
                  </w: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施工人员不在项目区食宿，</w:t>
                  </w:r>
                  <w:r>
                    <w:rPr>
                      <w:rFonts w:hint="default" w:ascii="Times New Roman" w:hAnsi="Times New Roman" w:eastAsia="宋体" w:cs="Times New Roman"/>
                      <w:b w:val="0"/>
                      <w:bCs/>
                      <w:color w:val="000000" w:themeColor="text1"/>
                      <w:sz w:val="21"/>
                      <w:szCs w:val="21"/>
                      <w:lang w:val="en-US" w:eastAsia="zh-CN" w:bidi="zh-CN"/>
                      <w14:textFill>
                        <w14:solidFill>
                          <w14:schemeClr w14:val="tx1"/>
                        </w14:solidFill>
                      </w14:textFill>
                    </w:rPr>
                    <w:t>项目区内施工人员日常产生的洗手废水经收集后就近进入沉淀池或水池，回用于施工区域内降尘</w:t>
                  </w:r>
                  <w:r>
                    <w:rPr>
                      <w:rFonts w:hint="eastAsia" w:ascii="Times New Roman" w:hAnsi="Times New Roman" w:cs="Times New Roman"/>
                      <w:b w:val="0"/>
                      <w:bCs/>
                      <w:color w:val="000000" w:themeColor="text1"/>
                      <w:sz w:val="21"/>
                      <w:szCs w:val="21"/>
                      <w:lang w:val="en-US" w:eastAsia="zh-CN" w:bidi="zh-CN"/>
                      <w14:textFill>
                        <w14:solidFill>
                          <w14:schemeClr w14:val="tx1"/>
                        </w14:solidFill>
                      </w14:textFill>
                    </w:rPr>
                    <w:t>，不外排</w:t>
                  </w:r>
                  <w:r>
                    <w:rPr>
                      <w:rFonts w:hint="eastAsia" w:ascii="Times New Roman" w:hAnsi="Times New Roman" w:cs="Times New Roman"/>
                      <w:b w:val="0"/>
                      <w:bCs/>
                      <w:color w:val="000000" w:themeColor="text1"/>
                      <w:sz w:val="21"/>
                      <w:szCs w:val="21"/>
                      <w:highlight w:val="none"/>
                      <w:lang w:val="en-US" w:eastAsia="zh-CN"/>
                      <w14:textFill>
                        <w14:solidFill>
                          <w14:schemeClr w14:val="tx1"/>
                        </w14:solidFill>
                      </w14:textFill>
                    </w:rPr>
                    <w:t>；在种植区和道路区在地势低处设置截排水沟，</w:t>
                  </w:r>
                  <w:r>
                    <w:rPr>
                      <w:rFonts w:hint="eastAsia" w:ascii="Times New Roman" w:hAnsi="Times New Roman" w:cs="Times New Roman"/>
                      <w:b w:val="0"/>
                      <w:bCs/>
                      <w:color w:val="000000" w:themeColor="text1"/>
                      <w:sz w:val="21"/>
                      <w:szCs w:val="21"/>
                      <w:highlight w:val="none"/>
                      <w:lang w:val="en-US" w:eastAsia="zh-CN"/>
                      <w14:textFill>
                        <w14:solidFill>
                          <w14:schemeClr w14:val="tx1"/>
                        </w14:solidFill>
                      </w14:textFill>
                    </w:rPr>
                    <w:t>雨水收集进入水池</w:t>
                  </w: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w:t>
                  </w:r>
                  <w:r>
                    <w:rPr>
                      <w:rFonts w:hint="eastAsia" w:cs="Times New Roman"/>
                      <w:b w:val="0"/>
                      <w:bCs/>
                      <w:color w:val="000000" w:themeColor="text1"/>
                      <w:sz w:val="21"/>
                      <w:szCs w:val="21"/>
                      <w:highlight w:val="none"/>
                      <w:lang w:val="en-US" w:eastAsia="zh-CN"/>
                      <w14:textFill>
                        <w14:solidFill>
                          <w14:schemeClr w14:val="tx1"/>
                        </w14:solidFill>
                      </w14:textFill>
                    </w:rPr>
                    <w:t>沉淀后回用于项目区内洒水降尘，</w:t>
                  </w: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不外排；</w:t>
                  </w:r>
                  <w:r>
                    <w:rPr>
                      <w:rFonts w:hint="eastAsia" w:ascii="Times New Roman" w:hAnsi="Times New Roman" w:cs="Times New Roman"/>
                      <w:b/>
                      <w:bCs w:val="0"/>
                      <w:color w:val="000000" w:themeColor="text1"/>
                      <w:sz w:val="21"/>
                      <w:szCs w:val="21"/>
                      <w:lang w:val="en-US" w:eastAsia="zh-CN" w:bidi="zh-CN"/>
                      <w14:textFill>
                        <w14:solidFill>
                          <w14:schemeClr w14:val="tx1"/>
                        </w14:solidFill>
                      </w14:textFill>
                    </w:rPr>
                    <w:t>运营期：</w:t>
                  </w:r>
                  <w:r>
                    <w:rPr>
                      <w:rFonts w:hint="default" w:ascii="Times New Roman" w:hAnsi="Times New Roman" w:eastAsia="宋体" w:cs="Times New Roman"/>
                      <w:b w:val="0"/>
                      <w:bCs/>
                      <w:color w:val="000000" w:themeColor="text1"/>
                      <w:sz w:val="21"/>
                      <w:szCs w:val="21"/>
                      <w:lang w:val="en-US" w:eastAsia="zh-CN" w:bidi="zh-CN"/>
                      <w14:textFill>
                        <w14:solidFill>
                          <w14:schemeClr w14:val="tx1"/>
                        </w14:solidFill>
                      </w14:textFill>
                    </w:rPr>
                    <w:t>生活污水及食堂废水进入一体化污水处理设备，处理达到《农田灌溉水质标准》（GB 5084—2021）中的“旱地作物”标准后的废水排入水池，回用于项目区内灌溉；</w:t>
                  </w:r>
                  <w:r>
                    <w:rPr>
                      <w:rFonts w:hint="eastAsia" w:ascii="Times New Roman" w:hAnsi="Times New Roman" w:cs="Times New Roman"/>
                      <w:b/>
                      <w:bCs w:val="0"/>
                      <w:color w:val="000000" w:themeColor="text1"/>
                      <w:sz w:val="21"/>
                      <w:szCs w:val="21"/>
                      <w:lang w:val="en-US" w:eastAsia="zh-CN"/>
                      <w14:textFill>
                        <w14:solidFill>
                          <w14:schemeClr w14:val="tx1"/>
                        </w14:solidFill>
                      </w14:textFill>
                    </w:rPr>
                    <w:t>施工期：</w:t>
                  </w:r>
                  <w:r>
                    <w:rPr>
                      <w:rFonts w:hint="eastAsia" w:ascii="Times New Roman" w:hAnsi="Times New Roman" w:cs="Times New Roman"/>
                      <w:b w:val="0"/>
                      <w:bCs/>
                      <w:color w:val="000000" w:themeColor="text1"/>
                      <w:sz w:val="21"/>
                      <w:szCs w:val="21"/>
                      <w:lang w:val="en-US" w:eastAsia="zh-CN"/>
                      <w14:textFill>
                        <w14:solidFill>
                          <w14:schemeClr w14:val="tx1"/>
                        </w14:solidFill>
                      </w14:textFill>
                    </w:rPr>
                    <w:t>①施工区域原有地表挖除的灌木杂草直径≥5cm的统一收集后外售木炭加工和生物质燃料企业，作为木炭和生物质燃料加工原料</w:t>
                  </w:r>
                  <w:r>
                    <w:rPr>
                      <w:rFonts w:hint="eastAsia" w:ascii="Times New Roman" w:hAnsi="Times New Roman" w:cs="Times New Roman"/>
                      <w:b w:val="0"/>
                      <w:bCs/>
                      <w:color w:val="000000" w:themeColor="text1"/>
                      <w:sz w:val="21"/>
                      <w:szCs w:val="21"/>
                      <w:lang w:val="en-US" w:eastAsia="zh-CN"/>
                      <w14:textFill>
                        <w14:solidFill>
                          <w14:schemeClr w14:val="tx1"/>
                        </w14:solidFill>
                      </w14:textFill>
                    </w:rPr>
                    <w:t>。直径＜5cm的木材及杂草可就地切碎后埋入土壤内通过发酵腐熟后作为肥料；②大棚建设产生的废弃材料大棚结构及顶棚覆盖过程中会产生少量的废弃材料，集中收集运至就近生活垃圾中转站，委托环卫部门处置；③施工人员生活垃圾在施工区域内集中收集后并入附近村庄，由当地环卫部门统一清运处置，做到日产日清；④项目区整地过程中产生的土石方可全部就近调配用于项目区内低洼处土地平整，项目施工阶段无废弃土石方产生。</w:t>
                  </w:r>
                  <w:r>
                    <w:rPr>
                      <w:rFonts w:hint="eastAsia" w:ascii="Times New Roman" w:hAnsi="Times New Roman" w:cs="Times New Roman"/>
                      <w:b/>
                      <w:bCs/>
                      <w:color w:val="000000" w:themeColor="text1"/>
                      <w:kern w:val="0"/>
                      <w:sz w:val="21"/>
                      <w:szCs w:val="21"/>
                      <w:highlight w:val="none"/>
                      <w:lang w:val="en-US" w:eastAsia="zh-CN"/>
                      <w14:textFill>
                        <w14:solidFill>
                          <w14:schemeClr w14:val="tx1"/>
                        </w14:solidFill>
                      </w14:textFill>
                    </w:rPr>
                    <w:t>运营期：</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①果木林修剪产生的残枝败叶，直径≥5cm的外售给木炭加工和生物质燃料企业；直径＜5cm的就地切碎埋入土壤做肥料。②苗木栽植前拆除的废包装材料，在施工区域内集中收集，委托环卫部门清运处置。③补植区挖除的未成活苗木和杂草，就地切碎埋入土壤中发酵成肥料。④大棚主体及薄膜废弃物：项目种植过程中蓝莓、三七、羊肚菌种植使用大棚技术，因雨淋、日晒等自然因素和人为因素操作不当会造成大棚损坏，且大棚使用中容易老化，在这部分废弃物中，钢架等材料售卖给废旧资源回收单位；薄膜等塑料废弃物集中能回收利用的回收利用，不能</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回收利用的并入附近村庄生活垃圾收集点</w:t>
                  </w:r>
                  <w:r>
                    <w:rPr>
                      <w:rFonts w:hint="eastAsia" w:ascii="Times New Roman" w:hAnsi="Times New Roman" w:cs="Times New Roman"/>
                      <w:color w:val="000000" w:themeColor="text1"/>
                      <w:sz w:val="21"/>
                      <w:szCs w:val="21"/>
                      <w:lang w:val="en-US" w:eastAsia="zh-CN"/>
                      <w14:textFill>
                        <w14:solidFill>
                          <w14:schemeClr w14:val="tx1"/>
                        </w14:solidFill>
                      </w14:textFill>
                    </w:rPr>
                    <w:t>，</w:t>
                  </w:r>
                  <w:r>
                    <w:rPr>
                      <w:rFonts w:hint="eastAsia" w:ascii="Times New Roman" w:hAnsi="Times New Roman" w:cs="Times New Roman"/>
                      <w:b w:val="0"/>
                      <w:bCs/>
                      <w:color w:val="000000" w:themeColor="text1"/>
                      <w:sz w:val="21"/>
                      <w:szCs w:val="21"/>
                      <w:lang w:val="en-US" w:eastAsia="zh-CN"/>
                      <w14:textFill>
                        <w14:solidFill>
                          <w14:schemeClr w14:val="tx1"/>
                        </w14:solidFill>
                      </w14:textFill>
                    </w:rPr>
                    <w:t>由当地环卫部门统一清运处置</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⑤水肥原料包装袋：收集后暂存于水肥中心，定期外售给废品回收站。</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⑥农药包装袋：农药废包装容器在收集、运输、处置阶段应依据《农药包装废弃物回收处理</w:t>
                  </w:r>
                  <w:r>
                    <w:rPr>
                      <w:rFonts w:hint="eastAsia" w:ascii="Times New Roman" w:hAnsi="Times New Roman" w:cs="Times New Roman"/>
                      <w:color w:val="000000" w:themeColor="text1"/>
                      <w:sz w:val="21"/>
                      <w:szCs w:val="21"/>
                      <w:lang w:val="en-US" w:eastAsia="zh-CN"/>
                      <w14:textFill>
                        <w14:solidFill>
                          <w14:schemeClr w14:val="tx1"/>
                        </w14:solidFill>
                      </w14:textFill>
                    </w:rPr>
                    <w:t>管理办法》中的</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相关要求进行收集、运输、处置</w:t>
                  </w:r>
                  <w:r>
                    <w:rPr>
                      <w:rFonts w:hint="eastAsia" w:ascii="Times New Roman" w:hAnsi="Times New Roman" w:cs="Times New Roman"/>
                      <w:color w:val="000000" w:themeColor="text1"/>
                      <w:sz w:val="21"/>
                      <w:szCs w:val="21"/>
                      <w:lang w:val="en-US" w:eastAsia="zh-CN"/>
                      <w14:textFill>
                        <w14:solidFill>
                          <w14:schemeClr w14:val="tx1"/>
                        </w14:solidFill>
                      </w14:textFill>
                    </w:rPr>
                    <w:t>，在项目农药配制过程中，农药瓶身反复冲洗配置，</w:t>
                  </w:r>
                  <w:r>
                    <w:rPr>
                      <w:rFonts w:hint="eastAsia" w:ascii="Times New Roman" w:hAnsi="Times New Roman" w:cs="Times New Roman"/>
                      <w:color w:val="000000" w:themeColor="text1"/>
                      <w:sz w:val="21"/>
                      <w:szCs w:val="21"/>
                      <w:lang w:val="en-US" w:eastAsia="zh-CN"/>
                      <w14:textFill>
                        <w14:solidFill>
                          <w14:schemeClr w14:val="tx1"/>
                        </w14:solidFill>
                      </w14:textFill>
                    </w:rPr>
                    <w:t>收集装入防渗密闭的塑料桶内</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定期委托农药经营部回收处置</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。⑦生活垃圾分类收集后暂存于垃圾收集点，并入附近村庄生活垃圾收集点统一处置。</w:t>
                  </w:r>
                  <w:r>
                    <w:rPr>
                      <w:rFonts w:hint="default" w:ascii="Times New Roman" w:hAnsi="Times New Roman" w:eastAsia="宋体" w:cs="Times New Roman"/>
                      <w:b w:val="0"/>
                      <w:bCs/>
                      <w:color w:val="000000" w:themeColor="text1"/>
                      <w:sz w:val="21"/>
                      <w:szCs w:val="21"/>
                      <w:lang w:val="en-US" w:eastAsia="zh-CN" w:bidi="zh-CN"/>
                      <w14:textFill>
                        <w14:solidFill>
                          <w14:schemeClr w14:val="tx1"/>
                        </w14:solidFill>
                      </w14:textFill>
                    </w:rPr>
                    <w:t>项目施工期间</w:t>
                  </w:r>
                  <w:r>
                    <w:rPr>
                      <w:rFonts w:hint="eastAsia" w:ascii="Times New Roman" w:hAnsi="Times New Roman" w:cs="Times New Roman"/>
                      <w:b w:val="0"/>
                      <w:bCs/>
                      <w:color w:val="000000" w:themeColor="text1"/>
                      <w:sz w:val="21"/>
                      <w:szCs w:val="21"/>
                      <w:lang w:val="en-US" w:eastAsia="zh-CN" w:bidi="zh-CN"/>
                      <w14:textFill>
                        <w14:solidFill>
                          <w14:schemeClr w14:val="tx1"/>
                        </w14:solidFill>
                      </w14:textFill>
                    </w:rPr>
                    <w:t>及种植期间</w:t>
                  </w:r>
                  <w:r>
                    <w:rPr>
                      <w:rFonts w:hint="default" w:ascii="Times New Roman" w:hAnsi="Times New Roman" w:eastAsia="宋体" w:cs="Times New Roman"/>
                      <w:b w:val="0"/>
                      <w:bCs/>
                      <w:color w:val="000000" w:themeColor="text1"/>
                      <w:sz w:val="21"/>
                      <w:szCs w:val="21"/>
                      <w:lang w:val="en-US" w:eastAsia="zh-CN" w:bidi="zh-CN"/>
                      <w14:textFill>
                        <w14:solidFill>
                          <w14:schemeClr w14:val="tx1"/>
                        </w14:solidFill>
                      </w14:textFill>
                    </w:rPr>
                    <w:t>只要严格执行文明施工条例，对所产生的污染物进行合理的处理处置后，项目施工期</w:t>
                  </w:r>
                  <w:r>
                    <w:rPr>
                      <w:rFonts w:hint="eastAsia" w:ascii="Times New Roman" w:hAnsi="Times New Roman" w:cs="Times New Roman"/>
                      <w:b w:val="0"/>
                      <w:bCs/>
                      <w:color w:val="000000" w:themeColor="text1"/>
                      <w:sz w:val="21"/>
                      <w:szCs w:val="21"/>
                      <w:lang w:val="en-US" w:eastAsia="zh-CN" w:bidi="zh-CN"/>
                      <w14:textFill>
                        <w14:solidFill>
                          <w14:schemeClr w14:val="tx1"/>
                        </w14:solidFill>
                      </w14:textFill>
                    </w:rPr>
                    <w:t>及种植期</w:t>
                  </w:r>
                  <w:r>
                    <w:rPr>
                      <w:rFonts w:hint="default" w:ascii="Times New Roman" w:hAnsi="Times New Roman" w:eastAsia="宋体" w:cs="Times New Roman"/>
                      <w:b w:val="0"/>
                      <w:bCs/>
                      <w:color w:val="000000" w:themeColor="text1"/>
                      <w:sz w:val="21"/>
                      <w:szCs w:val="21"/>
                      <w:lang w:val="en-US" w:eastAsia="zh-CN" w:bidi="zh-CN"/>
                      <w14:textFill>
                        <w14:solidFill>
                          <w14:schemeClr w14:val="tx1"/>
                        </w14:solidFill>
                      </w14:textFill>
                    </w:rPr>
                    <w:t>对环境影响较小。</w:t>
                  </w:r>
                </w:p>
              </w:tc>
              <w:tc>
                <w:tcPr>
                  <w:tcW w:w="425" w:type="pct"/>
                  <w:vAlign w:val="center"/>
                </w:tcPr>
                <w:p w14:paraId="7ED1A260">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符合</w:t>
                  </w:r>
                </w:p>
              </w:tc>
            </w:tr>
            <w:tr w14:paraId="185ED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15" w:type="pct"/>
                  <w:vAlign w:val="center"/>
                </w:tcPr>
                <w:p w14:paraId="62602632">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禁止在水产种质资源保护区的岸线和河段范围内新建围湖造田、围湖造地或围填海等投资建设项目。禁止擅自征收、占用国家湿地公园的土地；禁止在国家湿地公园内挖沙、采矿，以及建设度假村、高尔夫球场等任何不符合主体功能定位的投资建设项目。</w:t>
                  </w:r>
                </w:p>
              </w:tc>
              <w:tc>
                <w:tcPr>
                  <w:tcW w:w="1959" w:type="pct"/>
                  <w:vAlign w:val="center"/>
                </w:tcPr>
                <w:p w14:paraId="7786EC61">
                  <w:pPr>
                    <w:pStyle w:val="7"/>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项目</w:t>
                  </w:r>
                  <w:r>
                    <w:rPr>
                      <w:rFonts w:hint="default" w:ascii="Times New Roman" w:hAnsi="Times New Roman" w:eastAsia="宋体" w:cs="Times New Roman"/>
                      <w:color w:val="000000" w:themeColor="text1"/>
                      <w:sz w:val="21"/>
                      <w:szCs w:val="21"/>
                      <w:lang w:eastAsia="zh-CN"/>
                      <w14:textFill>
                        <w14:solidFill>
                          <w14:schemeClr w14:val="tx1"/>
                        </w14:solidFill>
                      </w14:textFill>
                    </w:rPr>
                    <w:t>选址不在</w:t>
                  </w:r>
                  <w:r>
                    <w:rPr>
                      <w:rFonts w:hint="default" w:ascii="Times New Roman" w:hAnsi="Times New Roman" w:eastAsia="宋体" w:cs="Times New Roman"/>
                      <w:bCs/>
                      <w:color w:val="000000" w:themeColor="text1"/>
                      <w:sz w:val="21"/>
                      <w:szCs w:val="21"/>
                      <w14:textFill>
                        <w14:solidFill>
                          <w14:schemeClr w14:val="tx1"/>
                        </w14:solidFill>
                      </w14:textFill>
                    </w:rPr>
                    <w:t>水产种质资源保护区的岸线和河段范围内</w:t>
                  </w:r>
                  <w:r>
                    <w:rPr>
                      <w:rFonts w:hint="default" w:ascii="Times New Roman" w:hAnsi="Times New Roman" w:eastAsia="宋体" w:cs="Times New Roman"/>
                      <w:bCs/>
                      <w:color w:val="000000" w:themeColor="text1"/>
                      <w:sz w:val="21"/>
                      <w:szCs w:val="21"/>
                      <w:lang w:eastAsia="zh-CN"/>
                      <w14:textFill>
                        <w14:solidFill>
                          <w14:schemeClr w14:val="tx1"/>
                        </w14:solidFill>
                      </w14:textFill>
                    </w:rPr>
                    <w:t>，不</w:t>
                  </w:r>
                  <w:r>
                    <w:rPr>
                      <w:rFonts w:hint="eastAsia" w:ascii="Times New Roman" w:hAnsi="Times New Roman" w:cs="Times New Roman"/>
                      <w:bCs/>
                      <w:color w:val="000000" w:themeColor="text1"/>
                      <w:sz w:val="21"/>
                      <w:szCs w:val="21"/>
                      <w:lang w:eastAsia="zh-CN"/>
                      <w14:textFill>
                        <w14:solidFill>
                          <w14:schemeClr w14:val="tx1"/>
                        </w14:solidFill>
                      </w14:textFill>
                    </w:rPr>
                    <w:t>在国</w:t>
                  </w:r>
                  <w:r>
                    <w:rPr>
                      <w:rFonts w:hint="default" w:ascii="Times New Roman" w:hAnsi="Times New Roman" w:eastAsia="宋体" w:cs="Times New Roman"/>
                      <w:bCs/>
                      <w:color w:val="000000" w:themeColor="text1"/>
                      <w:sz w:val="21"/>
                      <w:szCs w:val="21"/>
                      <w14:textFill>
                        <w14:solidFill>
                          <w14:schemeClr w14:val="tx1"/>
                        </w14:solidFill>
                      </w14:textFill>
                    </w:rPr>
                    <w:t>家湿地公园的岸线和河段范围</w:t>
                  </w:r>
                  <w:r>
                    <w:rPr>
                      <w:rFonts w:hint="default" w:ascii="Times New Roman" w:hAnsi="Times New Roman" w:eastAsia="宋体" w:cs="Times New Roman"/>
                      <w:bCs/>
                      <w:color w:val="000000" w:themeColor="text1"/>
                      <w:sz w:val="21"/>
                      <w:szCs w:val="21"/>
                      <w:lang w:eastAsia="zh-CN"/>
                      <w14:textFill>
                        <w14:solidFill>
                          <w14:schemeClr w14:val="tx1"/>
                        </w14:solidFill>
                      </w14:textFill>
                    </w:rPr>
                    <w:t>，且项目</w:t>
                  </w: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为农产品、药材种植项目</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bCs/>
                      <w:color w:val="000000" w:themeColor="text1"/>
                      <w:sz w:val="21"/>
                      <w:szCs w:val="21"/>
                      <w:lang w:eastAsia="zh-CN"/>
                      <w14:textFill>
                        <w14:solidFill>
                          <w14:schemeClr w14:val="tx1"/>
                        </w14:solidFill>
                      </w14:textFill>
                    </w:rPr>
                    <w:t>不涉及挖沙、采矿</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p>
              </w:tc>
              <w:tc>
                <w:tcPr>
                  <w:tcW w:w="425" w:type="pct"/>
                  <w:vAlign w:val="center"/>
                </w:tcPr>
                <w:p w14:paraId="34E28D25">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符合</w:t>
                  </w:r>
                </w:p>
              </w:tc>
            </w:tr>
            <w:tr w14:paraId="06E3D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15" w:type="pct"/>
                  <w:vAlign w:val="center"/>
                </w:tcPr>
                <w:p w14:paraId="72EE8B0E">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禁止违法利用、占用长江流域河湖岸线。禁止在金沙江岸线保护区和保留区内投资建设除事关公共安全及公众利益的防洪护岸、河道治理、供水、生态环境保护、航道整治、国家重要基础设施以外的项目。禁止在金沙江干流、九大高原湖泊保护区、保留区内投资建设不利于水资源及自然生态保护的项目。</w:t>
                  </w:r>
                </w:p>
              </w:tc>
              <w:tc>
                <w:tcPr>
                  <w:tcW w:w="1959" w:type="pct"/>
                  <w:vAlign w:val="center"/>
                </w:tcPr>
                <w:p w14:paraId="3D4E4BF9">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项目位于</w:t>
                  </w: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峨山县塔甸镇大西村委会</w:t>
                  </w: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大西山</w:t>
                  </w: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eastAsia="zh-CN"/>
                      <w14:textFill>
                        <w14:solidFill>
                          <w14:schemeClr w14:val="tx1"/>
                        </w14:solidFill>
                      </w14:textFill>
                    </w:rPr>
                    <w:t>本项目</w:t>
                  </w:r>
                  <w:r>
                    <w:rPr>
                      <w:rFonts w:hint="default" w:ascii="Times New Roman" w:hAnsi="Times New Roman" w:eastAsia="宋体" w:cs="Times New Roman"/>
                      <w:color w:val="000000" w:themeColor="text1"/>
                      <w:sz w:val="21"/>
                      <w:szCs w:val="21"/>
                      <w14:textFill>
                        <w14:solidFill>
                          <w14:schemeClr w14:val="tx1"/>
                        </w14:solidFill>
                      </w14:textFill>
                    </w:rPr>
                    <w:t>不</w:t>
                  </w:r>
                  <w:r>
                    <w:rPr>
                      <w:rFonts w:hint="default" w:ascii="Times New Roman" w:hAnsi="Times New Roman" w:eastAsia="宋体" w:cs="Times New Roman"/>
                      <w:color w:val="000000" w:themeColor="text1"/>
                      <w:sz w:val="21"/>
                      <w:szCs w:val="21"/>
                      <w:lang w:eastAsia="zh-CN"/>
                      <w14:textFill>
                        <w14:solidFill>
                          <w14:schemeClr w14:val="tx1"/>
                        </w14:solidFill>
                      </w14:textFill>
                    </w:rPr>
                    <w:t>涉及</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长江流域河湖岸线、金沙江干流、九大高原湖泊保护区、保留区。</w:t>
                  </w:r>
                </w:p>
              </w:tc>
              <w:tc>
                <w:tcPr>
                  <w:tcW w:w="425" w:type="pct"/>
                  <w:vAlign w:val="center"/>
                </w:tcPr>
                <w:p w14:paraId="2D19F026">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符合</w:t>
                  </w:r>
                </w:p>
              </w:tc>
            </w:tr>
            <w:tr w14:paraId="79C83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15" w:type="pct"/>
                  <w:vAlign w:val="center"/>
                </w:tcPr>
                <w:p w14:paraId="740381A4">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禁止在金沙江干流、长江一级支流建设除党中央、国务院、国家投资主管部门、省级有关部门批复同意以外的过江基础设施项目；禁止未经许可在金沙江干流、长江一级支流、九大高原湖泊流域新设、改设或扩大排污口</w:t>
                  </w:r>
                </w:p>
              </w:tc>
              <w:tc>
                <w:tcPr>
                  <w:tcW w:w="1959" w:type="pct"/>
                  <w:vAlign w:val="center"/>
                </w:tcPr>
                <w:p w14:paraId="31AB6B29">
                  <w:pPr>
                    <w:pStyle w:val="7"/>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t>项</w:t>
                  </w:r>
                  <w:r>
                    <w:rPr>
                      <w:rFonts w:hint="default" w:ascii="Times New Roman" w:hAnsi="Times New Roman" w:eastAsia="宋体" w:cs="Times New Roman"/>
                      <w:bCs/>
                      <w:color w:val="000000" w:themeColor="text1"/>
                      <w:sz w:val="21"/>
                      <w:szCs w:val="21"/>
                      <w:highlight w:val="none"/>
                      <w14:textFill>
                        <w14:solidFill>
                          <w14:schemeClr w14:val="tx1"/>
                        </w14:solidFill>
                      </w14:textFill>
                    </w:rPr>
                    <w:t>目不在长江干流</w:t>
                  </w:r>
                  <w:r>
                    <w:rPr>
                      <w:rFonts w:hint="default" w:ascii="Times New Roman" w:hAnsi="Times New Roman" w:eastAsia="宋体" w:cs="Times New Roman"/>
                      <w:color w:val="000000" w:themeColor="text1"/>
                      <w:sz w:val="21"/>
                      <w:szCs w:val="21"/>
                      <w14:textFill>
                        <w14:solidFill>
                          <w14:schemeClr w14:val="tx1"/>
                        </w14:solidFill>
                      </w14:textFill>
                    </w:rPr>
                    <w:t>、</w:t>
                  </w:r>
                  <w:r>
                    <w:rPr>
                      <w:rFonts w:hint="default" w:ascii="Times New Roman" w:hAnsi="Times New Roman" w:eastAsia="宋体" w:cs="Times New Roman"/>
                      <w:color w:val="000000" w:themeColor="text1"/>
                      <w:kern w:val="0"/>
                      <w:sz w:val="21"/>
                      <w:szCs w:val="21"/>
                      <w14:textFill>
                        <w14:solidFill>
                          <w14:schemeClr w14:val="tx1"/>
                        </w14:solidFill>
                      </w14:textFill>
                    </w:rPr>
                    <w:t>一级支流</w:t>
                  </w:r>
                  <w:r>
                    <w:rPr>
                      <w:rFonts w:hint="default" w:ascii="Times New Roman" w:hAnsi="Times New Roman" w:eastAsia="宋体" w:cs="Times New Roman"/>
                      <w:color w:val="000000" w:themeColor="text1"/>
                      <w:sz w:val="21"/>
                      <w:szCs w:val="21"/>
                      <w14:textFill>
                        <w14:solidFill>
                          <w14:schemeClr w14:val="tx1"/>
                        </w14:solidFill>
                      </w14:textFill>
                    </w:rPr>
                    <w:t>范围内</w:t>
                  </w:r>
                  <w:r>
                    <w:rPr>
                      <w:rFonts w:hint="default" w:ascii="Times New Roman" w:hAnsi="Times New Roman" w:eastAsia="宋体" w:cs="Times New Roman"/>
                      <w:color w:val="000000" w:themeColor="text1"/>
                      <w:sz w:val="21"/>
                      <w:szCs w:val="21"/>
                      <w:lang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项目无废水外排，无废水排污口。</w:t>
                  </w:r>
                </w:p>
              </w:tc>
              <w:tc>
                <w:tcPr>
                  <w:tcW w:w="425" w:type="pct"/>
                  <w:vAlign w:val="center"/>
                </w:tcPr>
                <w:p w14:paraId="55D0E9D4">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符合</w:t>
                  </w:r>
                </w:p>
              </w:tc>
            </w:tr>
            <w:tr w14:paraId="79D25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15" w:type="pct"/>
                  <w:vAlign w:val="center"/>
                </w:tcPr>
                <w:p w14:paraId="19BE396E">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禁止在金沙江干流、长江一级支流、水生生物保护区和长江流域禁捕水域开展天然渔业资源生产性捕捞。</w:t>
                  </w:r>
                </w:p>
              </w:tc>
              <w:tc>
                <w:tcPr>
                  <w:tcW w:w="1959" w:type="pct"/>
                  <w:vAlign w:val="center"/>
                </w:tcPr>
                <w:p w14:paraId="7926D410">
                  <w:pPr>
                    <w:pStyle w:val="7"/>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项目位于峨山县塔甸镇大西村委会</w:t>
                  </w:r>
                  <w:r>
                    <w:rPr>
                      <w:rFonts w:hint="eastAsia" w:ascii="Times New Roman" w:hAnsi="Times New Roman" w:cs="Times New Roman"/>
                      <w:color w:val="000000" w:themeColor="text1"/>
                      <w:kern w:val="0"/>
                      <w:sz w:val="21"/>
                      <w:szCs w:val="21"/>
                      <w:lang w:val="en-US" w:eastAsia="zh-CN" w:bidi="ar"/>
                      <w14:textFill>
                        <w14:solidFill>
                          <w14:schemeClr w14:val="tx1"/>
                        </w14:solidFill>
                      </w14:textFill>
                    </w:rPr>
                    <w:t>大西山</w:t>
                  </w: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。不在金沙江干流、长江一级支流、水生生物保护区和长江流域禁捕水域范围内，且</w:t>
                  </w: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项目为农产品、药材种植项目，主要种植蓝莓、三七、羊肚菌、桃树、苹果树。</w:t>
                  </w:r>
                  <w:r>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t>项目</w:t>
                  </w: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不涉及生产性捕捞。</w:t>
                  </w:r>
                </w:p>
              </w:tc>
              <w:tc>
                <w:tcPr>
                  <w:tcW w:w="425" w:type="pct"/>
                  <w:vAlign w:val="center"/>
                </w:tcPr>
                <w:p w14:paraId="5A3CD535">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符合</w:t>
                  </w:r>
                </w:p>
              </w:tc>
            </w:tr>
            <w:tr w14:paraId="1A67C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2615" w:type="pct"/>
                  <w:vAlign w:val="center"/>
                </w:tcPr>
                <w:p w14:paraId="5054D211">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禁止在金沙江干流，长江一级支流和九大高原湖泊岸线一公里范围内新建、扩建化工园区和化工项目。禁止在金沙江干流岸线三公里范围内和长江一级支流岸线一公里范围内新建、改建、扩建尾矿库、冶炼渣库和磷石膏库，以提升安全、生态环境保护水平为目的的改建除外。</w:t>
                  </w:r>
                </w:p>
              </w:tc>
              <w:tc>
                <w:tcPr>
                  <w:tcW w:w="1959" w:type="pct"/>
                  <w:vAlign w:val="center"/>
                </w:tcPr>
                <w:p w14:paraId="5F1DEAD2">
                  <w:pPr>
                    <w:pStyle w:val="7"/>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highlight w:val="none"/>
                      <w14:textFill>
                        <w14:solidFill>
                          <w14:schemeClr w14:val="tx1"/>
                        </w14:solidFill>
                      </w14:textFill>
                    </w:rPr>
                    <w:t>项目不在</w:t>
                  </w:r>
                  <w:r>
                    <w:rPr>
                      <w:rFonts w:hint="default" w:ascii="Times New Roman" w:hAnsi="Times New Roman" w:eastAsia="宋体" w:cs="Times New Roman"/>
                      <w:color w:val="000000" w:themeColor="text1"/>
                      <w:kern w:val="0"/>
                      <w:sz w:val="21"/>
                      <w:szCs w:val="21"/>
                      <w14:textFill>
                        <w14:solidFill>
                          <w14:schemeClr w14:val="tx1"/>
                        </w14:solidFill>
                      </w14:textFill>
                    </w:rPr>
                    <w:t>金沙江干流，长江一级支流和九大高原湖泊岸线一公里范围内</w:t>
                  </w:r>
                  <w:r>
                    <w:rPr>
                      <w:rFonts w:hint="default" w:ascii="Times New Roman" w:hAnsi="Times New Roman" w:eastAsia="宋体" w:cs="Times New Roman"/>
                      <w:color w:val="000000" w:themeColor="text1"/>
                      <w:sz w:val="21"/>
                      <w:szCs w:val="21"/>
                      <w:lang w:eastAsia="zh-CN"/>
                      <w14:textFill>
                        <w14:solidFill>
                          <w14:schemeClr w14:val="tx1"/>
                        </w14:solidFill>
                      </w14:textFill>
                    </w:rPr>
                    <w:t>，不在</w:t>
                  </w:r>
                  <w:r>
                    <w:rPr>
                      <w:rFonts w:hint="default" w:ascii="Times New Roman" w:hAnsi="Times New Roman" w:eastAsia="宋体" w:cs="Times New Roman"/>
                      <w:color w:val="000000" w:themeColor="text1"/>
                      <w:kern w:val="0"/>
                      <w:sz w:val="21"/>
                      <w:szCs w:val="21"/>
                      <w14:textFill>
                        <w14:solidFill>
                          <w14:schemeClr w14:val="tx1"/>
                        </w14:solidFill>
                      </w14:textFill>
                    </w:rPr>
                    <w:t>金沙江干流岸线三公里范围内和长江一级支流岸线一公里范围内</w:t>
                  </w:r>
                  <w:r>
                    <w:rPr>
                      <w:rFonts w:hint="default" w:ascii="Times New Roman" w:hAnsi="Times New Roman" w:eastAsia="宋体" w:cs="Times New Roman"/>
                      <w:color w:val="000000" w:themeColor="text1"/>
                      <w:kern w:val="0"/>
                      <w:sz w:val="21"/>
                      <w:szCs w:val="21"/>
                      <w:lang w:eastAsia="zh-CN"/>
                      <w14:textFill>
                        <w14:solidFill>
                          <w14:schemeClr w14:val="tx1"/>
                        </w14:solidFill>
                      </w14:textFill>
                    </w:rPr>
                    <w:t>，</w:t>
                  </w: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项目</w:t>
                  </w: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为农产品、药材种植项目，</w:t>
                  </w:r>
                  <w:r>
                    <w:rPr>
                      <w:rFonts w:hint="default" w:ascii="Times New Roman" w:hAnsi="Times New Roman" w:eastAsia="宋体" w:cs="Times New Roman"/>
                      <w:bCs/>
                      <w:color w:val="000000" w:themeColor="text1"/>
                      <w:sz w:val="21"/>
                      <w:szCs w:val="21"/>
                      <w:highlight w:val="none"/>
                      <w:lang w:eastAsia="zh-CN"/>
                      <w14:textFill>
                        <w14:solidFill>
                          <w14:schemeClr w14:val="tx1"/>
                        </w14:solidFill>
                      </w14:textFill>
                    </w:rPr>
                    <w:t>不属于化工、</w:t>
                  </w:r>
                  <w:r>
                    <w:rPr>
                      <w:rFonts w:hint="default" w:ascii="Times New Roman" w:hAnsi="Times New Roman" w:eastAsia="宋体" w:cs="Times New Roman"/>
                      <w:bCs/>
                      <w:color w:val="000000" w:themeColor="text1"/>
                      <w:sz w:val="21"/>
                      <w:szCs w:val="21"/>
                      <w:highlight w:val="none"/>
                      <w:lang w:val="en-US" w:eastAsia="zh-CN"/>
                      <w14:textFill>
                        <w14:solidFill>
                          <w14:schemeClr w14:val="tx1"/>
                        </w14:solidFill>
                      </w14:textFill>
                    </w:rPr>
                    <w:t>尾</w:t>
                  </w:r>
                  <w:r>
                    <w:rPr>
                      <w:rFonts w:hint="default" w:ascii="Times New Roman" w:hAnsi="Times New Roman" w:eastAsia="宋体" w:cs="Times New Roman"/>
                      <w:bCs/>
                      <w:color w:val="000000" w:themeColor="text1"/>
                      <w:sz w:val="21"/>
                      <w:szCs w:val="21"/>
                      <w:highlight w:val="none"/>
                      <w14:textFill>
                        <w14:solidFill>
                          <w14:schemeClr w14:val="tx1"/>
                        </w14:solidFill>
                      </w14:textFill>
                    </w:rPr>
                    <w:t>矿库、冶炼渣库和磷石膏库</w:t>
                  </w:r>
                  <w:r>
                    <w:rPr>
                      <w:rFonts w:hint="default" w:ascii="Times New Roman" w:hAnsi="Times New Roman" w:eastAsia="宋体" w:cs="Times New Roman"/>
                      <w:bCs/>
                      <w:color w:val="000000" w:themeColor="text1"/>
                      <w:sz w:val="21"/>
                      <w:szCs w:val="21"/>
                      <w:highlight w:val="none"/>
                      <w:lang w:eastAsia="zh-CN"/>
                      <w14:textFill>
                        <w14:solidFill>
                          <w14:schemeClr w14:val="tx1"/>
                        </w14:solidFill>
                      </w14:textFill>
                    </w:rPr>
                    <w:t>项目。</w:t>
                  </w:r>
                </w:p>
              </w:tc>
              <w:tc>
                <w:tcPr>
                  <w:tcW w:w="425" w:type="pct"/>
                  <w:vAlign w:val="center"/>
                </w:tcPr>
                <w:p w14:paraId="3A190403">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符合</w:t>
                  </w:r>
                </w:p>
              </w:tc>
            </w:tr>
            <w:tr w14:paraId="0B62D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15" w:type="pct"/>
                  <w:vAlign w:val="center"/>
                </w:tcPr>
                <w:p w14:paraId="200BB60E">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禁止在合规园区外新建、扩建钢铁、石化、化工、焦化、建材、有色、制浆造纸行业中的高污染项目。</w:t>
                  </w:r>
                </w:p>
              </w:tc>
              <w:tc>
                <w:tcPr>
                  <w:tcW w:w="1959" w:type="pct"/>
                  <w:vAlign w:val="center"/>
                </w:tcPr>
                <w:p w14:paraId="1B0E21AD">
                  <w:pPr>
                    <w:pStyle w:val="7"/>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项目为农产品、药材种植项目，主要种植蓝莓、三七、羊肚菌、桃树、苹果树。</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不属于钢铁、石化、化工、焦化、建材、有色、制浆造纸等高污染项目。</w:t>
                  </w:r>
                </w:p>
              </w:tc>
              <w:tc>
                <w:tcPr>
                  <w:tcW w:w="425" w:type="pct"/>
                  <w:vAlign w:val="center"/>
                </w:tcPr>
                <w:p w14:paraId="11330767">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符合</w:t>
                  </w:r>
                </w:p>
              </w:tc>
            </w:tr>
            <w:tr w14:paraId="1872E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2615" w:type="pct"/>
                  <w:vAlign w:val="center"/>
                </w:tcPr>
                <w:p w14:paraId="30B704CB">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禁止新建、扩建不符合国家石化、现代煤化工等产业布局规划的项目。禁止列入《云南省城镇人口密集区危险化学品生产企业搬迁改造名单》的搬迁改造企业在原址新建、扩建危险化学品生产项目</w:t>
                  </w:r>
                </w:p>
              </w:tc>
              <w:tc>
                <w:tcPr>
                  <w:tcW w:w="1959" w:type="pct"/>
                  <w:vAlign w:val="center"/>
                </w:tcPr>
                <w:p w14:paraId="2A335850">
                  <w:pPr>
                    <w:pStyle w:val="7"/>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项目为农产品、药材种植项目，主要种植蓝莓、三七、羊肚菌、桃树、苹果树。</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不属于</w:t>
                  </w: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石化、现代煤化工项目。</w:t>
                  </w:r>
                </w:p>
              </w:tc>
              <w:tc>
                <w:tcPr>
                  <w:tcW w:w="425" w:type="pct"/>
                  <w:vAlign w:val="center"/>
                </w:tcPr>
                <w:p w14:paraId="0EBE3245">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符合</w:t>
                  </w:r>
                </w:p>
              </w:tc>
            </w:tr>
            <w:tr w14:paraId="61674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15" w:type="pct"/>
                  <w:vAlign w:val="center"/>
                </w:tcPr>
                <w:p w14:paraId="6FF4AB6E">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禁止新建、扩建法律法规和相关政策明令禁止的落后产能项目，依法依规关停退出能耗、环保、质量、安全不达标产能和技术落后产能。禁止新建、扩建不符合国家产能置换要求的过剩产能行业的项目。禁止新建、扩建高毒高残留以及对环境影响大的农药原药生产装置，严控尿素、磷铵、电石、焦炭、黄磷、烧碱、纯碱、聚氯乙烯等行业新增产能</w:t>
                  </w:r>
                  <w:r>
                    <w:rPr>
                      <w:rFonts w:hint="eastAsia" w:ascii="Times New Roman" w:hAnsi="Times New Roman"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禁止建设高毒高残留以及对环境影响大的农药原药生产装置，严控尿素、磷铵、电石、焦炭、黄磷、烧碱、纯碱、聚氯乙烯等行业新增产能。</w:t>
                  </w:r>
                </w:p>
              </w:tc>
              <w:tc>
                <w:tcPr>
                  <w:tcW w:w="1959" w:type="pct"/>
                  <w:vAlign w:val="center"/>
                </w:tcPr>
                <w:p w14:paraId="771ED943">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项目为农产品、药材种植项目，主要种植蓝莓、三七、羊肚菌、桃树、苹果树。</w:t>
                  </w:r>
                  <w:r>
                    <w:rPr>
                      <w:rFonts w:hint="default" w:ascii="Times New Roman" w:hAnsi="Times New Roman" w:eastAsia="宋体" w:cs="Times New Roman"/>
                      <w:bCs/>
                      <w:color w:val="000000" w:themeColor="text1"/>
                      <w:sz w:val="21"/>
                      <w:szCs w:val="21"/>
                      <w:highlight w:val="none"/>
                      <w14:textFill>
                        <w14:solidFill>
                          <w14:schemeClr w14:val="tx1"/>
                        </w14:solidFill>
                      </w14:textFill>
                    </w:rPr>
                    <w:t>不属于</w:t>
                  </w:r>
                  <w:r>
                    <w:rPr>
                      <w:rFonts w:hint="default" w:ascii="Times New Roman" w:hAnsi="Times New Roman" w:eastAsia="宋体" w:cs="Times New Roman"/>
                      <w:color w:val="000000" w:themeColor="text1"/>
                      <w:sz w:val="21"/>
                      <w:szCs w:val="21"/>
                      <w:highlight w:val="none"/>
                      <w14:textFill>
                        <w14:solidFill>
                          <w14:schemeClr w14:val="tx1"/>
                        </w14:solidFill>
                      </w14:textFill>
                    </w:rPr>
                    <w:t>法律法规和相关政策明令禁止的落后产能项目。</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不属于国家产能置换要求的严重过剩产能行业的项目，不属于高耗能高排放项目</w:t>
                  </w:r>
                </w:p>
              </w:tc>
              <w:tc>
                <w:tcPr>
                  <w:tcW w:w="425" w:type="pct"/>
                  <w:vAlign w:val="center"/>
                </w:tcPr>
                <w:p w14:paraId="11133D73">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符合</w:t>
                  </w:r>
                </w:p>
              </w:tc>
            </w:tr>
          </w:tbl>
          <w:p w14:paraId="5D635A22">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80" w:firstLineChars="200"/>
              <w:jc w:val="both"/>
              <w:textAlignment w:val="auto"/>
              <w:rPr>
                <w:rFonts w:hint="default" w:ascii="Times New Roman" w:hAnsi="Times New Roman" w:eastAsia="宋体" w:cs="Times New Roman"/>
                <w:b w:val="0"/>
                <w:bCs/>
                <w:color w:val="000000" w:themeColor="text1"/>
                <w:sz w:val="24"/>
                <w:szCs w:val="24"/>
                <w:lang w:val="en-US" w:eastAsia="zh-CN"/>
                <w14:textFill>
                  <w14:solidFill>
                    <w14:schemeClr w14:val="tx1"/>
                  </w14:solidFill>
                </w14:textFill>
              </w:rPr>
            </w:pPr>
          </w:p>
          <w:p w14:paraId="223F3AC7">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Times New Roman" w:hAnsi="Times New Roman" w:eastAsia="宋体" w:cs="Times New Roman"/>
                <w:b w:val="0"/>
                <w:bCs/>
                <w:color w:val="000000" w:themeColor="text1"/>
                <w:sz w:val="24"/>
                <w:szCs w:val="24"/>
                <w:lang w:val="en-US" w:eastAsia="zh-CN"/>
                <w14:textFill>
                  <w14:solidFill>
                    <w14:schemeClr w14:val="tx1"/>
                  </w14:solidFill>
                </w14:textFill>
              </w:rPr>
            </w:pPr>
            <w:r>
              <w:rPr>
                <w:rFonts w:hint="eastAsia" w:ascii="Times New Roman" w:hAnsi="Times New Roman" w:cs="Times New Roman"/>
                <w:b w:val="0"/>
                <w:bCs/>
                <w:color w:val="000000" w:themeColor="text1"/>
                <w:sz w:val="24"/>
                <w:szCs w:val="24"/>
                <w:lang w:val="en-US" w:eastAsia="zh-CN"/>
                <w14:textFill>
                  <w14:solidFill>
                    <w14:schemeClr w14:val="tx1"/>
                  </w14:solidFill>
                </w14:textFill>
              </w:rPr>
              <w:t>根据上表</w:t>
            </w:r>
            <w:r>
              <w:rPr>
                <w:rFonts w:hint="default" w:ascii="Times New Roman" w:hAnsi="Times New Roman" w:eastAsia="宋体" w:cs="Times New Roman"/>
                <w:b w:val="0"/>
                <w:bCs/>
                <w:color w:val="000000" w:themeColor="text1"/>
                <w:sz w:val="24"/>
                <w:szCs w:val="24"/>
                <w:lang w:val="en-US" w:eastAsia="zh-CN"/>
                <w14:textFill>
                  <w14:solidFill>
                    <w14:schemeClr w14:val="tx1"/>
                  </w14:solidFill>
                </w14:textFill>
              </w:rPr>
              <w:t>分析，</w:t>
            </w:r>
            <w:r>
              <w:rPr>
                <w:rFonts w:hint="eastAsia" w:ascii="Times New Roman" w:hAnsi="Times New Roman" w:cs="Times New Roman"/>
                <w:b w:val="0"/>
                <w:bCs/>
                <w:color w:val="000000" w:themeColor="text1"/>
                <w:sz w:val="24"/>
                <w:szCs w:val="24"/>
                <w:lang w:val="en-US" w:eastAsia="zh-CN"/>
                <w14:textFill>
                  <w14:solidFill>
                    <w14:schemeClr w14:val="tx1"/>
                  </w14:solidFill>
                </w14:textFill>
              </w:rPr>
              <w:t>项目</w:t>
            </w:r>
            <w:r>
              <w:rPr>
                <w:rFonts w:hint="eastAsia" w:ascii="Times New Roman" w:hAnsi="Times New Roman" w:cs="Times New Roman"/>
                <w:color w:val="000000" w:themeColor="text1"/>
                <w:sz w:val="24"/>
                <w:szCs w:val="24"/>
                <w:lang w:val="en-US" w:eastAsia="zh-CN"/>
                <w14:textFill>
                  <w14:solidFill>
                    <w14:schemeClr w14:val="tx1"/>
                  </w14:solidFill>
                </w14:textFill>
              </w:rPr>
              <w:t>符合</w:t>
            </w:r>
            <w:r>
              <w:rPr>
                <w:rFonts w:hint="default" w:ascii="Times New Roman" w:hAnsi="Times New Roman" w:eastAsia="宋体" w:cs="Times New Roman"/>
                <w:color w:val="000000" w:themeColor="text1"/>
                <w:sz w:val="24"/>
                <w:szCs w:val="24"/>
                <w14:textFill>
                  <w14:solidFill>
                    <w14:schemeClr w14:val="tx1"/>
                  </w14:solidFill>
                </w14:textFill>
              </w:rPr>
              <w:t>《云南省长江经济带发展负面清单指南实施细则（试行，2022年版）》</w:t>
            </w:r>
            <w:r>
              <w:rPr>
                <w:rFonts w:hint="eastAsia" w:ascii="Times New Roman" w:hAnsi="Times New Roman" w:cs="Times New Roman"/>
                <w:color w:val="000000" w:themeColor="text1"/>
                <w:sz w:val="24"/>
                <w:szCs w:val="24"/>
                <w:lang w:val="en-US" w:eastAsia="zh-CN"/>
                <w14:textFill>
                  <w14:solidFill>
                    <w14:schemeClr w14:val="tx1"/>
                  </w14:solidFill>
                </w14:textFill>
              </w:rPr>
              <w:t>的相关要求</w:t>
            </w:r>
            <w:r>
              <w:rPr>
                <w:rFonts w:hint="eastAsia" w:ascii="Times New Roman" w:hAnsi="Times New Roman" w:cs="Times New Roman"/>
                <w:color w:val="000000" w:themeColor="text1"/>
                <w:sz w:val="24"/>
                <w:szCs w:val="24"/>
                <w:lang w:eastAsia="zh-CN"/>
                <w14:textFill>
                  <w14:solidFill>
                    <w14:schemeClr w14:val="tx1"/>
                  </w14:solidFill>
                </w14:textFill>
              </w:rPr>
              <w:t>。</w:t>
            </w:r>
          </w:p>
          <w:p w14:paraId="052A7261">
            <w:pPr>
              <w:pStyle w:val="25"/>
              <w:keepNext w:val="0"/>
              <w:keepLines w:val="0"/>
              <w:pageBreakBefore w:val="0"/>
              <w:widowControl w:val="0"/>
              <w:kinsoku/>
              <w:wordWrap/>
              <w:overflowPunct/>
              <w:topLinePunct w:val="0"/>
              <w:bidi w:val="0"/>
              <w:adjustRightInd w:val="0"/>
              <w:snapToGrid w:val="0"/>
              <w:spacing w:after="0" w:afterLines="0" w:line="360" w:lineRule="auto"/>
              <w:ind w:left="0" w:leftChars="0" w:firstLine="482" w:firstLineChars="200"/>
              <w:jc w:val="both"/>
              <w:textAlignment w:val="cente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pPr>
            <w:r>
              <w:rPr>
                <w:rFonts w:hint="eastAsia" w:ascii="Times New Roman" w:hAnsi="Times New Roman" w:cs="Times New Roman"/>
                <w:b/>
                <w:bCs/>
                <w:color w:val="000000" w:themeColor="text1"/>
                <w:sz w:val="24"/>
                <w:szCs w:val="24"/>
                <w:lang w:val="en-US" w:eastAsia="zh-CN"/>
                <w14:textFill>
                  <w14:solidFill>
                    <w14:schemeClr w14:val="tx1"/>
                  </w14:solidFill>
                </w14:textFill>
              </w:rPr>
              <w:t>9</w:t>
            </w: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、与《长江经济带发展负面清单指南（试行，2022年版）》符合性分析</w:t>
            </w:r>
          </w:p>
          <w:p w14:paraId="69DBB1E5">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项目位于峨山县塔甸镇大西村委会大西山，不在《长江经济带发展负面清单指南（试行，2022年版）》禁止建设的负面清单内。具体符合性分析见下表。</w:t>
            </w:r>
          </w:p>
          <w:p w14:paraId="5852DE8C">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zh-TW" w:eastAsia="zh-CN"/>
                <w14:textFill>
                  <w14:solidFill>
                    <w14:schemeClr w14:val="tx1"/>
                  </w14:solidFill>
                </w14:textFill>
              </w:rPr>
              <w:t>表</w:t>
            </w: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1-</w:t>
            </w:r>
            <w:r>
              <w:rPr>
                <w:rFonts w:hint="eastAsia" w:ascii="Times New Roman" w:hAnsi="Times New Roman" w:cs="Times New Roman"/>
                <w:b/>
                <w:bCs/>
                <w:color w:val="000000" w:themeColor="text1"/>
                <w:sz w:val="21"/>
                <w:szCs w:val="21"/>
                <w:lang w:val="en-US" w:eastAsia="zh-CN"/>
                <w14:textFill>
                  <w14:solidFill>
                    <w14:schemeClr w14:val="tx1"/>
                  </w14:solidFill>
                </w14:textFill>
              </w:rPr>
              <w:t>7</w:t>
            </w: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 xml:space="preserve">   与《长江经济带发展负面清单指南（试行，2022年版）》符合性分析</w:t>
            </w:r>
          </w:p>
          <w:tbl>
            <w:tblPr>
              <w:tblStyle w:val="27"/>
              <w:tblW w:w="477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04"/>
              <w:gridCol w:w="2820"/>
              <w:gridCol w:w="849"/>
            </w:tblGrid>
            <w:tr w14:paraId="121DB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99" w:type="pct"/>
                  <w:noWrap w:val="0"/>
                  <w:vAlign w:val="center"/>
                </w:tcPr>
                <w:p w14:paraId="08ECF74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指南要求</w:t>
                  </w:r>
                </w:p>
              </w:tc>
              <w:tc>
                <w:tcPr>
                  <w:tcW w:w="1768" w:type="pct"/>
                  <w:noWrap w:val="0"/>
                  <w:vAlign w:val="center"/>
                </w:tcPr>
                <w:p w14:paraId="0EB1E24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项目情况</w:t>
                  </w:r>
                </w:p>
              </w:tc>
              <w:tc>
                <w:tcPr>
                  <w:tcW w:w="532" w:type="pct"/>
                  <w:noWrap w:val="0"/>
                  <w:vAlign w:val="center"/>
                </w:tcPr>
                <w:p w14:paraId="42C013F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符合性</w:t>
                  </w:r>
                </w:p>
              </w:tc>
            </w:tr>
            <w:tr w14:paraId="1CC7E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2699" w:type="pct"/>
                  <w:noWrap w:val="0"/>
                  <w:vAlign w:val="center"/>
                </w:tcPr>
                <w:p w14:paraId="7012908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禁止建设不符合全国和省级港口布局规划以及港口总体规划的码头项目，禁止建设不符合《长江干线过江通道布局规划》的过长江通道项目。</w:t>
                  </w:r>
                </w:p>
              </w:tc>
              <w:tc>
                <w:tcPr>
                  <w:tcW w:w="1768" w:type="pct"/>
                  <w:noWrap w:val="0"/>
                  <w:vAlign w:val="center"/>
                </w:tcPr>
                <w:p w14:paraId="51C80CA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项目</w:t>
                  </w:r>
                  <w:r>
                    <w:rPr>
                      <w:rFonts w:hint="eastAsia" w:ascii="Times New Roman" w:hAnsi="Times New Roman" w:cs="Times New Roman"/>
                      <w:color w:val="000000" w:themeColor="text1"/>
                      <w:sz w:val="21"/>
                      <w:szCs w:val="21"/>
                      <w:lang w:val="en-US" w:eastAsia="zh-CN"/>
                      <w14:textFill>
                        <w14:solidFill>
                          <w14:schemeClr w14:val="tx1"/>
                        </w14:solidFill>
                      </w14:textFill>
                    </w:rPr>
                    <w:t>为</w:t>
                  </w: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农产品、药材种植项目，主要种植蓝莓、三七、羊肚菌、桃树、苹果树</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，不属于码头和过长江通道项目。</w:t>
                  </w:r>
                </w:p>
              </w:tc>
              <w:tc>
                <w:tcPr>
                  <w:tcW w:w="532" w:type="pct"/>
                  <w:noWrap w:val="0"/>
                  <w:vAlign w:val="center"/>
                </w:tcPr>
                <w:p w14:paraId="4C78AE7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符合</w:t>
                  </w:r>
                </w:p>
              </w:tc>
            </w:tr>
            <w:tr w14:paraId="1A47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9" w:hRule="atLeast"/>
                <w:jc w:val="center"/>
              </w:trPr>
              <w:tc>
                <w:tcPr>
                  <w:tcW w:w="2699" w:type="pct"/>
                  <w:noWrap w:val="0"/>
                  <w:vAlign w:val="center"/>
                </w:tcPr>
                <w:p w14:paraId="675CFB7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禁止在自然保护区核心区、缓冲区的岸线和河段范围内投资建设旅游和生产经营项目。禁止在风景名胜区核心景区的岸线和河段范围内投资建设与风景名胜资源保护无关的项目。</w:t>
                  </w:r>
                </w:p>
              </w:tc>
              <w:tc>
                <w:tcPr>
                  <w:tcW w:w="1768" w:type="pct"/>
                  <w:noWrap w:val="0"/>
                  <w:vAlign w:val="center"/>
                </w:tcPr>
                <w:p w14:paraId="19531AA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项目位于峨山县塔甸镇大西村委会大西山，选址不在自然保护区核心区、缓冲区的岸线和河段范围内。</w:t>
                  </w:r>
                </w:p>
              </w:tc>
              <w:tc>
                <w:tcPr>
                  <w:tcW w:w="532" w:type="pct"/>
                  <w:noWrap w:val="0"/>
                  <w:vAlign w:val="center"/>
                </w:tcPr>
                <w:p w14:paraId="1002536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符合</w:t>
                  </w:r>
                </w:p>
              </w:tc>
            </w:tr>
            <w:tr w14:paraId="23164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99" w:type="pct"/>
                  <w:noWrap w:val="0"/>
                  <w:vAlign w:val="center"/>
                </w:tcPr>
                <w:p w14:paraId="23E626E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禁止在饮用水水源一级保护区的岸线和河段范围内新建、改建、扩建与供水设施和保护水源无关的项目，以及网箱养殖、畜禽养殖、旅游等可能污染饮用水水体的投资建设项目。禁止在饮用水水源二级保护区的岸线和河段范围内新建、改建、扩建排放污染物的投资建设项目。</w:t>
                  </w:r>
                </w:p>
              </w:tc>
              <w:tc>
                <w:tcPr>
                  <w:tcW w:w="1768" w:type="pct"/>
                  <w:noWrap w:val="0"/>
                  <w:vAlign w:val="center"/>
                </w:tcPr>
                <w:p w14:paraId="6BE1AB2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项目位于峨山县塔甸镇大西村委会大西山，</w:t>
                  </w:r>
                  <w:r>
                    <w:rPr>
                      <w:rFonts w:hint="default" w:ascii="Times New Roman" w:hAnsi="Times New Roman" w:eastAsia="宋体" w:cs="Times New Roman"/>
                      <w:color w:val="000000" w:themeColor="text1"/>
                      <w:sz w:val="21"/>
                      <w:szCs w:val="21"/>
                      <w14:textFill>
                        <w14:solidFill>
                          <w14:schemeClr w14:val="tx1"/>
                        </w14:solidFill>
                      </w14:textFill>
                    </w:rPr>
                    <w:t>本项目</w:t>
                  </w:r>
                  <w:r>
                    <w:rPr>
                      <w:rFonts w:hint="default" w:ascii="Times New Roman" w:hAnsi="Times New Roman" w:eastAsia="宋体" w:cs="Times New Roman"/>
                      <w:color w:val="000000" w:themeColor="text1"/>
                      <w:sz w:val="21"/>
                      <w:szCs w:val="21"/>
                      <w:lang w:eastAsia="zh-CN"/>
                      <w14:textFill>
                        <w14:solidFill>
                          <w14:schemeClr w14:val="tx1"/>
                        </w14:solidFill>
                      </w14:textFill>
                    </w:rPr>
                    <w:t>选址不在</w:t>
                  </w:r>
                  <w:r>
                    <w:rPr>
                      <w:rFonts w:hint="default" w:ascii="Times New Roman" w:hAnsi="Times New Roman" w:eastAsia="宋体" w:cs="Times New Roman"/>
                      <w:bCs/>
                      <w:color w:val="000000" w:themeColor="text1"/>
                      <w:sz w:val="21"/>
                      <w:szCs w:val="21"/>
                      <w14:textFill>
                        <w14:solidFill>
                          <w14:schemeClr w14:val="tx1"/>
                        </w14:solidFill>
                      </w14:textFill>
                    </w:rPr>
                    <w:t>饮用水水源一级</w:t>
                  </w:r>
                  <w:r>
                    <w:rPr>
                      <w:rFonts w:hint="default" w:ascii="Times New Roman" w:hAnsi="Times New Roman" w:eastAsia="宋体" w:cs="Times New Roman"/>
                      <w:bCs/>
                      <w:color w:val="000000" w:themeColor="text1"/>
                      <w:sz w:val="21"/>
                      <w:szCs w:val="21"/>
                      <w:lang w:eastAsia="zh-CN"/>
                      <w14:textFill>
                        <w14:solidFill>
                          <w14:schemeClr w14:val="tx1"/>
                        </w14:solidFill>
                      </w14:textFill>
                    </w:rPr>
                    <w:t>、二级</w:t>
                  </w:r>
                  <w:r>
                    <w:rPr>
                      <w:rFonts w:hint="default" w:ascii="Times New Roman" w:hAnsi="Times New Roman" w:eastAsia="宋体" w:cs="Times New Roman"/>
                      <w:bCs/>
                      <w:color w:val="000000" w:themeColor="text1"/>
                      <w:sz w:val="21"/>
                      <w:szCs w:val="21"/>
                      <w14:textFill>
                        <w14:solidFill>
                          <w14:schemeClr w14:val="tx1"/>
                        </w14:solidFill>
                      </w14:textFill>
                    </w:rPr>
                    <w:t>保护区的岸线和河段范围内</w:t>
                  </w:r>
                  <w:r>
                    <w:rPr>
                      <w:rFonts w:hint="default" w:ascii="Times New Roman" w:hAnsi="Times New Roman" w:eastAsia="宋体" w:cs="Times New Roman"/>
                      <w:bCs/>
                      <w:color w:val="000000" w:themeColor="text1"/>
                      <w:sz w:val="21"/>
                      <w:szCs w:val="21"/>
                      <w:lang w:eastAsia="zh-CN"/>
                      <w14:textFill>
                        <w14:solidFill>
                          <w14:schemeClr w14:val="tx1"/>
                        </w14:solidFill>
                      </w14:textFill>
                    </w:rPr>
                    <w:t>。</w:t>
                  </w:r>
                </w:p>
              </w:tc>
              <w:tc>
                <w:tcPr>
                  <w:tcW w:w="532" w:type="pct"/>
                  <w:noWrap w:val="0"/>
                  <w:vAlign w:val="center"/>
                </w:tcPr>
                <w:p w14:paraId="06D93FC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符合</w:t>
                  </w:r>
                </w:p>
              </w:tc>
            </w:tr>
            <w:tr w14:paraId="60C0F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99" w:type="pct"/>
                  <w:noWrap w:val="0"/>
                  <w:vAlign w:val="center"/>
                </w:tcPr>
                <w:p w14:paraId="306C24D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禁止在水产种质资源保护区的岸线和河段范围内新建围湖造田、围海造地或围填海等投资建设项目。禁止在国家湿地公园的岸线和河段范围内挖沙、采矿，以及任何不符合主体功能定位的投资建设项目。</w:t>
                  </w:r>
                </w:p>
              </w:tc>
              <w:tc>
                <w:tcPr>
                  <w:tcW w:w="1768" w:type="pct"/>
                  <w:noWrap w:val="0"/>
                  <w:vAlign w:val="center"/>
                </w:tcPr>
                <w:p w14:paraId="42C092D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项目</w:t>
                  </w:r>
                  <w:r>
                    <w:rPr>
                      <w:rFonts w:hint="default" w:ascii="Times New Roman" w:hAnsi="Times New Roman" w:eastAsia="宋体" w:cs="Times New Roman"/>
                      <w:color w:val="000000" w:themeColor="text1"/>
                      <w:sz w:val="21"/>
                      <w:szCs w:val="21"/>
                      <w:lang w:eastAsia="zh-CN"/>
                      <w14:textFill>
                        <w14:solidFill>
                          <w14:schemeClr w14:val="tx1"/>
                        </w14:solidFill>
                      </w14:textFill>
                    </w:rPr>
                    <w:t>选址不在</w:t>
                  </w:r>
                  <w:r>
                    <w:rPr>
                      <w:rFonts w:hint="default" w:ascii="Times New Roman" w:hAnsi="Times New Roman" w:eastAsia="宋体" w:cs="Times New Roman"/>
                      <w:bCs/>
                      <w:color w:val="000000" w:themeColor="text1"/>
                      <w:sz w:val="21"/>
                      <w:szCs w:val="21"/>
                      <w14:textFill>
                        <w14:solidFill>
                          <w14:schemeClr w14:val="tx1"/>
                        </w14:solidFill>
                      </w14:textFill>
                    </w:rPr>
                    <w:t>水产种质资源保护区的岸线和河段范围内</w:t>
                  </w:r>
                  <w:r>
                    <w:rPr>
                      <w:rFonts w:hint="default" w:ascii="Times New Roman" w:hAnsi="Times New Roman" w:eastAsia="宋体" w:cs="Times New Roman"/>
                      <w:bCs/>
                      <w:color w:val="000000" w:themeColor="text1"/>
                      <w:sz w:val="21"/>
                      <w:szCs w:val="21"/>
                      <w:lang w:eastAsia="zh-CN"/>
                      <w14:textFill>
                        <w14:solidFill>
                          <w14:schemeClr w14:val="tx1"/>
                        </w14:solidFill>
                      </w14:textFill>
                    </w:rPr>
                    <w:t>，不</w:t>
                  </w:r>
                  <w:r>
                    <w:rPr>
                      <w:rFonts w:hint="eastAsia" w:ascii="Times New Roman" w:hAnsi="Times New Roman" w:cs="Times New Roman"/>
                      <w:bCs/>
                      <w:color w:val="000000" w:themeColor="text1"/>
                      <w:sz w:val="21"/>
                      <w:szCs w:val="21"/>
                      <w:lang w:eastAsia="zh-CN"/>
                      <w14:textFill>
                        <w14:solidFill>
                          <w14:schemeClr w14:val="tx1"/>
                        </w14:solidFill>
                      </w14:textFill>
                    </w:rPr>
                    <w:t>在国</w:t>
                  </w:r>
                  <w:r>
                    <w:rPr>
                      <w:rFonts w:hint="default" w:ascii="Times New Roman" w:hAnsi="Times New Roman" w:eastAsia="宋体" w:cs="Times New Roman"/>
                      <w:bCs/>
                      <w:color w:val="000000" w:themeColor="text1"/>
                      <w:sz w:val="21"/>
                      <w:szCs w:val="21"/>
                      <w14:textFill>
                        <w14:solidFill>
                          <w14:schemeClr w14:val="tx1"/>
                        </w14:solidFill>
                      </w14:textFill>
                    </w:rPr>
                    <w:t>家湿地公园的岸线和河段范围</w:t>
                  </w:r>
                  <w:r>
                    <w:rPr>
                      <w:rFonts w:hint="default" w:ascii="Times New Roman" w:hAnsi="Times New Roman" w:eastAsia="宋体" w:cs="Times New Roman"/>
                      <w:bCs/>
                      <w:color w:val="000000" w:themeColor="text1"/>
                      <w:sz w:val="21"/>
                      <w:szCs w:val="21"/>
                      <w:lang w:eastAsia="zh-CN"/>
                      <w14:textFill>
                        <w14:solidFill>
                          <w14:schemeClr w14:val="tx1"/>
                        </w14:solidFill>
                      </w14:textFill>
                    </w:rPr>
                    <w:t>，且项目</w:t>
                  </w:r>
                  <w:r>
                    <w:rPr>
                      <w:rFonts w:hint="eastAsia" w:ascii="Times New Roman" w:hAnsi="Times New Roman" w:cs="Times New Roman"/>
                      <w:bCs/>
                      <w:color w:val="000000" w:themeColor="text1"/>
                      <w:sz w:val="21"/>
                      <w:szCs w:val="21"/>
                      <w:lang w:eastAsia="zh-CN"/>
                      <w14:textFill>
                        <w14:solidFill>
                          <w14:schemeClr w14:val="tx1"/>
                        </w14:solidFill>
                      </w14:textFill>
                    </w:rPr>
                    <w:t>为</w:t>
                  </w: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农产品、药材种植项目，主要种植蓝莓、三七、羊肚菌、桃树、苹果树</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，不涉及</w:t>
                  </w:r>
                  <w:r>
                    <w:rPr>
                      <w:rFonts w:hint="default" w:ascii="Times New Roman" w:hAnsi="Times New Roman" w:eastAsia="宋体" w:cs="Times New Roman"/>
                      <w:bCs/>
                      <w:color w:val="000000" w:themeColor="text1"/>
                      <w:sz w:val="21"/>
                      <w:szCs w:val="21"/>
                      <w:lang w:eastAsia="zh-CN"/>
                      <w14:textFill>
                        <w14:solidFill>
                          <w14:schemeClr w14:val="tx1"/>
                        </w14:solidFill>
                      </w14:textFill>
                    </w:rPr>
                    <w:t>挖沙、采矿</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p>
              </w:tc>
              <w:tc>
                <w:tcPr>
                  <w:tcW w:w="532" w:type="pct"/>
                  <w:noWrap w:val="0"/>
                  <w:vAlign w:val="center"/>
                </w:tcPr>
                <w:p w14:paraId="087067C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符合</w:t>
                  </w:r>
                </w:p>
              </w:tc>
            </w:tr>
            <w:tr w14:paraId="04A2C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99" w:type="pct"/>
                  <w:noWrap w:val="0"/>
                  <w:vAlign w:val="center"/>
                </w:tcPr>
                <w:p w14:paraId="3B7D419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禁止违法利用、占用长江流域河湖岸线。禁止在《长江岸线保护和开发利用总体规划》划定的岸线保护区和保留区内投资建设除事关公共安全及公众利益的防洪护岸、河道治理、供水、生态环境保护、航道整治、国家重要基础设施以外的项目。禁止在《全国重要江河湖泊水功能区划》划定的河段及湖泊保护区、保留区内投资建设不利于水资源及自然生态保护的项目。</w:t>
                  </w:r>
                </w:p>
              </w:tc>
              <w:tc>
                <w:tcPr>
                  <w:tcW w:w="1768" w:type="pct"/>
                  <w:noWrap w:val="0"/>
                  <w:vAlign w:val="center"/>
                </w:tcPr>
                <w:p w14:paraId="3D96B52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项目位于峨山县塔甸镇大西村委会大西山，</w:t>
                  </w:r>
                  <w:r>
                    <w:rPr>
                      <w:rFonts w:hint="default" w:ascii="Times New Roman" w:hAnsi="Times New Roman" w:eastAsia="宋体" w:cs="Times New Roman"/>
                      <w:color w:val="000000" w:themeColor="text1"/>
                      <w:sz w:val="21"/>
                      <w:szCs w:val="21"/>
                      <w:lang w:eastAsia="zh-CN"/>
                      <w14:textFill>
                        <w14:solidFill>
                          <w14:schemeClr w14:val="tx1"/>
                        </w14:solidFill>
                      </w14:textFill>
                    </w:rPr>
                    <w:t>选址</w:t>
                  </w:r>
                  <w:r>
                    <w:rPr>
                      <w:rFonts w:hint="default" w:ascii="Times New Roman" w:hAnsi="Times New Roman" w:eastAsia="宋体" w:cs="Times New Roman"/>
                      <w:bCs/>
                      <w:color w:val="000000" w:themeColor="text1"/>
                      <w:sz w:val="21"/>
                      <w:szCs w:val="21"/>
                      <w:lang w:val="en-US" w:eastAsia="zh-CN"/>
                      <w14:textFill>
                        <w14:solidFill>
                          <w14:schemeClr w14:val="tx1"/>
                        </w14:solidFill>
                      </w14:textFill>
                    </w:rPr>
                    <w:t>不</w:t>
                  </w:r>
                  <w:r>
                    <w:rPr>
                      <w:rFonts w:hint="default" w:ascii="Times New Roman" w:hAnsi="Times New Roman" w:eastAsia="宋体" w:cs="Times New Roman"/>
                      <w:bCs/>
                      <w:color w:val="000000" w:themeColor="text1"/>
                      <w:sz w:val="21"/>
                      <w:szCs w:val="21"/>
                      <w14:textFill>
                        <w14:solidFill>
                          <w14:schemeClr w14:val="tx1"/>
                        </w14:solidFill>
                      </w14:textFill>
                    </w:rPr>
                    <w:t>在《长江岸线保护和开发利用总体规划》划定的岸线保护区和保留区</w:t>
                  </w:r>
                  <w:r>
                    <w:rPr>
                      <w:rFonts w:hint="default" w:ascii="Times New Roman" w:hAnsi="Times New Roman" w:eastAsia="宋体" w:cs="Times New Roman"/>
                      <w:bCs/>
                      <w:color w:val="000000" w:themeColor="text1"/>
                      <w:sz w:val="21"/>
                      <w:szCs w:val="21"/>
                      <w:lang w:eastAsia="zh-CN"/>
                      <w14:textFill>
                        <w14:solidFill>
                          <w14:schemeClr w14:val="tx1"/>
                        </w14:solidFill>
                      </w14:textFill>
                    </w:rPr>
                    <w:t>，不在</w:t>
                  </w:r>
                  <w:r>
                    <w:rPr>
                      <w:rFonts w:hint="default" w:ascii="Times New Roman" w:hAnsi="Times New Roman" w:eastAsia="宋体" w:cs="Times New Roman"/>
                      <w:bCs/>
                      <w:color w:val="000000" w:themeColor="text1"/>
                      <w:sz w:val="21"/>
                      <w:szCs w:val="21"/>
                      <w14:textFill>
                        <w14:solidFill>
                          <w14:schemeClr w14:val="tx1"/>
                        </w14:solidFill>
                      </w14:textFill>
                    </w:rPr>
                    <w:t>《全国重要江河湖泊水功能区划》划定的河段及湖泊保护区、保留区内</w:t>
                  </w:r>
                  <w:r>
                    <w:rPr>
                      <w:rFonts w:hint="default" w:ascii="Times New Roman" w:hAnsi="Times New Roman" w:eastAsia="宋体" w:cs="Times New Roman"/>
                      <w:bCs/>
                      <w:color w:val="000000" w:themeColor="text1"/>
                      <w:sz w:val="21"/>
                      <w:szCs w:val="21"/>
                      <w:lang w:eastAsia="zh-CN"/>
                      <w14:textFill>
                        <w14:solidFill>
                          <w14:schemeClr w14:val="tx1"/>
                        </w14:solidFill>
                      </w14:textFill>
                    </w:rPr>
                    <w:t>。</w:t>
                  </w:r>
                </w:p>
              </w:tc>
              <w:tc>
                <w:tcPr>
                  <w:tcW w:w="532" w:type="pct"/>
                  <w:noWrap w:val="0"/>
                  <w:vAlign w:val="center"/>
                </w:tcPr>
                <w:p w14:paraId="0D2AC29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符合</w:t>
                  </w:r>
                </w:p>
              </w:tc>
            </w:tr>
            <w:tr w14:paraId="19F2B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2699" w:type="pct"/>
                  <w:noWrap w:val="0"/>
                  <w:vAlign w:val="center"/>
                </w:tcPr>
                <w:p w14:paraId="6D21680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禁止未经许可在长江干支流及湖泊新设、改设或扩大排污口。</w:t>
                  </w:r>
                </w:p>
              </w:tc>
              <w:tc>
                <w:tcPr>
                  <w:tcW w:w="1768" w:type="pct"/>
                  <w:noWrap w:val="0"/>
                  <w:vAlign w:val="center"/>
                </w:tcPr>
                <w:p w14:paraId="6E56538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项目废水不外排，不设排污口。</w:t>
                  </w:r>
                </w:p>
              </w:tc>
              <w:tc>
                <w:tcPr>
                  <w:tcW w:w="532" w:type="pct"/>
                  <w:noWrap w:val="0"/>
                  <w:vAlign w:val="center"/>
                </w:tcPr>
                <w:p w14:paraId="383C55A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符合</w:t>
                  </w:r>
                </w:p>
              </w:tc>
            </w:tr>
            <w:tr w14:paraId="7DEC5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2699" w:type="pct"/>
                  <w:noWrap w:val="0"/>
                  <w:vAlign w:val="center"/>
                </w:tcPr>
                <w:p w14:paraId="2BE80FC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禁止在“一江一口两湖七河”和332个水生生物保护区开展生产性捕捞。</w:t>
                  </w:r>
                </w:p>
              </w:tc>
              <w:tc>
                <w:tcPr>
                  <w:tcW w:w="1768" w:type="pct"/>
                  <w:noWrap w:val="0"/>
                  <w:vAlign w:val="center"/>
                </w:tcPr>
                <w:p w14:paraId="05907B7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项目为</w:t>
                  </w: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农产品、药材种植项目，主要种植蓝莓、三七、羊肚菌、桃树、苹果树</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，不涉及捕捞活动。</w:t>
                  </w:r>
                </w:p>
              </w:tc>
              <w:tc>
                <w:tcPr>
                  <w:tcW w:w="532" w:type="pct"/>
                  <w:noWrap w:val="0"/>
                  <w:vAlign w:val="center"/>
                </w:tcPr>
                <w:p w14:paraId="689354C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符合</w:t>
                  </w:r>
                </w:p>
              </w:tc>
            </w:tr>
            <w:tr w14:paraId="793CB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99" w:type="pct"/>
                  <w:noWrap w:val="0"/>
                  <w:vAlign w:val="center"/>
                </w:tcPr>
                <w:p w14:paraId="0C76E8E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8.禁止在长江干支流、重要湖泊岸线一公里范围内新建、扩建化工园区和化工项目。禁止在长江干流岸线三公里范围内和重要支流岸线一公里范围内新建、改建、扩建尾矿库、冶炼渣库和磷石膏库，以提升安全、生态环境保护水平为目的的改建除外。</w:t>
                  </w:r>
                </w:p>
              </w:tc>
              <w:tc>
                <w:tcPr>
                  <w:tcW w:w="1768" w:type="pct"/>
                  <w:noWrap w:val="0"/>
                  <w:vAlign w:val="center"/>
                </w:tcPr>
                <w:p w14:paraId="741C8A9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项目不在长江干支流、重要湖泊岸线一公里范围内。</w:t>
                  </w:r>
                  <w:r>
                    <w:rPr>
                      <w:rFonts w:hint="default" w:ascii="Times New Roman" w:hAnsi="Times New Roman" w:eastAsia="宋体" w:cs="Times New Roman"/>
                      <w:color w:val="000000" w:themeColor="text1"/>
                      <w:sz w:val="21"/>
                      <w:szCs w:val="21"/>
                      <w:lang w:eastAsia="zh-CN"/>
                      <w14:textFill>
                        <w14:solidFill>
                          <w14:schemeClr w14:val="tx1"/>
                        </w14:solidFill>
                      </w14:textFill>
                    </w:rPr>
                    <w:t>不在</w:t>
                  </w:r>
                  <w:r>
                    <w:rPr>
                      <w:rFonts w:hint="default" w:ascii="Times New Roman" w:hAnsi="Times New Roman" w:eastAsia="宋体" w:cs="Times New Roman"/>
                      <w:color w:val="000000" w:themeColor="text1"/>
                      <w:sz w:val="21"/>
                      <w:szCs w:val="21"/>
                      <w14:textFill>
                        <w14:solidFill>
                          <w14:schemeClr w14:val="tx1"/>
                        </w14:solidFill>
                      </w14:textFill>
                    </w:rPr>
                    <w:t>长江干流</w:t>
                  </w:r>
                  <w:r>
                    <w:rPr>
                      <w:rFonts w:hint="default" w:ascii="Times New Roman" w:hAnsi="Times New Roman" w:eastAsia="宋体" w:cs="Times New Roman"/>
                      <w:color w:val="000000" w:themeColor="text1"/>
                      <w:sz w:val="21"/>
                      <w:szCs w:val="21"/>
                      <w:lang w:eastAsia="zh-CN"/>
                      <w14:textFill>
                        <w14:solidFill>
                          <w14:schemeClr w14:val="tx1"/>
                        </w14:solidFill>
                      </w14:textFill>
                    </w:rPr>
                    <w:t>岸线</w:t>
                  </w:r>
                  <w:r>
                    <w:rPr>
                      <w:rFonts w:hint="default" w:ascii="Times New Roman" w:hAnsi="Times New Roman" w:eastAsia="宋体" w:cs="Times New Roman"/>
                      <w:bCs/>
                      <w:color w:val="000000" w:themeColor="text1"/>
                      <w:sz w:val="21"/>
                      <w:szCs w:val="21"/>
                      <w:highlight w:val="none"/>
                      <w14:textFill>
                        <w14:solidFill>
                          <w14:schemeClr w14:val="tx1"/>
                        </w14:solidFill>
                      </w14:textFill>
                    </w:rPr>
                    <w:t>三公里范围内和重要支流岸线一公里范围内</w:t>
                  </w:r>
                  <w:r>
                    <w:rPr>
                      <w:rFonts w:hint="default" w:ascii="Times New Roman" w:hAnsi="Times New Roman" w:eastAsia="宋体" w:cs="Times New Roman"/>
                      <w:bCs/>
                      <w:color w:val="000000" w:themeColor="text1"/>
                      <w:sz w:val="21"/>
                      <w:szCs w:val="21"/>
                      <w:highlight w:val="none"/>
                      <w:lang w:eastAsia="zh-CN"/>
                      <w14:textFill>
                        <w14:solidFill>
                          <w14:schemeClr w14:val="tx1"/>
                        </w14:solidFill>
                      </w14:textFill>
                    </w:rPr>
                    <w:t>且不属于</w:t>
                  </w:r>
                  <w:r>
                    <w:rPr>
                      <w:rFonts w:hint="default" w:ascii="Times New Roman" w:hAnsi="Times New Roman" w:eastAsia="宋体" w:cs="Times New Roman"/>
                      <w:bCs/>
                      <w:color w:val="000000" w:themeColor="text1"/>
                      <w:sz w:val="21"/>
                      <w:szCs w:val="21"/>
                      <w:highlight w:val="none"/>
                      <w14:textFill>
                        <w14:solidFill>
                          <w14:schemeClr w14:val="tx1"/>
                        </w14:solidFill>
                      </w14:textFill>
                    </w:rPr>
                    <w:t>矿库、冶炼渣库和磷石膏库</w:t>
                  </w:r>
                  <w:r>
                    <w:rPr>
                      <w:rFonts w:hint="default" w:ascii="Times New Roman" w:hAnsi="Times New Roman" w:eastAsia="宋体" w:cs="Times New Roman"/>
                      <w:bCs/>
                      <w:color w:val="000000" w:themeColor="text1"/>
                      <w:sz w:val="21"/>
                      <w:szCs w:val="21"/>
                      <w:highlight w:val="none"/>
                      <w:lang w:eastAsia="zh-CN"/>
                      <w14:textFill>
                        <w14:solidFill>
                          <w14:schemeClr w14:val="tx1"/>
                        </w14:solidFill>
                      </w14:textFill>
                    </w:rPr>
                    <w:t>项目。</w:t>
                  </w:r>
                </w:p>
              </w:tc>
              <w:tc>
                <w:tcPr>
                  <w:tcW w:w="532" w:type="pct"/>
                  <w:noWrap w:val="0"/>
                  <w:vAlign w:val="center"/>
                </w:tcPr>
                <w:p w14:paraId="53EDBE6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符合</w:t>
                  </w:r>
                </w:p>
              </w:tc>
            </w:tr>
            <w:tr w14:paraId="7EE3C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99" w:type="pct"/>
                  <w:noWrap w:val="0"/>
                  <w:vAlign w:val="center"/>
                </w:tcPr>
                <w:p w14:paraId="0A1993C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禁止在合规园区外新建、扩建钢铁、石化、化工、焦化、建材、有色、制浆造纸等高污染项目。</w:t>
                  </w:r>
                </w:p>
              </w:tc>
              <w:tc>
                <w:tcPr>
                  <w:tcW w:w="1768" w:type="pct"/>
                  <w:noWrap w:val="0"/>
                  <w:vAlign w:val="center"/>
                </w:tcPr>
                <w:p w14:paraId="4036674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项目位于峨山县塔甸镇大西村委会</w:t>
                  </w:r>
                  <w:r>
                    <w:rPr>
                      <w:rFonts w:hint="eastAsia" w:ascii="Times New Roman" w:hAnsi="Times New Roman" w:cs="Times New Roman"/>
                      <w:color w:val="000000" w:themeColor="text1"/>
                      <w:sz w:val="21"/>
                      <w:szCs w:val="21"/>
                      <w:lang w:val="en-US" w:eastAsia="zh-CN"/>
                      <w14:textFill>
                        <w14:solidFill>
                          <w14:schemeClr w14:val="tx1"/>
                        </w14:solidFill>
                      </w14:textFill>
                    </w:rPr>
                    <w:t>大西山</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为农产品、药材种植项目，主要种植蓝莓、三七、羊肚菌、桃树、苹果树</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不属于钢铁、石化、化工、焦化、建材、有色、制浆造纸等高污染项目</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p>
              </w:tc>
              <w:tc>
                <w:tcPr>
                  <w:tcW w:w="532" w:type="pct"/>
                  <w:noWrap w:val="0"/>
                  <w:vAlign w:val="center"/>
                </w:tcPr>
                <w:p w14:paraId="15981A3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符合</w:t>
                  </w:r>
                </w:p>
              </w:tc>
            </w:tr>
            <w:tr w14:paraId="1B22C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99" w:type="pct"/>
                  <w:noWrap w:val="0"/>
                  <w:vAlign w:val="center"/>
                </w:tcPr>
                <w:p w14:paraId="01200DE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禁止新建、扩建不符合国家石化、现代煤化工等产业布局规划的项目。</w:t>
                  </w:r>
                </w:p>
              </w:tc>
              <w:tc>
                <w:tcPr>
                  <w:tcW w:w="1768" w:type="pct"/>
                  <w:noWrap w:val="0"/>
                  <w:vAlign w:val="center"/>
                </w:tcPr>
                <w:p w14:paraId="3F0E076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项目</w:t>
                  </w:r>
                  <w:r>
                    <w:rPr>
                      <w:rFonts w:hint="eastAsia" w:ascii="Times New Roman" w:hAnsi="Times New Roman" w:cs="Times New Roman"/>
                      <w:color w:val="000000" w:themeColor="text1"/>
                      <w:sz w:val="21"/>
                      <w:szCs w:val="21"/>
                      <w:lang w:val="en-US" w:eastAsia="zh-CN"/>
                      <w14:textFill>
                        <w14:solidFill>
                          <w14:schemeClr w14:val="tx1"/>
                        </w14:solidFill>
                      </w14:textFill>
                    </w:rPr>
                    <w:t>为</w:t>
                  </w: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农产品、药材种植项目，主要种植蓝莓、三七、羊肚菌、桃树、苹果树</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bCs/>
                      <w:color w:val="000000" w:themeColor="text1"/>
                      <w:sz w:val="21"/>
                      <w:szCs w:val="21"/>
                      <w:highlight w:val="none"/>
                      <w14:textFill>
                        <w14:solidFill>
                          <w14:schemeClr w14:val="tx1"/>
                        </w14:solidFill>
                      </w14:textFill>
                    </w:rPr>
                    <w:t>不属于</w:t>
                  </w:r>
                  <w:r>
                    <w:rPr>
                      <w:rFonts w:hint="default" w:ascii="Times New Roman" w:hAnsi="Times New Roman" w:eastAsia="宋体" w:cs="Times New Roman"/>
                      <w:color w:val="000000" w:themeColor="text1"/>
                      <w:sz w:val="21"/>
                      <w:szCs w:val="21"/>
                      <w:highlight w:val="none"/>
                      <w14:textFill>
                        <w14:solidFill>
                          <w14:schemeClr w14:val="tx1"/>
                        </w14:solidFill>
                      </w14:textFill>
                    </w:rPr>
                    <w:t>国家石化、现代煤化工等产业布局规划的项目。</w:t>
                  </w:r>
                </w:p>
              </w:tc>
              <w:tc>
                <w:tcPr>
                  <w:tcW w:w="532" w:type="pct"/>
                  <w:noWrap w:val="0"/>
                  <w:vAlign w:val="center"/>
                </w:tcPr>
                <w:p w14:paraId="5C57DF6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符合</w:t>
                  </w:r>
                </w:p>
              </w:tc>
            </w:tr>
            <w:tr w14:paraId="491BD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99" w:type="pct"/>
                  <w:noWrap w:val="0"/>
                  <w:vAlign w:val="center"/>
                </w:tcPr>
                <w:p w14:paraId="18BA736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禁止新建、扩建法律法规和相关政策明令禁止的落后产能项目。禁止新建、扩建不符合国家产能置换要求的严重过剩产能行业的项目。禁止新建、扩建不符合要求的高耗能高排放项目。</w:t>
                  </w:r>
                </w:p>
              </w:tc>
              <w:tc>
                <w:tcPr>
                  <w:tcW w:w="1768" w:type="pct"/>
                  <w:noWrap w:val="0"/>
                  <w:vAlign w:val="center"/>
                </w:tcPr>
                <w:p w14:paraId="3B3239B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项目为</w:t>
                  </w: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农产品、药材种植项目，主要种植蓝莓、三七、羊肚菌、桃树、苹果树</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bCs/>
                      <w:color w:val="000000" w:themeColor="text1"/>
                      <w:sz w:val="21"/>
                      <w:szCs w:val="21"/>
                      <w:highlight w:val="none"/>
                      <w14:textFill>
                        <w14:solidFill>
                          <w14:schemeClr w14:val="tx1"/>
                        </w14:solidFill>
                      </w14:textFill>
                    </w:rPr>
                    <w:t>不属于</w:t>
                  </w:r>
                  <w:r>
                    <w:rPr>
                      <w:rFonts w:hint="default" w:ascii="Times New Roman" w:hAnsi="Times New Roman" w:eastAsia="宋体" w:cs="Times New Roman"/>
                      <w:color w:val="000000" w:themeColor="text1"/>
                      <w:sz w:val="21"/>
                      <w:szCs w:val="21"/>
                      <w:highlight w:val="none"/>
                      <w14:textFill>
                        <w14:solidFill>
                          <w14:schemeClr w14:val="tx1"/>
                        </w14:solidFill>
                      </w14:textFill>
                    </w:rPr>
                    <w:t>法律法规和相关政策明令禁止的落后产能项目。</w:t>
                  </w:r>
                  <w:r>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t>不属于国家产能置换要求的严重过剩产能行业的项目，不属于高耗能高排放项目。</w:t>
                  </w:r>
                </w:p>
              </w:tc>
              <w:tc>
                <w:tcPr>
                  <w:tcW w:w="532" w:type="pct"/>
                  <w:noWrap w:val="0"/>
                  <w:vAlign w:val="center"/>
                </w:tcPr>
                <w:p w14:paraId="0D7EC74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符合</w:t>
                  </w:r>
                </w:p>
              </w:tc>
            </w:tr>
          </w:tbl>
          <w:p w14:paraId="18D9D3FD">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80" w:firstLineChars="200"/>
              <w:jc w:val="both"/>
              <w:textAlignment w:val="auto"/>
              <w:rPr>
                <w:rFonts w:hint="default" w:ascii="Times New Roman" w:hAnsi="Times New Roman" w:eastAsia="宋体" w:cs="Times New Roman"/>
                <w:b w:val="0"/>
                <w:bCs/>
                <w:color w:val="000000" w:themeColor="text1"/>
                <w:sz w:val="24"/>
                <w:szCs w:val="24"/>
                <w:lang w:val="en-US" w:eastAsia="zh-CN"/>
                <w14:textFill>
                  <w14:solidFill>
                    <w14:schemeClr w14:val="tx1"/>
                  </w14:solidFill>
                </w14:textFill>
              </w:rPr>
            </w:pPr>
          </w:p>
          <w:p w14:paraId="7D1C7D2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color w:val="000000" w:themeColor="text1"/>
                <w:sz w:val="24"/>
                <w:szCs w:val="24"/>
                <w:lang w:val="en-US" w:eastAsia="zh-CN"/>
                <w14:textFill>
                  <w14:solidFill>
                    <w14:schemeClr w14:val="tx1"/>
                  </w14:solidFill>
                </w14:textFill>
              </w:rPr>
            </w:pPr>
            <w:r>
              <w:rPr>
                <w:rFonts w:hint="eastAsia" w:ascii="Times New Roman" w:hAnsi="Times New Roman" w:cs="Times New Roman"/>
                <w:b w:val="0"/>
                <w:bCs/>
                <w:color w:val="000000" w:themeColor="text1"/>
                <w:sz w:val="24"/>
                <w:szCs w:val="24"/>
                <w:lang w:val="en-US" w:eastAsia="zh-CN"/>
                <w14:textFill>
                  <w14:solidFill>
                    <w14:schemeClr w14:val="tx1"/>
                  </w14:solidFill>
                </w14:textFill>
              </w:rPr>
              <w:t>根据上表</w:t>
            </w:r>
            <w:r>
              <w:rPr>
                <w:rFonts w:hint="default" w:ascii="Times New Roman" w:hAnsi="Times New Roman" w:eastAsia="宋体" w:cs="Times New Roman"/>
                <w:b w:val="0"/>
                <w:bCs/>
                <w:color w:val="000000" w:themeColor="text1"/>
                <w:sz w:val="24"/>
                <w:szCs w:val="24"/>
                <w:lang w:val="en-US" w:eastAsia="zh-CN"/>
                <w14:textFill>
                  <w14:solidFill>
                    <w14:schemeClr w14:val="tx1"/>
                  </w14:solidFill>
                </w14:textFill>
              </w:rPr>
              <w:t>分析，</w:t>
            </w:r>
            <w:r>
              <w:rPr>
                <w:rFonts w:hint="eastAsia" w:ascii="Times New Roman" w:hAnsi="Times New Roman" w:cs="Times New Roman"/>
                <w:b w:val="0"/>
                <w:bCs/>
                <w:color w:val="000000" w:themeColor="text1"/>
                <w:sz w:val="24"/>
                <w:szCs w:val="24"/>
                <w:lang w:val="en-US" w:eastAsia="zh-CN"/>
                <w14:textFill>
                  <w14:solidFill>
                    <w14:schemeClr w14:val="tx1"/>
                  </w14:solidFill>
                </w14:textFill>
              </w:rPr>
              <w:t>项目</w:t>
            </w:r>
            <w:r>
              <w:rPr>
                <w:rFonts w:hint="eastAsia" w:ascii="Times New Roman" w:hAnsi="Times New Roman" w:cs="Times New Roman"/>
                <w:color w:val="000000" w:themeColor="text1"/>
                <w:sz w:val="24"/>
                <w:lang w:val="en-US" w:eastAsia="zh-CN"/>
                <w14:textFill>
                  <w14:solidFill>
                    <w14:schemeClr w14:val="tx1"/>
                  </w14:solidFill>
                </w14:textFill>
              </w:rPr>
              <w:t>符合《长江经济带发展负面清单指南（试行，2022年版）》的相关要求</w:t>
            </w:r>
            <w:r>
              <w:rPr>
                <w:rFonts w:hint="default" w:ascii="Times New Roman" w:hAnsi="Times New Roman" w:eastAsia="宋体" w:cs="Times New Roman"/>
                <w:color w:val="000000" w:themeColor="text1"/>
                <w:sz w:val="24"/>
                <w:lang w:val="en-US" w:eastAsia="zh-CN"/>
                <w14:textFill>
                  <w14:solidFill>
                    <w14:schemeClr w14:val="tx1"/>
                  </w14:solidFill>
                </w14:textFill>
              </w:rPr>
              <w:t>。</w:t>
            </w:r>
          </w:p>
          <w:p w14:paraId="29A8930F">
            <w:pPr>
              <w:keepNext w:val="0"/>
              <w:keepLines w:val="0"/>
              <w:pageBreakBefore w:val="0"/>
              <w:kinsoku/>
              <w:wordWrap/>
              <w:overflowPunct/>
              <w:topLinePunct w:val="0"/>
              <w:autoSpaceDE/>
              <w:autoSpaceDN/>
              <w:bidi w:val="0"/>
              <w:adjustRightInd w:val="0"/>
              <w:snapToGrid w:val="0"/>
              <w:spacing w:line="360" w:lineRule="auto"/>
              <w:ind w:firstLine="482" w:firstLineChars="200"/>
              <w:jc w:val="both"/>
              <w:textAlignment w:val="auto"/>
              <w:rPr>
                <w:rFonts w:hint="default" w:ascii="Times New Roman" w:hAnsi="Times New Roman" w:eastAsia="宋体" w:cs="Times New Roman"/>
                <w:b/>
                <w:color w:val="000000" w:themeColor="text1"/>
                <w:sz w:val="21"/>
                <w:szCs w:val="21"/>
                <w:lang w:val="en-US" w:eastAsia="zh-CN"/>
                <w14:textFill>
                  <w14:solidFill>
                    <w14:schemeClr w14:val="tx1"/>
                  </w14:solidFill>
                </w14:textFill>
              </w:rPr>
            </w:pPr>
            <w:r>
              <w:rPr>
                <w:rFonts w:hint="eastAsia" w:ascii="Times New Roman" w:hAnsi="Times New Roman" w:cs="Times New Roman"/>
                <w:b/>
                <w:bCs/>
                <w:color w:val="000000" w:themeColor="text1"/>
                <w:lang w:val="en-US" w:eastAsia="zh-CN"/>
                <w14:textFill>
                  <w14:solidFill>
                    <w14:schemeClr w14:val="tx1"/>
                  </w14:solidFill>
                </w14:textFill>
              </w:rPr>
              <w:t>10</w:t>
            </w:r>
            <w:r>
              <w:rPr>
                <w:rFonts w:hint="default" w:ascii="Times New Roman" w:hAnsi="Times New Roman" w:eastAsia="宋体" w:cs="Times New Roman"/>
                <w:b/>
                <w:bCs/>
                <w:color w:val="000000" w:themeColor="text1"/>
                <w14:textFill>
                  <w14:solidFill>
                    <w14:schemeClr w14:val="tx1"/>
                  </w14:solidFill>
                </w14:textFill>
              </w:rPr>
              <w:t>、</w:t>
            </w:r>
            <w:r>
              <w:rPr>
                <w:rFonts w:hint="default" w:ascii="Times New Roman" w:hAnsi="Times New Roman" w:eastAsia="宋体" w:cs="Times New Roman"/>
                <w:b/>
                <w:bCs/>
                <w:color w:val="000000" w:themeColor="text1"/>
                <w:lang w:val="en-US" w:eastAsia="zh-CN"/>
                <w14:textFill>
                  <w14:solidFill>
                    <w14:schemeClr w14:val="tx1"/>
                  </w14:solidFill>
                </w14:textFill>
              </w:rPr>
              <w:t>与《玉溪市国土空间总体规划（2021～2035）》相关符合性分析</w:t>
            </w:r>
          </w:p>
          <w:p w14:paraId="3C6A7816">
            <w:pPr>
              <w:keepNext w:val="0"/>
              <w:keepLines w:val="0"/>
              <w:pageBreakBefore w:val="0"/>
              <w:widowControl/>
              <w:tabs>
                <w:tab w:val="left" w:pos="4830"/>
              </w:tabs>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《玉溪市国土空间总体规划（2021～2035）》（以下简称《规划》）于2024年3月29日经云南省人民政府批复实施。项目与该《规划》符合性分析如下表所示：</w:t>
            </w:r>
          </w:p>
          <w:p w14:paraId="4FEB1A95">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表1-</w:t>
            </w:r>
            <w:r>
              <w:rPr>
                <w:rFonts w:hint="eastAsia" w:ascii="Times New Roman" w:hAnsi="Times New Roman" w:cs="Times New Roman"/>
                <w:b/>
                <w:bCs/>
                <w:color w:val="000000" w:themeColor="text1"/>
                <w:sz w:val="21"/>
                <w:szCs w:val="21"/>
                <w:lang w:val="en-US" w:eastAsia="zh-CN"/>
                <w14:textFill>
                  <w14:solidFill>
                    <w14:schemeClr w14:val="tx1"/>
                  </w14:solidFill>
                </w14:textFill>
              </w:rPr>
              <w:t>8</w:t>
            </w: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 xml:space="preserve">  项目与《玉溪市国土空间总体规划（2021～2035）》符合性分析表</w:t>
            </w:r>
          </w:p>
          <w:tbl>
            <w:tblPr>
              <w:tblStyle w:val="27"/>
              <w:tblW w:w="488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57"/>
              <w:gridCol w:w="2861"/>
              <w:gridCol w:w="938"/>
            </w:tblGrid>
            <w:tr w14:paraId="62206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70" w:type="pct"/>
                  <w:vAlign w:val="center"/>
                </w:tcPr>
                <w:p w14:paraId="7C856B5B">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规划要求</w:t>
                  </w:r>
                </w:p>
              </w:tc>
              <w:tc>
                <w:tcPr>
                  <w:tcW w:w="1753" w:type="pct"/>
                  <w:vAlign w:val="center"/>
                </w:tcPr>
                <w:p w14:paraId="6FA517FE">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本项目保护情况</w:t>
                  </w:r>
                </w:p>
              </w:tc>
              <w:tc>
                <w:tcPr>
                  <w:tcW w:w="575" w:type="pct"/>
                  <w:vAlign w:val="center"/>
                </w:tcPr>
                <w:p w14:paraId="6E12D1A5">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符合性</w:t>
                  </w:r>
                </w:p>
              </w:tc>
            </w:tr>
            <w:tr w14:paraId="606BD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70" w:type="pct"/>
                  <w:vAlign w:val="center"/>
                </w:tcPr>
                <w:p w14:paraId="68EAF5E1">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eastAsia="zh-CN"/>
                      <w14:textFill>
                        <w14:solidFill>
                          <w14:schemeClr w14:val="tx1"/>
                        </w14:solidFill>
                      </w14:textFill>
                    </w:rPr>
                    <w:t>第11条产业振兴，链式发展打造产业强市推进新型工业化和制造业链</w:t>
                  </w:r>
                  <w:r>
                    <w:rPr>
                      <w:rFonts w:hint="eastAsia" w:ascii="Times New Roman" w:hAnsi="Times New Roman" w:eastAsia="宋体" w:cs="Times New Roman"/>
                      <w:b w:val="0"/>
                      <w:bCs w:val="0"/>
                      <w:color w:val="000000" w:themeColor="text1"/>
                      <w:sz w:val="21"/>
                      <w:szCs w:val="21"/>
                      <w:lang w:eastAsia="zh-CN"/>
                      <w14:textFill>
                        <w14:solidFill>
                          <w14:schemeClr w14:val="tx1"/>
                        </w14:solidFill>
                      </w14:textFill>
                    </w:rPr>
                    <w:t>式发</w:t>
                  </w:r>
                  <w:r>
                    <w:rPr>
                      <w:rFonts w:hint="default" w:ascii="Times New Roman" w:hAnsi="Times New Roman" w:eastAsia="宋体" w:cs="Times New Roman"/>
                      <w:b w:val="0"/>
                      <w:bCs w:val="0"/>
                      <w:color w:val="000000" w:themeColor="text1"/>
                      <w:sz w:val="21"/>
                      <w:szCs w:val="21"/>
                      <w:lang w:eastAsia="zh-CN"/>
                      <w14:textFill>
                        <w14:solidFill>
                          <w14:schemeClr w14:val="tx1"/>
                        </w14:solidFill>
                      </w14:textFill>
                    </w:rPr>
                    <w:t>展，优先保障卷烟及配套、绿色钢铁、新能源电池、生物医药及医疗器械等四个重点产业发展空间，优化各级开发区空间布局，提高工业用地绩效。推进“四湖”流域农业全面实现绿色有机化，推进红河谷一绿汁江域热区经济带建设，打造一批高原特色现代农业基地，向现代高效农业转型升级。探索“两山”转化新路径，以全域风景化推动旅游发展，促进文旅康养产业融合与空间串珠成链。</w:t>
                  </w:r>
                </w:p>
              </w:tc>
              <w:tc>
                <w:tcPr>
                  <w:tcW w:w="1753" w:type="pct"/>
                  <w:vAlign w:val="center"/>
                </w:tcPr>
                <w:p w14:paraId="2FFF182B">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项目位于玉溪市</w:t>
                  </w: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峨山县塔甸镇大西村委会</w:t>
                  </w: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大西山</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本项目为农产品、药材种植项目，</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发展蓝莓、三七、羊肚菌、桃子种植有利于</w:t>
                  </w:r>
                  <w:r>
                    <w:rPr>
                      <w:rFonts w:hint="default" w:ascii="Times New Roman" w:hAnsi="Times New Roman" w:eastAsia="宋体" w:cs="Times New Roman"/>
                      <w:color w:val="000000" w:themeColor="text1"/>
                      <w:sz w:val="21"/>
                      <w:szCs w:val="21"/>
                      <w:lang w:eastAsia="zh-CN"/>
                      <w14:textFill>
                        <w14:solidFill>
                          <w14:schemeClr w14:val="tx1"/>
                        </w14:solidFill>
                      </w14:textFill>
                    </w:rPr>
                    <w:t>保障重要农产品供给，</w:t>
                  </w:r>
                  <w:r>
                    <w:rPr>
                      <w:rFonts w:hint="default" w:ascii="Times New Roman" w:hAnsi="Times New Roman" w:eastAsia="宋体" w:cs="Times New Roman"/>
                      <w:b w:val="0"/>
                      <w:bCs w:val="0"/>
                      <w:color w:val="000000" w:themeColor="text1"/>
                      <w:sz w:val="21"/>
                      <w:szCs w:val="21"/>
                      <w:lang w:eastAsia="zh-CN"/>
                      <w14:textFill>
                        <w14:solidFill>
                          <w14:schemeClr w14:val="tx1"/>
                        </w14:solidFill>
                      </w14:textFill>
                    </w:rPr>
                    <w:t>打造一批高原特色现代农业基地，向现代高效农业转型升级。</w:t>
                  </w:r>
                </w:p>
              </w:tc>
              <w:tc>
                <w:tcPr>
                  <w:tcW w:w="575" w:type="pct"/>
                  <w:vAlign w:val="center"/>
                </w:tcPr>
                <w:p w14:paraId="624B7217">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符合</w:t>
                  </w:r>
                </w:p>
              </w:tc>
            </w:tr>
            <w:tr w14:paraId="385C4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70" w:type="pct"/>
                  <w:vAlign w:val="center"/>
                </w:tcPr>
                <w:p w14:paraId="72738344">
                  <w:pPr>
                    <w:keepNext w:val="0"/>
                    <w:keepLines w:val="0"/>
                    <w:pageBreakBefore w:val="0"/>
                    <w:widowControl w:val="0"/>
                    <w:numPr>
                      <w:ilvl w:val="0"/>
                      <w:numId w:val="2"/>
                    </w:numPr>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color w:val="000000" w:themeColor="text1"/>
                      <w:sz w:val="21"/>
                      <w:szCs w:val="21"/>
                      <w:lang w:eastAsia="zh-CN"/>
                      <w14:textFill>
                        <w14:solidFill>
                          <w14:schemeClr w14:val="tx1"/>
                        </w14:solidFill>
                      </w14:textFill>
                    </w:rPr>
                    <w:t>生态保护红线</w:t>
                  </w:r>
                </w:p>
                <w:p w14:paraId="5BB894CB">
                  <w:pPr>
                    <w:keepNext w:val="0"/>
                    <w:keepLines w:val="0"/>
                    <w:pageBreakBefore w:val="0"/>
                    <w:widowControl w:val="0"/>
                    <w:numPr>
                      <w:ilvl w:val="0"/>
                      <w:numId w:val="0"/>
                    </w:numPr>
                    <w:tabs>
                      <w:tab w:val="left" w:pos="4830"/>
                    </w:tabs>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color w:val="000000" w:themeColor="text1"/>
                      <w:sz w:val="21"/>
                      <w:szCs w:val="21"/>
                      <w:lang w:eastAsia="zh-CN"/>
                      <w14:textFill>
                        <w14:solidFill>
                          <w14:schemeClr w14:val="tx1"/>
                        </w14:solidFill>
                      </w14:textFill>
                    </w:rPr>
                    <w:t>开展生态保护红线勘界定标工作，将生态保护红线边界落地，在勘界基础上设立统一规范的标识标牌，确保生态保护红线落地准确、边界清晰。生态保护红线一经划定，未经批准，严禁擅自调整。规范管控生态保护红线内对生态功能不造成破坏的有限人为活动，有限人为活动应尽量避让、自然保护地、饮用水水源保护区，重要湿地等特殊区域，确实无法避让的应符合现行相关法律法规规定。除了生态保护红线内允许的有限人为活动之外，确需占用生态保护红线的国家重大项目，按照国家、云南省有关规定办理用地审批手续。</w:t>
                  </w:r>
                </w:p>
              </w:tc>
              <w:tc>
                <w:tcPr>
                  <w:tcW w:w="1753" w:type="pct"/>
                  <w:vAlign w:val="center"/>
                </w:tcPr>
                <w:p w14:paraId="7CFE0004">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项目位于玉溪市</w:t>
                  </w: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峨山县塔甸镇大西村委会</w:t>
                  </w: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大西山</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根据峨山县自然资源局出具的《峨山县大西农林种植基地建设项目“三区三线”压覆查询情况说明》，项目用地范围未压占峨山县生态保护红线。本项目为农产品、药材种植项目，主要种植蓝莓、三七、羊肚菌、桃树、苹果树。</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不会对生态功能造成破坏。</w:t>
                  </w:r>
                </w:p>
              </w:tc>
              <w:tc>
                <w:tcPr>
                  <w:tcW w:w="575" w:type="pct"/>
                  <w:vAlign w:val="center"/>
                </w:tcPr>
                <w:p w14:paraId="24E8E44C">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符合</w:t>
                  </w:r>
                </w:p>
              </w:tc>
            </w:tr>
            <w:tr w14:paraId="2217F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70" w:type="pct"/>
                  <w:vAlign w:val="center"/>
                </w:tcPr>
                <w:p w14:paraId="2FF01634">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b w:val="0"/>
                      <w:bCs w:val="0"/>
                      <w:color w:val="000000" w:themeColor="text1"/>
                      <w:sz w:val="21"/>
                      <w:szCs w:val="21"/>
                      <w:lang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eastAsia="zh-CN"/>
                      <w14:textFill>
                        <w14:solidFill>
                          <w14:schemeClr w14:val="tx1"/>
                        </w14:solidFill>
                      </w14:textFill>
                    </w:rPr>
                    <w:t>第23条提升耕地质量</w:t>
                  </w:r>
                </w:p>
                <w:p w14:paraId="291221D6">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eastAsia="zh-CN"/>
                      <w14:textFill>
                        <w14:solidFill>
                          <w14:schemeClr w14:val="tx1"/>
                        </w14:solidFill>
                      </w14:textFill>
                    </w:rPr>
                    <w:t>重点提升山区集中连片坡耕地质量。以华宁县、易门县、峨山彝族自治县、新平</w:t>
                  </w:r>
                  <w:r>
                    <w:rPr>
                      <w:rFonts w:hint="eastAsia" w:ascii="Times New Roman" w:hAnsi="Times New Roman" w:cs="Times New Roman"/>
                      <w:b w:val="0"/>
                      <w:bCs w:val="0"/>
                      <w:color w:val="000000" w:themeColor="text1"/>
                      <w:sz w:val="21"/>
                      <w:szCs w:val="21"/>
                      <w:lang w:val="en-US" w:eastAsia="zh-CN"/>
                      <w14:textFill>
                        <w14:solidFill>
                          <w14:schemeClr w14:val="tx1"/>
                        </w14:solidFill>
                      </w14:textFill>
                    </w:rPr>
                    <w:t>彝</w:t>
                  </w:r>
                  <w:r>
                    <w:rPr>
                      <w:rFonts w:hint="default" w:ascii="Times New Roman" w:hAnsi="Times New Roman" w:eastAsia="宋体" w:cs="Times New Roman"/>
                      <w:b w:val="0"/>
                      <w:bCs w:val="0"/>
                      <w:color w:val="000000" w:themeColor="text1"/>
                      <w:sz w:val="21"/>
                      <w:szCs w:val="21"/>
                      <w:lang w:eastAsia="zh-CN"/>
                      <w14:textFill>
                        <w14:solidFill>
                          <w14:schemeClr w14:val="tx1"/>
                        </w14:solidFill>
                      </w14:textFill>
                    </w:rPr>
                    <w:t>族傣族自治县、元江哈尼族彝族傣族自治县为重点，针对15—25度的山区坡耕地，加大元江中型灌区、扒河</w:t>
                  </w:r>
                  <w:r>
                    <w:rPr>
                      <w:rFonts w:hint="eastAsia" w:ascii="Times New Roman" w:hAnsi="Times New Roman" w:cs="Times New Roman"/>
                      <w:b w:val="0"/>
                      <w:bCs w:val="0"/>
                      <w:color w:val="000000" w:themeColor="text1"/>
                      <w:sz w:val="21"/>
                      <w:szCs w:val="21"/>
                      <w:lang w:eastAsia="zh-CN"/>
                      <w14:textFill>
                        <w14:solidFill>
                          <w14:schemeClr w14:val="tx1"/>
                        </w14:solidFill>
                      </w14:textFill>
                    </w:rPr>
                    <w:t>流域</w:t>
                  </w:r>
                  <w:r>
                    <w:rPr>
                      <w:rFonts w:hint="default" w:ascii="Times New Roman" w:hAnsi="Times New Roman" w:eastAsia="宋体" w:cs="Times New Roman"/>
                      <w:b w:val="0"/>
                      <w:bCs w:val="0"/>
                      <w:color w:val="000000" w:themeColor="text1"/>
                      <w:sz w:val="21"/>
                      <w:szCs w:val="21"/>
                      <w:lang w:eastAsia="zh-CN"/>
                      <w14:textFill>
                        <w14:solidFill>
                          <w14:schemeClr w14:val="tx1"/>
                        </w14:solidFill>
                      </w14:textFill>
                    </w:rPr>
                    <w:t>灌区、化念水库灌区、东大河水库灌区、新平彝族傣族自治县漠沙灌区、绿汁江大型灌区、新元大型灌区、扒河中型灌区、</w:t>
                  </w:r>
                  <w:r>
                    <w:rPr>
                      <w:rFonts w:hint="eastAsia" w:ascii="Times New Roman" w:hAnsi="Times New Roman" w:cs="Times New Roman"/>
                      <w:b w:val="0"/>
                      <w:bCs w:val="0"/>
                      <w:color w:val="000000" w:themeColor="text1"/>
                      <w:sz w:val="21"/>
                      <w:szCs w:val="21"/>
                      <w:lang w:eastAsia="zh-CN"/>
                      <w14:textFill>
                        <w14:solidFill>
                          <w14:schemeClr w14:val="tx1"/>
                        </w14:solidFill>
                      </w14:textFill>
                    </w:rPr>
                    <w:t>汉</w:t>
                  </w:r>
                  <w:r>
                    <w:rPr>
                      <w:rFonts w:hint="default" w:ascii="Times New Roman" w:hAnsi="Times New Roman" w:eastAsia="宋体" w:cs="Times New Roman"/>
                      <w:b w:val="0"/>
                      <w:bCs w:val="0"/>
                      <w:color w:val="000000" w:themeColor="text1"/>
                      <w:sz w:val="21"/>
                      <w:szCs w:val="21"/>
                      <w:lang w:eastAsia="zh-CN"/>
                      <w14:textFill>
                        <w14:solidFill>
                          <w14:schemeClr w14:val="tx1"/>
                        </w14:solidFill>
                      </w14:textFill>
                    </w:rPr>
                    <w:t>沙峨德河灌区等中大型灌区渠网恢复和建设，进一步提升灌溉水平，改善农田水利基础设施，提升山区坡耕地质量。以红塔区、江川区、澄江市、通海县为重点，针对6—15度的山区坡耕地实施中低产田改造，加强坝塘蓄水工程建设，提高渠网密度，推广高效节水灌溉技术，提升耕地质量。</w:t>
                  </w:r>
                </w:p>
              </w:tc>
              <w:tc>
                <w:tcPr>
                  <w:tcW w:w="1753" w:type="pct"/>
                  <w:vAlign w:val="center"/>
                </w:tcPr>
                <w:p w14:paraId="31517594">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项目位于玉溪市</w:t>
                  </w: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峨山县塔甸镇大西村委会</w:t>
                  </w: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大西山</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lang w:eastAsia="zh-CN"/>
                      <w14:textFill>
                        <w14:solidFill>
                          <w14:schemeClr w14:val="tx1"/>
                        </w14:solidFill>
                      </w14:textFill>
                    </w:rPr>
                    <w:t>租用峨山县塔甸镇大西村委会大西山</w:t>
                  </w: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下属的上下借代、迭嘎可、尼去本、大西组、以他得等六个村民小组的荒山荒地进行项目建设，</w:t>
                  </w:r>
                  <w:r>
                    <w:rPr>
                      <w:rFonts w:hint="default" w:ascii="Times New Roman" w:hAnsi="Times New Roman" w:eastAsia="宋体" w:cs="Times New Roman"/>
                      <w:b w:val="0"/>
                      <w:color w:val="000000" w:themeColor="text1"/>
                      <w:sz w:val="21"/>
                      <w:szCs w:val="21"/>
                      <w14:textFill>
                        <w14:solidFill>
                          <w14:schemeClr w14:val="tx1"/>
                        </w14:solidFill>
                      </w14:textFill>
                    </w:rPr>
                    <w:t>符合当地规划要求</w:t>
                  </w:r>
                  <w:r>
                    <w:rPr>
                      <w:rFonts w:hint="default" w:ascii="Times New Roman" w:hAnsi="Times New Roman" w:eastAsia="宋体" w:cs="Times New Roman"/>
                      <w:b w:val="0"/>
                      <w:color w:val="000000" w:themeColor="text1"/>
                      <w:sz w:val="21"/>
                      <w:szCs w:val="21"/>
                      <w:lang w:eastAsia="zh-CN"/>
                      <w14:textFill>
                        <w14:solidFill>
                          <w14:schemeClr w14:val="tx1"/>
                        </w14:solidFill>
                      </w14:textFill>
                    </w:rPr>
                    <w:t>。</w:t>
                  </w:r>
                  <w:r>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t>项目</w:t>
                  </w:r>
                  <w:r>
                    <w:rPr>
                      <w:rFonts w:hint="eastAsia" w:ascii="Times New Roman" w:hAnsi="Times New Roman" w:cs="Times New Roman"/>
                      <w:b w:val="0"/>
                      <w:color w:val="000000" w:themeColor="text1"/>
                      <w:sz w:val="21"/>
                      <w:szCs w:val="21"/>
                      <w:lang w:val="en-US" w:eastAsia="zh-CN"/>
                      <w14:textFill>
                        <w14:solidFill>
                          <w14:schemeClr w14:val="tx1"/>
                        </w14:solidFill>
                      </w14:textFill>
                    </w:rPr>
                    <w:t>主要</w:t>
                  </w:r>
                  <w:r>
                    <w:rPr>
                      <w:rFonts w:hint="default" w:ascii="Times New Roman" w:hAnsi="Times New Roman" w:eastAsia="宋体" w:cs="Times New Roman"/>
                      <w:b w:val="0"/>
                      <w:color w:val="000000" w:themeColor="text1"/>
                      <w:sz w:val="21"/>
                      <w:szCs w:val="21"/>
                      <w:lang w:val="en-US" w:eastAsia="zh-CN"/>
                      <w14:textFill>
                        <w14:solidFill>
                          <w14:schemeClr w14:val="tx1"/>
                        </w14:solidFill>
                      </w14:textFill>
                    </w:rPr>
                    <w:t>种植</w:t>
                  </w:r>
                  <w:r>
                    <w:rPr>
                      <w:rFonts w:hint="default" w:ascii="Times New Roman" w:hAnsi="Times New Roman" w:eastAsia="宋体" w:cs="Times New Roman"/>
                      <w:i w:val="0"/>
                      <w:iCs w:val="0"/>
                      <w:caps w:val="0"/>
                      <w:color w:val="000000" w:themeColor="text1"/>
                      <w:spacing w:val="0"/>
                      <w:sz w:val="21"/>
                      <w:szCs w:val="21"/>
                      <w:shd w:val="clear" w:fill="FFFFFF"/>
                      <w14:textFill>
                        <w14:solidFill>
                          <w14:schemeClr w14:val="tx1"/>
                        </w14:solidFill>
                      </w14:textFill>
                    </w:rPr>
                    <w:t>蓝莓、三七和羊肚菌</w:t>
                  </w:r>
                  <w:r>
                    <w:rPr>
                      <w:rFonts w:hint="default" w:ascii="Times New Roman" w:hAnsi="Times New Roman" w:eastAsia="宋体" w:cs="Times New Roman"/>
                      <w:i w:val="0"/>
                      <w:iCs w:val="0"/>
                      <w:caps w:val="0"/>
                      <w:color w:val="000000" w:themeColor="text1"/>
                      <w:spacing w:val="0"/>
                      <w:sz w:val="21"/>
                      <w:szCs w:val="21"/>
                      <w:shd w:val="clear" w:fill="FFFFFF"/>
                      <w:lang w:eastAsia="zh-CN"/>
                      <w14:textFill>
                        <w14:solidFill>
                          <w14:schemeClr w14:val="tx1"/>
                        </w14:solidFill>
                      </w14:textFill>
                    </w:rPr>
                    <w:t>、</w:t>
                  </w:r>
                  <w:r>
                    <w:rPr>
                      <w:rFonts w:hint="default" w:ascii="Times New Roman" w:hAnsi="Times New Roman" w:eastAsia="宋体" w:cs="Times New Roman"/>
                      <w:i w:val="0"/>
                      <w:iCs w:val="0"/>
                      <w:caps w:val="0"/>
                      <w:color w:val="000000" w:themeColor="text1"/>
                      <w:spacing w:val="0"/>
                      <w:sz w:val="21"/>
                      <w:szCs w:val="21"/>
                      <w:shd w:val="clear" w:fill="FFFFFF"/>
                      <w:lang w:val="en-US" w:eastAsia="zh-CN"/>
                      <w14:textFill>
                        <w14:solidFill>
                          <w14:schemeClr w14:val="tx1"/>
                        </w14:solidFill>
                      </w14:textFill>
                    </w:rPr>
                    <w:t>桃树、苹果树，灌溉采用自动喷灌或者滴灌的方式，</w:t>
                  </w:r>
                  <w:r>
                    <w:rPr>
                      <w:rFonts w:hint="default" w:ascii="Times New Roman" w:hAnsi="Times New Roman" w:eastAsia="宋体" w:cs="Times New Roman"/>
                      <w:b w:val="0"/>
                      <w:bCs w:val="0"/>
                      <w:color w:val="000000" w:themeColor="text1"/>
                      <w:sz w:val="21"/>
                      <w:szCs w:val="21"/>
                      <w:lang w:eastAsia="zh-CN"/>
                      <w14:textFill>
                        <w14:solidFill>
                          <w14:schemeClr w14:val="tx1"/>
                        </w14:solidFill>
                      </w14:textFill>
                    </w:rPr>
                    <w:t>高效节水。</w:t>
                  </w:r>
                </w:p>
              </w:tc>
              <w:tc>
                <w:tcPr>
                  <w:tcW w:w="575" w:type="pct"/>
                  <w:vAlign w:val="center"/>
                </w:tcPr>
                <w:p w14:paraId="60E3169D">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符合</w:t>
                  </w:r>
                </w:p>
              </w:tc>
            </w:tr>
          </w:tbl>
          <w:p w14:paraId="48424DDE">
            <w:pPr>
              <w:keepNext w:val="0"/>
              <w:keepLines w:val="0"/>
              <w:pageBreakBefore w:val="0"/>
              <w:widowControl/>
              <w:tabs>
                <w:tab w:val="left" w:pos="4830"/>
              </w:tabs>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000000" w:themeColor="text1"/>
                <w:lang w:val="en-US" w:eastAsia="zh-CN"/>
                <w14:textFill>
                  <w14:solidFill>
                    <w14:schemeClr w14:val="tx1"/>
                  </w14:solidFill>
                </w14:textFill>
              </w:rPr>
            </w:pPr>
          </w:p>
          <w:p w14:paraId="6ACB53EF">
            <w:pPr>
              <w:keepNext w:val="0"/>
              <w:keepLines w:val="0"/>
              <w:pageBreakBefore w:val="0"/>
              <w:widowControl/>
              <w:tabs>
                <w:tab w:val="left" w:pos="4830"/>
              </w:tabs>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000000" w:themeColor="text1"/>
                <w:lang w:val="en-US" w:eastAsia="zh-CN"/>
                <w14:textFill>
                  <w14:solidFill>
                    <w14:schemeClr w14:val="tx1"/>
                  </w14:solidFill>
                </w14:textFill>
              </w:rPr>
            </w:pPr>
            <w:r>
              <w:rPr>
                <w:rFonts w:hint="default" w:ascii="Times New Roman" w:hAnsi="Times New Roman" w:eastAsia="宋体" w:cs="Times New Roman"/>
                <w:b w:val="0"/>
                <w:bCs w:val="0"/>
                <w:color w:val="000000" w:themeColor="text1"/>
                <w:lang w:val="en-US" w:eastAsia="zh-CN"/>
                <w14:textFill>
                  <w14:solidFill>
                    <w14:schemeClr w14:val="tx1"/>
                  </w14:solidFill>
                </w14:textFill>
              </w:rPr>
              <w:t>根据</w:t>
            </w:r>
            <w:r>
              <w:rPr>
                <w:rFonts w:hint="eastAsia" w:ascii="Times New Roman" w:hAnsi="Times New Roman" w:cs="Times New Roman"/>
                <w:b w:val="0"/>
                <w:bCs w:val="0"/>
                <w:color w:val="000000" w:themeColor="text1"/>
                <w:lang w:val="en-US" w:eastAsia="zh-CN"/>
                <w14:textFill>
                  <w14:solidFill>
                    <w14:schemeClr w14:val="tx1"/>
                  </w14:solidFill>
                </w14:textFill>
              </w:rPr>
              <w:t>上表</w:t>
            </w:r>
            <w:r>
              <w:rPr>
                <w:rFonts w:hint="default" w:ascii="Times New Roman" w:hAnsi="Times New Roman" w:eastAsia="宋体" w:cs="Times New Roman"/>
                <w:b w:val="0"/>
                <w:bCs w:val="0"/>
                <w:color w:val="000000" w:themeColor="text1"/>
                <w:lang w:val="en-US" w:eastAsia="zh-CN"/>
                <w14:textFill>
                  <w14:solidFill>
                    <w14:schemeClr w14:val="tx1"/>
                  </w14:solidFill>
                </w14:textFill>
              </w:rPr>
              <w:t>分析，项目符合《玉溪市国土空间总体规划（2021～2035）》的</w:t>
            </w:r>
            <w:r>
              <w:rPr>
                <w:rFonts w:hint="eastAsia" w:ascii="Times New Roman" w:hAnsi="Times New Roman" w:cs="Times New Roman"/>
                <w:b w:val="0"/>
                <w:bCs w:val="0"/>
                <w:color w:val="000000" w:themeColor="text1"/>
                <w:lang w:val="en-US" w:eastAsia="zh-CN"/>
                <w14:textFill>
                  <w14:solidFill>
                    <w14:schemeClr w14:val="tx1"/>
                  </w14:solidFill>
                </w14:textFill>
              </w:rPr>
              <w:t>相关</w:t>
            </w:r>
            <w:r>
              <w:rPr>
                <w:rFonts w:hint="default" w:ascii="Times New Roman" w:hAnsi="Times New Roman" w:eastAsia="宋体" w:cs="Times New Roman"/>
                <w:b w:val="0"/>
                <w:bCs w:val="0"/>
                <w:color w:val="000000" w:themeColor="text1"/>
                <w:lang w:val="en-US" w:eastAsia="zh-CN"/>
                <w14:textFill>
                  <w14:solidFill>
                    <w14:schemeClr w14:val="tx1"/>
                  </w14:solidFill>
                </w14:textFill>
              </w:rPr>
              <w:t>要求。</w:t>
            </w:r>
          </w:p>
          <w:p w14:paraId="363B0BB0">
            <w:pPr>
              <w:keepNext w:val="0"/>
              <w:keepLines w:val="0"/>
              <w:pageBreakBefore w:val="0"/>
              <w:kinsoku/>
              <w:wordWrap/>
              <w:overflowPunct/>
              <w:topLinePunct w:val="0"/>
              <w:autoSpaceDE w:val="0"/>
              <w:autoSpaceDN w:val="0"/>
              <w:bidi w:val="0"/>
              <w:adjustRightInd w:val="0"/>
              <w:snapToGrid w:val="0"/>
              <w:spacing w:line="360" w:lineRule="auto"/>
              <w:ind w:left="0" w:leftChars="0" w:firstLine="482" w:firstLineChars="200"/>
              <w:jc w:val="both"/>
              <w:textAlignment w:val="auto"/>
              <w:rPr>
                <w:rFonts w:hint="default" w:ascii="Times New Roman" w:hAnsi="Times New Roman" w:eastAsia="宋体" w:cs="Times New Roman"/>
                <w:b/>
                <w:bCs/>
                <w:color w:val="000000" w:themeColor="text1"/>
                <w:kern w:val="0"/>
                <w:sz w:val="24"/>
                <w:szCs w:val="24"/>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1</w:t>
            </w:r>
            <w:r>
              <w:rPr>
                <w:rFonts w:hint="eastAsia" w:ascii="Times New Roman" w:hAnsi="Times New Roman" w:cs="Times New Roman"/>
                <w:b/>
                <w:bCs/>
                <w:color w:val="000000" w:themeColor="text1"/>
                <w:sz w:val="24"/>
                <w:szCs w:val="24"/>
                <w:lang w:val="en-US" w:eastAsia="zh-CN"/>
                <w14:textFill>
                  <w14:solidFill>
                    <w14:schemeClr w14:val="tx1"/>
                  </w14:solidFill>
                </w14:textFill>
              </w:rPr>
              <w:t>1</w:t>
            </w: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b/>
                <w:bCs/>
                <w:color w:val="000000" w:themeColor="text1"/>
                <w:kern w:val="0"/>
                <w:sz w:val="24"/>
                <w:szCs w:val="24"/>
                <w:lang w:val="en-US" w:eastAsia="zh-CN"/>
                <w14:textFill>
                  <w14:solidFill>
                    <w14:schemeClr w14:val="tx1"/>
                  </w14:solidFill>
                </w14:textFill>
              </w:rPr>
              <w:t>与《云南省生态环境保护条例》的符合性分析</w:t>
            </w:r>
          </w:p>
          <w:p w14:paraId="2FE1ACA2">
            <w:pPr>
              <w:keepNext w:val="0"/>
              <w:keepLines w:val="0"/>
              <w:pageBreakBefore w:val="0"/>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000000" w:themeColor="text1"/>
                <w:kern w:val="0"/>
                <w:sz w:val="24"/>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lang w:val="en-US" w:eastAsia="zh-CN"/>
                <w14:textFill>
                  <w14:solidFill>
                    <w14:schemeClr w14:val="tx1"/>
                  </w14:solidFill>
                </w14:textFill>
              </w:rPr>
              <w:t>2024年9月26日云南省第十四届人民代表大会常务委员会第十二次会议通过《云南省生态环境保护条例》，本项目与其符合性分析如下。</w:t>
            </w:r>
          </w:p>
          <w:p w14:paraId="18F5EC64">
            <w:pPr>
              <w:autoSpaceDE w:val="0"/>
              <w:autoSpaceDN w:val="0"/>
              <w:adjustRightInd w:val="0"/>
              <w:snapToGrid w:val="0"/>
              <w:spacing w:line="360" w:lineRule="auto"/>
              <w:ind w:firstLine="422" w:firstLineChars="200"/>
              <w:jc w:val="center"/>
              <w:rPr>
                <w:rFonts w:hint="default" w:ascii="Times New Roman" w:hAnsi="Times New Roman" w:eastAsia="宋体" w:cs="Times New Roman"/>
                <w:b/>
                <w:bCs/>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kern w:val="0"/>
                <w:sz w:val="21"/>
                <w:szCs w:val="21"/>
                <w:lang w:val="en-US" w:eastAsia="zh-CN"/>
                <w14:textFill>
                  <w14:solidFill>
                    <w14:schemeClr w14:val="tx1"/>
                  </w14:solidFill>
                </w14:textFill>
              </w:rPr>
              <w:t>表1-</w:t>
            </w:r>
            <w:r>
              <w:rPr>
                <w:rFonts w:hint="eastAsia" w:ascii="Times New Roman" w:hAnsi="Times New Roman" w:cs="Times New Roman"/>
                <w:b/>
                <w:bCs/>
                <w:color w:val="000000" w:themeColor="text1"/>
                <w:kern w:val="0"/>
                <w:sz w:val="21"/>
                <w:szCs w:val="21"/>
                <w:lang w:val="en-US" w:eastAsia="zh-CN"/>
                <w14:textFill>
                  <w14:solidFill>
                    <w14:schemeClr w14:val="tx1"/>
                  </w14:solidFill>
                </w14:textFill>
              </w:rPr>
              <w:t>9</w:t>
            </w:r>
            <w:r>
              <w:rPr>
                <w:rFonts w:hint="default" w:ascii="Times New Roman" w:hAnsi="Times New Roman" w:eastAsia="宋体" w:cs="Times New Roman"/>
                <w:b/>
                <w:bCs/>
                <w:color w:val="000000" w:themeColor="text1"/>
                <w:kern w:val="0"/>
                <w:sz w:val="21"/>
                <w:szCs w:val="21"/>
                <w:lang w:val="en-US" w:eastAsia="zh-CN"/>
                <w14:textFill>
                  <w14:solidFill>
                    <w14:schemeClr w14:val="tx1"/>
                  </w14:solidFill>
                </w14:textFill>
              </w:rPr>
              <w:t xml:space="preserve">   项目与《云南省生态环境保护条例》的符合性分析</w:t>
            </w:r>
          </w:p>
          <w:tbl>
            <w:tblPr>
              <w:tblStyle w:val="27"/>
              <w:tblW w:w="486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48"/>
              <w:gridCol w:w="4544"/>
              <w:gridCol w:w="646"/>
            </w:tblGrid>
            <w:tr w14:paraId="04883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1811" w:type="pct"/>
                  <w:vAlign w:val="center"/>
                </w:tcPr>
                <w:p w14:paraId="045F83FF">
                  <w:pPr>
                    <w:keepNext w:val="0"/>
                    <w:keepLines w:val="0"/>
                    <w:pageBreakBefore w:val="0"/>
                    <w:widowControl/>
                    <w:tabs>
                      <w:tab w:val="left" w:pos="4830"/>
                    </w:tabs>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vertAlign w:val="baseline"/>
                      <w:lang w:val="en-US" w:eastAsia="zh-CN"/>
                      <w14:textFill>
                        <w14:solidFill>
                          <w14:schemeClr w14:val="tx1"/>
                        </w14:solidFill>
                      </w14:textFill>
                    </w:rPr>
                    <w:t>法律规定保护要求</w:t>
                  </w:r>
                </w:p>
              </w:tc>
              <w:tc>
                <w:tcPr>
                  <w:tcW w:w="2791" w:type="pct"/>
                  <w:vAlign w:val="center"/>
                </w:tcPr>
                <w:p w14:paraId="60B0FEE5">
                  <w:pPr>
                    <w:keepNext w:val="0"/>
                    <w:keepLines w:val="0"/>
                    <w:pageBreakBefore w:val="0"/>
                    <w:widowControl/>
                    <w:tabs>
                      <w:tab w:val="left" w:pos="4830"/>
                    </w:tabs>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vertAlign w:val="baseline"/>
                      <w:lang w:val="en-US" w:eastAsia="zh-CN"/>
                      <w14:textFill>
                        <w14:solidFill>
                          <w14:schemeClr w14:val="tx1"/>
                        </w14:solidFill>
                      </w14:textFill>
                    </w:rPr>
                    <w:t>本项目保护情况</w:t>
                  </w:r>
                </w:p>
              </w:tc>
              <w:tc>
                <w:tcPr>
                  <w:tcW w:w="397" w:type="pct"/>
                  <w:vAlign w:val="center"/>
                </w:tcPr>
                <w:p w14:paraId="09173BD1">
                  <w:pPr>
                    <w:keepNext w:val="0"/>
                    <w:keepLines w:val="0"/>
                    <w:pageBreakBefore w:val="0"/>
                    <w:widowControl/>
                    <w:tabs>
                      <w:tab w:val="left" w:pos="4830"/>
                    </w:tabs>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bCs/>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vertAlign w:val="baseline"/>
                      <w:lang w:val="en-US" w:eastAsia="zh-CN"/>
                      <w14:textFill>
                        <w14:solidFill>
                          <w14:schemeClr w14:val="tx1"/>
                        </w14:solidFill>
                      </w14:textFill>
                    </w:rPr>
                    <w:t>符合性</w:t>
                  </w:r>
                </w:p>
              </w:tc>
            </w:tr>
            <w:tr w14:paraId="48EF9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7" w:hRule="atLeast"/>
                <w:jc w:val="center"/>
              </w:trPr>
              <w:tc>
                <w:tcPr>
                  <w:tcW w:w="1811" w:type="pct"/>
                  <w:vAlign w:val="center"/>
                </w:tcPr>
                <w:p w14:paraId="774EA767">
                  <w:pPr>
                    <w:keepNext w:val="0"/>
                    <w:keepLines w:val="0"/>
                    <w:pageBreakBefore w:val="0"/>
                    <w:widowControl/>
                    <w:tabs>
                      <w:tab w:val="left" w:pos="4830"/>
                    </w:tabs>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i w:val="0"/>
                      <w:iCs w:val="0"/>
                      <w:caps w:val="0"/>
                      <w:color w:val="000000" w:themeColor="text1"/>
                      <w:spacing w:val="0"/>
                      <w:sz w:val="21"/>
                      <w:szCs w:val="21"/>
                      <w:shd w:val="clear" w:color="auto" w:fill="FFFFFF"/>
                      <w:lang w:val="en-US" w:eastAsia="zh-CN"/>
                      <w14:textFill>
                        <w14:solidFill>
                          <w14:schemeClr w14:val="tx1"/>
                        </w14:solidFill>
                      </w14:textFill>
                    </w:rPr>
                  </w:pPr>
                  <w:r>
                    <w:rPr>
                      <w:rFonts w:hint="default" w:ascii="Times New Roman" w:hAnsi="Times New Roman" w:eastAsia="宋体" w:cs="Times New Roman"/>
                      <w:i w:val="0"/>
                      <w:iCs w:val="0"/>
                      <w:caps w:val="0"/>
                      <w:color w:val="000000" w:themeColor="text1"/>
                      <w:spacing w:val="0"/>
                      <w:sz w:val="21"/>
                      <w:szCs w:val="21"/>
                      <w:shd w:val="clear" w:color="auto" w:fill="FFFFFF"/>
                      <w:lang w:val="en-US" w:eastAsia="zh-CN"/>
                      <w14:textFill>
                        <w14:solidFill>
                          <w14:schemeClr w14:val="tx1"/>
                        </w14:solidFill>
                      </w14:textFill>
                    </w:rPr>
                    <w:t>第十八条 建设项目需要配套建设的环境保护设施应当与主体工程同时设计、同时施工、同时投产使用。</w:t>
                  </w:r>
                </w:p>
                <w:p w14:paraId="2BB15940">
                  <w:pPr>
                    <w:keepNext w:val="0"/>
                    <w:keepLines w:val="0"/>
                    <w:pageBreakBefore w:val="0"/>
                    <w:widowControl/>
                    <w:tabs>
                      <w:tab w:val="left" w:pos="4830"/>
                    </w:tabs>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i w:val="0"/>
                      <w:iCs w:val="0"/>
                      <w:caps w:val="0"/>
                      <w:color w:val="000000" w:themeColor="text1"/>
                      <w:spacing w:val="0"/>
                      <w:sz w:val="21"/>
                      <w:szCs w:val="21"/>
                      <w:shd w:val="clear" w:color="auto" w:fill="FFFFFF"/>
                      <w:lang w:val="en-US" w:eastAsia="zh-CN"/>
                      <w14:textFill>
                        <w14:solidFill>
                          <w14:schemeClr w14:val="tx1"/>
                        </w14:solidFill>
                      </w14:textFill>
                    </w:rPr>
                    <w:t>编制环境影响报告书、环境影响报告表的建设项目竣工后，建设单位应当按照国家规定的标准和程序，对配套建设的环境保护设施进行验收，编制验收报告。配套建设的环境保护设施经验收合格，方可投入生产或者使用；未经验收或者验收不合格的，不得投入生产或者使用。</w:t>
                  </w:r>
                </w:p>
              </w:tc>
              <w:tc>
                <w:tcPr>
                  <w:tcW w:w="2791" w:type="pct"/>
                  <w:vAlign w:val="center"/>
                </w:tcPr>
                <w:p w14:paraId="0ED63472">
                  <w:pPr>
                    <w:keepNext w:val="0"/>
                    <w:keepLines w:val="0"/>
                    <w:pageBreakBefore w:val="0"/>
                    <w:widowControl/>
                    <w:tabs>
                      <w:tab w:val="left" w:pos="4830"/>
                    </w:tabs>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本项目</w:t>
                  </w:r>
                  <w:r>
                    <w:rPr>
                      <w:rFonts w:hint="default" w:ascii="Times New Roman" w:hAnsi="Times New Roman" w:eastAsia="宋体" w:cs="Times New Roman"/>
                      <w:i w:val="0"/>
                      <w:iCs w:val="0"/>
                      <w:caps w:val="0"/>
                      <w:color w:val="000000" w:themeColor="text1"/>
                      <w:spacing w:val="0"/>
                      <w:sz w:val="21"/>
                      <w:szCs w:val="21"/>
                      <w:shd w:val="clear" w:color="auto" w:fill="FFFFFF"/>
                      <w14:textFill>
                        <w14:solidFill>
                          <w14:schemeClr w14:val="tx1"/>
                        </w14:solidFill>
                      </w14:textFill>
                    </w:rPr>
                    <w:t>配套建设的环境保护设施</w:t>
                  </w:r>
                  <w:r>
                    <w:rPr>
                      <w:rFonts w:hint="default" w:ascii="Times New Roman" w:hAnsi="Times New Roman" w:eastAsia="宋体" w:cs="Times New Roman"/>
                      <w:i w:val="0"/>
                      <w:iCs w:val="0"/>
                      <w:caps w:val="0"/>
                      <w:color w:val="000000" w:themeColor="text1"/>
                      <w:spacing w:val="0"/>
                      <w:sz w:val="21"/>
                      <w:szCs w:val="21"/>
                      <w:shd w:val="clear" w:color="auto" w:fill="FFFFFF"/>
                      <w:lang w:val="en-US" w:eastAsia="zh-CN"/>
                      <w14:textFill>
                        <w14:solidFill>
                          <w14:schemeClr w14:val="tx1"/>
                        </w14:solidFill>
                      </w14:textFill>
                    </w:rPr>
                    <w:t>将</w:t>
                  </w:r>
                  <w:r>
                    <w:rPr>
                      <w:rFonts w:hint="default" w:ascii="Times New Roman" w:hAnsi="Times New Roman" w:eastAsia="宋体" w:cs="Times New Roman"/>
                      <w:i w:val="0"/>
                      <w:iCs w:val="0"/>
                      <w:caps w:val="0"/>
                      <w:color w:val="000000" w:themeColor="text1"/>
                      <w:spacing w:val="0"/>
                      <w:sz w:val="21"/>
                      <w:szCs w:val="21"/>
                      <w:shd w:val="clear" w:color="auto" w:fill="FFFFFF"/>
                      <w14:textFill>
                        <w14:solidFill>
                          <w14:schemeClr w14:val="tx1"/>
                        </w14:solidFill>
                      </w14:textFill>
                    </w:rPr>
                    <w:t>与主体工程同时设计、同时施工、同时投产使用。</w:t>
                  </w:r>
                  <w:r>
                    <w:rPr>
                      <w:rFonts w:hint="default" w:ascii="Times New Roman" w:hAnsi="Times New Roman" w:eastAsia="宋体" w:cs="Times New Roman"/>
                      <w:i w:val="0"/>
                      <w:iCs w:val="0"/>
                      <w:caps w:val="0"/>
                      <w:color w:val="000000" w:themeColor="text1"/>
                      <w:spacing w:val="0"/>
                      <w:sz w:val="21"/>
                      <w:szCs w:val="21"/>
                      <w:shd w:val="clear" w:color="auto" w:fill="FFFFFF"/>
                      <w:lang w:val="en-US" w:eastAsia="zh-CN"/>
                      <w14:textFill>
                        <w14:solidFill>
                          <w14:schemeClr w14:val="tx1"/>
                        </w14:solidFill>
                      </w14:textFill>
                    </w:rPr>
                    <w:t>同时在项目竣工后按照规定进行验收。</w:t>
                  </w:r>
                </w:p>
              </w:tc>
              <w:tc>
                <w:tcPr>
                  <w:tcW w:w="397" w:type="pct"/>
                  <w:vAlign w:val="center"/>
                </w:tcPr>
                <w:p w14:paraId="7DB967E5">
                  <w:pPr>
                    <w:keepNext w:val="0"/>
                    <w:keepLines w:val="0"/>
                    <w:pageBreakBefore w:val="0"/>
                    <w:widowControl/>
                    <w:tabs>
                      <w:tab w:val="left" w:pos="4830"/>
                    </w:tabs>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符合</w:t>
                  </w:r>
                </w:p>
              </w:tc>
            </w:tr>
            <w:tr w14:paraId="16350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2" w:hRule="atLeast"/>
                <w:jc w:val="center"/>
              </w:trPr>
              <w:tc>
                <w:tcPr>
                  <w:tcW w:w="1811" w:type="pct"/>
                  <w:vAlign w:val="center"/>
                </w:tcPr>
                <w:p w14:paraId="39830AB9">
                  <w:pPr>
                    <w:keepNext w:val="0"/>
                    <w:keepLines w:val="0"/>
                    <w:pageBreakBefore w:val="0"/>
                    <w:widowControl/>
                    <w:tabs>
                      <w:tab w:val="left" w:pos="4830"/>
                    </w:tabs>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i w:val="0"/>
                      <w:iCs w:val="0"/>
                      <w:caps w:val="0"/>
                      <w:color w:val="000000" w:themeColor="text1"/>
                      <w:spacing w:val="0"/>
                      <w:sz w:val="21"/>
                      <w:szCs w:val="21"/>
                      <w:shd w:val="clear" w:color="auto" w:fill="FFFFFF"/>
                      <w14:textFill>
                        <w14:solidFill>
                          <w14:schemeClr w14:val="tx1"/>
                        </w14:solidFill>
                      </w14:textFill>
                    </w:rPr>
                    <w:t>第三十六条</w:t>
                  </w:r>
                  <w:r>
                    <w:rPr>
                      <w:rFonts w:hint="default" w:ascii="Times New Roman" w:hAnsi="Times New Roman" w:eastAsia="宋体" w:cs="Times New Roman"/>
                      <w:i w:val="0"/>
                      <w:iCs w:val="0"/>
                      <w:caps w:val="0"/>
                      <w:color w:val="000000" w:themeColor="text1"/>
                      <w:spacing w:val="0"/>
                      <w:sz w:val="21"/>
                      <w:szCs w:val="21"/>
                      <w:shd w:val="clear" w:color="auto" w:fill="FFFFFF"/>
                      <w:lang w:val="en-US" w:eastAsia="zh-CN"/>
                      <w14:textFill>
                        <w14:solidFill>
                          <w14:schemeClr w14:val="tx1"/>
                        </w14:solidFill>
                      </w14:textFill>
                    </w:rPr>
                    <w:t xml:space="preserve"> </w:t>
                  </w:r>
                  <w:r>
                    <w:rPr>
                      <w:rFonts w:hint="default" w:ascii="Times New Roman" w:hAnsi="Times New Roman" w:eastAsia="宋体" w:cs="Times New Roman"/>
                      <w:i w:val="0"/>
                      <w:iCs w:val="0"/>
                      <w:caps w:val="0"/>
                      <w:color w:val="000000" w:themeColor="text1"/>
                      <w:spacing w:val="0"/>
                      <w:sz w:val="21"/>
                      <w:szCs w:val="21"/>
                      <w:shd w:val="clear" w:color="auto" w:fill="FFFFFF"/>
                      <w14:textFill>
                        <w14:solidFill>
                          <w14:schemeClr w14:val="tx1"/>
                        </w14:solidFill>
                      </w14:textFill>
                    </w:rPr>
                    <w:t>排放污染物的企业事业单位和其他生产经营者，应当采取措施，防治在生产建设或者其他活动中产生的废气、废水、废渣、医疗废物、粉尘、恶臭气体、放射性物质以及噪声、振动、光辐射、电磁辐射等对生态环境的污染和危害</w:t>
                  </w:r>
                  <w:r>
                    <w:rPr>
                      <w:rFonts w:hint="default" w:ascii="Times New Roman" w:hAnsi="Times New Roman" w:eastAsia="宋体" w:cs="Times New Roman"/>
                      <w:i w:val="0"/>
                      <w:iCs w:val="0"/>
                      <w:caps w:val="0"/>
                      <w:color w:val="000000" w:themeColor="text1"/>
                      <w:spacing w:val="0"/>
                      <w:sz w:val="21"/>
                      <w:szCs w:val="21"/>
                      <w:shd w:val="clear" w:color="auto" w:fill="FFFFFF"/>
                      <w:lang w:eastAsia="zh-CN"/>
                      <w14:textFill>
                        <w14:solidFill>
                          <w14:schemeClr w14:val="tx1"/>
                        </w14:solidFill>
                      </w14:textFill>
                    </w:rPr>
                    <w:t>。</w:t>
                  </w:r>
                </w:p>
              </w:tc>
              <w:tc>
                <w:tcPr>
                  <w:tcW w:w="2791" w:type="pct"/>
                  <w:vAlign w:val="center"/>
                </w:tcPr>
                <w:p w14:paraId="3586002A">
                  <w:pPr>
                    <w:pStyle w:val="73"/>
                    <w:keepNext w:val="0"/>
                    <w:keepLines w:val="0"/>
                    <w:pageBreakBefore w:val="0"/>
                    <w:numPr>
                      <w:ilvl w:val="0"/>
                      <w:numId w:val="0"/>
                    </w:numPr>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b w:val="0"/>
                      <w:bCs/>
                      <w:color w:val="000000" w:themeColor="text1"/>
                      <w:sz w:val="21"/>
                      <w:szCs w:val="21"/>
                      <w14:textFill>
                        <w14:solidFill>
                          <w14:schemeClr w14:val="tx1"/>
                        </w14:solidFill>
                      </w14:textFill>
                    </w:rPr>
                  </w:pPr>
                  <w:r>
                    <w:rPr>
                      <w:rFonts w:hint="eastAsia" w:cs="Times New Roman"/>
                      <w:b w:val="0"/>
                      <w:bCs/>
                      <w:color w:val="000000" w:themeColor="text1"/>
                      <w:sz w:val="21"/>
                      <w:szCs w:val="21"/>
                      <w:highlight w:val="none"/>
                      <w:lang w:val="en-US" w:eastAsia="zh-CN"/>
                      <w14:textFill>
                        <w14:solidFill>
                          <w14:schemeClr w14:val="tx1"/>
                        </w14:solidFill>
                      </w14:textFill>
                    </w:rPr>
                    <w:t>（1）</w:t>
                  </w: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废水：</w:t>
                  </w:r>
                  <w:r>
                    <w:rPr>
                      <w:rFonts w:hint="default" w:ascii="Times New Roman" w:hAnsi="Times New Roman" w:eastAsia="宋体" w:cs="Times New Roman"/>
                      <w:b/>
                      <w:bCs w:val="0"/>
                      <w:color w:val="000000" w:themeColor="text1"/>
                      <w:sz w:val="21"/>
                      <w:szCs w:val="21"/>
                      <w:highlight w:val="none"/>
                      <w:lang w:val="en-US" w:eastAsia="zh-CN"/>
                      <w14:textFill>
                        <w14:solidFill>
                          <w14:schemeClr w14:val="tx1"/>
                        </w14:solidFill>
                      </w14:textFill>
                    </w:rPr>
                    <w:t>施工期</w:t>
                  </w:r>
                  <w:r>
                    <w:rPr>
                      <w:rFonts w:hint="eastAsia" w:cs="Times New Roman"/>
                      <w:b/>
                      <w:bCs w:val="0"/>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施工人员不在项目区食宿，</w:t>
                  </w:r>
                  <w:r>
                    <w:rPr>
                      <w:rFonts w:hint="default" w:ascii="Times New Roman" w:hAnsi="Times New Roman" w:eastAsia="宋体" w:cs="Times New Roman"/>
                      <w:b w:val="0"/>
                      <w:bCs/>
                      <w:color w:val="000000" w:themeColor="text1"/>
                      <w:sz w:val="21"/>
                      <w:szCs w:val="21"/>
                      <w:lang w:val="en-US" w:eastAsia="zh-CN" w:bidi="zh-CN"/>
                      <w14:textFill>
                        <w14:solidFill>
                          <w14:schemeClr w14:val="tx1"/>
                        </w14:solidFill>
                      </w14:textFill>
                    </w:rPr>
                    <w:t>项目区内施工人员日常产生的洗手废水经收集后就近进入沉淀池或水池，回用于施工区域内降尘</w:t>
                  </w:r>
                  <w:r>
                    <w:rPr>
                      <w:rFonts w:hint="eastAsia" w:ascii="Times New Roman" w:hAnsi="Times New Roman" w:cs="Times New Roman"/>
                      <w:b w:val="0"/>
                      <w:bCs/>
                      <w:color w:val="000000" w:themeColor="text1"/>
                      <w:sz w:val="21"/>
                      <w:szCs w:val="21"/>
                      <w:lang w:val="en-US" w:eastAsia="zh-CN" w:bidi="zh-CN"/>
                      <w14:textFill>
                        <w14:solidFill>
                          <w14:schemeClr w14:val="tx1"/>
                        </w14:solidFill>
                      </w14:textFill>
                    </w:rPr>
                    <w:t>，不外排</w:t>
                  </w:r>
                  <w:r>
                    <w:rPr>
                      <w:rFonts w:hint="eastAsia" w:cs="Times New Roman"/>
                      <w:b w:val="0"/>
                      <w:bCs/>
                      <w:color w:val="000000" w:themeColor="text1"/>
                      <w:sz w:val="21"/>
                      <w:szCs w:val="21"/>
                      <w:highlight w:val="none"/>
                      <w:lang w:val="en-US" w:eastAsia="zh-CN"/>
                      <w14:textFill>
                        <w14:solidFill>
                          <w14:schemeClr w14:val="tx1"/>
                        </w14:solidFill>
                      </w14:textFill>
                    </w:rPr>
                    <w:t>；在种植区和道路区在地势低处设置截排水沟，</w:t>
                  </w:r>
                  <w:r>
                    <w:rPr>
                      <w:rFonts w:hint="eastAsia" w:cs="Times New Roman"/>
                      <w:b w:val="0"/>
                      <w:bCs/>
                      <w:color w:val="000000" w:themeColor="text1"/>
                      <w:sz w:val="21"/>
                      <w:szCs w:val="21"/>
                      <w:highlight w:val="none"/>
                      <w:lang w:val="en-US" w:eastAsia="zh-CN"/>
                      <w14:textFill>
                        <w14:solidFill>
                          <w14:schemeClr w14:val="tx1"/>
                        </w14:solidFill>
                      </w14:textFill>
                    </w:rPr>
                    <w:t>雨水收集进入水池</w:t>
                  </w:r>
                  <w:r>
                    <w:rPr>
                      <w:rFonts w:hint="eastAsia" w:cs="Times New Roman"/>
                      <w:b w:val="0"/>
                      <w:bCs/>
                      <w:color w:val="000000" w:themeColor="text1"/>
                      <w:sz w:val="21"/>
                      <w:szCs w:val="21"/>
                      <w:highlight w:val="none"/>
                      <w:lang w:val="en-US" w:eastAsia="zh-CN"/>
                      <w14:textFill>
                        <w14:solidFill>
                          <w14:schemeClr w14:val="tx1"/>
                        </w14:solidFill>
                      </w14:textFill>
                    </w:rPr>
                    <w:t>，沉淀后回用于项目区内洒水降尘，</w:t>
                  </w: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不外排；</w:t>
                  </w:r>
                  <w:r>
                    <w:rPr>
                      <w:rFonts w:hint="default" w:ascii="Times New Roman" w:hAnsi="Times New Roman" w:eastAsia="宋体" w:cs="Times New Roman"/>
                      <w:b/>
                      <w:bCs w:val="0"/>
                      <w:color w:val="000000" w:themeColor="text1"/>
                      <w:sz w:val="21"/>
                      <w:szCs w:val="21"/>
                      <w:highlight w:val="none"/>
                      <w:lang w:val="en-US" w:eastAsia="zh-CN"/>
                      <w14:textFill>
                        <w14:solidFill>
                          <w14:schemeClr w14:val="tx1"/>
                        </w14:solidFill>
                      </w14:textFill>
                    </w:rPr>
                    <w:t>运营期</w:t>
                  </w:r>
                  <w:r>
                    <w:rPr>
                      <w:rFonts w:hint="eastAsia" w:cs="Times New Roman"/>
                      <w:b/>
                      <w:bCs w:val="0"/>
                      <w:color w:val="000000" w:themeColor="text1"/>
                      <w:sz w:val="21"/>
                      <w:szCs w:val="21"/>
                      <w:highlight w:val="none"/>
                      <w:lang w:val="en-US" w:eastAsia="zh-CN"/>
                      <w14:textFill>
                        <w14:solidFill>
                          <w14:schemeClr w14:val="tx1"/>
                        </w14:solidFill>
                      </w14:textFill>
                    </w:rPr>
                    <w:t>：</w:t>
                  </w: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项目生活污水</w:t>
                  </w:r>
                  <w:r>
                    <w:rPr>
                      <w:rFonts w:hint="eastAsia" w:cs="Times New Roman"/>
                      <w:b w:val="0"/>
                      <w:bCs/>
                      <w:color w:val="000000" w:themeColor="text1"/>
                      <w:sz w:val="21"/>
                      <w:szCs w:val="21"/>
                      <w:highlight w:val="none"/>
                      <w:lang w:val="en-US" w:eastAsia="zh-CN"/>
                      <w14:textFill>
                        <w14:solidFill>
                          <w14:schemeClr w14:val="tx1"/>
                        </w14:solidFill>
                      </w14:textFill>
                    </w:rPr>
                    <w:t>经隔油池，化粪池预处理后排入一体化污水处理设备处理，处理达到《农田灌溉水质标准》（GB 5084—2021）中的“旱地作物”标准后的废水排入水池，回用于项目区内灌溉，</w:t>
                  </w: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不外排</w:t>
                  </w:r>
                  <w:r>
                    <w:rPr>
                      <w:rFonts w:hint="eastAsia" w:cs="Times New Roman"/>
                      <w:b w:val="0"/>
                      <w:bCs/>
                      <w:color w:val="000000" w:themeColor="text1"/>
                      <w:sz w:val="21"/>
                      <w:szCs w:val="21"/>
                      <w:highlight w:val="none"/>
                      <w:lang w:val="en-US" w:eastAsia="zh-CN"/>
                      <w14:textFill>
                        <w14:solidFill>
                          <w14:schemeClr w14:val="tx1"/>
                        </w14:solidFill>
                      </w14:textFill>
                    </w:rPr>
                    <w:t>；在种植区和道路区在地势低处设置截排水沟，收集进入水池沉淀后回用于项目区灌溉，</w:t>
                  </w: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不外排；</w:t>
                  </w:r>
                </w:p>
                <w:p w14:paraId="413C0118">
                  <w:pPr>
                    <w:pStyle w:val="73"/>
                    <w:keepNext w:val="0"/>
                    <w:keepLines w:val="0"/>
                    <w:pageBreakBefore w:val="0"/>
                    <w:numPr>
                      <w:ilvl w:val="0"/>
                      <w:numId w:val="0"/>
                    </w:numPr>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val="0"/>
                      <w:bCs/>
                      <w:color w:val="000000" w:themeColor="text1"/>
                      <w:sz w:val="21"/>
                      <w:szCs w:val="21"/>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14:textFill>
                        <w14:solidFill>
                          <w14:schemeClr w14:val="tx1"/>
                        </w14:solidFill>
                      </w14:textFill>
                    </w:rPr>
                    <w:t>（2）</w:t>
                  </w: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噪声：</w:t>
                  </w:r>
                  <w:r>
                    <w:rPr>
                      <w:rFonts w:hint="default" w:ascii="Times New Roman" w:hAnsi="Times New Roman" w:eastAsia="宋体" w:cs="Times New Roman"/>
                      <w:b/>
                      <w:bCs w:val="0"/>
                      <w:color w:val="000000" w:themeColor="text1"/>
                      <w:sz w:val="21"/>
                      <w:szCs w:val="21"/>
                      <w:highlight w:val="none"/>
                      <w:lang w:val="en-US" w:eastAsia="zh-CN"/>
                      <w14:textFill>
                        <w14:solidFill>
                          <w14:schemeClr w14:val="tx1"/>
                        </w14:solidFill>
                      </w14:textFill>
                    </w:rPr>
                    <w:t>施工</w:t>
                  </w:r>
                  <w:r>
                    <w:rPr>
                      <w:rFonts w:hint="default" w:ascii="Times New Roman" w:hAnsi="Times New Roman" w:eastAsia="宋体" w:cs="Times New Roman"/>
                      <w:b/>
                      <w:bCs w:val="0"/>
                      <w:color w:val="000000" w:themeColor="text1"/>
                      <w:sz w:val="21"/>
                      <w:szCs w:val="21"/>
                      <w14:textFill>
                        <w14:solidFill>
                          <w14:schemeClr w14:val="tx1"/>
                        </w14:solidFill>
                      </w14:textFill>
                    </w:rPr>
                    <w:t>期</w:t>
                  </w:r>
                  <w:r>
                    <w:rPr>
                      <w:rFonts w:hint="eastAsia" w:cs="Times New Roman"/>
                      <w:b/>
                      <w:bCs w:val="0"/>
                      <w:color w:val="000000" w:themeColor="text1"/>
                      <w:sz w:val="21"/>
                      <w:szCs w:val="21"/>
                      <w:lang w:eastAsia="zh-CN"/>
                      <w14:textFill>
                        <w14:solidFill>
                          <w14:schemeClr w14:val="tx1"/>
                        </w14:solidFill>
                      </w14:textFill>
                    </w:rPr>
                    <w:t>：</w:t>
                  </w:r>
                  <w:r>
                    <w:rPr>
                      <w:rFonts w:hint="default" w:ascii="Times New Roman" w:hAnsi="Times New Roman" w:eastAsia="宋体" w:cs="Times New Roman"/>
                      <w:b w:val="0"/>
                      <w:bCs/>
                      <w:color w:val="000000" w:themeColor="text1"/>
                      <w:sz w:val="21"/>
                      <w:szCs w:val="21"/>
                      <w14:textFill>
                        <w14:solidFill>
                          <w14:schemeClr w14:val="tx1"/>
                        </w14:solidFill>
                      </w14:textFill>
                    </w:rPr>
                    <w:t>采取合理安排作业时间，选用低噪声设备，对机械设备进行维护、保养工作等相关措施</w:t>
                  </w:r>
                  <w:r>
                    <w:rPr>
                      <w:rFonts w:hint="default" w:ascii="Times New Roman" w:hAnsi="Times New Roman" w:eastAsia="宋体" w:cs="Times New Roman"/>
                      <w:b w:val="0"/>
                      <w:bCs/>
                      <w:color w:val="000000" w:themeColor="text1"/>
                      <w:sz w:val="21"/>
                      <w:szCs w:val="21"/>
                      <w:lang w:eastAsia="zh-CN"/>
                      <w14:textFill>
                        <w14:solidFill>
                          <w14:schemeClr w14:val="tx1"/>
                        </w14:solidFill>
                      </w14:textFill>
                    </w:rPr>
                    <w:t>。</w:t>
                  </w:r>
                  <w:r>
                    <w:rPr>
                      <w:rFonts w:hint="default" w:ascii="Times New Roman" w:hAnsi="Times New Roman" w:eastAsia="宋体" w:cs="Times New Roman"/>
                      <w:b w:val="0"/>
                      <w:bCs/>
                      <w:color w:val="000000" w:themeColor="text1"/>
                      <w:sz w:val="21"/>
                      <w:szCs w:val="21"/>
                      <w14:textFill>
                        <w14:solidFill>
                          <w14:schemeClr w14:val="tx1"/>
                        </w14:solidFill>
                      </w14:textFill>
                    </w:rPr>
                    <w:t>对于机动车交通噪声，采取限速、限鸣等措施。</w:t>
                  </w:r>
                  <w:r>
                    <w:rPr>
                      <w:rFonts w:hint="default" w:ascii="Times New Roman" w:hAnsi="Times New Roman" w:eastAsia="宋体" w:cs="Times New Roman"/>
                      <w:b/>
                      <w:bCs w:val="0"/>
                      <w:color w:val="000000" w:themeColor="text1"/>
                      <w:sz w:val="21"/>
                      <w:szCs w:val="21"/>
                      <w14:textFill>
                        <w14:solidFill>
                          <w14:schemeClr w14:val="tx1"/>
                        </w14:solidFill>
                      </w14:textFill>
                    </w:rPr>
                    <w:t>运营期</w:t>
                  </w:r>
                  <w:r>
                    <w:rPr>
                      <w:rFonts w:hint="eastAsia" w:cs="Times New Roman"/>
                      <w:b/>
                      <w:bCs w:val="0"/>
                      <w:color w:val="000000" w:themeColor="text1"/>
                      <w:sz w:val="21"/>
                      <w:szCs w:val="21"/>
                      <w:lang w:eastAsia="zh-CN"/>
                      <w14:textFill>
                        <w14:solidFill>
                          <w14:schemeClr w14:val="tx1"/>
                        </w14:solidFill>
                      </w14:textFill>
                    </w:rPr>
                    <w:t>：</w:t>
                  </w:r>
                  <w:r>
                    <w:rPr>
                      <w:rFonts w:hint="default" w:ascii="Times New Roman" w:hAnsi="Times New Roman" w:eastAsia="宋体" w:cs="Times New Roman"/>
                      <w:b w:val="0"/>
                      <w:bCs/>
                      <w:color w:val="000000" w:themeColor="text1"/>
                      <w:sz w:val="21"/>
                      <w:szCs w:val="21"/>
                      <w14:textFill>
                        <w14:solidFill>
                          <w14:schemeClr w14:val="tx1"/>
                        </w14:solidFill>
                      </w14:textFill>
                    </w:rPr>
                    <w:t>产生的噪声主要是苗木修剪设备、灌溉系统水泵噪声。苗木修剪设备是间歇性运作，</w:t>
                  </w:r>
                  <w:r>
                    <w:rPr>
                      <w:rFonts w:hint="eastAsia" w:cs="Times New Roman"/>
                      <w:b w:val="0"/>
                      <w:bCs/>
                      <w:color w:val="000000" w:themeColor="text1"/>
                      <w:sz w:val="21"/>
                      <w:szCs w:val="21"/>
                      <w:lang w:eastAsia="zh-CN"/>
                      <w14:textFill>
                        <w14:solidFill>
                          <w14:schemeClr w14:val="tx1"/>
                        </w14:solidFill>
                      </w14:textFill>
                    </w:rPr>
                    <w:t>通过</w:t>
                  </w:r>
                  <w:r>
                    <w:rPr>
                      <w:rFonts w:hint="default" w:ascii="Times New Roman" w:hAnsi="Times New Roman" w:eastAsia="宋体" w:cs="Times New Roman"/>
                      <w:b w:val="0"/>
                      <w:bCs/>
                      <w:color w:val="000000" w:themeColor="text1"/>
                      <w:sz w:val="21"/>
                      <w:szCs w:val="21"/>
                      <w14:textFill>
                        <w14:solidFill>
                          <w14:schemeClr w14:val="tx1"/>
                        </w14:solidFill>
                      </w14:textFill>
                    </w:rPr>
                    <w:t>距离衰减后对周边环境影响较小；水泵</w:t>
                  </w:r>
                  <w:r>
                    <w:rPr>
                      <w:rFonts w:hint="eastAsia" w:cs="Times New Roman"/>
                      <w:b w:val="0"/>
                      <w:bCs/>
                      <w:color w:val="000000" w:themeColor="text1"/>
                      <w:sz w:val="21"/>
                      <w:szCs w:val="21"/>
                      <w:lang w:eastAsia="zh-CN"/>
                      <w14:textFill>
                        <w14:solidFill>
                          <w14:schemeClr w14:val="tx1"/>
                        </w14:solidFill>
                      </w14:textFill>
                    </w:rPr>
                    <w:t>采取</w:t>
                  </w:r>
                  <w:r>
                    <w:rPr>
                      <w:rFonts w:hint="default" w:ascii="Times New Roman" w:hAnsi="Times New Roman" w:eastAsia="宋体" w:cs="Times New Roman"/>
                      <w:b w:val="0"/>
                      <w:bCs/>
                      <w:color w:val="000000" w:themeColor="text1"/>
                      <w:sz w:val="21"/>
                      <w:szCs w:val="21"/>
                      <w14:textFill>
                        <w14:solidFill>
                          <w14:schemeClr w14:val="tx1"/>
                        </w14:solidFill>
                      </w14:textFill>
                    </w:rPr>
                    <w:t>基础减振措施，通过距离衰减后对周边环境影响较小</w:t>
                  </w:r>
                </w:p>
                <w:p w14:paraId="423B0A2F">
                  <w:pPr>
                    <w:pStyle w:val="73"/>
                    <w:keepNext w:val="0"/>
                    <w:keepLines w:val="0"/>
                    <w:pageBreakBefore w:val="0"/>
                    <w:numPr>
                      <w:ilvl w:val="0"/>
                      <w:numId w:val="0"/>
                    </w:numPr>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（3）</w:t>
                  </w:r>
                  <w:r>
                    <w:rPr>
                      <w:rFonts w:hint="eastAsia" w:cs="Times New Roman"/>
                      <w:b w:val="0"/>
                      <w:bCs/>
                      <w:color w:val="000000" w:themeColor="text1"/>
                      <w:sz w:val="21"/>
                      <w:szCs w:val="21"/>
                      <w:lang w:val="en-US" w:eastAsia="zh-CN"/>
                      <w14:textFill>
                        <w14:solidFill>
                          <w14:schemeClr w14:val="tx1"/>
                        </w14:solidFill>
                      </w14:textFill>
                    </w:rPr>
                    <w:t>废气</w:t>
                  </w: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b/>
                      <w:bCs w:val="0"/>
                      <w:color w:val="000000" w:themeColor="text1"/>
                      <w:sz w:val="21"/>
                      <w:szCs w:val="21"/>
                      <w:lang w:val="en-US" w:eastAsia="zh-CN"/>
                      <w14:textFill>
                        <w14:solidFill>
                          <w14:schemeClr w14:val="tx1"/>
                        </w14:solidFill>
                      </w14:textFill>
                    </w:rPr>
                    <w:t>施工期</w:t>
                  </w:r>
                  <w:r>
                    <w:rPr>
                      <w:rFonts w:hint="eastAsia" w:cs="Times New Roman"/>
                      <w:b/>
                      <w:bCs w:val="0"/>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施工扬尘、施工机械和车辆运输废气，经大气扩散后排放，对周边环境影响较小；</w:t>
                  </w:r>
                  <w:r>
                    <w:rPr>
                      <w:rFonts w:hint="default" w:ascii="Times New Roman" w:hAnsi="Times New Roman" w:eastAsia="宋体" w:cs="Times New Roman"/>
                      <w:b/>
                      <w:bCs w:val="0"/>
                      <w:color w:val="000000" w:themeColor="text1"/>
                      <w:sz w:val="21"/>
                      <w:szCs w:val="21"/>
                      <w:lang w:val="en-US" w:eastAsia="zh-CN"/>
                      <w14:textFill>
                        <w14:solidFill>
                          <w14:schemeClr w14:val="tx1"/>
                        </w14:solidFill>
                      </w14:textFill>
                    </w:rPr>
                    <w:t>运营期</w:t>
                  </w:r>
                  <w:r>
                    <w:rPr>
                      <w:rFonts w:hint="eastAsia" w:cs="Times New Roman"/>
                      <w:b/>
                      <w:bCs w:val="0"/>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通过合理安排农药喷洒时间，优先选择生物技术和物理技术防治病虫害，选用低毒低残留农药喷洒等措施后可显著降低运营期农药喷洒造成的大气污染。蓝莓、三七、羊肚菌的种植方式为大棚种植，能有效阻挡一部分大气污染。</w:t>
                  </w:r>
                </w:p>
                <w:p w14:paraId="54A5E1ED">
                  <w:pPr>
                    <w:keepNext w:val="0"/>
                    <w:keepLines w:val="0"/>
                    <w:pageBreakBefore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（4）固体废物：</w:t>
                  </w:r>
                  <w:r>
                    <w:rPr>
                      <w:rFonts w:hint="eastAsia" w:ascii="Times New Roman" w:hAnsi="Times New Roman" w:cs="Times New Roman"/>
                      <w:b/>
                      <w:bCs w:val="0"/>
                      <w:color w:val="000000" w:themeColor="text1"/>
                      <w:sz w:val="21"/>
                      <w:szCs w:val="21"/>
                      <w:lang w:val="en-US" w:eastAsia="zh-CN"/>
                      <w14:textFill>
                        <w14:solidFill>
                          <w14:schemeClr w14:val="tx1"/>
                        </w14:solidFill>
                      </w14:textFill>
                    </w:rPr>
                    <w:t>施工期：</w:t>
                  </w:r>
                  <w:r>
                    <w:rPr>
                      <w:rFonts w:hint="eastAsia" w:ascii="Times New Roman" w:hAnsi="Times New Roman" w:cs="Times New Roman"/>
                      <w:b w:val="0"/>
                      <w:bCs/>
                      <w:color w:val="000000" w:themeColor="text1"/>
                      <w:sz w:val="21"/>
                      <w:szCs w:val="21"/>
                      <w:lang w:val="en-US" w:eastAsia="zh-CN"/>
                      <w14:textFill>
                        <w14:solidFill>
                          <w14:schemeClr w14:val="tx1"/>
                        </w14:solidFill>
                      </w14:textFill>
                    </w:rPr>
                    <w:t>①施工区域原有地表挖除的灌木杂草直径≥5cm的统一收集后外售木炭加工和生物质燃料企业，作为木炭和生物质燃料加工原料</w:t>
                  </w:r>
                  <w:r>
                    <w:rPr>
                      <w:rFonts w:hint="eastAsia" w:ascii="Times New Roman" w:hAnsi="Times New Roman" w:cs="Times New Roman"/>
                      <w:b w:val="0"/>
                      <w:bCs/>
                      <w:color w:val="000000" w:themeColor="text1"/>
                      <w:sz w:val="21"/>
                      <w:szCs w:val="21"/>
                      <w:lang w:val="en-US" w:eastAsia="zh-CN"/>
                      <w14:textFill>
                        <w14:solidFill>
                          <w14:schemeClr w14:val="tx1"/>
                        </w14:solidFill>
                      </w14:textFill>
                    </w:rPr>
                    <w:t>。直径＜5cm的木材及杂草可就地切碎后埋入土壤内通过发酵腐熟后作为肥料；②大棚建设产生的废弃材料大棚结构及顶棚覆盖过程中会产生少量的废弃材料，集中收集运至就近生活垃圾中转站，委托环卫部门处置；③施工人员生活垃圾在施工区域内集中收集后并入附近村庄，由当地环卫部门统一清运处置，做到日产日清；④项目区整地过程中产生的土石方可全部就近调配用于项目区内低洼处土地平整，项目施工阶段无废弃土石方产生。</w:t>
                  </w:r>
                  <w:r>
                    <w:rPr>
                      <w:rFonts w:hint="eastAsia" w:ascii="Times New Roman" w:hAnsi="Times New Roman" w:cs="Times New Roman"/>
                      <w:b/>
                      <w:bCs/>
                      <w:color w:val="000000" w:themeColor="text1"/>
                      <w:kern w:val="0"/>
                      <w:sz w:val="21"/>
                      <w:szCs w:val="21"/>
                      <w:highlight w:val="none"/>
                      <w:lang w:val="en-US" w:eastAsia="zh-CN"/>
                      <w14:textFill>
                        <w14:solidFill>
                          <w14:schemeClr w14:val="tx1"/>
                        </w14:solidFill>
                      </w14:textFill>
                    </w:rPr>
                    <w:t>运营期：</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①果木林修剪产生的残枝败叶，直径≥5cm的外售给木炭加工和生物质燃料企业；直径＜5cm的就地切碎埋入土壤做肥料。②苗木栽植前拆除的废包装材料，在施工区域内集中收集，委托环卫部门清运处置。③补植区挖除的未成活苗木和杂草，就地切碎埋入土壤中发酵成肥料。④大棚主体及薄膜废弃物：项目种植过程中蓝莓、三七、羊肚菌种植使用大棚技术，因雨淋、日晒等自然因素和人为因素操作不当会造成大棚损坏，且大棚使用中容易老化，在这部分废弃物中，钢架等材料售卖给废旧资源回收单位；薄膜等塑料废弃物集中能回收利用的回收利用，不能回收利用</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并入附近村庄生活垃圾收集点</w:t>
                  </w:r>
                  <w:r>
                    <w:rPr>
                      <w:rFonts w:hint="eastAsia" w:ascii="Times New Roman" w:hAnsi="Times New Roman" w:cs="Times New Roman"/>
                      <w:color w:val="000000" w:themeColor="text1"/>
                      <w:sz w:val="21"/>
                      <w:szCs w:val="21"/>
                      <w:lang w:val="en-US" w:eastAsia="zh-CN"/>
                      <w14:textFill>
                        <w14:solidFill>
                          <w14:schemeClr w14:val="tx1"/>
                        </w14:solidFill>
                      </w14:textFill>
                    </w:rPr>
                    <w:t>，</w:t>
                  </w:r>
                  <w:r>
                    <w:rPr>
                      <w:rFonts w:hint="eastAsia" w:ascii="Times New Roman" w:hAnsi="Times New Roman" w:cs="Times New Roman"/>
                      <w:b w:val="0"/>
                      <w:bCs/>
                      <w:color w:val="000000" w:themeColor="text1"/>
                      <w:sz w:val="21"/>
                      <w:szCs w:val="21"/>
                      <w:lang w:val="en-US" w:eastAsia="zh-CN"/>
                      <w14:textFill>
                        <w14:solidFill>
                          <w14:schemeClr w14:val="tx1"/>
                        </w14:solidFill>
                      </w14:textFill>
                    </w:rPr>
                    <w:t>由当地环卫部门统一清运处置</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⑤水肥原料包装袋：收集后暂存于水肥中心，定期外售给废品回收站。</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⑥农药包装袋：农药废包装容器在收集、运输、处置阶段应依据《农药包装废弃物回收处理</w:t>
                  </w:r>
                  <w:r>
                    <w:rPr>
                      <w:rFonts w:hint="eastAsia" w:ascii="Times New Roman" w:hAnsi="Times New Roman" w:cs="Times New Roman"/>
                      <w:color w:val="000000" w:themeColor="text1"/>
                      <w:sz w:val="21"/>
                      <w:szCs w:val="21"/>
                      <w:lang w:val="en-US" w:eastAsia="zh-CN"/>
                      <w14:textFill>
                        <w14:solidFill>
                          <w14:schemeClr w14:val="tx1"/>
                        </w14:solidFill>
                      </w14:textFill>
                    </w:rPr>
                    <w:t>管理办法》中的</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相关要求进行收集、运输、处置，</w:t>
                  </w:r>
                  <w:r>
                    <w:rPr>
                      <w:rFonts w:hint="eastAsia" w:ascii="Times New Roman" w:hAnsi="Times New Roman" w:cs="Times New Roman"/>
                      <w:color w:val="000000" w:themeColor="text1"/>
                      <w:sz w:val="21"/>
                      <w:szCs w:val="21"/>
                      <w:lang w:val="en-US" w:eastAsia="zh-CN"/>
                      <w14:textFill>
                        <w14:solidFill>
                          <w14:schemeClr w14:val="tx1"/>
                        </w14:solidFill>
                      </w14:textFill>
                    </w:rPr>
                    <w:t>项目农药配制过程中，</w:t>
                  </w:r>
                  <w:r>
                    <w:rPr>
                      <w:rFonts w:hint="eastAsia" w:ascii="Times New Roman" w:hAnsi="Times New Roman" w:cs="Times New Roman"/>
                      <w:color w:val="000000" w:themeColor="text1"/>
                      <w:sz w:val="21"/>
                      <w:szCs w:val="21"/>
                      <w:lang w:val="en-US" w:eastAsia="zh-CN"/>
                      <w14:textFill>
                        <w14:solidFill>
                          <w14:schemeClr w14:val="tx1"/>
                        </w14:solidFill>
                      </w14:textFill>
                    </w:rPr>
                    <w:t>农药瓶身反复冲洗配置，收集装入防渗密闭的塑料桶内后定期委托</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农药经营部回收处置。</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⑦生活垃圾分类收集后暂存于垃圾收集点，并入附近村庄生活垃圾收集点统一处置。</w:t>
                  </w:r>
                </w:p>
              </w:tc>
              <w:tc>
                <w:tcPr>
                  <w:tcW w:w="397" w:type="pct"/>
                  <w:vAlign w:val="center"/>
                </w:tcPr>
                <w:p w14:paraId="29BDC07F">
                  <w:pPr>
                    <w:keepNext w:val="0"/>
                    <w:keepLines w:val="0"/>
                    <w:pageBreakBefore w:val="0"/>
                    <w:widowControl/>
                    <w:tabs>
                      <w:tab w:val="left" w:pos="4830"/>
                    </w:tabs>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符合</w:t>
                  </w:r>
                </w:p>
              </w:tc>
            </w:tr>
            <w:tr w14:paraId="026FF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8" w:hRule="atLeast"/>
                <w:jc w:val="center"/>
              </w:trPr>
              <w:tc>
                <w:tcPr>
                  <w:tcW w:w="1811" w:type="pct"/>
                  <w:vAlign w:val="center"/>
                </w:tcPr>
                <w:p w14:paraId="480AC866">
                  <w:pPr>
                    <w:keepNext w:val="0"/>
                    <w:keepLines w:val="0"/>
                    <w:pageBreakBefore w:val="0"/>
                    <w:widowControl/>
                    <w:tabs>
                      <w:tab w:val="left" w:pos="4830"/>
                    </w:tabs>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第四十五条 产生危险废物的单位，应当按照国家有关规定和环境保护标准要求贮存、利用、处置危险废物，不得擅自倾倒、堆放。从事收集、贮存、利用、处置危险废物经营活动的单位，应当依法申请取得许可证，并执行许可证管理制度的相关规定。</w:t>
                  </w:r>
                </w:p>
              </w:tc>
              <w:tc>
                <w:tcPr>
                  <w:tcW w:w="2791" w:type="pct"/>
                  <w:vAlign w:val="center"/>
                </w:tcPr>
                <w:p w14:paraId="0C35B450">
                  <w:pPr>
                    <w:keepNext w:val="0"/>
                    <w:keepLines w:val="0"/>
                    <w:pageBreakBefore w:val="0"/>
                    <w:widowControl/>
                    <w:tabs>
                      <w:tab w:val="left" w:pos="4830"/>
                    </w:tabs>
                    <w:kinsoku/>
                    <w:wordWrap/>
                    <w:overflowPunct/>
                    <w:topLinePunct w:val="0"/>
                    <w:autoSpaceDE/>
                    <w:autoSpaceDN/>
                    <w:bidi w:val="0"/>
                    <w:adjustRightInd w:val="0"/>
                    <w:snapToGrid w:val="0"/>
                    <w:spacing w:line="240" w:lineRule="auto"/>
                    <w:ind w:left="0" w:leftChars="0" w:firstLine="0" w:firstLineChars="0"/>
                    <w:jc w:val="both"/>
                    <w:textAlignment w:val="auto"/>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项目运营期会产生废弃农药瓶（袋），规格不一，基本为塑料制品，其内部残留少许农药，根据《国家危险废物名录》（2025版），废弃的与农药直接接触或含有农药残余物的包装物，废物类别为</w:t>
                  </w: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HW04农药废物</w:t>
                  </w: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，废物代码为</w:t>
                  </w: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900-003-04</w:t>
                  </w: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（销售及使用过程中产生的失效、变质、不合格、淘汰、伪劣的农药产品，以及废弃的与农药直接接触或者含有农药残余物的包装物）”</w:t>
                  </w: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w:t>
                  </w: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根据名录附录要求，</w:t>
                  </w: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该废物的收集、运输</w:t>
                  </w: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。利用满足</w:t>
                  </w: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《农药包装废弃物回收处理</w:t>
                  </w: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管理办法》的收集、运输及利用要求，可不按照危险废物管理。</w:t>
                  </w:r>
                </w:p>
                <w:p w14:paraId="2C7B058C">
                  <w:pPr>
                    <w:keepNext w:val="0"/>
                    <w:keepLines w:val="0"/>
                    <w:pageBreakBefore w:val="0"/>
                    <w:widowControl/>
                    <w:tabs>
                      <w:tab w:val="left" w:pos="4830"/>
                    </w:tabs>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根据</w:t>
                  </w: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《农药包装废弃物回收处理</w:t>
                  </w: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管理办法》“</w:t>
                  </w: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第十一条：农药使用者应当及时收集农药包装废弃物并交回农药经营者或农药包装废弃物回收站（点），不得随意丢弃。农药使用者在</w:t>
                  </w: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施用</w:t>
                  </w: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过程中，配药时应当通过清洗等方式充分利用包装物中的农药，减少残留农药</w:t>
                  </w: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w:t>
                  </w: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按照</w:t>
                  </w: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规定内容执行后就能达到豁免条件</w:t>
                  </w: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，可不按照危险废物管理，而处置过程按照进入生活垃圾填埋场填埋或进入生活垃圾焚烧厂焚烧，就可达到豁免范围，处置过程不按照危险废物管理。</w:t>
                  </w: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项目</w:t>
                  </w: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农药使用</w:t>
                  </w: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均使用水配置</w:t>
                  </w:r>
                  <w:r>
                    <w:rPr>
                      <w:rFonts w:hint="eastAsia" w:ascii="Times New Roman" w:hAnsi="Times New Roman" w:cs="Times New Roman"/>
                      <w:b w:val="0"/>
                      <w:bCs w:val="0"/>
                      <w:color w:val="000000" w:themeColor="text1"/>
                      <w:sz w:val="21"/>
                      <w:szCs w:val="21"/>
                      <w:vertAlign w:val="baseline"/>
                      <w:lang w:val="en-US" w:eastAsia="zh-CN"/>
                      <w14:textFill>
                        <w14:solidFill>
                          <w14:schemeClr w14:val="tx1"/>
                        </w14:solidFill>
                      </w14:textFill>
                    </w:rPr>
                    <w:t>。项目的农药包装瓶或者袋子均在配制农药过程中使用水重复清洗几次，清洗产生的废水主要含有农药，作为农药配制液浇灌，无废水产生。废弃农药瓶（包装物）收集装入防渗密闭的塑料桶内后定期委托农药经营部回收，并将其送至生活垃圾填埋场填埋处置，故本项目产生的农药废包装物可不按照危险废物管理。</w:t>
                  </w:r>
                </w:p>
              </w:tc>
              <w:tc>
                <w:tcPr>
                  <w:tcW w:w="397" w:type="pct"/>
                  <w:vAlign w:val="center"/>
                </w:tcPr>
                <w:p w14:paraId="0489227B">
                  <w:pPr>
                    <w:keepNext w:val="0"/>
                    <w:keepLines w:val="0"/>
                    <w:pageBreakBefore w:val="0"/>
                    <w:widowControl/>
                    <w:tabs>
                      <w:tab w:val="left" w:pos="4830"/>
                    </w:tabs>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符合</w:t>
                  </w:r>
                </w:p>
              </w:tc>
            </w:tr>
            <w:tr w14:paraId="4634E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2" w:hRule="atLeast"/>
                <w:jc w:val="center"/>
              </w:trPr>
              <w:tc>
                <w:tcPr>
                  <w:tcW w:w="1811" w:type="pct"/>
                  <w:vAlign w:val="center"/>
                </w:tcPr>
                <w:p w14:paraId="3A113FF1">
                  <w:pPr>
                    <w:keepNext w:val="0"/>
                    <w:keepLines w:val="0"/>
                    <w:pageBreakBefore w:val="0"/>
                    <w:widowControl/>
                    <w:tabs>
                      <w:tab w:val="left" w:pos="4830"/>
                    </w:tabs>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第四十七条 排放噪声的单位和个人应当采取有效措施，使其排放的噪声符合国家规定的排放标准。</w:t>
                  </w:r>
                </w:p>
              </w:tc>
              <w:tc>
                <w:tcPr>
                  <w:tcW w:w="2791" w:type="pct"/>
                  <w:vAlign w:val="center"/>
                </w:tcPr>
                <w:p w14:paraId="782376FD">
                  <w:pPr>
                    <w:keepNext w:val="0"/>
                    <w:keepLines w:val="0"/>
                    <w:pageBreakBefore w:val="0"/>
                    <w:widowControl/>
                    <w:tabs>
                      <w:tab w:val="left" w:pos="4830"/>
                    </w:tabs>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根据后文“工程分析”预测结果，项目运营期噪声排放满足《工业企业厂界环境噪声排放标准》（GB12348-2008）</w:t>
                  </w:r>
                  <w:r>
                    <w:rPr>
                      <w:rFonts w:hint="eastAsia" w:ascii="Times New Roman" w:hAnsi="Times New Roman" w:cs="Times New Roman"/>
                      <w:color w:val="000000" w:themeColor="text1"/>
                      <w:kern w:val="0"/>
                      <w:sz w:val="21"/>
                      <w:szCs w:val="21"/>
                      <w:highlight w:val="none"/>
                      <w:lang w:val="en-US" w:eastAsia="zh-CN"/>
                      <w14:textFill>
                        <w14:solidFill>
                          <w14:schemeClr w14:val="tx1"/>
                        </w14:solidFill>
                      </w14:textFill>
                    </w:rPr>
                    <w:t>1</w:t>
                  </w:r>
                  <w:r>
                    <w:rPr>
                      <w:rFonts w:hint="default" w:ascii="Times New Roman" w:hAnsi="Times New Roman" w:eastAsia="宋体" w:cs="Times New Roman"/>
                      <w:color w:val="000000" w:themeColor="text1"/>
                      <w:kern w:val="0"/>
                      <w:sz w:val="21"/>
                      <w:szCs w:val="21"/>
                      <w:highlight w:val="none"/>
                      <w:lang w:val="en-US" w:eastAsia="zh-CN"/>
                      <w14:textFill>
                        <w14:solidFill>
                          <w14:schemeClr w14:val="tx1"/>
                        </w14:solidFill>
                      </w14:textFill>
                    </w:rPr>
                    <w:t>类标准</w:t>
                  </w:r>
                </w:p>
              </w:tc>
              <w:tc>
                <w:tcPr>
                  <w:tcW w:w="397" w:type="pct"/>
                  <w:vAlign w:val="center"/>
                </w:tcPr>
                <w:p w14:paraId="59025AB5">
                  <w:pPr>
                    <w:keepNext w:val="0"/>
                    <w:keepLines w:val="0"/>
                    <w:pageBreakBefore w:val="0"/>
                    <w:widowControl/>
                    <w:tabs>
                      <w:tab w:val="left" w:pos="4830"/>
                    </w:tabs>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符合</w:t>
                  </w:r>
                </w:p>
              </w:tc>
            </w:tr>
          </w:tbl>
          <w:p w14:paraId="000D21E6">
            <w:pPr>
              <w:keepNext w:val="0"/>
              <w:keepLines w:val="0"/>
              <w:pageBreakBefore w:val="0"/>
              <w:widowControl/>
              <w:tabs>
                <w:tab w:val="left" w:pos="4830"/>
              </w:tabs>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000000" w:themeColor="text1"/>
                <w:lang w:val="en-US" w:eastAsia="zh-CN"/>
                <w14:textFill>
                  <w14:solidFill>
                    <w14:schemeClr w14:val="tx1"/>
                  </w14:solidFill>
                </w14:textFill>
              </w:rPr>
            </w:pPr>
          </w:p>
          <w:p w14:paraId="0C60BA59">
            <w:pPr>
              <w:keepNext w:val="0"/>
              <w:keepLines w:val="0"/>
              <w:pageBreakBefore w:val="0"/>
              <w:widowControl/>
              <w:tabs>
                <w:tab w:val="left" w:pos="4830"/>
              </w:tabs>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000000" w:themeColor="text1"/>
                <w:lang w:val="en-US" w:eastAsia="zh-CN"/>
                <w14:textFill>
                  <w14:solidFill>
                    <w14:schemeClr w14:val="tx1"/>
                  </w14:solidFill>
                </w14:textFill>
              </w:rPr>
            </w:pPr>
            <w:r>
              <w:rPr>
                <w:rFonts w:hint="default" w:ascii="Times New Roman" w:hAnsi="Times New Roman" w:eastAsia="宋体" w:cs="Times New Roman"/>
                <w:b w:val="0"/>
                <w:bCs w:val="0"/>
                <w:color w:val="000000" w:themeColor="text1"/>
                <w:lang w:val="en-US" w:eastAsia="zh-CN"/>
                <w14:textFill>
                  <w14:solidFill>
                    <w14:schemeClr w14:val="tx1"/>
                  </w14:solidFill>
                </w14:textFill>
              </w:rPr>
              <w:t>根据</w:t>
            </w:r>
            <w:r>
              <w:rPr>
                <w:rFonts w:hint="eastAsia" w:ascii="Times New Roman" w:hAnsi="Times New Roman" w:cs="Times New Roman"/>
                <w:b w:val="0"/>
                <w:bCs w:val="0"/>
                <w:color w:val="000000" w:themeColor="text1"/>
                <w:lang w:val="en-US" w:eastAsia="zh-CN"/>
                <w14:textFill>
                  <w14:solidFill>
                    <w14:schemeClr w14:val="tx1"/>
                  </w14:solidFill>
                </w14:textFill>
              </w:rPr>
              <w:t>上表</w:t>
            </w:r>
            <w:r>
              <w:rPr>
                <w:rFonts w:hint="default" w:ascii="Times New Roman" w:hAnsi="Times New Roman" w:eastAsia="宋体" w:cs="Times New Roman"/>
                <w:b w:val="0"/>
                <w:bCs w:val="0"/>
                <w:color w:val="000000" w:themeColor="text1"/>
                <w:lang w:val="en-US" w:eastAsia="zh-CN"/>
                <w14:textFill>
                  <w14:solidFill>
                    <w14:schemeClr w14:val="tx1"/>
                  </w14:solidFill>
                </w14:textFill>
              </w:rPr>
              <w:t>分析，本项目符合《云南省生态环境保护条例》的</w:t>
            </w:r>
            <w:r>
              <w:rPr>
                <w:rFonts w:hint="eastAsia" w:ascii="Times New Roman" w:hAnsi="Times New Roman" w:eastAsia="宋体" w:cs="Times New Roman"/>
                <w:b w:val="0"/>
                <w:bCs w:val="0"/>
                <w:color w:val="000000" w:themeColor="text1"/>
                <w:lang w:val="en-US" w:eastAsia="zh-CN"/>
                <w14:textFill>
                  <w14:solidFill>
                    <w14:schemeClr w14:val="tx1"/>
                  </w14:solidFill>
                </w14:textFill>
              </w:rPr>
              <w:t>相关</w:t>
            </w:r>
            <w:r>
              <w:rPr>
                <w:rFonts w:hint="default" w:ascii="Times New Roman" w:hAnsi="Times New Roman" w:eastAsia="宋体" w:cs="Times New Roman"/>
                <w:b w:val="0"/>
                <w:bCs w:val="0"/>
                <w:color w:val="000000" w:themeColor="text1"/>
                <w:lang w:val="en-US" w:eastAsia="zh-CN"/>
                <w14:textFill>
                  <w14:solidFill>
                    <w14:schemeClr w14:val="tx1"/>
                  </w14:solidFill>
                </w14:textFill>
              </w:rPr>
              <w:t>要求。</w:t>
            </w:r>
          </w:p>
          <w:p w14:paraId="6505BFCF">
            <w:pPr>
              <w:keepNext w:val="0"/>
              <w:keepLines w:val="0"/>
              <w:pageBreakBefore w:val="0"/>
              <w:widowControl/>
              <w:tabs>
                <w:tab w:val="left" w:pos="4830"/>
              </w:tabs>
              <w:kinsoku/>
              <w:wordWrap/>
              <w:overflowPunct/>
              <w:topLinePunct w:val="0"/>
              <w:autoSpaceDE/>
              <w:autoSpaceDN/>
              <w:bidi w:val="0"/>
              <w:adjustRightInd w:val="0"/>
              <w:snapToGrid w:val="0"/>
              <w:spacing w:line="360" w:lineRule="auto"/>
              <w:ind w:left="0" w:leftChars="0" w:firstLine="482" w:firstLineChars="200"/>
              <w:jc w:val="both"/>
              <w:textAlignment w:val="auto"/>
              <w:rPr>
                <w:rFonts w:hint="default" w:ascii="Times New Roman" w:hAnsi="Times New Roman" w:eastAsia="宋体" w:cs="Times New Roman"/>
                <w:b/>
                <w:bCs/>
                <w:color w:val="000000" w:themeColor="text1"/>
                <w:kern w:val="0"/>
                <w:sz w:val="24"/>
                <w:lang w:val="en-US" w:eastAsia="zh-CN"/>
                <w14:textFill>
                  <w14:solidFill>
                    <w14:schemeClr w14:val="tx1"/>
                  </w14:solidFill>
                </w14:textFill>
              </w:rPr>
            </w:pPr>
            <w:r>
              <w:rPr>
                <w:rFonts w:hint="default" w:ascii="Times New Roman" w:hAnsi="Times New Roman" w:eastAsia="宋体" w:cs="Times New Roman"/>
                <w:b/>
                <w:bCs/>
                <w:color w:val="000000" w:themeColor="text1"/>
                <w:kern w:val="0"/>
                <w:sz w:val="24"/>
                <w:lang w:val="en-US" w:eastAsia="zh-CN"/>
                <w14:textFill>
                  <w14:solidFill>
                    <w14:schemeClr w14:val="tx1"/>
                  </w14:solidFill>
                </w14:textFill>
              </w:rPr>
              <w:t>1</w:t>
            </w:r>
            <w:r>
              <w:rPr>
                <w:rFonts w:hint="eastAsia" w:ascii="Times New Roman" w:hAnsi="Times New Roman" w:cs="Times New Roman"/>
                <w:b/>
                <w:bCs/>
                <w:color w:val="000000" w:themeColor="text1"/>
                <w:kern w:val="0"/>
                <w:sz w:val="24"/>
                <w:lang w:val="en-US" w:eastAsia="zh-CN"/>
                <w14:textFill>
                  <w14:solidFill>
                    <w14:schemeClr w14:val="tx1"/>
                  </w14:solidFill>
                </w14:textFill>
              </w:rPr>
              <w:t>2</w:t>
            </w:r>
            <w:r>
              <w:rPr>
                <w:rFonts w:hint="default" w:ascii="Times New Roman" w:hAnsi="Times New Roman" w:eastAsia="宋体" w:cs="Times New Roman"/>
                <w:b/>
                <w:bCs/>
                <w:color w:val="000000" w:themeColor="text1"/>
                <w:kern w:val="0"/>
                <w:sz w:val="24"/>
                <w:lang w:val="en-US" w:eastAsia="zh-CN"/>
                <w14:textFill>
                  <w14:solidFill>
                    <w14:schemeClr w14:val="tx1"/>
                  </w14:solidFill>
                </w14:textFill>
              </w:rPr>
              <w:t>、</w:t>
            </w:r>
            <w:r>
              <w:rPr>
                <w:rFonts w:hint="eastAsia" w:ascii="Times New Roman" w:hAnsi="Times New Roman" w:cs="Times New Roman"/>
                <w:b/>
                <w:bCs/>
                <w:color w:val="000000" w:themeColor="text1"/>
                <w:kern w:val="0"/>
                <w:sz w:val="24"/>
                <w:lang w:val="en-US" w:eastAsia="zh-CN"/>
                <w14:textFill>
                  <w14:solidFill>
                    <w14:schemeClr w14:val="tx1"/>
                  </w14:solidFill>
                </w14:textFill>
              </w:rPr>
              <w:t>项目与《中华人民共和国水污染防治法》</w:t>
            </w:r>
            <w:r>
              <w:rPr>
                <w:rFonts w:hint="default" w:ascii="Times New Roman" w:hAnsi="Times New Roman" w:eastAsia="宋体" w:cs="Times New Roman"/>
                <w:b/>
                <w:bCs/>
                <w:color w:val="000000" w:themeColor="text1"/>
                <w:kern w:val="0"/>
                <w:sz w:val="24"/>
                <w:lang w:val="en-US" w:eastAsia="zh-CN"/>
                <w14:textFill>
                  <w14:solidFill>
                    <w14:schemeClr w14:val="tx1"/>
                  </w14:solidFill>
                </w14:textFill>
              </w:rPr>
              <w:t>符合性分析</w:t>
            </w:r>
          </w:p>
          <w:p w14:paraId="2407D52E">
            <w:pPr>
              <w:keepNext w:val="0"/>
              <w:keepLines w:val="0"/>
              <w:pageBreakBefore w:val="0"/>
              <w:kinsoku/>
              <w:wordWrap/>
              <w:overflowPunct/>
              <w:topLinePunct w:val="0"/>
              <w:autoSpaceDE w:val="0"/>
              <w:autoSpaceDN w:val="0"/>
              <w:bidi w:val="0"/>
              <w:adjustRightInd w:val="0"/>
              <w:snapToGrid w:val="0"/>
              <w:spacing w:line="360" w:lineRule="auto"/>
              <w:ind w:left="0" w:leftChars="0" w:firstLine="480" w:firstLineChars="200"/>
              <w:jc w:val="both"/>
              <w:textAlignment w:val="auto"/>
              <w:rPr>
                <w:rFonts w:hint="default" w:ascii="Times New Roman" w:hAnsi="Times New Roman" w:eastAsia="宋体" w:cs="Times New Roman"/>
                <w:b w:val="0"/>
                <w:bCs w:val="0"/>
                <w:color w:val="000000" w:themeColor="text1"/>
                <w:kern w:val="0"/>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4"/>
                <w:szCs w:val="24"/>
                <w:lang w:val="en-US" w:eastAsia="zh-CN"/>
                <w14:textFill>
                  <w14:solidFill>
                    <w14:schemeClr w14:val="tx1"/>
                  </w14:solidFill>
                </w14:textFill>
              </w:rPr>
              <w:t>项目与《中华人民共和国水污染防治法》符合性分析如下表所示：</w:t>
            </w:r>
          </w:p>
          <w:p w14:paraId="31DF539D">
            <w:pPr>
              <w:autoSpaceDE w:val="0"/>
              <w:autoSpaceDN w:val="0"/>
              <w:adjustRightInd w:val="0"/>
              <w:snapToGrid w:val="0"/>
              <w:spacing w:line="360" w:lineRule="auto"/>
              <w:ind w:firstLine="422" w:firstLineChars="200"/>
              <w:jc w:val="both"/>
              <w:rPr>
                <w:rFonts w:hint="default" w:ascii="Times New Roman" w:hAnsi="Times New Roman" w:eastAsia="宋体" w:cs="Times New Roman"/>
                <w:b/>
                <w:bCs/>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kern w:val="0"/>
                <w:sz w:val="21"/>
                <w:szCs w:val="21"/>
                <w:lang w:val="en-US" w:eastAsia="zh-CN"/>
                <w14:textFill>
                  <w14:solidFill>
                    <w14:schemeClr w14:val="tx1"/>
                  </w14:solidFill>
                </w14:textFill>
              </w:rPr>
              <w:t>表1-</w:t>
            </w:r>
            <w:r>
              <w:rPr>
                <w:rFonts w:hint="eastAsia" w:ascii="Times New Roman" w:hAnsi="Times New Roman" w:cs="Times New Roman"/>
                <w:b/>
                <w:bCs/>
                <w:color w:val="000000" w:themeColor="text1"/>
                <w:kern w:val="0"/>
                <w:sz w:val="21"/>
                <w:szCs w:val="21"/>
                <w:lang w:val="en-US" w:eastAsia="zh-CN"/>
                <w14:textFill>
                  <w14:solidFill>
                    <w14:schemeClr w14:val="tx1"/>
                  </w14:solidFill>
                </w14:textFill>
              </w:rPr>
              <w:t>10</w:t>
            </w:r>
            <w:r>
              <w:rPr>
                <w:rFonts w:hint="default" w:ascii="Times New Roman" w:hAnsi="Times New Roman" w:eastAsia="宋体" w:cs="Times New Roman"/>
                <w:b/>
                <w:bCs/>
                <w:color w:val="000000" w:themeColor="text1"/>
                <w:kern w:val="0"/>
                <w:sz w:val="21"/>
                <w:szCs w:val="21"/>
                <w:lang w:val="en-US" w:eastAsia="zh-CN"/>
                <w14:textFill>
                  <w14:solidFill>
                    <w14:schemeClr w14:val="tx1"/>
                  </w14:solidFill>
                </w14:textFill>
              </w:rPr>
              <w:t xml:space="preserve">  项目与《中华人民共和国水污染防治法》的符合性分析</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2"/>
              <w:gridCol w:w="2567"/>
              <w:gridCol w:w="4100"/>
              <w:gridCol w:w="599"/>
            </w:tblGrid>
            <w:tr w14:paraId="593C8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3399" w:type="dxa"/>
                  <w:gridSpan w:val="2"/>
                  <w:vAlign w:val="center"/>
                </w:tcPr>
                <w:p w14:paraId="27513927">
                  <w:pPr>
                    <w:keepNext w:val="0"/>
                    <w:keepLines w:val="0"/>
                    <w:pageBreakBefore w:val="0"/>
                    <w:widowControl w:val="0"/>
                    <w:tabs>
                      <w:tab w:val="left" w:pos="4830"/>
                    </w:tabs>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要求</w:t>
                  </w:r>
                </w:p>
              </w:tc>
              <w:tc>
                <w:tcPr>
                  <w:tcW w:w="4100" w:type="dxa"/>
                  <w:shd w:val="clear" w:color="auto" w:fill="auto"/>
                  <w:vAlign w:val="center"/>
                </w:tcPr>
                <w:p w14:paraId="0BBBF9EF">
                  <w:pPr>
                    <w:keepNext w:val="0"/>
                    <w:keepLines w:val="0"/>
                    <w:pageBreakBefore w:val="0"/>
                    <w:widowControl w:val="0"/>
                    <w:tabs>
                      <w:tab w:val="left" w:pos="4830"/>
                    </w:tabs>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本项目保护情况</w:t>
                  </w:r>
                </w:p>
              </w:tc>
              <w:tc>
                <w:tcPr>
                  <w:tcW w:w="599" w:type="dxa"/>
                  <w:shd w:val="clear" w:color="auto" w:fill="auto"/>
                  <w:vAlign w:val="center"/>
                </w:tcPr>
                <w:p w14:paraId="79E04D78">
                  <w:pPr>
                    <w:keepNext w:val="0"/>
                    <w:keepLines w:val="0"/>
                    <w:pageBreakBefore w:val="0"/>
                    <w:widowControl w:val="0"/>
                    <w:tabs>
                      <w:tab w:val="left" w:pos="4830"/>
                    </w:tabs>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符合性</w:t>
                  </w:r>
                </w:p>
              </w:tc>
            </w:tr>
            <w:tr w14:paraId="24B72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8" w:hRule="atLeast"/>
                <w:jc w:val="center"/>
              </w:trPr>
              <w:tc>
                <w:tcPr>
                  <w:tcW w:w="832" w:type="dxa"/>
                  <w:vMerge w:val="restart"/>
                  <w:vAlign w:val="center"/>
                </w:tcPr>
                <w:p w14:paraId="4AF34384">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t>第一节  一般规定</w:t>
                  </w:r>
                </w:p>
              </w:tc>
              <w:tc>
                <w:tcPr>
                  <w:tcW w:w="2567" w:type="dxa"/>
                  <w:vAlign w:val="center"/>
                </w:tcPr>
                <w:p w14:paraId="1ADEA470">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t>第三十三条 禁止向水体排放油类、酸液、碱液或者剧毒废液。</w:t>
                  </w:r>
                </w:p>
                <w:p w14:paraId="0AF7E5A3">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t>禁止在水体清洗装贮过油类或者有毒污染物的车辆和容器。</w:t>
                  </w:r>
                </w:p>
              </w:tc>
              <w:tc>
                <w:tcPr>
                  <w:tcW w:w="4100" w:type="dxa"/>
                  <w:vAlign w:val="center"/>
                </w:tcPr>
                <w:p w14:paraId="2FBE6A19">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t>项目无废水外排</w:t>
                  </w:r>
                  <w:r>
                    <w:rPr>
                      <w:rFonts w:hint="eastAsia" w:ascii="Times New Roman" w:hAnsi="Times New Roman" w:cs="Times New Roman"/>
                      <w:b w:val="0"/>
                      <w:bCs/>
                      <w:color w:val="000000" w:themeColor="text1"/>
                      <w:sz w:val="21"/>
                      <w:szCs w:val="21"/>
                      <w:lang w:val="en-US" w:eastAsia="zh-CN"/>
                      <w14:textFill>
                        <w14:solidFill>
                          <w14:schemeClr w14:val="tx1"/>
                        </w14:solidFill>
                      </w14:textFill>
                    </w:rPr>
                    <w:t>，不涉及</w:t>
                  </w:r>
                  <w:r>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t>装贮过油类或者有毒污染物的车辆和容器</w:t>
                  </w:r>
                  <w:r>
                    <w:rPr>
                      <w:rFonts w:hint="eastAsia" w:ascii="Times New Roman" w:hAnsi="Times New Roman" w:cs="Times New Roman"/>
                      <w:b w:val="0"/>
                      <w:bCs/>
                      <w:color w:val="000000" w:themeColor="text1"/>
                      <w:sz w:val="21"/>
                      <w:szCs w:val="21"/>
                      <w:lang w:val="en-US" w:eastAsia="zh-CN"/>
                      <w14:textFill>
                        <w14:solidFill>
                          <w14:schemeClr w14:val="tx1"/>
                        </w14:solidFill>
                      </w14:textFill>
                    </w:rPr>
                    <w:t>清洗</w:t>
                  </w:r>
                </w:p>
              </w:tc>
              <w:tc>
                <w:tcPr>
                  <w:tcW w:w="599" w:type="dxa"/>
                  <w:vAlign w:val="center"/>
                </w:tcPr>
                <w:p w14:paraId="6E7BA28C">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eastAsia" w:ascii="Times New Roman" w:hAnsi="Times New Roman" w:cs="Times New Roman"/>
                      <w:b w:val="0"/>
                      <w:bCs/>
                      <w:color w:val="000000" w:themeColor="text1"/>
                      <w:sz w:val="21"/>
                      <w:szCs w:val="21"/>
                      <w:lang w:val="en-US" w:eastAsia="zh-CN"/>
                      <w14:textFill>
                        <w14:solidFill>
                          <w14:schemeClr w14:val="tx1"/>
                        </w14:solidFill>
                      </w14:textFill>
                    </w:rPr>
                    <w:t>符合</w:t>
                  </w:r>
                </w:p>
              </w:tc>
            </w:tr>
            <w:tr w14:paraId="0F514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jc w:val="center"/>
              </w:trPr>
              <w:tc>
                <w:tcPr>
                  <w:tcW w:w="832" w:type="dxa"/>
                  <w:vMerge w:val="continue"/>
                  <w:vAlign w:val="center"/>
                </w:tcPr>
                <w:p w14:paraId="0F269714">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pPr>
                </w:p>
              </w:tc>
              <w:tc>
                <w:tcPr>
                  <w:tcW w:w="2567" w:type="dxa"/>
                  <w:vAlign w:val="center"/>
                </w:tcPr>
                <w:p w14:paraId="086C8805">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t>第三十四条 禁止向水体排放、倾倒放射性固体废物或者含有高放射性和中放射性物质的废水。</w:t>
                  </w:r>
                </w:p>
                <w:p w14:paraId="158E31FD">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t>向水体排放含低放射性物质的废水，应当符合国家有关放射性污染防治的规定和标准。</w:t>
                  </w:r>
                </w:p>
              </w:tc>
              <w:tc>
                <w:tcPr>
                  <w:tcW w:w="4100" w:type="dxa"/>
                  <w:vAlign w:val="center"/>
                </w:tcPr>
                <w:p w14:paraId="44FC9C0A">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t>项目无废水外排</w:t>
                  </w:r>
                </w:p>
              </w:tc>
              <w:tc>
                <w:tcPr>
                  <w:tcW w:w="599" w:type="dxa"/>
                  <w:vAlign w:val="center"/>
                </w:tcPr>
                <w:p w14:paraId="11F8A3C2">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eastAsia" w:ascii="Times New Roman" w:hAnsi="Times New Roman" w:cs="Times New Roman"/>
                      <w:b w:val="0"/>
                      <w:bCs/>
                      <w:color w:val="000000" w:themeColor="text1"/>
                      <w:sz w:val="21"/>
                      <w:szCs w:val="21"/>
                      <w:lang w:val="en-US" w:eastAsia="zh-CN"/>
                      <w14:textFill>
                        <w14:solidFill>
                          <w14:schemeClr w14:val="tx1"/>
                        </w14:solidFill>
                      </w14:textFill>
                    </w:rPr>
                    <w:t>符合</w:t>
                  </w:r>
                </w:p>
              </w:tc>
            </w:tr>
            <w:tr w14:paraId="061FA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8" w:hRule="atLeast"/>
                <w:jc w:val="center"/>
              </w:trPr>
              <w:tc>
                <w:tcPr>
                  <w:tcW w:w="832" w:type="dxa"/>
                  <w:vMerge w:val="continue"/>
                  <w:vAlign w:val="center"/>
                </w:tcPr>
                <w:p w14:paraId="647FD519">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pPr>
                </w:p>
              </w:tc>
              <w:tc>
                <w:tcPr>
                  <w:tcW w:w="2567" w:type="dxa"/>
                  <w:vAlign w:val="center"/>
                </w:tcPr>
                <w:p w14:paraId="5C69692A">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t>第三十七条  禁止向水体排放、倾倒工业废渣、城镇垃圾和其他废弃物。</w:t>
                  </w:r>
                </w:p>
                <w:p w14:paraId="6ADDB16F">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t>禁止将含有汞、镉、砷、铬、铅、氰化物、黄磷等的可溶性剧毒废渣向水体排放、倾倒或者直接埋入地下。</w:t>
                  </w:r>
                </w:p>
                <w:p w14:paraId="7A33601E">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t>存放可溶性剧毒废渣的场所，应当采取防水、防渗漏、防流失的措施。</w:t>
                  </w:r>
                </w:p>
              </w:tc>
              <w:tc>
                <w:tcPr>
                  <w:tcW w:w="4100" w:type="dxa"/>
                  <w:vMerge w:val="restart"/>
                  <w:vAlign w:val="center"/>
                </w:tcPr>
                <w:p w14:paraId="04A807DC">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施工期：①施工区域原有地表挖除的灌木杂草直径≥5cm的统一收集后外售木炭加工和生物质燃料企业，作为木炭和生物质燃料加工原料。直径＜5cm的木材及杂草可就地切碎后埋入土壤内通过发酵腐熟后作为肥料；②大棚建设产生的废弃材料大棚结构及顶棚覆盖过程中会产生少量的废弃材料，集中收集运至就近生活垃圾中转站，委托环卫部门处置；③施工人员生活垃圾在施工区域内集中收集后并入附近村庄，由当地环卫部门统一清运处置，做到日产日清；④项目区整地过程中产生的土石方可全部就近调配用于项目区内低洼处土地平整，项目施工阶段</w:t>
                  </w:r>
                  <w:r>
                    <w:rPr>
                      <w:rFonts w:hint="eastAsia" w:ascii="Times New Roman" w:hAnsi="Times New Roman" w:cs="Times New Roman"/>
                      <w:color w:val="000000" w:themeColor="text1"/>
                      <w:sz w:val="21"/>
                      <w:szCs w:val="21"/>
                      <w:lang w:val="en-US" w:eastAsia="zh-CN"/>
                      <w14:textFill>
                        <w14:solidFill>
                          <w14:schemeClr w14:val="tx1"/>
                        </w14:solidFill>
                      </w14:textFill>
                    </w:rPr>
                    <w:t>无废弃土石方</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产生。运营期：①果木林修剪产生的残枝败叶，直径≥5cm的外售给木炭加工和生物质燃料企业；直径＜5cm的就地切碎埋入土壤做肥料。②苗木栽植前拆除的废包装材料，在施工区域内集中收集，委托环卫部门清运处置。③补植区挖除的未成活苗木和杂草，就地切碎埋入土壤中发酵成肥料。④大棚主体及薄膜废弃物：项目种植过程中蓝莓、三七、羊肚菌种植使用大棚技术，因雨淋、日晒等自然因素和人为因素操作不当会造成大棚损坏，且大棚使用中容易老化，在这部分废弃物中，钢架等材料售卖给废旧资源回收单位；薄膜等塑料废弃物集中能回收利用的回收利用，不能回收利用的并入附近村庄生活垃圾收集点</w:t>
                  </w:r>
                  <w:r>
                    <w:rPr>
                      <w:rFonts w:hint="eastAsia" w:ascii="Times New Roman" w:hAnsi="Times New Roman" w:cs="Times New Roman"/>
                      <w:color w:val="000000" w:themeColor="text1"/>
                      <w:sz w:val="21"/>
                      <w:szCs w:val="21"/>
                      <w:lang w:val="en-US" w:eastAsia="zh-CN"/>
                      <w14:textFill>
                        <w14:solidFill>
                          <w14:schemeClr w14:val="tx1"/>
                        </w14:solidFill>
                      </w14:textFill>
                    </w:rPr>
                    <w:t>，</w:t>
                  </w:r>
                  <w:r>
                    <w:rPr>
                      <w:rFonts w:hint="eastAsia" w:ascii="Times New Roman" w:hAnsi="Times New Roman" w:cs="Times New Roman"/>
                      <w:b w:val="0"/>
                      <w:bCs/>
                      <w:color w:val="000000" w:themeColor="text1"/>
                      <w:sz w:val="21"/>
                      <w:szCs w:val="21"/>
                      <w:lang w:val="en-US" w:eastAsia="zh-CN"/>
                      <w14:textFill>
                        <w14:solidFill>
                          <w14:schemeClr w14:val="tx1"/>
                        </w14:solidFill>
                      </w14:textFill>
                    </w:rPr>
                    <w:t>由当地环卫部门统一清运处置</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。⑤水肥原料包装袋：收集后暂存于水肥中心，定期外售给废品回收站。⑥农药包装袋：农药废包装容器在收集、运输、处置阶段应依据《农药包装废弃物回收处理</w:t>
                  </w:r>
                  <w:r>
                    <w:rPr>
                      <w:rFonts w:hint="eastAsia" w:ascii="Times New Roman" w:hAnsi="Times New Roman" w:cs="Times New Roman"/>
                      <w:color w:val="000000" w:themeColor="text1"/>
                      <w:sz w:val="21"/>
                      <w:szCs w:val="21"/>
                      <w:lang w:val="en-US" w:eastAsia="zh-CN"/>
                      <w14:textFill>
                        <w14:solidFill>
                          <w14:schemeClr w14:val="tx1"/>
                        </w14:solidFill>
                      </w14:textFill>
                    </w:rPr>
                    <w:t>管理办法》</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相关要求进行收集、运输、处置，项目农药</w:t>
                  </w:r>
                  <w:r>
                    <w:rPr>
                      <w:rFonts w:hint="eastAsia" w:ascii="Times New Roman" w:hAnsi="Times New Roman" w:cs="Times New Roman"/>
                      <w:color w:val="000000" w:themeColor="text1"/>
                      <w:sz w:val="21"/>
                      <w:szCs w:val="21"/>
                      <w:lang w:val="en-US" w:eastAsia="zh-CN"/>
                      <w14:textFill>
                        <w14:solidFill>
                          <w14:schemeClr w14:val="tx1"/>
                        </w14:solidFill>
                      </w14:textFill>
                    </w:rPr>
                    <w:t>配制</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过程中，农药瓶身反复冲洗配置，</w:t>
                  </w:r>
                  <w:r>
                    <w:rPr>
                      <w:rFonts w:hint="eastAsia" w:ascii="Times New Roman" w:hAnsi="Times New Roman" w:cs="Times New Roman"/>
                      <w:color w:val="000000" w:themeColor="text1"/>
                      <w:sz w:val="21"/>
                      <w:szCs w:val="21"/>
                      <w:lang w:val="en-US" w:eastAsia="zh-CN"/>
                      <w14:textFill>
                        <w14:solidFill>
                          <w14:schemeClr w14:val="tx1"/>
                        </w14:solidFill>
                      </w14:textFill>
                    </w:rPr>
                    <w:t>收集装入防渗密闭的塑料桶内后定期委托</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农药经营部回收处置。</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⑦生活垃圾分类收集后暂存于垃圾收集点，并入附近村庄生活垃圾收集点统一处置。</w:t>
                  </w:r>
                  <w:r>
                    <w:rPr>
                      <w:rFonts w:hint="eastAsia" w:ascii="Times New Roman" w:hAnsi="Times New Roman" w:cs="Times New Roman"/>
                      <w:b w:val="0"/>
                      <w:bCs/>
                      <w:color w:val="000000" w:themeColor="text1"/>
                      <w:sz w:val="21"/>
                      <w:szCs w:val="21"/>
                      <w:lang w:val="en-US" w:eastAsia="zh-CN"/>
                      <w14:textFill>
                        <w14:solidFill>
                          <w14:schemeClr w14:val="tx1"/>
                        </w14:solidFill>
                      </w14:textFill>
                    </w:rPr>
                    <w:t>项目不涉及</w:t>
                  </w:r>
                  <w:r>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t>向水体排放、倾倒其他废弃物。</w:t>
                  </w:r>
                  <w:r>
                    <w:rPr>
                      <w:rFonts w:hint="eastAsia" w:ascii="Times New Roman" w:hAnsi="Times New Roman" w:cs="Times New Roman"/>
                      <w:b w:val="0"/>
                      <w:bCs/>
                      <w:color w:val="000000" w:themeColor="text1"/>
                      <w:sz w:val="21"/>
                      <w:szCs w:val="21"/>
                      <w:lang w:val="en-US" w:eastAsia="zh-CN"/>
                      <w14:textFill>
                        <w14:solidFill>
                          <w14:schemeClr w14:val="tx1"/>
                        </w14:solidFill>
                      </w14:textFill>
                    </w:rPr>
                    <w:t>项目建设及运行不涉及</w:t>
                  </w:r>
                  <w:r>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t>可含有汞、镉、砷、铬、铅、氰化物、黄磷等的可溶性剧毒废渣</w:t>
                  </w:r>
                  <w:r>
                    <w:rPr>
                      <w:rFonts w:hint="eastAsia" w:ascii="Times New Roman" w:hAnsi="Times New Roman" w:cs="Times New Roman"/>
                      <w:b w:val="0"/>
                      <w:bCs/>
                      <w:color w:val="000000" w:themeColor="text1"/>
                      <w:sz w:val="21"/>
                      <w:szCs w:val="21"/>
                      <w:lang w:val="en-US" w:eastAsia="zh-CN"/>
                      <w14:textFill>
                        <w14:solidFill>
                          <w14:schemeClr w14:val="tx1"/>
                        </w14:solidFill>
                      </w14:textFill>
                    </w:rPr>
                    <w:t>。</w:t>
                  </w:r>
                </w:p>
              </w:tc>
              <w:tc>
                <w:tcPr>
                  <w:tcW w:w="599" w:type="dxa"/>
                  <w:vAlign w:val="center"/>
                </w:tcPr>
                <w:p w14:paraId="0345FF48">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eastAsia" w:ascii="Times New Roman" w:hAnsi="Times New Roman" w:cs="Times New Roman"/>
                      <w:b w:val="0"/>
                      <w:bCs/>
                      <w:color w:val="000000" w:themeColor="text1"/>
                      <w:sz w:val="21"/>
                      <w:szCs w:val="21"/>
                      <w:lang w:val="en-US" w:eastAsia="zh-CN"/>
                      <w14:textFill>
                        <w14:solidFill>
                          <w14:schemeClr w14:val="tx1"/>
                        </w14:solidFill>
                      </w14:textFill>
                    </w:rPr>
                    <w:t>符合</w:t>
                  </w:r>
                </w:p>
              </w:tc>
            </w:tr>
            <w:tr w14:paraId="5EB10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8" w:hRule="atLeast"/>
                <w:jc w:val="center"/>
              </w:trPr>
              <w:tc>
                <w:tcPr>
                  <w:tcW w:w="832" w:type="dxa"/>
                  <w:vMerge w:val="continue"/>
                  <w:vAlign w:val="center"/>
                </w:tcPr>
                <w:p w14:paraId="60FD6D40">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pPr>
                </w:p>
              </w:tc>
              <w:tc>
                <w:tcPr>
                  <w:tcW w:w="2567" w:type="dxa"/>
                  <w:vAlign w:val="center"/>
                </w:tcPr>
                <w:p w14:paraId="1E99506B">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t>第三十八条  禁止在江河、湖泊、运河、渠道、水库最高水位线以下的滩地和岸坡堆放、存贮固体废弃物和其他污染物。</w:t>
                  </w:r>
                </w:p>
              </w:tc>
              <w:tc>
                <w:tcPr>
                  <w:tcW w:w="4100" w:type="dxa"/>
                  <w:vMerge w:val="continue"/>
                  <w:vAlign w:val="center"/>
                </w:tcPr>
                <w:p w14:paraId="3816A6B6">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pPr>
                </w:p>
              </w:tc>
              <w:tc>
                <w:tcPr>
                  <w:tcW w:w="599" w:type="dxa"/>
                  <w:vAlign w:val="center"/>
                </w:tcPr>
                <w:p w14:paraId="279E9CFB">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eastAsia" w:ascii="Times New Roman" w:hAnsi="Times New Roman" w:cs="Times New Roman"/>
                      <w:b w:val="0"/>
                      <w:bCs/>
                      <w:color w:val="000000" w:themeColor="text1"/>
                      <w:sz w:val="21"/>
                      <w:szCs w:val="21"/>
                      <w:lang w:val="en-US" w:eastAsia="zh-CN"/>
                      <w14:textFill>
                        <w14:solidFill>
                          <w14:schemeClr w14:val="tx1"/>
                        </w14:solidFill>
                      </w14:textFill>
                    </w:rPr>
                    <w:t>符合</w:t>
                  </w:r>
                </w:p>
              </w:tc>
            </w:tr>
            <w:tr w14:paraId="55867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2" w:hRule="atLeast"/>
                <w:jc w:val="center"/>
              </w:trPr>
              <w:tc>
                <w:tcPr>
                  <w:tcW w:w="832" w:type="dxa"/>
                  <w:vMerge w:val="restart"/>
                  <w:vAlign w:val="center"/>
                </w:tcPr>
                <w:p w14:paraId="3CAEE7C5">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t>第四节 农业和农村水污染防治</w:t>
                  </w:r>
                </w:p>
              </w:tc>
              <w:tc>
                <w:tcPr>
                  <w:tcW w:w="2567" w:type="dxa"/>
                  <w:vAlign w:val="center"/>
                </w:tcPr>
                <w:p w14:paraId="2D66C187">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第五十三条 制定化肥、农药等产品的质量标准和使用标准，应当适应水环境保护要求</w:t>
                  </w:r>
                </w:p>
              </w:tc>
              <w:tc>
                <w:tcPr>
                  <w:tcW w:w="4100" w:type="dxa"/>
                  <w:vAlign w:val="center"/>
                </w:tcPr>
                <w:p w14:paraId="4B5EDBE8">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eastAsia" w:ascii="Times New Roman" w:hAnsi="Times New Roman" w:cs="Times New Roman"/>
                      <w:b w:val="0"/>
                      <w:bCs/>
                      <w:color w:val="000000" w:themeColor="text1"/>
                      <w:sz w:val="21"/>
                      <w:szCs w:val="21"/>
                      <w:lang w:val="en-US" w:eastAsia="zh-CN"/>
                      <w14:textFill>
                        <w14:solidFill>
                          <w14:schemeClr w14:val="tx1"/>
                        </w14:solidFill>
                      </w14:textFill>
                    </w:rPr>
                    <w:t>项目为农产品、药材种植项目，过程中涉及使用化肥及农药，项目化肥及农药均购买符合相关国家标准的产品，使用过程中根据种植类别定制合理的使用标准</w:t>
                  </w:r>
                </w:p>
              </w:tc>
              <w:tc>
                <w:tcPr>
                  <w:tcW w:w="599" w:type="dxa"/>
                  <w:vAlign w:val="center"/>
                </w:tcPr>
                <w:p w14:paraId="72CA6FB9">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eastAsia" w:ascii="Times New Roman" w:hAnsi="Times New Roman" w:cs="Times New Roman"/>
                      <w:b w:val="0"/>
                      <w:bCs/>
                      <w:color w:val="000000" w:themeColor="text1"/>
                      <w:sz w:val="21"/>
                      <w:szCs w:val="21"/>
                      <w:lang w:val="en-US" w:eastAsia="zh-CN"/>
                      <w14:textFill>
                        <w14:solidFill>
                          <w14:schemeClr w14:val="tx1"/>
                        </w14:solidFill>
                      </w14:textFill>
                    </w:rPr>
                    <w:t>符合</w:t>
                  </w:r>
                </w:p>
              </w:tc>
            </w:tr>
            <w:tr w14:paraId="22489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2" w:hRule="atLeast"/>
                <w:jc w:val="center"/>
              </w:trPr>
              <w:tc>
                <w:tcPr>
                  <w:tcW w:w="832" w:type="dxa"/>
                  <w:vMerge w:val="continue"/>
                  <w:vAlign w:val="center"/>
                </w:tcPr>
                <w:p w14:paraId="5EE0562B">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pPr>
                </w:p>
              </w:tc>
              <w:tc>
                <w:tcPr>
                  <w:tcW w:w="2567" w:type="dxa"/>
                  <w:vAlign w:val="center"/>
                </w:tcPr>
                <w:p w14:paraId="55D4F274">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第五十四条 使用农药，应当符合国家有关农药安全使用的规定和标准。</w:t>
                  </w:r>
                </w:p>
                <w:p w14:paraId="7FE0521B">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t>运输、存贮农药和处置过期失效农药，应当加强管理，防止造成水污染。</w:t>
                  </w:r>
                </w:p>
              </w:tc>
              <w:tc>
                <w:tcPr>
                  <w:tcW w:w="4100" w:type="dxa"/>
                  <w:vAlign w:val="center"/>
                </w:tcPr>
                <w:p w14:paraId="1AE4B1C2">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农</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药废包装容器在收集、运输、处置阶段应依据《农药包装废弃物回收处理管理办法》中</w:t>
                  </w:r>
                  <w:r>
                    <w:rPr>
                      <w:rFonts w:hint="eastAsia" w:ascii="Times New Roman" w:hAnsi="Times New Roman" w:cs="Times New Roman"/>
                      <w:color w:val="000000" w:themeColor="text1"/>
                      <w:sz w:val="21"/>
                      <w:szCs w:val="21"/>
                      <w:lang w:val="en-US" w:eastAsia="zh-CN"/>
                      <w14:textFill>
                        <w14:solidFill>
                          <w14:schemeClr w14:val="tx1"/>
                        </w14:solidFill>
                      </w14:textFill>
                    </w:rPr>
                    <w:t>的</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相关要求进行收集、运输、处置，定期委托农药经营部回收处置</w:t>
                  </w:r>
                </w:p>
              </w:tc>
              <w:tc>
                <w:tcPr>
                  <w:tcW w:w="599" w:type="dxa"/>
                  <w:vAlign w:val="center"/>
                </w:tcPr>
                <w:p w14:paraId="592F8449">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eastAsia"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eastAsia" w:ascii="Times New Roman" w:hAnsi="Times New Roman" w:cs="Times New Roman"/>
                      <w:b w:val="0"/>
                      <w:bCs/>
                      <w:color w:val="000000" w:themeColor="text1"/>
                      <w:sz w:val="21"/>
                      <w:szCs w:val="21"/>
                      <w:lang w:val="en-US" w:eastAsia="zh-CN"/>
                      <w14:textFill>
                        <w14:solidFill>
                          <w14:schemeClr w14:val="tx1"/>
                        </w14:solidFill>
                      </w14:textFill>
                    </w:rPr>
                    <w:t>符合</w:t>
                  </w:r>
                </w:p>
              </w:tc>
            </w:tr>
          </w:tbl>
          <w:p w14:paraId="7C5C1CC8">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firstLine="480" w:firstLineChars="200"/>
              <w:jc w:val="both"/>
              <w:textAlignment w:val="auto"/>
              <w:rPr>
                <w:rFonts w:hint="default" w:ascii="Times New Roman" w:hAnsi="Times New Roman" w:eastAsia="宋体" w:cs="Times New Roman"/>
                <w:color w:val="000000" w:themeColor="text1"/>
                <w:kern w:val="0"/>
                <w:sz w:val="24"/>
                <w:lang w:val="en-US" w:eastAsia="zh-CN"/>
                <w14:textFill>
                  <w14:solidFill>
                    <w14:schemeClr w14:val="tx1"/>
                  </w14:solidFill>
                </w14:textFill>
              </w:rPr>
            </w:pPr>
          </w:p>
          <w:p w14:paraId="1D330C21">
            <w:pPr>
              <w:keepNext w:val="0"/>
              <w:keepLines w:val="0"/>
              <w:pageBreakBefore w:val="0"/>
              <w:widowControl/>
              <w:tabs>
                <w:tab w:val="left" w:pos="4830"/>
              </w:tabs>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000000" w:themeColor="text1"/>
                <w:lang w:val="en-US" w:eastAsia="zh-CN"/>
                <w14:textFill>
                  <w14:solidFill>
                    <w14:schemeClr w14:val="tx1"/>
                  </w14:solidFill>
                </w14:textFill>
              </w:rPr>
            </w:pPr>
            <w:r>
              <w:rPr>
                <w:rFonts w:hint="default" w:ascii="Times New Roman" w:hAnsi="Times New Roman" w:eastAsia="宋体" w:cs="Times New Roman"/>
                <w:b w:val="0"/>
                <w:bCs w:val="0"/>
                <w:color w:val="000000" w:themeColor="text1"/>
                <w:lang w:val="en-US" w:eastAsia="zh-CN"/>
                <w14:textFill>
                  <w14:solidFill>
                    <w14:schemeClr w14:val="tx1"/>
                  </w14:solidFill>
                </w14:textFill>
              </w:rPr>
              <w:t>根据</w:t>
            </w:r>
            <w:r>
              <w:rPr>
                <w:rFonts w:hint="eastAsia" w:ascii="Times New Roman" w:hAnsi="Times New Roman" w:cs="Times New Roman"/>
                <w:b w:val="0"/>
                <w:bCs w:val="0"/>
                <w:color w:val="000000" w:themeColor="text1"/>
                <w:lang w:val="en-US" w:eastAsia="zh-CN"/>
                <w14:textFill>
                  <w14:solidFill>
                    <w14:schemeClr w14:val="tx1"/>
                  </w14:solidFill>
                </w14:textFill>
              </w:rPr>
              <w:t>上表</w:t>
            </w:r>
            <w:r>
              <w:rPr>
                <w:rFonts w:hint="default" w:ascii="Times New Roman" w:hAnsi="Times New Roman" w:eastAsia="宋体" w:cs="Times New Roman"/>
                <w:b w:val="0"/>
                <w:bCs w:val="0"/>
                <w:color w:val="000000" w:themeColor="text1"/>
                <w:lang w:val="en-US" w:eastAsia="zh-CN"/>
                <w14:textFill>
                  <w14:solidFill>
                    <w14:schemeClr w14:val="tx1"/>
                  </w14:solidFill>
                </w14:textFill>
              </w:rPr>
              <w:t>分析，本项目符合《中华人民共和国水污染防治法》的</w:t>
            </w:r>
            <w:r>
              <w:rPr>
                <w:rFonts w:hint="eastAsia" w:ascii="Times New Roman" w:hAnsi="Times New Roman" w:eastAsia="宋体" w:cs="Times New Roman"/>
                <w:b w:val="0"/>
                <w:bCs w:val="0"/>
                <w:color w:val="000000" w:themeColor="text1"/>
                <w:lang w:val="en-US" w:eastAsia="zh-CN"/>
                <w14:textFill>
                  <w14:solidFill>
                    <w14:schemeClr w14:val="tx1"/>
                  </w14:solidFill>
                </w14:textFill>
              </w:rPr>
              <w:t>相关</w:t>
            </w:r>
            <w:r>
              <w:rPr>
                <w:rFonts w:hint="default" w:ascii="Times New Roman" w:hAnsi="Times New Roman" w:eastAsia="宋体" w:cs="Times New Roman"/>
                <w:b w:val="0"/>
                <w:bCs w:val="0"/>
                <w:color w:val="000000" w:themeColor="text1"/>
                <w:lang w:val="en-US" w:eastAsia="zh-CN"/>
                <w14:textFill>
                  <w14:solidFill>
                    <w14:schemeClr w14:val="tx1"/>
                  </w14:solidFill>
                </w14:textFill>
              </w:rPr>
              <w:t>要求。</w:t>
            </w:r>
          </w:p>
          <w:p w14:paraId="1721452D">
            <w:pPr>
              <w:keepNext w:val="0"/>
              <w:keepLines w:val="0"/>
              <w:pageBreakBefore w:val="0"/>
              <w:widowControl/>
              <w:tabs>
                <w:tab w:val="left" w:pos="4830"/>
              </w:tabs>
              <w:kinsoku/>
              <w:wordWrap/>
              <w:overflowPunct/>
              <w:topLinePunct w:val="0"/>
              <w:autoSpaceDE/>
              <w:autoSpaceDN/>
              <w:bidi w:val="0"/>
              <w:adjustRightInd w:val="0"/>
              <w:snapToGrid w:val="0"/>
              <w:spacing w:line="360" w:lineRule="auto"/>
              <w:ind w:left="0" w:leftChars="0" w:firstLine="482" w:firstLineChars="200"/>
              <w:jc w:val="both"/>
              <w:textAlignment w:val="auto"/>
              <w:rPr>
                <w:rFonts w:hint="default" w:ascii="Times New Roman" w:hAnsi="Times New Roman" w:cs="Times New Roman"/>
                <w:b/>
                <w:bCs/>
                <w:color w:val="000000" w:themeColor="text1"/>
                <w:kern w:val="0"/>
                <w:sz w:val="24"/>
                <w:lang w:val="en-US" w:eastAsia="zh-CN"/>
                <w14:textFill>
                  <w14:solidFill>
                    <w14:schemeClr w14:val="tx1"/>
                  </w14:solidFill>
                </w14:textFill>
              </w:rPr>
            </w:pPr>
            <w:r>
              <w:rPr>
                <w:rFonts w:hint="eastAsia" w:ascii="Times New Roman" w:hAnsi="Times New Roman" w:cs="Times New Roman"/>
                <w:b/>
                <w:bCs/>
                <w:color w:val="000000" w:themeColor="text1"/>
                <w:kern w:val="0"/>
                <w:sz w:val="24"/>
                <w:lang w:val="en-US" w:eastAsia="zh-CN"/>
                <w14:textFill>
                  <w14:solidFill>
                    <w14:schemeClr w14:val="tx1"/>
                  </w14:solidFill>
                </w14:textFill>
              </w:rPr>
              <w:t>13、项目与《饮用水水源保护区污染防治管理规定》</w:t>
            </w:r>
            <w:r>
              <w:rPr>
                <w:rFonts w:hint="default" w:ascii="Times New Roman" w:hAnsi="Times New Roman" w:eastAsia="宋体" w:cs="Times New Roman"/>
                <w:b/>
                <w:bCs/>
                <w:color w:val="000000" w:themeColor="text1"/>
                <w:kern w:val="0"/>
                <w:sz w:val="24"/>
                <w:lang w:val="en-US" w:eastAsia="zh-CN"/>
                <w14:textFill>
                  <w14:solidFill>
                    <w14:schemeClr w14:val="tx1"/>
                  </w14:solidFill>
                </w14:textFill>
              </w:rPr>
              <w:t>符合性分析</w:t>
            </w:r>
          </w:p>
          <w:p w14:paraId="24412B23">
            <w:pPr>
              <w:keepNext w:val="0"/>
              <w:keepLines w:val="0"/>
              <w:pageBreakBefore w:val="0"/>
              <w:kinsoku/>
              <w:wordWrap/>
              <w:overflowPunct/>
              <w:topLinePunct w:val="0"/>
              <w:autoSpaceDE w:val="0"/>
              <w:autoSpaceDN w:val="0"/>
              <w:bidi w:val="0"/>
              <w:adjustRightInd w:val="0"/>
              <w:snapToGrid w:val="0"/>
              <w:spacing w:line="360" w:lineRule="auto"/>
              <w:ind w:left="0" w:leftChars="0" w:firstLine="480" w:firstLineChars="200"/>
              <w:jc w:val="both"/>
              <w:textAlignment w:val="auto"/>
              <w:rPr>
                <w:rFonts w:hint="default" w:ascii="Times New Roman" w:hAnsi="Times New Roman" w:eastAsia="宋体" w:cs="Times New Roman"/>
                <w:color w:val="000000" w:themeColor="text1"/>
                <w:kern w:val="0"/>
                <w:sz w:val="24"/>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lang w:val="en-US" w:eastAsia="zh-CN"/>
                <w14:textFill>
                  <w14:solidFill>
                    <w14:schemeClr w14:val="tx1"/>
                  </w14:solidFill>
                </w14:textFill>
              </w:rPr>
              <w:t>项目与《饮用水水源保护区污染防治管理规定》</w:t>
            </w:r>
            <w:r>
              <w:rPr>
                <w:rFonts w:hint="eastAsia" w:ascii="Times New Roman" w:hAnsi="Times New Roman" w:cs="Times New Roman"/>
                <w:color w:val="000000" w:themeColor="text1"/>
                <w:kern w:val="0"/>
                <w:sz w:val="24"/>
                <w:lang w:val="en-US" w:eastAsia="zh-CN"/>
                <w14:textFill>
                  <w14:solidFill>
                    <w14:schemeClr w14:val="tx1"/>
                  </w14:solidFill>
                </w14:textFill>
              </w:rPr>
              <w:t>（</w:t>
            </w:r>
            <w:r>
              <w:rPr>
                <w:rFonts w:hint="default" w:ascii="Times New Roman" w:hAnsi="Times New Roman" w:eastAsia="宋体" w:cs="Times New Roman"/>
                <w:color w:val="000000" w:themeColor="text1"/>
                <w:kern w:val="0"/>
                <w:sz w:val="24"/>
                <w:lang w:val="en-US" w:eastAsia="zh-CN"/>
                <w14:textFill>
                  <w14:solidFill>
                    <w14:schemeClr w14:val="tx1"/>
                  </w14:solidFill>
                </w14:textFill>
              </w:rPr>
              <w:t>〔89〕环管字第201号</w:t>
            </w:r>
            <w:r>
              <w:rPr>
                <w:rFonts w:hint="eastAsia" w:ascii="Times New Roman" w:hAnsi="Times New Roman" w:cs="Times New Roman"/>
                <w:color w:val="000000" w:themeColor="text1"/>
                <w:kern w:val="0"/>
                <w:sz w:val="24"/>
                <w:lang w:val="en-US" w:eastAsia="zh-CN"/>
                <w14:textFill>
                  <w14:solidFill>
                    <w14:schemeClr w14:val="tx1"/>
                  </w14:solidFill>
                </w14:textFill>
              </w:rPr>
              <w:t>）符合性分析如下表所示：</w:t>
            </w:r>
          </w:p>
          <w:p w14:paraId="0EF8B631">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jc w:val="center"/>
              <w:textAlignment w:val="auto"/>
              <w:rPr>
                <w:rFonts w:hint="default" w:ascii="Times New Roman" w:hAnsi="Times New Roman" w:eastAsia="宋体" w:cs="Times New Roman"/>
                <w:b/>
                <w:bCs/>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kern w:val="0"/>
                <w:sz w:val="21"/>
                <w:szCs w:val="21"/>
                <w:lang w:val="en-US" w:eastAsia="zh-CN"/>
                <w14:textFill>
                  <w14:solidFill>
                    <w14:schemeClr w14:val="tx1"/>
                  </w14:solidFill>
                </w14:textFill>
              </w:rPr>
              <w:t>表1-</w:t>
            </w:r>
            <w:r>
              <w:rPr>
                <w:rFonts w:hint="eastAsia" w:ascii="Times New Roman" w:hAnsi="Times New Roman" w:cs="Times New Roman"/>
                <w:b/>
                <w:bCs/>
                <w:color w:val="000000" w:themeColor="text1"/>
                <w:kern w:val="0"/>
                <w:sz w:val="21"/>
                <w:szCs w:val="21"/>
                <w:lang w:val="en-US" w:eastAsia="zh-CN"/>
                <w14:textFill>
                  <w14:solidFill>
                    <w14:schemeClr w14:val="tx1"/>
                  </w14:solidFill>
                </w14:textFill>
              </w:rPr>
              <w:t>11</w:t>
            </w:r>
            <w:r>
              <w:rPr>
                <w:rFonts w:hint="default" w:ascii="Times New Roman" w:hAnsi="Times New Roman" w:eastAsia="宋体" w:cs="Times New Roman"/>
                <w:b/>
                <w:bCs/>
                <w:color w:val="000000" w:themeColor="text1"/>
                <w:kern w:val="0"/>
                <w:sz w:val="21"/>
                <w:szCs w:val="21"/>
                <w:lang w:val="en-US" w:eastAsia="zh-CN"/>
                <w14:textFill>
                  <w14:solidFill>
                    <w14:schemeClr w14:val="tx1"/>
                  </w14:solidFill>
                </w14:textFill>
              </w:rPr>
              <w:t xml:space="preserve">  项目与《饮用水水源保护区污染防治管理规定》的符合性分析</w:t>
            </w:r>
          </w:p>
          <w:tbl>
            <w:tblPr>
              <w:tblStyle w:val="27"/>
              <w:tblW w:w="492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2"/>
              <w:gridCol w:w="2468"/>
              <w:gridCol w:w="4133"/>
              <w:gridCol w:w="634"/>
            </w:tblGrid>
            <w:tr w14:paraId="1660C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2106" w:type="pct"/>
                  <w:gridSpan w:val="2"/>
                  <w:vAlign w:val="center"/>
                </w:tcPr>
                <w:p w14:paraId="15230266">
                  <w:pPr>
                    <w:keepNext w:val="0"/>
                    <w:keepLines w:val="0"/>
                    <w:pageBreakBefore w:val="0"/>
                    <w:widowControl w:val="0"/>
                    <w:tabs>
                      <w:tab w:val="left" w:pos="4830"/>
                    </w:tabs>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要求</w:t>
                  </w:r>
                </w:p>
              </w:tc>
              <w:tc>
                <w:tcPr>
                  <w:tcW w:w="2508" w:type="pct"/>
                  <w:vAlign w:val="center"/>
                </w:tcPr>
                <w:p w14:paraId="5015B721">
                  <w:pPr>
                    <w:keepNext w:val="0"/>
                    <w:keepLines w:val="0"/>
                    <w:pageBreakBefore w:val="0"/>
                    <w:widowControl w:val="0"/>
                    <w:tabs>
                      <w:tab w:val="left" w:pos="4830"/>
                    </w:tabs>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本项目保护情况</w:t>
                  </w:r>
                </w:p>
              </w:tc>
              <w:tc>
                <w:tcPr>
                  <w:tcW w:w="385" w:type="pct"/>
                  <w:vAlign w:val="center"/>
                </w:tcPr>
                <w:p w14:paraId="26EEAB78">
                  <w:pPr>
                    <w:keepNext w:val="0"/>
                    <w:keepLines w:val="0"/>
                    <w:pageBreakBefore w:val="0"/>
                    <w:widowControl w:val="0"/>
                    <w:tabs>
                      <w:tab w:val="left" w:pos="4830"/>
                    </w:tabs>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符合性</w:t>
                  </w:r>
                </w:p>
              </w:tc>
            </w:tr>
            <w:tr w14:paraId="1A68E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608" w:type="pct"/>
                  <w:vMerge w:val="restart"/>
                  <w:vAlign w:val="center"/>
                </w:tcPr>
                <w:p w14:paraId="0396C02D">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eastAsia="zh-CN"/>
                      <w14:textFill>
                        <w14:solidFill>
                          <w14:schemeClr w14:val="tx1"/>
                        </w14:solidFill>
                      </w14:textFill>
                    </w:rPr>
                    <w:t>第十一条</w:t>
                  </w:r>
                  <w:r>
                    <w:rPr>
                      <w:rFonts w:hint="eastAsia" w:ascii="Times New Roman" w:hAnsi="Times New Roman" w:cs="Times New Roman"/>
                      <w:color w:val="000000" w:themeColor="text1"/>
                      <w:sz w:val="21"/>
                      <w:szCs w:val="21"/>
                      <w:lang w:val="en-US" w:eastAsia="zh-CN"/>
                      <w14:textFill>
                        <w14:solidFill>
                          <w14:schemeClr w14:val="tx1"/>
                        </w14:solidFill>
                      </w14:textFill>
                    </w:rPr>
                    <w:t xml:space="preserve"> </w:t>
                  </w: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各级保护区及准保护区内</w:t>
                  </w:r>
                </w:p>
              </w:tc>
              <w:tc>
                <w:tcPr>
                  <w:tcW w:w="1497" w:type="pct"/>
                  <w:vAlign w:val="center"/>
                </w:tcPr>
                <w:p w14:paraId="515FB916">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一、禁止一切破坏水环境生态平衡的活动以及破坏水源林、护岸林、与水源保护相关植被的活动。</w:t>
                  </w:r>
                </w:p>
              </w:tc>
              <w:tc>
                <w:tcPr>
                  <w:tcW w:w="2508" w:type="pct"/>
                  <w:vAlign w:val="center"/>
                </w:tcPr>
                <w:p w14:paraId="16E749EB">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项目2个片区均位于饮用水源地二级保护区范围内，距离水库有一定距离，且项目施工期及种植期间无废水外排，</w:t>
                  </w:r>
                  <w:r>
                    <w:rPr>
                      <w:rFonts w:hint="eastAsia" w:ascii="Times New Roman" w:hAnsi="Times New Roman" w:cs="Times New Roman"/>
                      <w:b w:val="0"/>
                      <w:bCs/>
                      <w:color w:val="000000" w:themeColor="text1"/>
                      <w:sz w:val="21"/>
                      <w:szCs w:val="21"/>
                      <w:lang w:val="en-US" w:eastAsia="zh-CN"/>
                      <w14:textFill>
                        <w14:solidFill>
                          <w14:schemeClr w14:val="tx1"/>
                        </w14:solidFill>
                      </w14:textFill>
                    </w:rPr>
                    <w:t>无废水</w:t>
                  </w: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排口；</w:t>
                  </w: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在种植区和道路区在地势低处设置截排水沟，雨水收集进入水池，沉淀后回用于项目区灌溉</w:t>
                  </w:r>
                </w:p>
              </w:tc>
              <w:tc>
                <w:tcPr>
                  <w:tcW w:w="385" w:type="pct"/>
                  <w:vAlign w:val="center"/>
                </w:tcPr>
                <w:p w14:paraId="1E1BB5B4">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符合</w:t>
                  </w:r>
                </w:p>
              </w:tc>
            </w:tr>
            <w:tr w14:paraId="1EE1F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608" w:type="pct"/>
                  <w:vMerge w:val="continue"/>
                  <w:vAlign w:val="center"/>
                </w:tcPr>
                <w:p w14:paraId="7D77A171">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color w:val="000000" w:themeColor="text1"/>
                      <w:sz w:val="21"/>
                      <w:szCs w:val="21"/>
                      <w:lang w:eastAsia="zh-CN"/>
                      <w14:textFill>
                        <w14:solidFill>
                          <w14:schemeClr w14:val="tx1"/>
                        </w14:solidFill>
                      </w14:textFill>
                    </w:rPr>
                  </w:pPr>
                </w:p>
              </w:tc>
              <w:tc>
                <w:tcPr>
                  <w:tcW w:w="1497" w:type="pct"/>
                  <w:vAlign w:val="center"/>
                </w:tcPr>
                <w:p w14:paraId="7298D817">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二、禁止向水域倾倒工业废渣、城市垃圾、粪便及其它废弃物</w:t>
                  </w:r>
                </w:p>
              </w:tc>
              <w:tc>
                <w:tcPr>
                  <w:tcW w:w="2508" w:type="pct"/>
                  <w:vAlign w:val="center"/>
                </w:tcPr>
                <w:p w14:paraId="6DE79A79">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施工期：①施工区域原有地表挖除的灌木杂草直径≥5cm的统一收集后外售木炭加工和生物质燃料企业，作为木炭和生物质燃料加工原料。直径＜5cm的木材及杂草可就地切碎后埋入土壤内通过发酵腐熟后作为肥料；②大棚建设产生的废弃材料大棚结构及顶棚覆盖过程中会产生少量的废弃材料，集中收集运至就近生活垃圾中转站，委托环卫部门处置；③施工人员生活垃圾在施工区域内集中收集后并入附近村庄，由当地环卫部门统一清运处置，做到日产日清；④项目区整地过程中产生的土石方可全部就近调配用于项目区内低洼处土地平整，项目施工阶段</w:t>
                  </w:r>
                  <w:r>
                    <w:rPr>
                      <w:rFonts w:hint="eastAsia" w:ascii="Times New Roman" w:hAnsi="Times New Roman" w:cs="Times New Roman"/>
                      <w:color w:val="000000" w:themeColor="text1"/>
                      <w:sz w:val="21"/>
                      <w:szCs w:val="21"/>
                      <w:lang w:val="en-US" w:eastAsia="zh-CN"/>
                      <w14:textFill>
                        <w14:solidFill>
                          <w14:schemeClr w14:val="tx1"/>
                        </w14:solidFill>
                      </w14:textFill>
                    </w:rPr>
                    <w:t>无废弃土石方</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产生。运营期：①果木林修剪产生的残枝败叶，直径≥5cm的外售给木炭加工和生物质燃料企业；直径＜5cm的就地切碎埋入土壤做肥料。②苗木栽植前拆除的废包装材料，在施工区域内集中收集，委托环卫部门清运处置。③补植区挖除的未成活苗木和杂草，就地切碎埋入土壤中发酵成肥料。④大棚主体及薄膜废弃物：项目种植过程中蓝莓、三七、羊肚菌种植使用大棚技术，因雨淋、日晒等自然因素和人为因素操作不当会造成大棚损坏，且大棚使用中容易老化，在这部分废弃物中，钢架等材料售卖给废旧资源回收单位；薄膜等塑料废弃物集中能回收利用的回收利用，不能回收利用的并入附近村庄生活垃圾收集点</w:t>
                  </w:r>
                  <w:r>
                    <w:rPr>
                      <w:rFonts w:hint="eastAsia" w:ascii="Times New Roman" w:hAnsi="Times New Roman" w:cs="Times New Roman"/>
                      <w:color w:val="000000" w:themeColor="text1"/>
                      <w:sz w:val="21"/>
                      <w:szCs w:val="21"/>
                      <w:lang w:val="en-US" w:eastAsia="zh-CN"/>
                      <w14:textFill>
                        <w14:solidFill>
                          <w14:schemeClr w14:val="tx1"/>
                        </w14:solidFill>
                      </w14:textFill>
                    </w:rPr>
                    <w:t>，</w:t>
                  </w:r>
                  <w:r>
                    <w:rPr>
                      <w:rFonts w:hint="eastAsia" w:ascii="Times New Roman" w:hAnsi="Times New Roman" w:cs="Times New Roman"/>
                      <w:b w:val="0"/>
                      <w:bCs/>
                      <w:color w:val="000000" w:themeColor="text1"/>
                      <w:sz w:val="21"/>
                      <w:szCs w:val="21"/>
                      <w:lang w:val="en-US" w:eastAsia="zh-CN"/>
                      <w14:textFill>
                        <w14:solidFill>
                          <w14:schemeClr w14:val="tx1"/>
                        </w14:solidFill>
                      </w14:textFill>
                    </w:rPr>
                    <w:t>由当地环卫部门统一清运处置</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。⑤水肥原料包装袋：收集后暂存于水肥中心，定期外售给废品回收站。⑥农药包装袋：农药废包装容器在收集、运输、处置阶段应依据《农药包装废弃物回收处理管理办法》中</w:t>
                  </w:r>
                  <w:r>
                    <w:rPr>
                      <w:rFonts w:hint="eastAsia" w:ascii="Times New Roman" w:hAnsi="Times New Roman" w:cs="Times New Roman"/>
                      <w:color w:val="000000" w:themeColor="text1"/>
                      <w:sz w:val="21"/>
                      <w:szCs w:val="21"/>
                      <w:lang w:val="en-US" w:eastAsia="zh-CN"/>
                      <w14:textFill>
                        <w14:solidFill>
                          <w14:schemeClr w14:val="tx1"/>
                        </w14:solidFill>
                      </w14:textFill>
                    </w:rPr>
                    <w:t>的</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相关要求进行收集、运输、处置，项目农药</w:t>
                  </w:r>
                  <w:r>
                    <w:rPr>
                      <w:rFonts w:hint="eastAsia" w:ascii="Times New Roman" w:hAnsi="Times New Roman" w:cs="Times New Roman"/>
                      <w:color w:val="000000" w:themeColor="text1"/>
                      <w:sz w:val="21"/>
                      <w:szCs w:val="21"/>
                      <w:lang w:val="en-US" w:eastAsia="zh-CN"/>
                      <w14:textFill>
                        <w14:solidFill>
                          <w14:schemeClr w14:val="tx1"/>
                        </w14:solidFill>
                      </w14:textFill>
                    </w:rPr>
                    <w:t>配制</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过程中，农药瓶身反复冲洗配置，</w:t>
                  </w:r>
                  <w:r>
                    <w:rPr>
                      <w:rFonts w:hint="eastAsia" w:ascii="Times New Roman" w:hAnsi="Times New Roman" w:cs="Times New Roman"/>
                      <w:color w:val="000000" w:themeColor="text1"/>
                      <w:sz w:val="21"/>
                      <w:szCs w:val="21"/>
                      <w:lang w:val="en-US" w:eastAsia="zh-CN"/>
                      <w14:textFill>
                        <w14:solidFill>
                          <w14:schemeClr w14:val="tx1"/>
                        </w14:solidFill>
                      </w14:textFill>
                    </w:rPr>
                    <w:t>收集装入防渗密闭的塑料桶内后定期委托</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农药经营部回收处置。</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⑦生活垃圾分类收集后暂存于垃圾收集点，并入附近村庄生活垃圾收集点统一处置。</w:t>
                  </w:r>
                </w:p>
              </w:tc>
              <w:tc>
                <w:tcPr>
                  <w:tcW w:w="385" w:type="pct"/>
                  <w:vAlign w:val="center"/>
                </w:tcPr>
                <w:p w14:paraId="47DF5E80">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符合</w:t>
                  </w:r>
                </w:p>
              </w:tc>
            </w:tr>
            <w:tr w14:paraId="33C85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608" w:type="pct"/>
                  <w:vMerge w:val="continue"/>
                  <w:vAlign w:val="center"/>
                </w:tcPr>
                <w:p w14:paraId="7B78FDA7">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color w:val="000000" w:themeColor="text1"/>
                      <w:sz w:val="21"/>
                      <w:szCs w:val="21"/>
                      <w:lang w:eastAsia="zh-CN"/>
                      <w14:textFill>
                        <w14:solidFill>
                          <w14:schemeClr w14:val="tx1"/>
                        </w14:solidFill>
                      </w14:textFill>
                    </w:rPr>
                  </w:pPr>
                </w:p>
              </w:tc>
              <w:tc>
                <w:tcPr>
                  <w:tcW w:w="1497" w:type="pct"/>
                  <w:vAlign w:val="center"/>
                </w:tcPr>
                <w:p w14:paraId="681C2613">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三、运输有毒有害物质、油类、粪便的船舶和车辆一般不准进入保护区，必须进入者应事先申请并经有关部门批准、登记并设置防渗、防溢、防漏设施。</w:t>
                  </w:r>
                </w:p>
              </w:tc>
              <w:tc>
                <w:tcPr>
                  <w:tcW w:w="2508" w:type="pct"/>
                  <w:vAlign w:val="center"/>
                </w:tcPr>
                <w:p w14:paraId="7E92D604">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项目种植期间涉及农药的购买及运输进入项目区，但数量较少，且购买有外包装的产品，项目种植期间会按照相关部门要求进行报备，取得批准</w:t>
                  </w:r>
                </w:p>
              </w:tc>
              <w:tc>
                <w:tcPr>
                  <w:tcW w:w="385" w:type="pct"/>
                  <w:vAlign w:val="center"/>
                </w:tcPr>
                <w:p w14:paraId="557C9DB7">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符合</w:t>
                  </w:r>
                </w:p>
              </w:tc>
            </w:tr>
            <w:tr w14:paraId="2E549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608" w:type="pct"/>
                  <w:vMerge w:val="continue"/>
                  <w:vAlign w:val="center"/>
                </w:tcPr>
                <w:p w14:paraId="6E2A1FBE">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color w:val="000000" w:themeColor="text1"/>
                      <w:sz w:val="21"/>
                      <w:szCs w:val="21"/>
                      <w:lang w:eastAsia="zh-CN"/>
                      <w14:textFill>
                        <w14:solidFill>
                          <w14:schemeClr w14:val="tx1"/>
                        </w14:solidFill>
                      </w14:textFill>
                    </w:rPr>
                  </w:pPr>
                </w:p>
              </w:tc>
              <w:tc>
                <w:tcPr>
                  <w:tcW w:w="1497" w:type="pct"/>
                  <w:vAlign w:val="center"/>
                </w:tcPr>
                <w:p w14:paraId="5FDC9AD0">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四、禁止使用剧毒和高残留农药，不得滥用化肥，不得使用炸药、毒品捕杀鱼类。</w:t>
                  </w:r>
                </w:p>
              </w:tc>
              <w:tc>
                <w:tcPr>
                  <w:tcW w:w="2508" w:type="pct"/>
                  <w:vAlign w:val="center"/>
                </w:tcPr>
                <w:p w14:paraId="04742250">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b w:val="0"/>
                      <w:bCs/>
                      <w:color w:val="000000" w:themeColor="text1"/>
                      <w:sz w:val="21"/>
                      <w:szCs w:val="21"/>
                      <w:lang w:val="en-US" w:eastAsia="zh-CN"/>
                      <w14:textFill>
                        <w14:solidFill>
                          <w14:schemeClr w14:val="tx1"/>
                        </w14:solidFill>
                      </w14:textFill>
                    </w:rPr>
                    <w:t>项目化肥及农药均购买符合相关国家标准的产品；使用过程中根据种植类别制定合理的使用标准，项目不设置使用</w:t>
                  </w: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炸药、毒品捕杀鱼类</w:t>
                  </w:r>
                </w:p>
              </w:tc>
              <w:tc>
                <w:tcPr>
                  <w:tcW w:w="385" w:type="pct"/>
                  <w:vAlign w:val="center"/>
                </w:tcPr>
                <w:p w14:paraId="64639B3F">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符合</w:t>
                  </w:r>
                </w:p>
              </w:tc>
            </w:tr>
            <w:tr w14:paraId="774D3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608" w:type="pct"/>
                  <w:vAlign w:val="center"/>
                </w:tcPr>
                <w:p w14:paraId="1CC1C702">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第十二条中</w:t>
                  </w:r>
                  <w:r>
                    <w:rPr>
                      <w:rFonts w:hint="eastAsia" w:ascii="Times New Roman" w:hAnsi="Times New Roman" w:cs="Times New Roman"/>
                      <w:b w:val="0"/>
                      <w:bCs/>
                      <w:color w:val="000000" w:themeColor="text1"/>
                      <w:sz w:val="21"/>
                      <w:szCs w:val="21"/>
                      <w:lang w:val="en-US" w:eastAsia="zh-CN"/>
                      <w14:textFill>
                        <w14:solidFill>
                          <w14:schemeClr w14:val="tx1"/>
                        </w14:solidFill>
                      </w14:textFill>
                    </w:rPr>
                    <w:t xml:space="preserve">  </w:t>
                  </w: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二级保护区内</w:t>
                  </w:r>
                </w:p>
              </w:tc>
              <w:tc>
                <w:tcPr>
                  <w:tcW w:w="1497" w:type="pct"/>
                  <w:vAlign w:val="center"/>
                </w:tcPr>
                <w:p w14:paraId="6B1A9BB3">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不准新建、扩建向水体排放污染物的建设项目。改建项目必须削减污染物排放量；原有排污口必须削减污水排放量，保证保护区内水质满足规定的水质标准；禁止设立装卸垃圾、粪便、油类和有毒物品的码头。</w:t>
                  </w:r>
                </w:p>
              </w:tc>
              <w:tc>
                <w:tcPr>
                  <w:tcW w:w="2508" w:type="pct"/>
                  <w:vAlign w:val="center"/>
                </w:tcPr>
                <w:p w14:paraId="08E2CF17">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项目运营期废水主要为生活污水</w:t>
                  </w:r>
                  <w:r>
                    <w:rPr>
                      <w:rFonts w:hint="default" w:ascii="Times New Roman" w:hAnsi="Times New Roman" w:cs="Times New Roman"/>
                      <w:color w:val="000000" w:themeColor="text1"/>
                      <w:sz w:val="21"/>
                      <w:szCs w:val="21"/>
                      <w:lang w:val="en-US" w:eastAsia="zh-CN"/>
                      <w14:textFill>
                        <w14:solidFill>
                          <w14:schemeClr w14:val="tx1"/>
                        </w14:solidFill>
                      </w14:textFill>
                    </w:rPr>
                    <w:t>，</w:t>
                  </w:r>
                  <w:r>
                    <w:rPr>
                      <w:rFonts w:hint="default" w:ascii="Times New Roman" w:hAnsi="Times New Roman" w:cs="Times New Roman"/>
                      <w:b w:val="0"/>
                      <w:bCs/>
                      <w:color w:val="000000" w:themeColor="text1"/>
                      <w:sz w:val="21"/>
                      <w:szCs w:val="21"/>
                      <w:highlight w:val="none"/>
                      <w:lang w:val="en-US" w:eastAsia="zh-CN"/>
                      <w14:textFill>
                        <w14:solidFill>
                          <w14:schemeClr w14:val="tx1"/>
                        </w14:solidFill>
                      </w14:textFill>
                    </w:rPr>
                    <w:t>经隔油池，化粪池预处理后排入一体化污水处理设备处理，处理达到《农田灌溉水质标准》（GB 5084—2021）中的“旱地作物”标准后的废水排入水池，回用于项目区内灌溉，</w:t>
                  </w: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不外排。在种植区和道路区在地势低处设置截排水沟，雨水收集进入水池，沉淀后回用于项目区灌溉</w:t>
                  </w:r>
                  <w:r>
                    <w:rPr>
                      <w:rFonts w:hint="eastAsia" w:ascii="Times New Roman" w:hAnsi="Times New Roman" w:cs="Times New Roman"/>
                      <w:b w:val="0"/>
                      <w:bCs/>
                      <w:color w:val="000000" w:themeColor="text1"/>
                      <w:sz w:val="21"/>
                      <w:szCs w:val="21"/>
                      <w:highlight w:val="none"/>
                      <w:lang w:val="en-US" w:eastAsia="zh-CN"/>
                      <w14:textFill>
                        <w14:solidFill>
                          <w14:schemeClr w14:val="tx1"/>
                        </w14:solidFill>
                      </w14:textFill>
                    </w:rPr>
                    <w:t>。</w:t>
                  </w:r>
                </w:p>
              </w:tc>
              <w:tc>
                <w:tcPr>
                  <w:tcW w:w="385" w:type="pct"/>
                  <w:vAlign w:val="center"/>
                </w:tcPr>
                <w:p w14:paraId="1DBBC9CA">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符合</w:t>
                  </w:r>
                </w:p>
              </w:tc>
            </w:tr>
          </w:tbl>
          <w:p w14:paraId="78B69346">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firstLine="0" w:firstLineChars="0"/>
              <w:jc w:val="both"/>
              <w:textAlignment w:val="auto"/>
              <w:rPr>
                <w:rFonts w:hint="default" w:ascii="Times New Roman" w:hAnsi="Times New Roman" w:eastAsia="宋体" w:cs="Times New Roman"/>
                <w:color w:val="000000" w:themeColor="text1"/>
                <w:kern w:val="0"/>
                <w:sz w:val="24"/>
                <w:lang w:val="en-US" w:eastAsia="zh-CN"/>
                <w14:textFill>
                  <w14:solidFill>
                    <w14:schemeClr w14:val="tx1"/>
                  </w14:solidFill>
                </w14:textFill>
              </w:rPr>
            </w:pPr>
          </w:p>
          <w:p w14:paraId="504EBE76">
            <w:pPr>
              <w:keepNext w:val="0"/>
              <w:keepLines w:val="0"/>
              <w:pageBreakBefore w:val="0"/>
              <w:kinsoku/>
              <w:wordWrap/>
              <w:overflowPunct/>
              <w:topLinePunct w:val="0"/>
              <w:autoSpaceDE w:val="0"/>
              <w:autoSpaceDN w:val="0"/>
              <w:bidi w:val="0"/>
              <w:adjustRightInd w:val="0"/>
              <w:snapToGrid w:val="0"/>
              <w:spacing w:line="360" w:lineRule="auto"/>
              <w:ind w:left="0" w:leftChars="0" w:firstLine="480" w:firstLineChars="200"/>
              <w:jc w:val="both"/>
              <w:textAlignment w:val="auto"/>
              <w:rPr>
                <w:rFonts w:hint="default" w:ascii="Times New Roman" w:hAnsi="Times New Roman" w:eastAsia="宋体" w:cs="Times New Roman"/>
                <w:color w:val="000000" w:themeColor="text1"/>
                <w:kern w:val="0"/>
                <w:sz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lang w:val="en-US" w:eastAsia="zh-CN"/>
                <w14:textFill>
                  <w14:solidFill>
                    <w14:schemeClr w14:val="tx1"/>
                  </w14:solidFill>
                </w14:textFill>
              </w:rPr>
              <w:t>根据</w:t>
            </w:r>
            <w:r>
              <w:rPr>
                <w:rFonts w:hint="eastAsia" w:ascii="Times New Roman" w:hAnsi="Times New Roman" w:cs="Times New Roman"/>
                <w:b w:val="0"/>
                <w:bCs w:val="0"/>
                <w:color w:val="000000" w:themeColor="text1"/>
                <w:lang w:val="en-US" w:eastAsia="zh-CN"/>
                <w14:textFill>
                  <w14:solidFill>
                    <w14:schemeClr w14:val="tx1"/>
                  </w14:solidFill>
                </w14:textFill>
              </w:rPr>
              <w:t>上表</w:t>
            </w:r>
            <w:r>
              <w:rPr>
                <w:rFonts w:hint="default" w:ascii="Times New Roman" w:hAnsi="Times New Roman" w:eastAsia="宋体" w:cs="Times New Roman"/>
                <w:b w:val="0"/>
                <w:bCs w:val="0"/>
                <w:color w:val="000000" w:themeColor="text1"/>
                <w:lang w:val="en-US" w:eastAsia="zh-CN"/>
                <w14:textFill>
                  <w14:solidFill>
                    <w14:schemeClr w14:val="tx1"/>
                  </w14:solidFill>
                </w14:textFill>
              </w:rPr>
              <w:t>分析，本项目符合《饮用水水源保护区污染防治管理规定》的</w:t>
            </w:r>
            <w:r>
              <w:rPr>
                <w:rFonts w:hint="eastAsia" w:ascii="Times New Roman" w:hAnsi="Times New Roman" w:eastAsia="宋体" w:cs="Times New Roman"/>
                <w:b w:val="0"/>
                <w:bCs w:val="0"/>
                <w:color w:val="000000" w:themeColor="text1"/>
                <w:lang w:val="en-US" w:eastAsia="zh-CN"/>
                <w14:textFill>
                  <w14:solidFill>
                    <w14:schemeClr w14:val="tx1"/>
                  </w14:solidFill>
                </w14:textFill>
              </w:rPr>
              <w:t>相关</w:t>
            </w:r>
            <w:r>
              <w:rPr>
                <w:rFonts w:hint="default" w:ascii="Times New Roman" w:hAnsi="Times New Roman" w:eastAsia="宋体" w:cs="Times New Roman"/>
                <w:b w:val="0"/>
                <w:bCs w:val="0"/>
                <w:color w:val="000000" w:themeColor="text1"/>
                <w:lang w:val="en-US" w:eastAsia="zh-CN"/>
                <w14:textFill>
                  <w14:solidFill>
                    <w14:schemeClr w14:val="tx1"/>
                  </w14:solidFill>
                </w14:textFill>
              </w:rPr>
              <w:t>要求</w:t>
            </w:r>
            <w:r>
              <w:rPr>
                <w:rFonts w:hint="eastAsia" w:ascii="Times New Roman" w:hAnsi="Times New Roman" w:cs="Times New Roman"/>
                <w:b w:val="0"/>
                <w:bCs w:val="0"/>
                <w:color w:val="000000" w:themeColor="text1"/>
                <w:lang w:val="en-US" w:eastAsia="zh-CN"/>
                <w14:textFill>
                  <w14:solidFill>
                    <w14:schemeClr w14:val="tx1"/>
                  </w14:solidFill>
                </w14:textFill>
              </w:rPr>
              <w:t>。</w:t>
            </w:r>
          </w:p>
          <w:p w14:paraId="5DB9A920">
            <w:pPr>
              <w:keepNext w:val="0"/>
              <w:keepLines w:val="0"/>
              <w:pageBreakBefore w:val="0"/>
              <w:widowControl/>
              <w:tabs>
                <w:tab w:val="left" w:pos="4830"/>
              </w:tabs>
              <w:kinsoku/>
              <w:wordWrap/>
              <w:overflowPunct/>
              <w:topLinePunct w:val="0"/>
              <w:autoSpaceDE/>
              <w:autoSpaceDN/>
              <w:bidi w:val="0"/>
              <w:adjustRightInd w:val="0"/>
              <w:snapToGrid w:val="0"/>
              <w:spacing w:line="360" w:lineRule="auto"/>
              <w:ind w:left="0" w:leftChars="0" w:firstLine="482" w:firstLineChars="200"/>
              <w:jc w:val="both"/>
              <w:textAlignment w:val="auto"/>
              <w:rPr>
                <w:rFonts w:hint="default" w:ascii="Times New Roman" w:hAnsi="Times New Roman" w:cs="Times New Roman"/>
                <w:b/>
                <w:bCs/>
                <w:color w:val="000000" w:themeColor="text1"/>
                <w:kern w:val="0"/>
                <w:sz w:val="24"/>
                <w:lang w:val="en-US" w:eastAsia="zh-CN"/>
                <w14:textFill>
                  <w14:solidFill>
                    <w14:schemeClr w14:val="tx1"/>
                  </w14:solidFill>
                </w14:textFill>
              </w:rPr>
            </w:pPr>
            <w:r>
              <w:rPr>
                <w:rFonts w:hint="eastAsia" w:ascii="Times New Roman" w:hAnsi="Times New Roman" w:cs="Times New Roman"/>
                <w:b/>
                <w:bCs/>
                <w:color w:val="000000" w:themeColor="text1"/>
                <w:kern w:val="0"/>
                <w:sz w:val="24"/>
                <w:lang w:val="en-US" w:eastAsia="zh-CN"/>
                <w14:textFill>
                  <w14:solidFill>
                    <w14:schemeClr w14:val="tx1"/>
                  </w14:solidFill>
                </w14:textFill>
              </w:rPr>
              <w:t>14、项目与《中华人民共和国水法》</w:t>
            </w:r>
            <w:r>
              <w:rPr>
                <w:rFonts w:hint="default" w:ascii="Times New Roman" w:hAnsi="Times New Roman" w:cs="Times New Roman"/>
                <w:b/>
                <w:bCs/>
                <w:color w:val="000000" w:themeColor="text1"/>
                <w:kern w:val="0"/>
                <w:sz w:val="24"/>
                <w:lang w:val="en-US" w:eastAsia="zh-CN"/>
                <w14:textFill>
                  <w14:solidFill>
                    <w14:schemeClr w14:val="tx1"/>
                  </w14:solidFill>
                </w14:textFill>
              </w:rPr>
              <w:t>符合性分析</w:t>
            </w:r>
          </w:p>
          <w:p w14:paraId="1CC67FD2">
            <w:pPr>
              <w:keepNext w:val="0"/>
              <w:keepLines w:val="0"/>
              <w:pageBreakBefore w:val="0"/>
              <w:kinsoku/>
              <w:wordWrap/>
              <w:overflowPunct/>
              <w:topLinePunct w:val="0"/>
              <w:autoSpaceDE w:val="0"/>
              <w:autoSpaceDN w:val="0"/>
              <w:bidi w:val="0"/>
              <w:adjustRightInd w:val="0"/>
              <w:snapToGrid w:val="0"/>
              <w:spacing w:line="360" w:lineRule="auto"/>
              <w:ind w:left="0" w:leftChars="0" w:firstLine="480" w:firstLineChars="200"/>
              <w:jc w:val="both"/>
              <w:textAlignment w:val="auto"/>
              <w:rPr>
                <w:rFonts w:hint="default" w:ascii="Times New Roman" w:hAnsi="Times New Roman" w:eastAsia="宋体" w:cs="Times New Roman"/>
                <w:color w:val="000000" w:themeColor="text1"/>
                <w:kern w:val="0"/>
                <w:sz w:val="24"/>
                <w:lang w:val="en-US" w:eastAsia="zh-CN"/>
                <w14:textFill>
                  <w14:solidFill>
                    <w14:schemeClr w14:val="tx1"/>
                  </w14:solidFill>
                </w14:textFill>
              </w:rPr>
            </w:pPr>
            <w:r>
              <w:rPr>
                <w:rFonts w:hint="eastAsia" w:ascii="Times New Roman" w:hAnsi="Times New Roman" w:cs="Times New Roman"/>
                <w:color w:val="000000" w:themeColor="text1"/>
                <w:kern w:val="0"/>
                <w:sz w:val="24"/>
                <w:lang w:val="en-US" w:eastAsia="zh-CN"/>
                <w14:textFill>
                  <w14:solidFill>
                    <w14:schemeClr w14:val="tx1"/>
                  </w14:solidFill>
                </w14:textFill>
              </w:rPr>
              <w:t>根据《中华人民共和国水法》“第三十四条 禁止在饮用水水源保护区内设置排污口。在江河、湖泊新建、改建或者扩大排污口，应当经过有管辖权的水行政主管部门或者流域管理机构同意，由环境保护行政主管部门负责对该建设项目的环境影响报告书进行审批”</w:t>
            </w:r>
          </w:p>
          <w:p w14:paraId="41741B85">
            <w:pPr>
              <w:keepNext w:val="0"/>
              <w:keepLines w:val="0"/>
              <w:pageBreakBefore w:val="0"/>
              <w:kinsoku/>
              <w:wordWrap/>
              <w:overflowPunct/>
              <w:topLinePunct w:val="0"/>
              <w:autoSpaceDE w:val="0"/>
              <w:autoSpaceDN w:val="0"/>
              <w:bidi w:val="0"/>
              <w:adjustRightInd w:val="0"/>
              <w:snapToGrid w:val="0"/>
              <w:spacing w:line="360" w:lineRule="auto"/>
              <w:ind w:left="0" w:leftChars="0" w:firstLine="480" w:firstLineChars="200"/>
              <w:jc w:val="both"/>
              <w:textAlignment w:val="auto"/>
              <w:rPr>
                <w:rFonts w:hint="default" w:ascii="Times New Roman" w:hAnsi="Times New Roman" w:eastAsia="宋体" w:cs="Times New Roman"/>
                <w:color w:val="000000" w:themeColor="text1"/>
                <w:kern w:val="0"/>
                <w:sz w:val="24"/>
                <w:lang w:val="en-US" w:eastAsia="zh-CN"/>
                <w14:textFill>
                  <w14:solidFill>
                    <w14:schemeClr w14:val="tx1"/>
                  </w14:solidFill>
                </w14:textFill>
              </w:rPr>
            </w:pPr>
            <w:r>
              <w:rPr>
                <w:rFonts w:hint="eastAsia" w:ascii="Times New Roman" w:hAnsi="Times New Roman" w:cs="Times New Roman"/>
                <w:color w:val="000000" w:themeColor="text1"/>
                <w:kern w:val="0"/>
                <w:sz w:val="24"/>
                <w:lang w:val="en-US" w:eastAsia="zh-CN"/>
                <w14:textFill>
                  <w14:solidFill>
                    <w14:schemeClr w14:val="tx1"/>
                  </w14:solidFill>
                </w14:textFill>
              </w:rPr>
              <w:t>施工期：项目施工人员不在项目区食宿，在种植期规划建设沉淀池及水池的位置建设相应池子，项目区内施工人员日常产生的洗手废水经收集沉淀后，回用于施工区域内降尘。在种植区和道路区在地势低处设置截排水沟，收集进入水池沉淀后回用于项目区洒水降尘</w:t>
            </w:r>
            <w:r>
              <w:rPr>
                <w:rFonts w:hint="eastAsia" w:ascii="Times New Roman" w:hAnsi="Times New Roman" w:cs="Times New Roman"/>
                <w:b w:val="0"/>
                <w:bCs/>
                <w:color w:val="000000" w:themeColor="text1"/>
                <w:sz w:val="24"/>
                <w:szCs w:val="24"/>
                <w:highlight w:val="none"/>
                <w:lang w:val="en-US" w:eastAsia="zh-CN"/>
                <w14:textFill>
                  <w14:solidFill>
                    <w14:schemeClr w14:val="tx1"/>
                  </w14:solidFill>
                </w14:textFill>
              </w:rPr>
              <w:t>；运营期：项目生活污水经隔油池，化粪池预处理后排入一体化污水处理设备处理，处理达到《农田灌溉水质标准》（GB 5084—2021）中的“旱地作物”标准后的废水排入水池，回用于项目区内灌溉，不外排；在种植区和道路区在地势低处设置截排水沟，雨水收集进入水池，沉淀后回用于项目区灌溉；</w:t>
            </w:r>
            <w:r>
              <w:rPr>
                <w:rFonts w:hint="eastAsia" w:ascii="Times New Roman" w:hAnsi="Times New Roman" w:cs="Times New Roman"/>
                <w:color w:val="000000" w:themeColor="text1"/>
                <w:kern w:val="0"/>
                <w:sz w:val="24"/>
                <w:lang w:val="en-US" w:eastAsia="zh-CN"/>
                <w14:textFill>
                  <w14:solidFill>
                    <w14:schemeClr w14:val="tx1"/>
                  </w14:solidFill>
                </w14:textFill>
              </w:rPr>
              <w:t>项目无废水排放口，符合《中华人民共和国水法》中的相关要求。</w:t>
            </w:r>
          </w:p>
          <w:p w14:paraId="1272D8D8">
            <w:pPr>
              <w:keepNext w:val="0"/>
              <w:keepLines w:val="0"/>
              <w:pageBreakBefore w:val="0"/>
              <w:widowControl/>
              <w:tabs>
                <w:tab w:val="left" w:pos="4830"/>
              </w:tabs>
              <w:kinsoku/>
              <w:wordWrap/>
              <w:overflowPunct/>
              <w:topLinePunct w:val="0"/>
              <w:autoSpaceDE/>
              <w:autoSpaceDN/>
              <w:bidi w:val="0"/>
              <w:adjustRightInd w:val="0"/>
              <w:snapToGrid w:val="0"/>
              <w:spacing w:line="360" w:lineRule="auto"/>
              <w:ind w:left="0" w:leftChars="0" w:firstLine="482" w:firstLineChars="200"/>
              <w:jc w:val="both"/>
              <w:textAlignment w:val="auto"/>
              <w:rPr>
                <w:rFonts w:hint="default" w:ascii="Times New Roman" w:hAnsi="Times New Roman" w:cs="Times New Roman"/>
                <w:b/>
                <w:bCs/>
                <w:color w:val="000000" w:themeColor="text1"/>
                <w:kern w:val="0"/>
                <w:sz w:val="24"/>
                <w:lang w:val="en-US" w:eastAsia="zh-CN"/>
                <w14:textFill>
                  <w14:solidFill>
                    <w14:schemeClr w14:val="tx1"/>
                  </w14:solidFill>
                </w14:textFill>
              </w:rPr>
            </w:pPr>
            <w:r>
              <w:rPr>
                <w:rFonts w:hint="eastAsia" w:ascii="Times New Roman" w:hAnsi="Times New Roman" w:cs="Times New Roman"/>
                <w:b/>
                <w:bCs/>
                <w:color w:val="000000" w:themeColor="text1"/>
                <w:kern w:val="0"/>
                <w:sz w:val="24"/>
                <w:lang w:val="en-US" w:eastAsia="zh-CN"/>
                <w14:textFill>
                  <w14:solidFill>
                    <w14:schemeClr w14:val="tx1"/>
                  </w14:solidFill>
                </w14:textFill>
              </w:rPr>
              <w:t>15、项目与《玉溪市集中式饮用水水源</w:t>
            </w:r>
            <w:r>
              <w:rPr>
                <w:rFonts w:hint="eastAsia" w:ascii="Times New Roman" w:hAnsi="Times New Roman" w:cs="Times New Roman"/>
                <w:b/>
                <w:bCs/>
                <w:color w:val="000000" w:themeColor="text1"/>
                <w:kern w:val="0"/>
                <w:sz w:val="24"/>
                <w:lang w:val="en-US" w:eastAsia="zh-CN"/>
                <w14:textFill>
                  <w14:solidFill>
                    <w14:schemeClr w14:val="tx1"/>
                  </w14:solidFill>
                </w14:textFill>
              </w:rPr>
              <w:t>地</w:t>
            </w:r>
            <w:r>
              <w:rPr>
                <w:rFonts w:hint="eastAsia" w:ascii="Times New Roman" w:hAnsi="Times New Roman" w:cs="Times New Roman"/>
                <w:b/>
                <w:bCs/>
                <w:color w:val="000000" w:themeColor="text1"/>
                <w:kern w:val="0"/>
                <w:sz w:val="24"/>
                <w:lang w:val="en-US" w:eastAsia="zh-CN"/>
                <w14:textFill>
                  <w14:solidFill>
                    <w14:schemeClr w14:val="tx1"/>
                  </w14:solidFill>
                </w14:textFill>
              </w:rPr>
              <w:t>保护条例》</w:t>
            </w:r>
            <w:r>
              <w:rPr>
                <w:rFonts w:hint="default" w:ascii="Times New Roman" w:hAnsi="Times New Roman" w:eastAsia="宋体" w:cs="Times New Roman"/>
                <w:b/>
                <w:bCs/>
                <w:color w:val="000000" w:themeColor="text1"/>
                <w:kern w:val="0"/>
                <w:sz w:val="24"/>
                <w:lang w:val="en-US" w:eastAsia="zh-CN"/>
                <w14:textFill>
                  <w14:solidFill>
                    <w14:schemeClr w14:val="tx1"/>
                  </w14:solidFill>
                </w14:textFill>
              </w:rPr>
              <w:t>符合性分析</w:t>
            </w:r>
          </w:p>
          <w:p w14:paraId="64F55FA7">
            <w:pPr>
              <w:keepNext w:val="0"/>
              <w:keepLines w:val="0"/>
              <w:pageBreakBefore w:val="0"/>
              <w:kinsoku/>
              <w:wordWrap/>
              <w:overflowPunct/>
              <w:topLinePunct w:val="0"/>
              <w:autoSpaceDE w:val="0"/>
              <w:autoSpaceDN w:val="0"/>
              <w:bidi w:val="0"/>
              <w:adjustRightInd w:val="0"/>
              <w:snapToGrid w:val="0"/>
              <w:spacing w:line="360" w:lineRule="auto"/>
              <w:ind w:left="0" w:leftChars="0" w:firstLine="480" w:firstLineChars="200"/>
              <w:jc w:val="both"/>
              <w:textAlignment w:val="auto"/>
              <w:rPr>
                <w:rFonts w:hint="eastAsia" w:ascii="Times New Roman" w:hAnsi="Times New Roman" w:cs="Times New Roman"/>
                <w:b w:val="0"/>
                <w:bCs/>
                <w:color w:val="000000" w:themeColor="text1"/>
                <w:sz w:val="24"/>
                <w:szCs w:val="24"/>
                <w:highlight w:val="none"/>
                <w:lang w:val="en-US" w:eastAsia="zh-CN"/>
                <w14:textFill>
                  <w14:solidFill>
                    <w14:schemeClr w14:val="tx1"/>
                  </w14:solidFill>
                </w14:textFill>
              </w:rPr>
            </w:pPr>
            <w:r>
              <w:rPr>
                <w:rFonts w:hint="eastAsia" w:ascii="Times New Roman" w:hAnsi="Times New Roman" w:cs="Times New Roman"/>
                <w:b w:val="0"/>
                <w:bCs/>
                <w:color w:val="000000" w:themeColor="text1"/>
                <w:sz w:val="24"/>
                <w:szCs w:val="24"/>
                <w:highlight w:val="none"/>
                <w:lang w:val="en-US" w:eastAsia="zh-CN"/>
                <w14:textFill>
                  <w14:solidFill>
                    <w14:schemeClr w14:val="tx1"/>
                  </w14:solidFill>
                </w14:textFill>
              </w:rPr>
              <w:t>《玉溪市集中式饮用水水源</w:t>
            </w:r>
            <w:r>
              <w:rPr>
                <w:rFonts w:hint="eastAsia" w:ascii="Times New Roman" w:hAnsi="Times New Roman" w:cs="Times New Roman"/>
                <w:b w:val="0"/>
                <w:bCs/>
                <w:color w:val="000000" w:themeColor="text1"/>
                <w:sz w:val="24"/>
                <w:szCs w:val="24"/>
                <w:highlight w:val="none"/>
                <w:lang w:val="en-US" w:eastAsia="zh-CN"/>
                <w14:textFill>
                  <w14:solidFill>
                    <w14:schemeClr w14:val="tx1"/>
                  </w14:solidFill>
                </w14:textFill>
              </w:rPr>
              <w:t>地</w:t>
            </w:r>
            <w:r>
              <w:rPr>
                <w:rFonts w:hint="eastAsia" w:ascii="Times New Roman" w:hAnsi="Times New Roman" w:cs="Times New Roman"/>
                <w:b w:val="0"/>
                <w:bCs/>
                <w:color w:val="000000" w:themeColor="text1"/>
                <w:sz w:val="24"/>
                <w:szCs w:val="24"/>
                <w:highlight w:val="none"/>
                <w:lang w:val="en-US" w:eastAsia="zh-CN"/>
                <w14:textFill>
                  <w14:solidFill>
                    <w14:schemeClr w14:val="tx1"/>
                  </w14:solidFill>
                </w14:textFill>
              </w:rPr>
              <w:t>保护条例》于2023年11月1日玉溪市第六届人民代表大会常务委员会第十四次会议通过，2023年11月30日云南省第十四届人民代表大会常务委员会第六次会议批准。</w:t>
            </w:r>
          </w:p>
          <w:p w14:paraId="3B32ECA6">
            <w:pPr>
              <w:keepNext w:val="0"/>
              <w:keepLines w:val="0"/>
              <w:pageBreakBefore w:val="0"/>
              <w:kinsoku/>
              <w:wordWrap/>
              <w:overflowPunct/>
              <w:topLinePunct w:val="0"/>
              <w:autoSpaceDE w:val="0"/>
              <w:autoSpaceDN w:val="0"/>
              <w:bidi w:val="0"/>
              <w:adjustRightInd w:val="0"/>
              <w:snapToGrid w:val="0"/>
              <w:spacing w:line="360" w:lineRule="auto"/>
              <w:ind w:left="0" w:leftChars="0" w:firstLine="480" w:firstLineChars="200"/>
              <w:jc w:val="both"/>
              <w:textAlignment w:val="auto"/>
              <w:rPr>
                <w:rFonts w:hint="default" w:ascii="Times New Roman" w:hAnsi="Times New Roman" w:eastAsia="宋体" w:cs="Times New Roman"/>
                <w:color w:val="000000" w:themeColor="text1"/>
                <w:kern w:val="0"/>
                <w:sz w:val="24"/>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lang w:val="en-US" w:eastAsia="zh-CN"/>
                <w14:textFill>
                  <w14:solidFill>
                    <w14:schemeClr w14:val="tx1"/>
                  </w14:solidFill>
                </w14:textFill>
              </w:rPr>
              <w:t>项目与《玉溪市集中式饮用水水源</w:t>
            </w:r>
            <w:r>
              <w:rPr>
                <w:rFonts w:hint="eastAsia" w:ascii="Times New Roman" w:hAnsi="Times New Roman" w:cs="Times New Roman"/>
                <w:b w:val="0"/>
                <w:bCs/>
                <w:color w:val="000000" w:themeColor="text1"/>
                <w:sz w:val="24"/>
                <w:szCs w:val="24"/>
                <w:highlight w:val="none"/>
                <w:lang w:val="en-US" w:eastAsia="zh-CN"/>
                <w14:textFill>
                  <w14:solidFill>
                    <w14:schemeClr w14:val="tx1"/>
                  </w14:solidFill>
                </w14:textFill>
              </w:rPr>
              <w:t>地</w:t>
            </w:r>
            <w:r>
              <w:rPr>
                <w:rFonts w:hint="default" w:ascii="Times New Roman" w:hAnsi="Times New Roman" w:eastAsia="宋体" w:cs="Times New Roman"/>
                <w:color w:val="000000" w:themeColor="text1"/>
                <w:kern w:val="0"/>
                <w:sz w:val="24"/>
                <w:lang w:val="en-US" w:eastAsia="zh-CN"/>
                <w14:textFill>
                  <w14:solidFill>
                    <w14:schemeClr w14:val="tx1"/>
                  </w14:solidFill>
                </w14:textFill>
              </w:rPr>
              <w:t>保护条例》</w:t>
            </w:r>
            <w:r>
              <w:rPr>
                <w:rFonts w:hint="eastAsia" w:ascii="Times New Roman" w:hAnsi="Times New Roman" w:cs="Times New Roman"/>
                <w:color w:val="000000" w:themeColor="text1"/>
                <w:kern w:val="0"/>
                <w:sz w:val="24"/>
                <w:lang w:val="en-US" w:eastAsia="zh-CN"/>
                <w14:textFill>
                  <w14:solidFill>
                    <w14:schemeClr w14:val="tx1"/>
                  </w14:solidFill>
                </w14:textFill>
              </w:rPr>
              <w:t>符合性分析如下表所示：</w:t>
            </w:r>
          </w:p>
          <w:p w14:paraId="1E65AF32">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jc w:val="center"/>
              <w:textAlignment w:val="auto"/>
              <w:rPr>
                <w:rFonts w:hint="default" w:ascii="Times New Roman" w:hAnsi="Times New Roman" w:eastAsia="宋体" w:cs="Times New Roman"/>
                <w:b/>
                <w:bCs/>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kern w:val="0"/>
                <w:sz w:val="21"/>
                <w:szCs w:val="21"/>
                <w:lang w:val="en-US" w:eastAsia="zh-CN"/>
                <w14:textFill>
                  <w14:solidFill>
                    <w14:schemeClr w14:val="tx1"/>
                  </w14:solidFill>
                </w14:textFill>
              </w:rPr>
              <w:t>表1-</w:t>
            </w:r>
            <w:r>
              <w:rPr>
                <w:rFonts w:hint="eastAsia" w:ascii="Times New Roman" w:hAnsi="Times New Roman" w:cs="Times New Roman"/>
                <w:b/>
                <w:bCs/>
                <w:color w:val="000000" w:themeColor="text1"/>
                <w:kern w:val="0"/>
                <w:sz w:val="21"/>
                <w:szCs w:val="21"/>
                <w:lang w:val="en-US" w:eastAsia="zh-CN"/>
                <w14:textFill>
                  <w14:solidFill>
                    <w14:schemeClr w14:val="tx1"/>
                  </w14:solidFill>
                </w14:textFill>
              </w:rPr>
              <w:t>12</w:t>
            </w:r>
            <w:r>
              <w:rPr>
                <w:rFonts w:hint="default" w:ascii="Times New Roman" w:hAnsi="Times New Roman" w:eastAsia="宋体" w:cs="Times New Roman"/>
                <w:b/>
                <w:bCs/>
                <w:color w:val="000000" w:themeColor="text1"/>
                <w:kern w:val="0"/>
                <w:sz w:val="21"/>
                <w:szCs w:val="21"/>
                <w:lang w:val="en-US" w:eastAsia="zh-CN"/>
                <w14:textFill>
                  <w14:solidFill>
                    <w14:schemeClr w14:val="tx1"/>
                  </w14:solidFill>
                </w14:textFill>
              </w:rPr>
              <w:t xml:space="preserve">  项目与《玉溪市集中式饮用水水源</w:t>
            </w:r>
            <w:r>
              <w:rPr>
                <w:rFonts w:hint="default" w:ascii="Times New Roman" w:hAnsi="Times New Roman" w:eastAsia="宋体" w:cs="Times New Roman"/>
                <w:b/>
                <w:bCs/>
                <w:color w:val="000000" w:themeColor="text1"/>
                <w:kern w:val="0"/>
                <w:sz w:val="21"/>
                <w:szCs w:val="21"/>
                <w:lang w:val="en-US" w:eastAsia="zh-CN"/>
                <w14:textFill>
                  <w14:solidFill>
                    <w14:schemeClr w14:val="tx1"/>
                  </w14:solidFill>
                </w14:textFill>
              </w:rPr>
              <w:t>地</w:t>
            </w:r>
            <w:r>
              <w:rPr>
                <w:rFonts w:hint="default" w:ascii="Times New Roman" w:hAnsi="Times New Roman" w:eastAsia="宋体" w:cs="Times New Roman"/>
                <w:b/>
                <w:bCs/>
                <w:color w:val="000000" w:themeColor="text1"/>
                <w:kern w:val="0"/>
                <w:sz w:val="21"/>
                <w:szCs w:val="21"/>
                <w:lang w:val="en-US" w:eastAsia="zh-CN"/>
                <w14:textFill>
                  <w14:solidFill>
                    <w14:schemeClr w14:val="tx1"/>
                  </w14:solidFill>
                </w14:textFill>
              </w:rPr>
              <w:t>保护条例》的符合性分析</w:t>
            </w:r>
          </w:p>
          <w:tbl>
            <w:tblPr>
              <w:tblStyle w:val="27"/>
              <w:tblW w:w="492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0"/>
              <w:gridCol w:w="3061"/>
              <w:gridCol w:w="3491"/>
              <w:gridCol w:w="633"/>
            </w:tblGrid>
            <w:tr w14:paraId="16F5D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96" w:type="pct"/>
                  <w:gridSpan w:val="2"/>
                  <w:vAlign w:val="center"/>
                </w:tcPr>
                <w:p w14:paraId="01C17BFF">
                  <w:pPr>
                    <w:keepNext w:val="0"/>
                    <w:keepLines w:val="0"/>
                    <w:pageBreakBefore w:val="0"/>
                    <w:widowControl w:val="0"/>
                    <w:tabs>
                      <w:tab w:val="left" w:pos="4830"/>
                    </w:tabs>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要求</w:t>
                  </w:r>
                </w:p>
              </w:tc>
              <w:tc>
                <w:tcPr>
                  <w:tcW w:w="2119" w:type="pct"/>
                  <w:vAlign w:val="center"/>
                </w:tcPr>
                <w:p w14:paraId="0D2CDED6">
                  <w:pPr>
                    <w:keepNext w:val="0"/>
                    <w:keepLines w:val="0"/>
                    <w:pageBreakBefore w:val="0"/>
                    <w:widowControl w:val="0"/>
                    <w:tabs>
                      <w:tab w:val="left" w:pos="4830"/>
                    </w:tabs>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本项目保护情况</w:t>
                  </w:r>
                </w:p>
              </w:tc>
              <w:tc>
                <w:tcPr>
                  <w:tcW w:w="384" w:type="pct"/>
                  <w:vAlign w:val="center"/>
                </w:tcPr>
                <w:p w14:paraId="75FADDB6">
                  <w:pPr>
                    <w:keepNext w:val="0"/>
                    <w:keepLines w:val="0"/>
                    <w:pageBreakBefore w:val="0"/>
                    <w:widowControl w:val="0"/>
                    <w:tabs>
                      <w:tab w:val="left" w:pos="4830"/>
                    </w:tabs>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符合性</w:t>
                  </w:r>
                </w:p>
              </w:tc>
            </w:tr>
            <w:tr w14:paraId="2DC46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8" w:type="pct"/>
                  <w:vMerge w:val="restart"/>
                  <w:vAlign w:val="center"/>
                </w:tcPr>
                <w:p w14:paraId="7DA20120">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第十五条</w:t>
                  </w:r>
                  <w:r>
                    <w:rPr>
                      <w:rFonts w:hint="eastAsia" w:ascii="Times New Roman" w:hAnsi="Times New Roman" w:cs="Times New Roman"/>
                      <w:b w:val="0"/>
                      <w:bCs w:val="0"/>
                      <w:color w:val="000000" w:themeColor="text1"/>
                      <w:sz w:val="21"/>
                      <w:szCs w:val="21"/>
                      <w:lang w:val="en-US" w:eastAsia="zh-CN"/>
                      <w14:textFill>
                        <w14:solidFill>
                          <w14:schemeClr w14:val="tx1"/>
                        </w14:solidFill>
                      </w14:textFill>
                    </w:rPr>
                    <w:t xml:space="preserve">  </w:t>
                  </w: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在准保护区内，禁止下列行为</w:t>
                  </w:r>
                </w:p>
              </w:tc>
              <w:tc>
                <w:tcPr>
                  <w:tcW w:w="1857" w:type="pct"/>
                  <w:vAlign w:val="center"/>
                </w:tcPr>
                <w:p w14:paraId="2CF30BBE">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（一）新建、扩建对水体污染严重的建设项目；</w:t>
                  </w:r>
                </w:p>
              </w:tc>
              <w:tc>
                <w:tcPr>
                  <w:tcW w:w="2119" w:type="pct"/>
                  <w:vAlign w:val="center"/>
                </w:tcPr>
                <w:p w14:paraId="2677D29B">
                  <w:pPr>
                    <w:pStyle w:val="73"/>
                    <w:keepNext w:val="0"/>
                    <w:keepLines w:val="0"/>
                    <w:pageBreakBefore w:val="0"/>
                    <w:numPr>
                      <w:ilvl w:val="0"/>
                      <w:numId w:val="0"/>
                    </w:numPr>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施工期</w:t>
                  </w:r>
                  <w:r>
                    <w:rPr>
                      <w:rFonts w:hint="eastAsia" w:cs="Times New Roman"/>
                      <w:b w:val="0"/>
                      <w:bCs/>
                      <w:color w:val="000000" w:themeColor="text1"/>
                      <w:sz w:val="21"/>
                      <w:szCs w:val="21"/>
                      <w:highlight w:val="none"/>
                      <w:lang w:val="en-US" w:eastAsia="zh-CN"/>
                      <w14:textFill>
                        <w14:solidFill>
                          <w14:schemeClr w14:val="tx1"/>
                        </w14:solidFill>
                      </w14:textFill>
                    </w:rPr>
                    <w:t>：施工人员不在项目区食宿，项目区内施工人员日常产生的洗手废水经收集后就近进入沉淀池或水池，回用于施工区域内降尘，不外排；在种植区和道路区在地势低处设置截排水沟，雨水收集进入水池，沉淀后回用于项目区内洒水降尘，不外排</w:t>
                  </w: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；运营期</w:t>
                  </w:r>
                  <w:r>
                    <w:rPr>
                      <w:rFonts w:hint="eastAsia" w:cs="Times New Roman"/>
                      <w:b w:val="0"/>
                      <w:bCs/>
                      <w:color w:val="000000" w:themeColor="text1"/>
                      <w:sz w:val="21"/>
                      <w:szCs w:val="21"/>
                      <w:highlight w:val="none"/>
                      <w:lang w:val="en-US" w:eastAsia="zh-CN"/>
                      <w14:textFill>
                        <w14:solidFill>
                          <w14:schemeClr w14:val="tx1"/>
                        </w14:solidFill>
                      </w14:textFill>
                    </w:rPr>
                    <w:t>：生活污水及食堂废水进入一体化污水处理设备，处理达到《农田灌溉水质标准》（GB 5084—2021）中的“旱地作物”标准后的废水排入水池，回用于项目区内灌溉</w:t>
                  </w: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w:t>
                  </w:r>
                </w:p>
              </w:tc>
              <w:tc>
                <w:tcPr>
                  <w:tcW w:w="384" w:type="pct"/>
                  <w:vAlign w:val="center"/>
                </w:tcPr>
                <w:p w14:paraId="511148E5">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lang w:val="en-US" w:eastAsia="zh-CN"/>
                      <w14:textFill>
                        <w14:solidFill>
                          <w14:schemeClr w14:val="tx1"/>
                        </w14:solidFill>
                      </w14:textFill>
                    </w:rPr>
                    <w:t>符合</w:t>
                  </w:r>
                </w:p>
              </w:tc>
            </w:tr>
            <w:tr w14:paraId="71ACF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8" w:type="pct"/>
                  <w:vMerge w:val="continue"/>
                  <w:vAlign w:val="center"/>
                </w:tcPr>
                <w:p w14:paraId="1C41BDBF">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p>
              </w:tc>
              <w:tc>
                <w:tcPr>
                  <w:tcW w:w="1857" w:type="pct"/>
                  <w:vAlign w:val="center"/>
                </w:tcPr>
                <w:p w14:paraId="7070E509">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（二）改建建设项目增加排污量；</w:t>
                  </w:r>
                </w:p>
              </w:tc>
              <w:tc>
                <w:tcPr>
                  <w:tcW w:w="2119" w:type="pct"/>
                  <w:vAlign w:val="center"/>
                </w:tcPr>
                <w:p w14:paraId="03AA3566">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lang w:val="en-US" w:eastAsia="zh-CN"/>
                      <w14:textFill>
                        <w14:solidFill>
                          <w14:schemeClr w14:val="tx1"/>
                        </w14:solidFill>
                      </w14:textFill>
                    </w:rPr>
                    <w:t>项目为新建项目</w:t>
                  </w:r>
                </w:p>
              </w:tc>
              <w:tc>
                <w:tcPr>
                  <w:tcW w:w="384" w:type="pct"/>
                  <w:vAlign w:val="center"/>
                </w:tcPr>
                <w:p w14:paraId="72832AE6">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lang w:val="en-US" w:eastAsia="zh-CN"/>
                      <w14:textFill>
                        <w14:solidFill>
                          <w14:schemeClr w14:val="tx1"/>
                        </w14:solidFill>
                      </w14:textFill>
                    </w:rPr>
                    <w:t>符合</w:t>
                  </w:r>
                </w:p>
              </w:tc>
            </w:tr>
            <w:tr w14:paraId="78B41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8" w:type="pct"/>
                  <w:vMerge w:val="continue"/>
                  <w:vAlign w:val="center"/>
                </w:tcPr>
                <w:p w14:paraId="0AB79AAD">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p>
              </w:tc>
              <w:tc>
                <w:tcPr>
                  <w:tcW w:w="1857" w:type="pct"/>
                  <w:vAlign w:val="center"/>
                </w:tcPr>
                <w:p w14:paraId="28D8E3A5">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（三）法律、法规规定的其他禁止行为。</w:t>
                  </w:r>
                </w:p>
              </w:tc>
              <w:tc>
                <w:tcPr>
                  <w:tcW w:w="2119" w:type="pct"/>
                  <w:vAlign w:val="center"/>
                </w:tcPr>
                <w:p w14:paraId="61D8F48E">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lang w:val="en-US" w:eastAsia="zh-CN"/>
                      <w14:textFill>
                        <w14:solidFill>
                          <w14:schemeClr w14:val="tx1"/>
                        </w14:solidFill>
                      </w14:textFill>
                    </w:rPr>
                    <w:t>项目建设符合国家相关</w:t>
                  </w: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法律、法规</w:t>
                  </w:r>
                  <w:r>
                    <w:rPr>
                      <w:rFonts w:hint="eastAsia" w:ascii="Times New Roman" w:hAnsi="Times New Roman" w:cs="Times New Roman"/>
                      <w:b w:val="0"/>
                      <w:bCs w:val="0"/>
                      <w:color w:val="000000" w:themeColor="text1"/>
                      <w:sz w:val="21"/>
                      <w:szCs w:val="21"/>
                      <w:lang w:val="en-US" w:eastAsia="zh-CN"/>
                      <w14:textFill>
                        <w14:solidFill>
                          <w14:schemeClr w14:val="tx1"/>
                        </w14:solidFill>
                      </w14:textFill>
                    </w:rPr>
                    <w:t>要求</w:t>
                  </w:r>
                </w:p>
              </w:tc>
              <w:tc>
                <w:tcPr>
                  <w:tcW w:w="384" w:type="pct"/>
                  <w:vAlign w:val="center"/>
                </w:tcPr>
                <w:p w14:paraId="183E1CEE">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lang w:val="en-US" w:eastAsia="zh-CN"/>
                      <w14:textFill>
                        <w14:solidFill>
                          <w14:schemeClr w14:val="tx1"/>
                        </w14:solidFill>
                      </w14:textFill>
                    </w:rPr>
                    <w:t>符合</w:t>
                  </w:r>
                </w:p>
              </w:tc>
            </w:tr>
            <w:tr w14:paraId="08089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8" w:type="pct"/>
                  <w:vMerge w:val="restart"/>
                  <w:vAlign w:val="center"/>
                </w:tcPr>
                <w:p w14:paraId="408ECB03">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第十六条</w:t>
                  </w:r>
                  <w:r>
                    <w:rPr>
                      <w:rFonts w:hint="eastAsia" w:ascii="Times New Roman" w:hAnsi="Times New Roman" w:cs="Times New Roman"/>
                      <w:b w:val="0"/>
                      <w:bCs w:val="0"/>
                      <w:color w:val="000000" w:themeColor="text1"/>
                      <w:sz w:val="21"/>
                      <w:szCs w:val="21"/>
                      <w:lang w:val="en-US" w:eastAsia="zh-CN"/>
                      <w14:textFill>
                        <w14:solidFill>
                          <w14:schemeClr w14:val="tx1"/>
                        </w14:solidFill>
                      </w14:textFill>
                    </w:rPr>
                    <w:t xml:space="preserve">    </w:t>
                  </w: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在二级保护区内，除第十五条规定禁止的行为外，还禁止下列行为</w:t>
                  </w:r>
                </w:p>
              </w:tc>
              <w:tc>
                <w:tcPr>
                  <w:tcW w:w="1857" w:type="pct"/>
                  <w:vAlign w:val="center"/>
                </w:tcPr>
                <w:p w14:paraId="33F8952E">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（一）设置排污口；</w:t>
                  </w:r>
                </w:p>
              </w:tc>
              <w:tc>
                <w:tcPr>
                  <w:tcW w:w="2119" w:type="pct"/>
                  <w:vAlign w:val="center"/>
                </w:tcPr>
                <w:p w14:paraId="1E49C2CA">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施工期</w:t>
                  </w:r>
                  <w:r>
                    <w:rPr>
                      <w:rFonts w:hint="default" w:ascii="Times New Roman" w:hAnsi="Times New Roman" w:cs="Times New Roman"/>
                      <w:b w:val="0"/>
                      <w:bCs/>
                      <w:color w:val="000000" w:themeColor="text1"/>
                      <w:sz w:val="21"/>
                      <w:szCs w:val="21"/>
                      <w:highlight w:val="none"/>
                      <w:lang w:val="en-US" w:eastAsia="zh-CN"/>
                      <w14:textFill>
                        <w14:solidFill>
                          <w14:schemeClr w14:val="tx1"/>
                        </w14:solidFill>
                      </w14:textFill>
                    </w:rPr>
                    <w:t>：施工人员不在项目区食宿，项目区内施工人员日常产生的洗手废水经收集后就近进入沉淀池或水池，回用于施工区域内降尘，不外排；在种植区和道路区在地势低处设置截排水沟，雨水收集进入水池，沉淀后回用于项目区内洒水降尘，不外排</w:t>
                  </w: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；运营期</w:t>
                  </w:r>
                  <w:r>
                    <w:rPr>
                      <w:rFonts w:hint="default" w:ascii="Times New Roman" w:hAnsi="Times New Roman" w:cs="Times New Roman"/>
                      <w:b w:val="0"/>
                      <w:bCs/>
                      <w:color w:val="000000" w:themeColor="text1"/>
                      <w:sz w:val="21"/>
                      <w:szCs w:val="21"/>
                      <w:highlight w:val="none"/>
                      <w:lang w:val="en-US" w:eastAsia="zh-CN"/>
                      <w14:textFill>
                        <w14:solidFill>
                          <w14:schemeClr w14:val="tx1"/>
                        </w14:solidFill>
                      </w14:textFill>
                    </w:rPr>
                    <w:t>：生活污水及食堂废水进入一体化污水处理设备，处理达到《农田灌溉水质标准》（GB 5084—2021）中的“旱地作物”标准后的废水排入水池，回用于项目区内灌溉。</w:t>
                  </w:r>
                </w:p>
              </w:tc>
              <w:tc>
                <w:tcPr>
                  <w:tcW w:w="384" w:type="pct"/>
                  <w:vAlign w:val="center"/>
                </w:tcPr>
                <w:p w14:paraId="08E75DD8">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lang w:val="en-US" w:eastAsia="zh-CN"/>
                      <w14:textFill>
                        <w14:solidFill>
                          <w14:schemeClr w14:val="tx1"/>
                        </w14:solidFill>
                      </w14:textFill>
                    </w:rPr>
                    <w:t>不涉及</w:t>
                  </w:r>
                </w:p>
              </w:tc>
            </w:tr>
            <w:tr w14:paraId="3A875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8" w:type="pct"/>
                  <w:vMerge w:val="continue"/>
                  <w:vAlign w:val="center"/>
                </w:tcPr>
                <w:p w14:paraId="7C9C3265">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p>
              </w:tc>
              <w:tc>
                <w:tcPr>
                  <w:tcW w:w="1857" w:type="pct"/>
                  <w:vAlign w:val="center"/>
                </w:tcPr>
                <w:p w14:paraId="4C58F158">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（二）新建、改建、扩建排放污染物的建设项目；</w:t>
                  </w:r>
                </w:p>
              </w:tc>
              <w:tc>
                <w:tcPr>
                  <w:tcW w:w="2119" w:type="pct"/>
                  <w:vAlign w:val="center"/>
                </w:tcPr>
                <w:p w14:paraId="33500662">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lang w:val="en-US" w:eastAsia="zh-CN"/>
                      <w14:textFill>
                        <w14:solidFill>
                          <w14:schemeClr w14:val="tx1"/>
                        </w14:solidFill>
                      </w14:textFill>
                    </w:rPr>
                    <w:t>项目废水不外排，废气经大气扩散后无组织排放，噪声达标排放，各类固废均合理处置</w:t>
                  </w:r>
                </w:p>
              </w:tc>
              <w:tc>
                <w:tcPr>
                  <w:tcW w:w="384" w:type="pct"/>
                  <w:vAlign w:val="center"/>
                </w:tcPr>
                <w:p w14:paraId="6DF48AEE">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lang w:val="en-US" w:eastAsia="zh-CN"/>
                      <w14:textFill>
                        <w14:solidFill>
                          <w14:schemeClr w14:val="tx1"/>
                        </w14:solidFill>
                      </w14:textFill>
                    </w:rPr>
                    <w:t>符合</w:t>
                  </w:r>
                </w:p>
              </w:tc>
            </w:tr>
            <w:tr w14:paraId="4BD87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638" w:type="pct"/>
                  <w:vMerge w:val="continue"/>
                  <w:vAlign w:val="center"/>
                </w:tcPr>
                <w:p w14:paraId="0A19D204">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p>
              </w:tc>
              <w:tc>
                <w:tcPr>
                  <w:tcW w:w="1857" w:type="pct"/>
                  <w:vAlign w:val="center"/>
                </w:tcPr>
                <w:p w14:paraId="35838E9C">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（三）建设工业固体废物、危险废物集中贮存、利用、处置的设施、场所和生活垃圾填埋场；</w:t>
                  </w:r>
                </w:p>
              </w:tc>
              <w:tc>
                <w:tcPr>
                  <w:tcW w:w="2119" w:type="pct"/>
                  <w:vAlign w:val="center"/>
                </w:tcPr>
                <w:p w14:paraId="5EC80470">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t>项目为农产品、药材种植项目</w:t>
                  </w:r>
                </w:p>
              </w:tc>
              <w:tc>
                <w:tcPr>
                  <w:tcW w:w="384" w:type="pct"/>
                  <w:vAlign w:val="center"/>
                </w:tcPr>
                <w:p w14:paraId="5E70EAB7">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lang w:val="en-US" w:eastAsia="zh-CN"/>
                      <w14:textFill>
                        <w14:solidFill>
                          <w14:schemeClr w14:val="tx1"/>
                        </w14:solidFill>
                      </w14:textFill>
                    </w:rPr>
                    <w:t>不涉及</w:t>
                  </w:r>
                </w:p>
              </w:tc>
            </w:tr>
            <w:tr w14:paraId="2E93D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8" w:type="pct"/>
                  <w:vMerge w:val="continue"/>
                  <w:vAlign w:val="center"/>
                </w:tcPr>
                <w:p w14:paraId="3199A17F">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p>
              </w:tc>
              <w:tc>
                <w:tcPr>
                  <w:tcW w:w="1857" w:type="pct"/>
                  <w:vAlign w:val="center"/>
                </w:tcPr>
                <w:p w14:paraId="4322D42A">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（四）建设畜禽养殖场、养殖小区；</w:t>
                  </w:r>
                </w:p>
              </w:tc>
              <w:tc>
                <w:tcPr>
                  <w:tcW w:w="2119" w:type="pct"/>
                  <w:vAlign w:val="center"/>
                </w:tcPr>
                <w:p w14:paraId="55296B53">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t>项目为农产品、药材种植项目</w:t>
                  </w:r>
                </w:p>
              </w:tc>
              <w:tc>
                <w:tcPr>
                  <w:tcW w:w="384" w:type="pct"/>
                  <w:vAlign w:val="center"/>
                </w:tcPr>
                <w:p w14:paraId="41D91A4A">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eastAsia" w:ascii="Times New Roman" w:hAnsi="Times New Roman" w:cs="Times New Roman"/>
                      <w:b w:val="0"/>
                      <w:bCs w:val="0"/>
                      <w:color w:val="000000" w:themeColor="text1"/>
                      <w:sz w:val="21"/>
                      <w:szCs w:val="21"/>
                      <w:lang w:val="en-US" w:eastAsia="zh-CN"/>
                      <w14:textFill>
                        <w14:solidFill>
                          <w14:schemeClr w14:val="tx1"/>
                        </w14:solidFill>
                      </w14:textFill>
                    </w:rPr>
                    <w:t>不涉及</w:t>
                  </w:r>
                </w:p>
              </w:tc>
            </w:tr>
            <w:tr w14:paraId="341A7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8" w:type="pct"/>
                  <w:vMerge w:val="continue"/>
                  <w:vAlign w:val="center"/>
                </w:tcPr>
                <w:p w14:paraId="66EF67FC">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p>
              </w:tc>
              <w:tc>
                <w:tcPr>
                  <w:tcW w:w="1857" w:type="pct"/>
                  <w:vAlign w:val="center"/>
                </w:tcPr>
                <w:p w14:paraId="1E4B8CBF">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（五）丢弃农药、化肥及包装物或者清洗施药、施肥器械；</w:t>
                  </w:r>
                </w:p>
              </w:tc>
              <w:tc>
                <w:tcPr>
                  <w:tcW w:w="2119" w:type="pct"/>
                  <w:vAlign w:val="center"/>
                </w:tcPr>
                <w:p w14:paraId="05E6EA41">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eastAsia" w:ascii="Times New Roman" w:hAnsi="Times New Roman" w:cs="Times New Roman"/>
                      <w:b w:val="0"/>
                      <w:bCs/>
                      <w:color w:val="000000" w:themeColor="text1"/>
                      <w:sz w:val="21"/>
                      <w:szCs w:val="21"/>
                      <w:lang w:val="en-US" w:eastAsia="zh-CN"/>
                      <w14:textFill>
                        <w14:solidFill>
                          <w14:schemeClr w14:val="tx1"/>
                        </w14:solidFill>
                      </w14:textFill>
                    </w:rPr>
                    <w:t>项目化肥及农药均购买符合相关国家标准的产品，使用过程中根据种植类别定制合理的使用标准，</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农药废包装容器在收集、运输、处置阶段应依据《农药包装废弃物回收处理管理办法》中</w:t>
                  </w:r>
                  <w:r>
                    <w:rPr>
                      <w:rFonts w:hint="eastAsia" w:ascii="Times New Roman" w:hAnsi="Times New Roman" w:cs="Times New Roman"/>
                      <w:color w:val="000000" w:themeColor="text1"/>
                      <w:sz w:val="21"/>
                      <w:szCs w:val="21"/>
                      <w:lang w:val="en-US" w:eastAsia="zh-CN"/>
                      <w14:textFill>
                        <w14:solidFill>
                          <w14:schemeClr w14:val="tx1"/>
                        </w14:solidFill>
                      </w14:textFill>
                    </w:rPr>
                    <w:t>的</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相关要求进行收集、运输、处置，项目农药配置过程中，农药瓶身反复冲洗配置，</w:t>
                  </w:r>
                  <w:r>
                    <w:rPr>
                      <w:rFonts w:hint="eastAsia" w:ascii="Times New Roman" w:hAnsi="Times New Roman" w:cs="Times New Roman"/>
                      <w:color w:val="000000" w:themeColor="text1"/>
                      <w:sz w:val="21"/>
                      <w:szCs w:val="21"/>
                      <w:lang w:val="en-US" w:eastAsia="zh-CN"/>
                      <w14:textFill>
                        <w14:solidFill>
                          <w14:schemeClr w14:val="tx1"/>
                        </w14:solidFill>
                      </w14:textFill>
                    </w:rPr>
                    <w:t>收集装入防渗密闭的塑料桶内后定期委托</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农药经营部回收处置。</w:t>
                  </w:r>
                </w:p>
              </w:tc>
              <w:tc>
                <w:tcPr>
                  <w:tcW w:w="384" w:type="pct"/>
                  <w:vAlign w:val="center"/>
                </w:tcPr>
                <w:p w14:paraId="517CCB9C">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p>
              </w:tc>
            </w:tr>
            <w:tr w14:paraId="3F1FF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8" w:type="pct"/>
                  <w:vMerge w:val="continue"/>
                  <w:vAlign w:val="center"/>
                </w:tcPr>
                <w:p w14:paraId="0F53055B">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p>
              </w:tc>
              <w:tc>
                <w:tcPr>
                  <w:tcW w:w="1857" w:type="pct"/>
                  <w:vAlign w:val="center"/>
                </w:tcPr>
                <w:p w14:paraId="7E3663D5">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（六）建造坟墓；</w:t>
                  </w:r>
                </w:p>
              </w:tc>
              <w:tc>
                <w:tcPr>
                  <w:tcW w:w="2119" w:type="pct"/>
                  <w:vAlign w:val="center"/>
                </w:tcPr>
                <w:p w14:paraId="41AE969F">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t>项目为农产品、药材种植项目</w:t>
                  </w:r>
                </w:p>
              </w:tc>
              <w:tc>
                <w:tcPr>
                  <w:tcW w:w="384" w:type="pct"/>
                  <w:vAlign w:val="center"/>
                </w:tcPr>
                <w:p w14:paraId="49611EAA">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eastAsia" w:ascii="Times New Roman" w:hAnsi="Times New Roman" w:cs="Times New Roman"/>
                      <w:b w:val="0"/>
                      <w:bCs w:val="0"/>
                      <w:color w:val="000000" w:themeColor="text1"/>
                      <w:sz w:val="21"/>
                      <w:szCs w:val="21"/>
                      <w:lang w:val="en-US" w:eastAsia="zh-CN"/>
                      <w14:textFill>
                        <w14:solidFill>
                          <w14:schemeClr w14:val="tx1"/>
                        </w14:solidFill>
                      </w14:textFill>
                    </w:rPr>
                    <w:t>不涉及</w:t>
                  </w:r>
                </w:p>
              </w:tc>
            </w:tr>
            <w:tr w14:paraId="17D66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8" w:type="pct"/>
                  <w:vMerge w:val="continue"/>
                  <w:vAlign w:val="center"/>
                </w:tcPr>
                <w:p w14:paraId="5362C28F">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p>
              </w:tc>
              <w:tc>
                <w:tcPr>
                  <w:tcW w:w="1857" w:type="pct"/>
                  <w:vAlign w:val="center"/>
                </w:tcPr>
                <w:p w14:paraId="0BC52105">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（七）法律、法规规定的其他禁止行为。</w:t>
                  </w:r>
                </w:p>
              </w:tc>
              <w:tc>
                <w:tcPr>
                  <w:tcW w:w="2119" w:type="pct"/>
                  <w:vAlign w:val="center"/>
                </w:tcPr>
                <w:p w14:paraId="486E8102">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eastAsia" w:ascii="Times New Roman" w:hAnsi="Times New Roman" w:cs="Times New Roman"/>
                      <w:b w:val="0"/>
                      <w:bCs w:val="0"/>
                      <w:color w:val="000000" w:themeColor="text1"/>
                      <w:sz w:val="21"/>
                      <w:szCs w:val="21"/>
                      <w:lang w:val="en-US" w:eastAsia="zh-CN"/>
                      <w14:textFill>
                        <w14:solidFill>
                          <w14:schemeClr w14:val="tx1"/>
                        </w14:solidFill>
                      </w14:textFill>
                    </w:rPr>
                    <w:t>项目建设符合国家相关</w:t>
                  </w: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法律、法规</w:t>
                  </w:r>
                  <w:r>
                    <w:rPr>
                      <w:rFonts w:hint="eastAsia" w:ascii="Times New Roman" w:hAnsi="Times New Roman" w:cs="Times New Roman"/>
                      <w:b w:val="0"/>
                      <w:bCs w:val="0"/>
                      <w:color w:val="000000" w:themeColor="text1"/>
                      <w:sz w:val="21"/>
                      <w:szCs w:val="21"/>
                      <w:lang w:val="en-US" w:eastAsia="zh-CN"/>
                      <w14:textFill>
                        <w14:solidFill>
                          <w14:schemeClr w14:val="tx1"/>
                        </w14:solidFill>
                      </w14:textFill>
                    </w:rPr>
                    <w:t>要求</w:t>
                  </w:r>
                </w:p>
              </w:tc>
              <w:tc>
                <w:tcPr>
                  <w:tcW w:w="384" w:type="pct"/>
                  <w:vAlign w:val="center"/>
                </w:tcPr>
                <w:p w14:paraId="00AC4961">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eastAsia" w:ascii="Times New Roman" w:hAnsi="Times New Roman" w:cs="Times New Roman"/>
                      <w:b w:val="0"/>
                      <w:bCs w:val="0"/>
                      <w:color w:val="000000" w:themeColor="text1"/>
                      <w:sz w:val="21"/>
                      <w:szCs w:val="21"/>
                      <w:lang w:val="en-US" w:eastAsia="zh-CN"/>
                      <w14:textFill>
                        <w14:solidFill>
                          <w14:schemeClr w14:val="tx1"/>
                        </w14:solidFill>
                      </w14:textFill>
                    </w:rPr>
                    <w:t>符合</w:t>
                  </w:r>
                </w:p>
              </w:tc>
            </w:tr>
            <w:tr w14:paraId="6211A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8" w:type="pct"/>
                  <w:vMerge w:val="restart"/>
                  <w:vAlign w:val="center"/>
                </w:tcPr>
                <w:p w14:paraId="6ED2F236">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第十八条　在地下水集中式饮用水水源保护区内，除遵守地表水保护区的相关规定外，还禁止下列行为</w:t>
                  </w:r>
                </w:p>
              </w:tc>
              <w:tc>
                <w:tcPr>
                  <w:tcW w:w="1857" w:type="pct"/>
                  <w:vAlign w:val="center"/>
                </w:tcPr>
                <w:p w14:paraId="5D05DF52">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（一）利用高压水井、渗井、渗坑、矿井、矿坑、裂隙和溶洞排放、倾倒含有毒污染物的废水、含病原体的污水和其他废弃物；</w:t>
                  </w:r>
                </w:p>
              </w:tc>
              <w:tc>
                <w:tcPr>
                  <w:tcW w:w="2119" w:type="pct"/>
                  <w:vAlign w:val="center"/>
                </w:tcPr>
                <w:p w14:paraId="745E864E">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eastAsia" w:ascii="Times New Roman" w:hAnsi="Times New Roman"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t>项目为农产品、药材种植项目</w:t>
                  </w:r>
                </w:p>
              </w:tc>
              <w:tc>
                <w:tcPr>
                  <w:tcW w:w="384" w:type="pct"/>
                  <w:vAlign w:val="center"/>
                </w:tcPr>
                <w:p w14:paraId="6F8EEB74">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eastAsia" w:ascii="Times New Roman" w:hAnsi="Times New Roman"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lang w:val="en-US" w:eastAsia="zh-CN"/>
                      <w14:textFill>
                        <w14:solidFill>
                          <w14:schemeClr w14:val="tx1"/>
                        </w14:solidFill>
                      </w14:textFill>
                    </w:rPr>
                    <w:t>不涉及</w:t>
                  </w:r>
                </w:p>
              </w:tc>
            </w:tr>
            <w:tr w14:paraId="4EB7A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8" w:type="pct"/>
                  <w:vMerge w:val="continue"/>
                  <w:vAlign w:val="center"/>
                </w:tcPr>
                <w:p w14:paraId="2BB93F12">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p>
              </w:tc>
              <w:tc>
                <w:tcPr>
                  <w:tcW w:w="1857" w:type="pct"/>
                  <w:vAlign w:val="center"/>
                </w:tcPr>
                <w:p w14:paraId="22A66BC3">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（二）利用无防渗漏措施的沟渠、坑塘等输送或者贮存含有毒污染物的废水、含病原体的污水和其他废弃物；</w:t>
                  </w:r>
                </w:p>
              </w:tc>
              <w:tc>
                <w:tcPr>
                  <w:tcW w:w="2119" w:type="pct"/>
                  <w:vAlign w:val="center"/>
                </w:tcPr>
                <w:p w14:paraId="1D367635">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eastAsia" w:ascii="Times New Roman" w:hAnsi="Times New Roman"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t>项目为农产品、药材种植项目</w:t>
                  </w:r>
                </w:p>
              </w:tc>
              <w:tc>
                <w:tcPr>
                  <w:tcW w:w="384" w:type="pct"/>
                  <w:vAlign w:val="center"/>
                </w:tcPr>
                <w:p w14:paraId="2695EAA0">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eastAsia" w:ascii="Times New Roman" w:hAnsi="Times New Roman"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lang w:val="en-US" w:eastAsia="zh-CN"/>
                      <w14:textFill>
                        <w14:solidFill>
                          <w14:schemeClr w14:val="tx1"/>
                        </w14:solidFill>
                      </w14:textFill>
                    </w:rPr>
                    <w:t>不涉及</w:t>
                  </w:r>
                </w:p>
              </w:tc>
            </w:tr>
            <w:tr w14:paraId="1B9E8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8" w:type="pct"/>
                  <w:vMerge w:val="continue"/>
                  <w:vAlign w:val="center"/>
                </w:tcPr>
                <w:p w14:paraId="6C58460B">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p>
              </w:tc>
              <w:tc>
                <w:tcPr>
                  <w:tcW w:w="1857" w:type="pct"/>
                  <w:vAlign w:val="center"/>
                </w:tcPr>
                <w:p w14:paraId="2881E78E">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（三）兴建地下工程设施或者进行地下勘探、采矿等活动，不采取防止地下水污染的措施</w:t>
                  </w:r>
                  <w:r>
                    <w:rPr>
                      <w:rFonts w:hint="eastAsia" w:ascii="Times New Roman" w:hAnsi="Times New Roman" w:cs="Times New Roman"/>
                      <w:b w:val="0"/>
                      <w:bCs w:val="0"/>
                      <w:color w:val="000000" w:themeColor="text1"/>
                      <w:sz w:val="21"/>
                      <w:szCs w:val="21"/>
                      <w:lang w:val="en-US" w:eastAsia="zh-CN"/>
                      <w14:textFill>
                        <w14:solidFill>
                          <w14:schemeClr w14:val="tx1"/>
                        </w14:solidFill>
                      </w14:textFill>
                    </w:rPr>
                    <w:t>；</w:t>
                  </w:r>
                </w:p>
              </w:tc>
              <w:tc>
                <w:tcPr>
                  <w:tcW w:w="2119" w:type="pct"/>
                  <w:shd w:val="clear" w:color="auto" w:fill="auto"/>
                  <w:vAlign w:val="center"/>
                </w:tcPr>
                <w:p w14:paraId="670BEF77">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t>项目为农产品、药材种植项目</w:t>
                  </w:r>
                  <w:r>
                    <w:rPr>
                      <w:rFonts w:hint="eastAsia" w:ascii="Times New Roman" w:hAnsi="Times New Roman" w:cs="Times New Roman"/>
                      <w:b w:val="0"/>
                      <w:bCs w:val="0"/>
                      <w:color w:val="000000" w:themeColor="text1"/>
                      <w:sz w:val="21"/>
                      <w:szCs w:val="21"/>
                      <w:lang w:val="en-US" w:eastAsia="zh-CN"/>
                      <w14:textFill>
                        <w14:solidFill>
                          <w14:schemeClr w14:val="tx1"/>
                        </w14:solidFill>
                      </w14:textFill>
                    </w:rPr>
                    <w:t>，不涉及地下工程</w:t>
                  </w:r>
                </w:p>
              </w:tc>
              <w:tc>
                <w:tcPr>
                  <w:tcW w:w="384" w:type="pct"/>
                  <w:shd w:val="clear" w:color="auto" w:fill="auto"/>
                  <w:vAlign w:val="center"/>
                </w:tcPr>
                <w:p w14:paraId="003747B4">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eastAsia"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b w:val="0"/>
                      <w:bCs w:val="0"/>
                      <w:color w:val="000000" w:themeColor="text1"/>
                      <w:sz w:val="21"/>
                      <w:szCs w:val="21"/>
                      <w:lang w:val="en-US" w:eastAsia="zh-CN"/>
                      <w14:textFill>
                        <w14:solidFill>
                          <w14:schemeClr w14:val="tx1"/>
                        </w14:solidFill>
                      </w14:textFill>
                    </w:rPr>
                    <w:t>不涉及</w:t>
                  </w:r>
                </w:p>
              </w:tc>
            </w:tr>
            <w:tr w14:paraId="4CF6C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8" w:type="pct"/>
                  <w:vMerge w:val="continue"/>
                  <w:vAlign w:val="center"/>
                </w:tcPr>
                <w:p w14:paraId="63527C8C">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p>
              </w:tc>
              <w:tc>
                <w:tcPr>
                  <w:tcW w:w="1857" w:type="pct"/>
                  <w:vAlign w:val="center"/>
                </w:tcPr>
                <w:p w14:paraId="2B81911E">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（四）对停止使用的取水口不及时封闭；</w:t>
                  </w:r>
                </w:p>
              </w:tc>
              <w:tc>
                <w:tcPr>
                  <w:tcW w:w="2119" w:type="pct"/>
                  <w:shd w:val="clear" w:color="auto" w:fill="auto"/>
                  <w:vAlign w:val="center"/>
                </w:tcPr>
                <w:p w14:paraId="20938B56">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b w:val="0"/>
                      <w:bCs w:val="0"/>
                      <w:color w:val="000000" w:themeColor="text1"/>
                      <w:sz w:val="21"/>
                      <w:szCs w:val="21"/>
                      <w:lang w:val="en-US" w:eastAsia="zh-CN"/>
                      <w14:textFill>
                        <w14:solidFill>
                          <w14:schemeClr w14:val="tx1"/>
                        </w14:solidFill>
                      </w14:textFill>
                    </w:rPr>
                    <w:t>项目为农产品、药材种植项目</w:t>
                  </w:r>
                </w:p>
              </w:tc>
              <w:tc>
                <w:tcPr>
                  <w:tcW w:w="384" w:type="pct"/>
                  <w:shd w:val="clear" w:color="auto" w:fill="auto"/>
                  <w:vAlign w:val="center"/>
                </w:tcPr>
                <w:p w14:paraId="2A8E49C0">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eastAsia"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eastAsia" w:ascii="Times New Roman" w:hAnsi="Times New Roman" w:cs="Times New Roman"/>
                      <w:b w:val="0"/>
                      <w:bCs w:val="0"/>
                      <w:color w:val="000000" w:themeColor="text1"/>
                      <w:sz w:val="21"/>
                      <w:szCs w:val="21"/>
                      <w:lang w:val="en-US" w:eastAsia="zh-CN"/>
                      <w14:textFill>
                        <w14:solidFill>
                          <w14:schemeClr w14:val="tx1"/>
                        </w14:solidFill>
                      </w14:textFill>
                    </w:rPr>
                    <w:t>不涉及</w:t>
                  </w:r>
                </w:p>
              </w:tc>
            </w:tr>
            <w:tr w14:paraId="3167F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8" w:type="pct"/>
                  <w:vMerge w:val="continue"/>
                  <w:vAlign w:val="center"/>
                </w:tcPr>
                <w:p w14:paraId="2E6E73FC">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p>
              </w:tc>
              <w:tc>
                <w:tcPr>
                  <w:tcW w:w="1857" w:type="pct"/>
                  <w:vAlign w:val="center"/>
                </w:tcPr>
                <w:p w14:paraId="0D672507">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（五）法律、法规规定的其他禁止行为</w:t>
                  </w:r>
                </w:p>
              </w:tc>
              <w:tc>
                <w:tcPr>
                  <w:tcW w:w="2119" w:type="pct"/>
                  <w:vAlign w:val="center"/>
                </w:tcPr>
                <w:p w14:paraId="5A7F0F44">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eastAsia" w:ascii="Times New Roman" w:hAnsi="Times New Roman"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lang w:val="en-US" w:eastAsia="zh-CN"/>
                      <w14:textFill>
                        <w14:solidFill>
                          <w14:schemeClr w14:val="tx1"/>
                        </w14:solidFill>
                      </w14:textFill>
                    </w:rPr>
                    <w:t>项目建设符合国家相关</w:t>
                  </w: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法律、法规</w:t>
                  </w:r>
                  <w:r>
                    <w:rPr>
                      <w:rFonts w:hint="eastAsia" w:ascii="Times New Roman" w:hAnsi="Times New Roman" w:cs="Times New Roman"/>
                      <w:b w:val="0"/>
                      <w:bCs w:val="0"/>
                      <w:color w:val="000000" w:themeColor="text1"/>
                      <w:sz w:val="21"/>
                      <w:szCs w:val="21"/>
                      <w:lang w:val="en-US" w:eastAsia="zh-CN"/>
                      <w14:textFill>
                        <w14:solidFill>
                          <w14:schemeClr w14:val="tx1"/>
                        </w14:solidFill>
                      </w14:textFill>
                    </w:rPr>
                    <w:t>要求</w:t>
                  </w:r>
                </w:p>
              </w:tc>
              <w:tc>
                <w:tcPr>
                  <w:tcW w:w="384" w:type="pct"/>
                  <w:vAlign w:val="center"/>
                </w:tcPr>
                <w:p w14:paraId="0AC4079E">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both"/>
                    <w:textAlignment w:val="auto"/>
                    <w:rPr>
                      <w:rFonts w:hint="eastAsia" w:ascii="Times New Roman" w:hAnsi="Times New Roman"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lang w:val="en-US" w:eastAsia="zh-CN"/>
                      <w14:textFill>
                        <w14:solidFill>
                          <w14:schemeClr w14:val="tx1"/>
                        </w14:solidFill>
                      </w14:textFill>
                    </w:rPr>
                    <w:t>符合</w:t>
                  </w:r>
                </w:p>
              </w:tc>
            </w:tr>
          </w:tbl>
          <w:p w14:paraId="36885A67">
            <w:pPr>
              <w:keepNext w:val="0"/>
              <w:keepLines w:val="0"/>
              <w:pageBreakBefore w:val="0"/>
              <w:kinsoku/>
              <w:wordWrap/>
              <w:overflowPunct/>
              <w:topLinePunct w:val="0"/>
              <w:autoSpaceDE w:val="0"/>
              <w:autoSpaceDN w:val="0"/>
              <w:bidi w:val="0"/>
              <w:adjustRightInd w:val="0"/>
              <w:snapToGrid w:val="0"/>
              <w:spacing w:line="360" w:lineRule="auto"/>
              <w:ind w:left="0" w:leftChars="0" w:firstLine="480" w:firstLineChars="200"/>
              <w:jc w:val="both"/>
              <w:textAlignment w:val="auto"/>
              <w:rPr>
                <w:rFonts w:hint="eastAsia" w:ascii="Times New Roman" w:hAnsi="Times New Roman" w:cs="Times New Roman"/>
                <w:b w:val="0"/>
                <w:bCs/>
                <w:color w:val="000000" w:themeColor="text1"/>
                <w:sz w:val="24"/>
                <w:szCs w:val="24"/>
                <w:highlight w:val="none"/>
                <w:lang w:val="en-US" w:eastAsia="zh-CN"/>
                <w14:textFill>
                  <w14:solidFill>
                    <w14:schemeClr w14:val="tx1"/>
                  </w14:solidFill>
                </w14:textFill>
              </w:rPr>
            </w:pPr>
          </w:p>
          <w:p w14:paraId="076B83F6">
            <w:pPr>
              <w:keepNext w:val="0"/>
              <w:keepLines w:val="0"/>
              <w:pageBreakBefore w:val="0"/>
              <w:kinsoku/>
              <w:wordWrap/>
              <w:overflowPunct/>
              <w:topLinePunct w:val="0"/>
              <w:autoSpaceDE w:val="0"/>
              <w:autoSpaceDN w:val="0"/>
              <w:bidi w:val="0"/>
              <w:adjustRightInd w:val="0"/>
              <w:snapToGrid w:val="0"/>
              <w:spacing w:line="360" w:lineRule="auto"/>
              <w:ind w:left="0" w:leftChars="0" w:firstLine="480" w:firstLineChars="200"/>
              <w:jc w:val="both"/>
              <w:textAlignment w:val="auto"/>
              <w:rPr>
                <w:rFonts w:hint="default" w:ascii="Times New Roman" w:hAnsi="Times New Roman" w:eastAsia="宋体" w:cs="Times New Roman"/>
                <w:color w:val="000000" w:themeColor="text1"/>
                <w:kern w:val="0"/>
                <w:sz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lang w:val="en-US" w:eastAsia="zh-CN"/>
                <w14:textFill>
                  <w14:solidFill>
                    <w14:schemeClr w14:val="tx1"/>
                  </w14:solidFill>
                </w14:textFill>
              </w:rPr>
              <w:t>根据</w:t>
            </w:r>
            <w:r>
              <w:rPr>
                <w:rFonts w:hint="eastAsia" w:ascii="Times New Roman" w:hAnsi="Times New Roman" w:cs="Times New Roman"/>
                <w:b w:val="0"/>
                <w:bCs w:val="0"/>
                <w:color w:val="000000" w:themeColor="text1"/>
                <w:lang w:val="en-US" w:eastAsia="zh-CN"/>
                <w14:textFill>
                  <w14:solidFill>
                    <w14:schemeClr w14:val="tx1"/>
                  </w14:solidFill>
                </w14:textFill>
              </w:rPr>
              <w:t>上表</w:t>
            </w:r>
            <w:r>
              <w:rPr>
                <w:rFonts w:hint="default" w:ascii="Times New Roman" w:hAnsi="Times New Roman" w:eastAsia="宋体" w:cs="Times New Roman"/>
                <w:b w:val="0"/>
                <w:bCs w:val="0"/>
                <w:color w:val="000000" w:themeColor="text1"/>
                <w:lang w:val="en-US" w:eastAsia="zh-CN"/>
                <w14:textFill>
                  <w14:solidFill>
                    <w14:schemeClr w14:val="tx1"/>
                  </w14:solidFill>
                </w14:textFill>
              </w:rPr>
              <w:t>分析，本项目符合《玉溪市集中式饮用水水源</w:t>
            </w:r>
            <w:r>
              <w:rPr>
                <w:rFonts w:hint="eastAsia" w:ascii="Times New Roman" w:hAnsi="Times New Roman" w:cs="Times New Roman"/>
                <w:b w:val="0"/>
                <w:bCs/>
                <w:color w:val="000000" w:themeColor="text1"/>
                <w:sz w:val="24"/>
                <w:szCs w:val="24"/>
                <w:highlight w:val="none"/>
                <w:lang w:val="en-US" w:eastAsia="zh-CN"/>
                <w14:textFill>
                  <w14:solidFill>
                    <w14:schemeClr w14:val="tx1"/>
                  </w14:solidFill>
                </w14:textFill>
              </w:rPr>
              <w:t>地</w:t>
            </w:r>
            <w:r>
              <w:rPr>
                <w:rFonts w:hint="default" w:ascii="Times New Roman" w:hAnsi="Times New Roman" w:eastAsia="宋体" w:cs="Times New Roman"/>
                <w:b w:val="0"/>
                <w:bCs w:val="0"/>
                <w:color w:val="000000" w:themeColor="text1"/>
                <w:lang w:val="en-US" w:eastAsia="zh-CN"/>
                <w14:textFill>
                  <w14:solidFill>
                    <w14:schemeClr w14:val="tx1"/>
                  </w14:solidFill>
                </w14:textFill>
              </w:rPr>
              <w:t>保护条例》的</w:t>
            </w:r>
            <w:r>
              <w:rPr>
                <w:rFonts w:hint="eastAsia" w:ascii="Times New Roman" w:hAnsi="Times New Roman" w:eastAsia="宋体" w:cs="Times New Roman"/>
                <w:b w:val="0"/>
                <w:bCs w:val="0"/>
                <w:color w:val="000000" w:themeColor="text1"/>
                <w:lang w:val="en-US" w:eastAsia="zh-CN"/>
                <w14:textFill>
                  <w14:solidFill>
                    <w14:schemeClr w14:val="tx1"/>
                  </w14:solidFill>
                </w14:textFill>
              </w:rPr>
              <w:t>相关</w:t>
            </w:r>
            <w:r>
              <w:rPr>
                <w:rFonts w:hint="default" w:ascii="Times New Roman" w:hAnsi="Times New Roman" w:eastAsia="宋体" w:cs="Times New Roman"/>
                <w:b w:val="0"/>
                <w:bCs w:val="0"/>
                <w:color w:val="000000" w:themeColor="text1"/>
                <w:lang w:val="en-US" w:eastAsia="zh-CN"/>
                <w14:textFill>
                  <w14:solidFill>
                    <w14:schemeClr w14:val="tx1"/>
                  </w14:solidFill>
                </w14:textFill>
              </w:rPr>
              <w:t>要求</w:t>
            </w:r>
            <w:r>
              <w:rPr>
                <w:rFonts w:hint="eastAsia" w:ascii="Times New Roman" w:hAnsi="Times New Roman" w:cs="Times New Roman"/>
                <w:b w:val="0"/>
                <w:bCs w:val="0"/>
                <w:color w:val="000000" w:themeColor="text1"/>
                <w:lang w:val="en-US" w:eastAsia="zh-CN"/>
                <w14:textFill>
                  <w14:solidFill>
                    <w14:schemeClr w14:val="tx1"/>
                  </w14:solidFill>
                </w14:textFill>
              </w:rPr>
              <w:t>。</w:t>
            </w:r>
          </w:p>
          <w:p w14:paraId="21D5B097">
            <w:pPr>
              <w:keepNext w:val="0"/>
              <w:keepLines w:val="0"/>
              <w:pageBreakBefore w:val="0"/>
              <w:widowControl/>
              <w:tabs>
                <w:tab w:val="left" w:pos="4830"/>
              </w:tabs>
              <w:kinsoku/>
              <w:wordWrap/>
              <w:overflowPunct/>
              <w:topLinePunct w:val="0"/>
              <w:autoSpaceDE/>
              <w:autoSpaceDN/>
              <w:bidi w:val="0"/>
              <w:adjustRightInd w:val="0"/>
              <w:snapToGrid w:val="0"/>
              <w:spacing w:line="360" w:lineRule="auto"/>
              <w:ind w:left="0" w:leftChars="0" w:firstLine="482" w:firstLineChars="200"/>
              <w:jc w:val="both"/>
              <w:textAlignment w:val="auto"/>
              <w:rPr>
                <w:rFonts w:hint="default" w:ascii="Times New Roman" w:hAnsi="Times New Roman" w:eastAsia="宋体" w:cs="Times New Roman"/>
                <w:b/>
                <w:bCs/>
                <w:color w:val="000000" w:themeColor="text1"/>
                <w:kern w:val="0"/>
                <w:sz w:val="24"/>
                <w:lang w:val="en-US" w:eastAsia="zh-CN"/>
                <w14:textFill>
                  <w14:solidFill>
                    <w14:schemeClr w14:val="tx1"/>
                  </w14:solidFill>
                </w14:textFill>
              </w:rPr>
            </w:pPr>
            <w:r>
              <w:rPr>
                <w:rFonts w:hint="eastAsia" w:ascii="Times New Roman" w:hAnsi="Times New Roman" w:cs="Times New Roman"/>
                <w:b/>
                <w:bCs/>
                <w:color w:val="000000" w:themeColor="text1"/>
                <w:kern w:val="0"/>
                <w:sz w:val="24"/>
                <w:lang w:val="en-US" w:eastAsia="zh-CN"/>
                <w14:textFill>
                  <w14:solidFill>
                    <w14:schemeClr w14:val="tx1"/>
                  </w14:solidFill>
                </w14:textFill>
              </w:rPr>
              <w:t>16、</w:t>
            </w:r>
            <w:r>
              <w:rPr>
                <w:rFonts w:hint="default" w:ascii="Times New Roman" w:hAnsi="Times New Roman" w:eastAsia="宋体" w:cs="Times New Roman"/>
                <w:b/>
                <w:bCs/>
                <w:color w:val="000000" w:themeColor="text1"/>
                <w:kern w:val="0"/>
                <w:sz w:val="24"/>
                <w:lang w:val="en-US" w:eastAsia="zh-CN"/>
                <w14:textFill>
                  <w14:solidFill>
                    <w14:schemeClr w14:val="tx1"/>
                  </w14:solidFill>
                </w14:textFill>
              </w:rPr>
              <w:t>项目与《峨山县国土空间总体规划（2021-2035）》符合性分析</w:t>
            </w:r>
          </w:p>
          <w:p w14:paraId="5BC51199">
            <w:pPr>
              <w:keepNext w:val="0"/>
              <w:keepLines w:val="0"/>
              <w:pageBreakBefore w:val="0"/>
              <w:kinsoku/>
              <w:wordWrap/>
              <w:overflowPunct/>
              <w:topLinePunct w:val="0"/>
              <w:autoSpaceDE w:val="0"/>
              <w:autoSpaceDN w:val="0"/>
              <w:bidi w:val="0"/>
              <w:adjustRightInd w:val="0"/>
              <w:snapToGrid w:val="0"/>
              <w:spacing w:line="360" w:lineRule="auto"/>
              <w:ind w:left="0" w:leftChars="0" w:firstLine="480" w:firstLineChars="200"/>
              <w:jc w:val="both"/>
              <w:textAlignment w:val="auto"/>
              <w:rPr>
                <w:rFonts w:hint="default" w:ascii="Times New Roman" w:hAnsi="Times New Roman" w:eastAsia="宋体" w:cs="Times New Roman"/>
                <w:color w:val="000000" w:themeColor="text1"/>
                <w:kern w:val="0"/>
                <w:sz w:val="24"/>
                <w:lang w:eastAsia="zh-CN"/>
                <w14:textFill>
                  <w14:solidFill>
                    <w14:schemeClr w14:val="tx1"/>
                  </w14:solidFill>
                </w14:textFill>
              </w:rPr>
            </w:pPr>
            <w:r>
              <w:rPr>
                <w:rFonts w:hint="default" w:ascii="Times New Roman" w:hAnsi="Times New Roman" w:eastAsia="宋体" w:cs="Times New Roman"/>
                <w:color w:val="000000" w:themeColor="text1"/>
                <w:kern w:val="0"/>
                <w:sz w:val="24"/>
                <w:lang w:eastAsia="zh-CN"/>
                <w14:textFill>
                  <w14:solidFill>
                    <w14:schemeClr w14:val="tx1"/>
                  </w14:solidFill>
                </w14:textFill>
              </w:rPr>
              <w:t>《峨山县国土空间总体规划（</w:t>
            </w:r>
            <w:r>
              <w:rPr>
                <w:rFonts w:hint="default" w:ascii="Times New Roman" w:hAnsi="Times New Roman" w:eastAsia="宋体" w:cs="Times New Roman"/>
                <w:color w:val="000000" w:themeColor="text1"/>
                <w:kern w:val="0"/>
                <w:sz w:val="24"/>
                <w:lang w:val="en-US" w:eastAsia="zh-CN"/>
                <w14:textFill>
                  <w14:solidFill>
                    <w14:schemeClr w14:val="tx1"/>
                  </w14:solidFill>
                </w14:textFill>
              </w:rPr>
              <w:t>2021-2035</w:t>
            </w:r>
            <w:r>
              <w:rPr>
                <w:rFonts w:hint="default" w:ascii="Times New Roman" w:hAnsi="Times New Roman" w:eastAsia="宋体" w:cs="Times New Roman"/>
                <w:color w:val="000000" w:themeColor="text1"/>
                <w:kern w:val="0"/>
                <w:sz w:val="24"/>
                <w:lang w:eastAsia="zh-CN"/>
                <w14:textFill>
                  <w14:solidFill>
                    <w14:schemeClr w14:val="tx1"/>
                  </w14:solidFill>
                </w14:textFill>
              </w:rPr>
              <w:t>）》坚持目标导向、问题导向和治理导向相结合，立足峨山县本地自然和人文禀赋及发展特征，突出地域特点、文化特色、时代特征，以科学布局生态空间、生产空间、生活空间等为重点内容，探索内涵式、集约式、绿色化的高质量发展路径，提出峨山县国土空间开发保护的总体发展目标和规划蓝图。</w:t>
            </w:r>
          </w:p>
          <w:p w14:paraId="5CE9456E">
            <w:pPr>
              <w:keepNext w:val="0"/>
              <w:keepLines w:val="0"/>
              <w:pageBreakBefore w:val="0"/>
              <w:kinsoku/>
              <w:wordWrap/>
              <w:overflowPunct/>
              <w:topLinePunct w:val="0"/>
              <w:autoSpaceDE w:val="0"/>
              <w:autoSpaceDN w:val="0"/>
              <w:bidi w:val="0"/>
              <w:adjustRightInd w:val="0"/>
              <w:snapToGrid w:val="0"/>
              <w:spacing w:line="360" w:lineRule="auto"/>
              <w:ind w:firstLine="482" w:firstLineChars="200"/>
              <w:jc w:val="both"/>
              <w:textAlignment w:val="auto"/>
              <w:rPr>
                <w:rFonts w:hint="default" w:ascii="Times New Roman" w:hAnsi="Times New Roman" w:eastAsia="宋体" w:cs="Times New Roman"/>
                <w:color w:val="000000" w:themeColor="text1"/>
                <w:kern w:val="0"/>
                <w:sz w:val="24"/>
                <w:lang w:eastAsia="zh-CN"/>
                <w14:textFill>
                  <w14:solidFill>
                    <w14:schemeClr w14:val="tx1"/>
                  </w14:solidFill>
                </w14:textFill>
              </w:rPr>
            </w:pPr>
            <w:r>
              <w:rPr>
                <w:rFonts w:hint="default" w:ascii="Times New Roman" w:hAnsi="Times New Roman" w:eastAsia="宋体" w:cs="Times New Roman"/>
                <w:b/>
                <w:bCs/>
                <w:color w:val="000000" w:themeColor="text1"/>
                <w:kern w:val="0"/>
                <w:sz w:val="24"/>
                <w:lang w:eastAsia="zh-CN"/>
                <w14:textFill>
                  <w14:solidFill>
                    <w14:schemeClr w14:val="tx1"/>
                  </w14:solidFill>
                </w14:textFill>
              </w:rPr>
              <w:t>规划范围：</w:t>
            </w:r>
            <w:r>
              <w:rPr>
                <w:rFonts w:hint="default" w:ascii="Times New Roman" w:hAnsi="Times New Roman" w:eastAsia="宋体" w:cs="Times New Roman"/>
                <w:color w:val="000000" w:themeColor="text1"/>
                <w:kern w:val="0"/>
                <w:sz w:val="24"/>
                <w:lang w:eastAsia="zh-CN"/>
                <w14:textFill>
                  <w14:solidFill>
                    <w14:schemeClr w14:val="tx1"/>
                  </w14:solidFill>
                </w14:textFill>
              </w:rPr>
              <w:t>峨山县行政辖区内的全域国土空间，规划总面积1931.75平方千米；峨山县辖2街道3镇3乡，分别为：双江街道、小街街道、化念镇、甸中镇、塔甸镇、岔河乡、富良棚乡、大龙潭乡。</w:t>
            </w:r>
          </w:p>
          <w:p w14:paraId="278969CA">
            <w:pPr>
              <w:keepNext w:val="0"/>
              <w:keepLines w:val="0"/>
              <w:pageBreakBefore w:val="0"/>
              <w:kinsoku/>
              <w:wordWrap/>
              <w:overflowPunct/>
              <w:topLinePunct w:val="0"/>
              <w:autoSpaceDE w:val="0"/>
              <w:autoSpaceDN w:val="0"/>
              <w:bidi w:val="0"/>
              <w:adjustRightInd w:val="0"/>
              <w:snapToGrid w:val="0"/>
              <w:spacing w:line="360" w:lineRule="auto"/>
              <w:ind w:firstLine="482" w:firstLineChars="200"/>
              <w:jc w:val="both"/>
              <w:textAlignment w:val="auto"/>
              <w:rPr>
                <w:rFonts w:hint="default" w:ascii="Times New Roman" w:hAnsi="Times New Roman" w:eastAsia="宋体" w:cs="Times New Roman"/>
                <w:color w:val="000000" w:themeColor="text1"/>
                <w:kern w:val="0"/>
                <w:sz w:val="24"/>
                <w:lang w:eastAsia="zh-CN"/>
                <w14:textFill>
                  <w14:solidFill>
                    <w14:schemeClr w14:val="tx1"/>
                  </w14:solidFill>
                </w14:textFill>
              </w:rPr>
            </w:pPr>
            <w:r>
              <w:rPr>
                <w:rFonts w:hint="default" w:ascii="Times New Roman" w:hAnsi="Times New Roman" w:eastAsia="宋体" w:cs="Times New Roman"/>
                <w:b/>
                <w:bCs/>
                <w:color w:val="000000" w:themeColor="text1"/>
                <w:kern w:val="0"/>
                <w:sz w:val="24"/>
                <w:lang w:eastAsia="zh-CN"/>
                <w14:textFill>
                  <w14:solidFill>
                    <w14:schemeClr w14:val="tx1"/>
                  </w14:solidFill>
                </w14:textFill>
              </w:rPr>
              <w:t>统筹划定三条控制线：</w:t>
            </w:r>
            <w:r>
              <w:rPr>
                <w:rFonts w:hint="default" w:ascii="Times New Roman" w:hAnsi="Times New Roman" w:eastAsia="宋体" w:cs="Times New Roman"/>
                <w:color w:val="000000" w:themeColor="text1"/>
                <w:kern w:val="0"/>
                <w:sz w:val="24"/>
                <w:lang w:eastAsia="zh-CN"/>
                <w14:textFill>
                  <w14:solidFill>
                    <w14:schemeClr w14:val="tx1"/>
                  </w14:solidFill>
                </w14:textFill>
              </w:rPr>
              <w:t>科学划定永久基本农田保护红线、生态保护红线、城镇开发边界三条控制线，优化生产、生活、生态“三生”空间，是顺应生态文明建设客观规律的举措。规划统筹划定落实三条控制线，解决三条控制线多头管理、交叉冲突等问题。坚持以下划定原则：底线保障，永续发展；上下联动，统筹划定；逐级落实，严格管控。</w:t>
            </w:r>
          </w:p>
          <w:p w14:paraId="76C8ED32">
            <w:pPr>
              <w:keepNext w:val="0"/>
              <w:keepLines w:val="0"/>
              <w:pageBreakBefore w:val="0"/>
              <w:kinsoku/>
              <w:wordWrap/>
              <w:overflowPunct/>
              <w:topLinePunct w:val="0"/>
              <w:autoSpaceDE w:val="0"/>
              <w:autoSpaceDN w:val="0"/>
              <w:bidi w:val="0"/>
              <w:adjustRightInd w:val="0"/>
              <w:snapToGrid w:val="0"/>
              <w:spacing w:line="360" w:lineRule="auto"/>
              <w:ind w:firstLine="482" w:firstLineChars="200"/>
              <w:jc w:val="both"/>
              <w:textAlignment w:val="auto"/>
              <w:rPr>
                <w:rFonts w:hint="default" w:ascii="Times New Roman" w:hAnsi="Times New Roman" w:eastAsia="宋体" w:cs="Times New Roman"/>
                <w:color w:val="000000" w:themeColor="text1"/>
                <w:kern w:val="0"/>
                <w:sz w:val="24"/>
                <w:lang w:eastAsia="zh-CN"/>
                <w14:textFill>
                  <w14:solidFill>
                    <w14:schemeClr w14:val="tx1"/>
                  </w14:solidFill>
                </w14:textFill>
              </w:rPr>
            </w:pPr>
            <w:r>
              <w:rPr>
                <w:rFonts w:hint="default" w:ascii="Times New Roman" w:hAnsi="Times New Roman" w:eastAsia="宋体" w:cs="Times New Roman"/>
                <w:b/>
                <w:bCs/>
                <w:color w:val="000000" w:themeColor="text1"/>
                <w:kern w:val="0"/>
                <w:sz w:val="24"/>
                <w:lang w:eastAsia="zh-CN"/>
                <w14:textFill>
                  <w14:solidFill>
                    <w14:schemeClr w14:val="tx1"/>
                  </w14:solidFill>
                </w14:textFill>
              </w:rPr>
              <w:t>优先划定永久基本农田：</w:t>
            </w:r>
            <w:r>
              <w:rPr>
                <w:rFonts w:hint="default" w:ascii="Times New Roman" w:hAnsi="Times New Roman" w:eastAsia="宋体" w:cs="Times New Roman"/>
                <w:color w:val="000000" w:themeColor="text1"/>
                <w:kern w:val="0"/>
                <w:sz w:val="24"/>
                <w:lang w:eastAsia="zh-CN"/>
                <w14:textFill>
                  <w14:solidFill>
                    <w14:schemeClr w14:val="tx1"/>
                  </w14:solidFill>
                </w14:textFill>
              </w:rPr>
              <w:t>贯彻国家粮食安全战略，落实永久基本农田保护任务，将永久基本农田控制线划定在长期稳定利用耕地上，对永久基本农田实施特殊保护，坚决遏制耕地“非农化”，防止耕地“非粮化”。</w:t>
            </w:r>
          </w:p>
          <w:p w14:paraId="2DE92605">
            <w:pPr>
              <w:keepNext w:val="0"/>
              <w:keepLines w:val="0"/>
              <w:pageBreakBefore w:val="0"/>
              <w:kinsoku/>
              <w:wordWrap/>
              <w:overflowPunct/>
              <w:topLinePunct w:val="0"/>
              <w:autoSpaceDE w:val="0"/>
              <w:autoSpaceDN w:val="0"/>
              <w:bidi w:val="0"/>
              <w:adjustRightInd w:val="0"/>
              <w:snapToGrid w:val="0"/>
              <w:spacing w:line="360" w:lineRule="auto"/>
              <w:ind w:firstLine="482" w:firstLineChars="200"/>
              <w:jc w:val="both"/>
              <w:textAlignment w:val="auto"/>
              <w:rPr>
                <w:rFonts w:hint="default" w:ascii="Times New Roman" w:hAnsi="Times New Roman" w:eastAsia="宋体" w:cs="Times New Roman"/>
                <w:color w:val="000000" w:themeColor="text1"/>
                <w:kern w:val="0"/>
                <w:sz w:val="24"/>
                <w:lang w:eastAsia="zh-CN"/>
                <w14:textFill>
                  <w14:solidFill>
                    <w14:schemeClr w14:val="tx1"/>
                  </w14:solidFill>
                </w14:textFill>
              </w:rPr>
            </w:pPr>
            <w:r>
              <w:rPr>
                <w:rFonts w:hint="default" w:ascii="Times New Roman" w:hAnsi="Times New Roman" w:eastAsia="宋体" w:cs="Times New Roman"/>
                <w:b/>
                <w:bCs/>
                <w:color w:val="000000" w:themeColor="text1"/>
                <w:kern w:val="0"/>
                <w:sz w:val="24"/>
                <w:lang w:eastAsia="zh-CN"/>
                <w14:textFill>
                  <w14:solidFill>
                    <w14:schemeClr w14:val="tx1"/>
                  </w14:solidFill>
                </w14:textFill>
              </w:rPr>
              <w:t>严格落实生态保护红线</w:t>
            </w:r>
            <w:r>
              <w:rPr>
                <w:rFonts w:hint="default" w:ascii="Times New Roman" w:hAnsi="Times New Roman" w:eastAsia="宋体" w:cs="Times New Roman"/>
                <w:color w:val="000000" w:themeColor="text1"/>
                <w:kern w:val="0"/>
                <w:sz w:val="24"/>
                <w:lang w:eastAsia="zh-CN"/>
                <w14:textFill>
                  <w14:solidFill>
                    <w14:schemeClr w14:val="tx1"/>
                  </w14:solidFill>
                </w14:textFill>
              </w:rPr>
              <w:t>：践行“两山”理论打造生态文明发展新方式，结合生态功能重要区域及生态功能敏感脆弱区域分布，整合优化自然保护地，划定生态保护红线，维护生态安全格局。</w:t>
            </w:r>
          </w:p>
          <w:p w14:paraId="6DBBD16C">
            <w:pPr>
              <w:keepNext w:val="0"/>
              <w:keepLines w:val="0"/>
              <w:pageBreakBefore w:val="0"/>
              <w:kinsoku/>
              <w:wordWrap/>
              <w:overflowPunct/>
              <w:topLinePunct w:val="0"/>
              <w:autoSpaceDE w:val="0"/>
              <w:autoSpaceDN w:val="0"/>
              <w:bidi w:val="0"/>
              <w:adjustRightInd w:val="0"/>
              <w:snapToGrid w:val="0"/>
              <w:spacing w:line="360" w:lineRule="auto"/>
              <w:ind w:firstLine="482" w:firstLineChars="200"/>
              <w:jc w:val="both"/>
              <w:textAlignment w:val="auto"/>
              <w:rPr>
                <w:rFonts w:hint="default" w:ascii="Times New Roman" w:hAnsi="Times New Roman" w:eastAsia="宋体" w:cs="Times New Roman"/>
                <w:color w:val="000000" w:themeColor="text1"/>
                <w:kern w:val="0"/>
                <w:sz w:val="24"/>
                <w:lang w:eastAsia="zh-CN"/>
                <w14:textFill>
                  <w14:solidFill>
                    <w14:schemeClr w14:val="tx1"/>
                  </w14:solidFill>
                </w14:textFill>
              </w:rPr>
            </w:pPr>
            <w:r>
              <w:rPr>
                <w:rFonts w:hint="default" w:ascii="Times New Roman" w:hAnsi="Times New Roman" w:eastAsia="宋体" w:cs="Times New Roman"/>
                <w:b/>
                <w:bCs/>
                <w:color w:val="000000" w:themeColor="text1"/>
                <w:kern w:val="0"/>
                <w:sz w:val="24"/>
                <w:lang w:eastAsia="zh-CN"/>
                <w14:textFill>
                  <w14:solidFill>
                    <w14:schemeClr w14:val="tx1"/>
                  </w14:solidFill>
                </w14:textFill>
              </w:rPr>
              <w:t>合理划定城镇开发边界</w:t>
            </w:r>
            <w:r>
              <w:rPr>
                <w:rFonts w:hint="default" w:ascii="Times New Roman" w:hAnsi="Times New Roman" w:eastAsia="宋体" w:cs="Times New Roman"/>
                <w:color w:val="000000" w:themeColor="text1"/>
                <w:kern w:val="0"/>
                <w:sz w:val="24"/>
                <w:lang w:eastAsia="zh-CN"/>
                <w14:textFill>
                  <w14:solidFill>
                    <w14:schemeClr w14:val="tx1"/>
                  </w14:solidFill>
                </w14:textFill>
              </w:rPr>
              <w:t>：坚持底线思维、节约集约，遵循严控增量、盘活存量、优化结构、提升质量的要求，合理划定城镇开发边界，促进城镇空间结构和功能布局优化，推动高质量发展。</w:t>
            </w:r>
          </w:p>
          <w:p w14:paraId="1A63803E">
            <w:pPr>
              <w:keepNext w:val="0"/>
              <w:keepLines w:val="0"/>
              <w:pageBreakBefore w:val="0"/>
              <w:kinsoku/>
              <w:wordWrap/>
              <w:overflowPunct/>
              <w:topLinePunct w:val="0"/>
              <w:autoSpaceDE w:val="0"/>
              <w:autoSpaceDN w:val="0"/>
              <w:bidi w:val="0"/>
              <w:adjustRightInd w:val="0"/>
              <w:snapToGrid w:val="0"/>
              <w:spacing w:line="360" w:lineRule="auto"/>
              <w:ind w:firstLine="482" w:firstLineChars="200"/>
              <w:jc w:val="both"/>
              <w:textAlignment w:val="auto"/>
              <w:rPr>
                <w:rFonts w:hint="default" w:ascii="Times New Roman" w:hAnsi="Times New Roman" w:eastAsia="宋体" w:cs="Times New Roman"/>
                <w:color w:val="000000" w:themeColor="text1"/>
                <w:kern w:val="0"/>
                <w:sz w:val="24"/>
                <w:lang w:eastAsia="zh-CN"/>
                <w14:textFill>
                  <w14:solidFill>
                    <w14:schemeClr w14:val="tx1"/>
                  </w14:solidFill>
                </w14:textFill>
              </w:rPr>
            </w:pPr>
            <w:r>
              <w:rPr>
                <w:rFonts w:hint="default" w:ascii="Times New Roman" w:hAnsi="Times New Roman" w:eastAsia="宋体" w:cs="Times New Roman"/>
                <w:b/>
                <w:bCs/>
                <w:color w:val="000000" w:themeColor="text1"/>
                <w:kern w:val="0"/>
                <w:sz w:val="24"/>
                <w:lang w:eastAsia="zh-CN"/>
                <w14:textFill>
                  <w14:solidFill>
                    <w14:schemeClr w14:val="tx1"/>
                  </w14:solidFill>
                </w14:textFill>
              </w:rPr>
              <w:t>打造畅达高效综合交通系统</w:t>
            </w:r>
            <w:r>
              <w:rPr>
                <w:rFonts w:hint="default" w:ascii="Times New Roman" w:hAnsi="Times New Roman" w:eastAsia="宋体" w:cs="Times New Roman"/>
                <w:color w:val="000000" w:themeColor="text1"/>
                <w:kern w:val="0"/>
                <w:sz w:val="24"/>
                <w:lang w:eastAsia="zh-CN"/>
                <w14:textFill>
                  <w14:solidFill>
                    <w14:schemeClr w14:val="tx1"/>
                  </w14:solidFill>
                </w14:textFill>
              </w:rPr>
              <w:t>：打造“六高三铁”为骨架的综合交通运输体系。公路网：玉磨高速、昆磨高速、昆磨高速复线、峨石红高速、化念至富良棚高速、易门至新平高速；铁路网：昆曼高铁、玉磨铁路、昆万铁路玉磨段。</w:t>
            </w:r>
          </w:p>
          <w:p w14:paraId="47A1E19B">
            <w:pPr>
              <w:keepNext w:val="0"/>
              <w:keepLines w:val="0"/>
              <w:pageBreakBefore w:val="0"/>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000000" w:themeColor="text1"/>
                <w:kern w:val="0"/>
                <w:sz w:val="24"/>
                <w:lang w:eastAsia="zh-CN"/>
                <w14:textFill>
                  <w14:solidFill>
                    <w14:schemeClr w14:val="tx1"/>
                  </w14:solidFill>
                </w14:textFill>
              </w:rPr>
            </w:pPr>
            <w:r>
              <w:rPr>
                <w:rFonts w:hint="default" w:ascii="Times New Roman" w:hAnsi="Times New Roman" w:eastAsia="宋体" w:cs="Times New Roman"/>
                <w:color w:val="000000" w:themeColor="text1"/>
                <w:kern w:val="0"/>
                <w:sz w:val="24"/>
                <w:lang w:eastAsia="zh-CN"/>
                <w14:textFill>
                  <w14:solidFill>
                    <w14:schemeClr w14:val="tx1"/>
                  </w14:solidFill>
                </w14:textFill>
              </w:rPr>
              <w:t>本项目位于峨山县塔甸镇大西村委会</w:t>
            </w:r>
            <w:r>
              <w:rPr>
                <w:rFonts w:hint="eastAsia" w:ascii="Times New Roman" w:hAnsi="Times New Roman" w:cs="Times New Roman"/>
                <w:color w:val="000000" w:themeColor="text1"/>
                <w:kern w:val="0"/>
                <w:sz w:val="24"/>
                <w:lang w:eastAsia="zh-CN"/>
                <w14:textFill>
                  <w14:solidFill>
                    <w14:schemeClr w14:val="tx1"/>
                  </w14:solidFill>
                </w14:textFill>
              </w:rPr>
              <w:t>大西山</w:t>
            </w:r>
            <w:r>
              <w:rPr>
                <w:rFonts w:hint="default" w:ascii="Times New Roman" w:hAnsi="Times New Roman" w:eastAsia="宋体" w:cs="Times New Roman"/>
                <w:color w:val="000000" w:themeColor="text1"/>
                <w:kern w:val="0"/>
                <w:sz w:val="24"/>
                <w:lang w:val="en-US" w:eastAsia="zh-CN"/>
                <w14:textFill>
                  <w14:solidFill>
                    <w14:schemeClr w14:val="tx1"/>
                  </w14:solidFill>
                </w14:textFill>
              </w:rPr>
              <w:t>委会</w:t>
            </w:r>
            <w:r>
              <w:rPr>
                <w:rFonts w:hint="default" w:ascii="Times New Roman" w:hAnsi="Times New Roman" w:eastAsia="宋体" w:cs="Times New Roman"/>
                <w:color w:val="000000" w:themeColor="text1"/>
                <w:kern w:val="0"/>
                <w:sz w:val="24"/>
                <w:lang w:eastAsia="zh-CN"/>
                <w14:textFill>
                  <w14:solidFill>
                    <w14:schemeClr w14:val="tx1"/>
                  </w14:solidFill>
                </w14:textFill>
              </w:rPr>
              <w:t>，</w:t>
            </w:r>
            <w:r>
              <w:rPr>
                <w:rFonts w:hint="default" w:ascii="Times New Roman" w:hAnsi="Times New Roman" w:eastAsia="宋体" w:cs="Times New Roman"/>
                <w:color w:val="000000" w:themeColor="text1"/>
                <w:kern w:val="0"/>
                <w:sz w:val="24"/>
                <w:highlight w:val="none"/>
                <w:lang w:val="en-US" w:eastAsia="zh-CN"/>
                <w14:textFill>
                  <w14:solidFill>
                    <w14:schemeClr w14:val="tx1"/>
                  </w14:solidFill>
                </w14:textFill>
              </w:rPr>
              <w:t>根据峨山县自然资源局出具的“三区三线”查询证明可知</w:t>
            </w:r>
            <w:r>
              <w:rPr>
                <w:rFonts w:hint="default" w:ascii="Times New Roman" w:hAnsi="Times New Roman" w:eastAsia="宋体" w:cs="Times New Roman"/>
                <w:color w:val="000000" w:themeColor="text1"/>
                <w:kern w:val="0"/>
                <w:sz w:val="24"/>
                <w:highlight w:val="none"/>
                <w:lang w:eastAsia="zh-CN"/>
                <w14:textFill>
                  <w14:solidFill>
                    <w14:schemeClr w14:val="tx1"/>
                  </w14:solidFill>
                </w14:textFill>
              </w:rPr>
              <w:t>，本项目不涉及生态红线、永久基本农田、城镇开发边界内。</w:t>
            </w:r>
            <w:r>
              <w:rPr>
                <w:rFonts w:hint="default" w:ascii="Times New Roman" w:hAnsi="Times New Roman" w:eastAsia="宋体" w:cs="Times New Roman"/>
                <w:color w:val="000000" w:themeColor="text1"/>
                <w:kern w:val="0"/>
                <w:sz w:val="24"/>
                <w:highlight w:val="none"/>
                <w:lang w:val="en-US" w:eastAsia="zh-CN"/>
                <w14:textFill>
                  <w14:solidFill>
                    <w14:schemeClr w14:val="tx1"/>
                  </w14:solidFill>
                </w14:textFill>
              </w:rPr>
              <w:t>综上</w:t>
            </w:r>
            <w:r>
              <w:rPr>
                <w:rFonts w:hint="default" w:ascii="Times New Roman" w:hAnsi="Times New Roman" w:eastAsia="宋体" w:cs="Times New Roman"/>
                <w:color w:val="000000" w:themeColor="text1"/>
                <w:kern w:val="0"/>
                <w:sz w:val="24"/>
                <w:lang w:val="en-US" w:eastAsia="zh-CN"/>
                <w14:textFill>
                  <w14:solidFill>
                    <w14:schemeClr w14:val="tx1"/>
                  </w14:solidFill>
                </w14:textFill>
              </w:rPr>
              <w:t>所述本项目的建设与</w:t>
            </w:r>
            <w:r>
              <w:rPr>
                <w:rFonts w:hint="default" w:ascii="Times New Roman" w:hAnsi="Times New Roman" w:eastAsia="宋体" w:cs="Times New Roman"/>
                <w:color w:val="000000" w:themeColor="text1"/>
                <w:kern w:val="0"/>
                <w:sz w:val="24"/>
                <w:lang w:eastAsia="zh-CN"/>
                <w14:textFill>
                  <w14:solidFill>
                    <w14:schemeClr w14:val="tx1"/>
                  </w14:solidFill>
                </w14:textFill>
              </w:rPr>
              <w:t>《峨山县国土空间总体规划（</w:t>
            </w:r>
            <w:r>
              <w:rPr>
                <w:rFonts w:hint="default" w:ascii="Times New Roman" w:hAnsi="Times New Roman" w:eastAsia="宋体" w:cs="Times New Roman"/>
                <w:color w:val="000000" w:themeColor="text1"/>
                <w:kern w:val="0"/>
                <w:sz w:val="24"/>
                <w:lang w:val="en-US" w:eastAsia="zh-CN"/>
                <w14:textFill>
                  <w14:solidFill>
                    <w14:schemeClr w14:val="tx1"/>
                  </w14:solidFill>
                </w14:textFill>
              </w:rPr>
              <w:t>2021-2035</w:t>
            </w:r>
            <w:r>
              <w:rPr>
                <w:rFonts w:hint="default" w:ascii="Times New Roman" w:hAnsi="Times New Roman" w:eastAsia="宋体" w:cs="Times New Roman"/>
                <w:color w:val="000000" w:themeColor="text1"/>
                <w:kern w:val="0"/>
                <w:sz w:val="24"/>
                <w:lang w:eastAsia="zh-CN"/>
                <w14:textFill>
                  <w14:solidFill>
                    <w14:schemeClr w14:val="tx1"/>
                  </w14:solidFill>
                </w14:textFill>
              </w:rPr>
              <w:t>）》相符。</w:t>
            </w:r>
          </w:p>
          <w:p w14:paraId="27AE4686">
            <w:pPr>
              <w:keepNext w:val="0"/>
              <w:keepLines w:val="0"/>
              <w:pageBreakBefore w:val="0"/>
              <w:widowControl/>
              <w:tabs>
                <w:tab w:val="left" w:pos="4830"/>
              </w:tabs>
              <w:kinsoku/>
              <w:wordWrap/>
              <w:overflowPunct/>
              <w:topLinePunct w:val="0"/>
              <w:autoSpaceDE/>
              <w:autoSpaceDN/>
              <w:bidi w:val="0"/>
              <w:adjustRightInd w:val="0"/>
              <w:snapToGrid w:val="0"/>
              <w:spacing w:line="360" w:lineRule="auto"/>
              <w:ind w:left="0" w:leftChars="0" w:firstLine="482" w:firstLineChars="200"/>
              <w:jc w:val="both"/>
              <w:textAlignment w:val="auto"/>
              <w:rPr>
                <w:rFonts w:hint="default" w:ascii="Times New Roman" w:hAnsi="Times New Roman" w:cs="Times New Roman"/>
                <w:b/>
                <w:bCs/>
                <w:color w:val="000000" w:themeColor="text1"/>
                <w:kern w:val="0"/>
                <w:sz w:val="24"/>
                <w:lang w:val="en-US" w:eastAsia="zh-CN"/>
                <w14:textFill>
                  <w14:solidFill>
                    <w14:schemeClr w14:val="tx1"/>
                  </w14:solidFill>
                </w14:textFill>
              </w:rPr>
            </w:pPr>
            <w:r>
              <w:rPr>
                <w:rFonts w:hint="eastAsia" w:ascii="Times New Roman" w:hAnsi="Times New Roman" w:cs="Times New Roman"/>
                <w:b/>
                <w:bCs/>
                <w:color w:val="000000" w:themeColor="text1"/>
                <w:kern w:val="0"/>
                <w:sz w:val="24"/>
                <w:lang w:val="en-US" w:eastAsia="zh-CN"/>
                <w14:textFill>
                  <w14:solidFill>
                    <w14:schemeClr w14:val="tx1"/>
                  </w14:solidFill>
                </w14:textFill>
              </w:rPr>
              <w:t>17、项目与《建设项目使用林地审核审批管理办法》符合性分析</w:t>
            </w:r>
          </w:p>
          <w:p w14:paraId="648A1112">
            <w:pPr>
              <w:keepNext w:val="0"/>
              <w:keepLines w:val="0"/>
              <w:pageBreakBefore w:val="0"/>
              <w:widowControl/>
              <w:tabs>
                <w:tab w:val="left" w:pos="4830"/>
              </w:tabs>
              <w:kinsoku/>
              <w:wordWrap/>
              <w:overflowPunct/>
              <w:topLinePunct w:val="0"/>
              <w:autoSpaceDE/>
              <w:autoSpaceDN/>
              <w:bidi w:val="0"/>
              <w:adjustRightInd w:val="0"/>
              <w:snapToGrid w:val="0"/>
              <w:spacing w:line="360" w:lineRule="auto"/>
              <w:ind w:left="0" w:leftChars="0" w:firstLine="480" w:firstLineChars="200"/>
              <w:jc w:val="both"/>
              <w:textAlignment w:val="auto"/>
              <w:rPr>
                <w:rFonts w:hint="default" w:ascii="Times New Roman" w:hAnsi="Times New Roman" w:cs="Times New Roman"/>
                <w:b w:val="0"/>
                <w:bCs w:val="0"/>
                <w:color w:val="000000" w:themeColor="text1"/>
                <w:kern w:val="0"/>
                <w:sz w:val="24"/>
                <w:lang w:val="en-US" w:eastAsia="zh-CN"/>
                <w14:textFill>
                  <w14:solidFill>
                    <w14:schemeClr w14:val="tx1"/>
                  </w14:solidFill>
                </w14:textFill>
              </w:rPr>
            </w:pPr>
            <w:r>
              <w:rPr>
                <w:rFonts w:hint="eastAsia" w:ascii="Times New Roman" w:hAnsi="Times New Roman" w:cs="Times New Roman"/>
                <w:b w:val="0"/>
                <w:bCs w:val="0"/>
                <w:color w:val="000000" w:themeColor="text1"/>
                <w:kern w:val="0"/>
                <w:sz w:val="24"/>
                <w:lang w:val="en-US" w:eastAsia="zh-CN"/>
                <w14:textFill>
                  <w14:solidFill>
                    <w14:schemeClr w14:val="tx1"/>
                  </w14:solidFill>
                </w14:textFill>
              </w:rPr>
              <w:t>根据《建设项目使用林地审核审批管理办法》（2015年3月30日国家林业局令第35号；2016年9月22日国家林业局令第42号修改）中的“第四条　占用和临时占用林地的建设项目应当遵守林地分级管理的规定：（一）各类建设项目不得使用Ⅰ级保护林地。（二）国务院批准、同意的建设项目，国务院有关部门和省级人民政府及其有关部门批准的基础设施、公共事业、民生建设项目，可以使用Ⅱ级及其以下保护林地。（三）国防、外交建设项目，可以使用Ⅱ级及其以下保护林地。（四）县（市、区）和设区的市、自治州人民政府及其有关部门批准的基础设施、公共事业、民生建设项目，可以使用Ⅱ级及其以下保护林地。　（五）战略性新兴产业项目、勘查项目、大中型矿山、符合相关旅游规划的生态旅游开发项目，可以使用Ⅱ级及其以下保护林地。其他工矿、仓储建设项目和符合规划的经营性项目，可以使用Ⅲ级及其以下保护林地。（六）符合城镇规划的建设项目和符合乡村规划的建设项目，可以使用Ⅱ级及其以下保护林地。（七）符合自然保护区、森林公园、湿地公园、风景名胜区等规划的建设项目，可以使用自然保护区、森林公园、湿地公园、风景名胜区范围内Ⅱ级及其以下保护林地。　（八）公路、铁路、通讯、电力、油气管线等线性工程和水利水电、航道工程等建设项目配套的采石（沙）场、取土场使用林地按照主体建设项目使用林地范围执行，但不得使用Ⅱ级保护林地中的有林地。其中，在国务院确定的国家所有的重点林区（以下简称重点国有林区）内，不得使用Ⅲ级以上保护林地中的有林地。　（九）上述建设项目以外的其他建设项目可以使用Ⅳ级保护林地。本条第一款第二项、第三项、第七项以外的建设项目使用林地，不得使用一级国家级公益林地。”项目为农产品、药材种植项目，符合上述条例中的（九），根据峨山林业和草原局出具的《准予行政许可决定书》（详见附件9－附件11），项目使用林地性质为直接为林业生产服务，符合要求。</w:t>
            </w:r>
          </w:p>
          <w:p w14:paraId="4AA1D898">
            <w:pPr>
              <w:keepNext w:val="0"/>
              <w:keepLines w:val="0"/>
              <w:pageBreakBefore w:val="0"/>
              <w:widowControl/>
              <w:tabs>
                <w:tab w:val="left" w:pos="4830"/>
              </w:tabs>
              <w:kinsoku/>
              <w:wordWrap/>
              <w:overflowPunct/>
              <w:topLinePunct w:val="0"/>
              <w:autoSpaceDE/>
              <w:autoSpaceDN/>
              <w:bidi w:val="0"/>
              <w:adjustRightInd w:val="0"/>
              <w:snapToGrid w:val="0"/>
              <w:spacing w:line="360" w:lineRule="auto"/>
              <w:ind w:left="0" w:leftChars="0" w:firstLine="482" w:firstLineChars="200"/>
              <w:jc w:val="both"/>
              <w:textAlignment w:val="auto"/>
              <w:rPr>
                <w:rFonts w:hint="default" w:ascii="Times New Roman" w:hAnsi="Times New Roman" w:cs="Times New Roman"/>
                <w:b/>
                <w:bCs/>
                <w:color w:val="000000" w:themeColor="text1"/>
                <w:kern w:val="0"/>
                <w:sz w:val="24"/>
                <w:lang w:val="en-US" w:eastAsia="zh-CN"/>
                <w14:textFill>
                  <w14:solidFill>
                    <w14:schemeClr w14:val="tx1"/>
                  </w14:solidFill>
                </w14:textFill>
              </w:rPr>
            </w:pPr>
            <w:r>
              <w:rPr>
                <w:rFonts w:hint="eastAsia" w:ascii="Times New Roman" w:hAnsi="Times New Roman" w:cs="Times New Roman"/>
                <w:b/>
                <w:bCs/>
                <w:color w:val="000000" w:themeColor="text1"/>
                <w:kern w:val="0"/>
                <w:sz w:val="24"/>
                <w:lang w:val="en-US" w:eastAsia="zh-CN"/>
                <w14:textFill>
                  <w14:solidFill>
                    <w14:schemeClr w14:val="tx1"/>
                  </w14:solidFill>
                </w14:textFill>
              </w:rPr>
              <w:t>18、项目与《云南省建设项目使用林地审批管理有关工作的通知》（云林规〔2024〕3号）符合性分析</w:t>
            </w:r>
          </w:p>
          <w:p w14:paraId="0CFDA76F">
            <w:pPr>
              <w:keepNext w:val="0"/>
              <w:keepLines w:val="0"/>
              <w:pageBreakBefore w:val="0"/>
              <w:widowControl/>
              <w:tabs>
                <w:tab w:val="left" w:pos="4830"/>
              </w:tabs>
              <w:kinsoku/>
              <w:wordWrap/>
              <w:overflowPunct/>
              <w:topLinePunct w:val="0"/>
              <w:autoSpaceDE/>
              <w:autoSpaceDN/>
              <w:bidi w:val="0"/>
              <w:adjustRightInd w:val="0"/>
              <w:snapToGrid w:val="0"/>
              <w:spacing w:line="360" w:lineRule="auto"/>
              <w:ind w:left="0" w:leftChars="0" w:firstLine="480" w:firstLineChars="200"/>
              <w:jc w:val="both"/>
              <w:textAlignment w:val="auto"/>
              <w:rPr>
                <w:rFonts w:hint="eastAsia" w:ascii="Times New Roman" w:hAnsi="Times New Roman" w:cs="Times New Roman"/>
                <w:b/>
                <w:bCs/>
                <w:color w:val="000000" w:themeColor="text1"/>
                <w:kern w:val="0"/>
                <w:sz w:val="24"/>
                <w:lang w:val="en-US" w:eastAsia="zh-CN"/>
                <w14:textFill>
                  <w14:solidFill>
                    <w14:schemeClr w14:val="tx1"/>
                  </w14:solidFill>
                </w14:textFill>
              </w:rPr>
            </w:pPr>
            <w:r>
              <w:rPr>
                <w:rFonts w:hint="eastAsia" w:ascii="Times New Roman" w:hAnsi="Times New Roman" w:cs="Times New Roman"/>
                <w:b w:val="0"/>
                <w:bCs w:val="0"/>
                <w:color w:val="000000" w:themeColor="text1"/>
                <w:kern w:val="0"/>
                <w:sz w:val="24"/>
                <w:lang w:val="en-US" w:eastAsia="zh-CN"/>
                <w14:textFill>
                  <w14:solidFill>
                    <w14:schemeClr w14:val="tx1"/>
                  </w14:solidFill>
                </w14:textFill>
              </w:rPr>
              <w:t>根据《云南省建设项目使用林地审批管理有关工作的通知》（云林规〔2024〕3号）中“三、加强临时使用林地审批管理”中的“（二）严禁以“先临时、后占用”的方式为同一建设项目主体工程办理使用林地审批手续。”。项目使用林地性质为直接为林业生产服务，建设内容为管护用房、道路、水池等，已取得峨山林业和草原局出具的《准予行政许可决定书》（详见附件9－附件11）</w:t>
            </w:r>
            <w:r>
              <w:rPr>
                <w:rFonts w:hint="eastAsia" w:ascii="Times New Roman" w:hAnsi="Times New Roman" w:cs="Times New Roman"/>
                <w:b/>
                <w:bCs/>
                <w:color w:val="000000" w:themeColor="text1"/>
                <w:kern w:val="0"/>
                <w:sz w:val="24"/>
                <w:lang w:val="en-US" w:eastAsia="zh-CN"/>
                <w14:textFill>
                  <w14:solidFill>
                    <w14:schemeClr w14:val="tx1"/>
                  </w14:solidFill>
                </w14:textFill>
              </w:rPr>
              <w:t>。</w:t>
            </w:r>
          </w:p>
          <w:p w14:paraId="09E94212">
            <w:pPr>
              <w:keepNext w:val="0"/>
              <w:keepLines w:val="0"/>
              <w:pageBreakBefore w:val="0"/>
              <w:widowControl/>
              <w:tabs>
                <w:tab w:val="left" w:pos="4830"/>
              </w:tabs>
              <w:kinsoku/>
              <w:wordWrap/>
              <w:overflowPunct/>
              <w:topLinePunct w:val="0"/>
              <w:autoSpaceDE/>
              <w:autoSpaceDN/>
              <w:bidi w:val="0"/>
              <w:adjustRightInd w:val="0"/>
              <w:snapToGrid w:val="0"/>
              <w:spacing w:line="360" w:lineRule="auto"/>
              <w:ind w:left="0" w:leftChars="0" w:firstLine="482" w:firstLineChars="200"/>
              <w:jc w:val="both"/>
              <w:textAlignment w:val="auto"/>
              <w:rPr>
                <w:rFonts w:hint="default" w:ascii="Times New Roman" w:hAnsi="Times New Roman" w:cs="Times New Roman"/>
                <w:b/>
                <w:bCs/>
                <w:color w:val="000000" w:themeColor="text1"/>
                <w:kern w:val="0"/>
                <w:sz w:val="24"/>
                <w:lang w:val="en-US" w:eastAsia="zh-CN"/>
                <w14:textFill>
                  <w14:solidFill>
                    <w14:schemeClr w14:val="tx1"/>
                  </w14:solidFill>
                </w14:textFill>
              </w:rPr>
            </w:pPr>
            <w:r>
              <w:rPr>
                <w:rFonts w:hint="eastAsia" w:ascii="Times New Roman" w:hAnsi="Times New Roman" w:cs="Times New Roman"/>
                <w:b/>
                <w:bCs/>
                <w:color w:val="000000" w:themeColor="text1"/>
                <w:kern w:val="0"/>
                <w:sz w:val="24"/>
                <w:lang w:val="en-US" w:eastAsia="zh-CN"/>
                <w14:textFill>
                  <w14:solidFill>
                    <w14:schemeClr w14:val="tx1"/>
                  </w14:solidFill>
                </w14:textFill>
              </w:rPr>
              <w:t>19、项目与《关于加强和优化设施农业用地管理的通知》（云自然资规〔2026〕1 号）符合性分析</w:t>
            </w:r>
          </w:p>
          <w:p w14:paraId="7F24030E">
            <w:pPr>
              <w:keepNext w:val="0"/>
              <w:keepLines w:val="0"/>
              <w:pageBreakBefore w:val="0"/>
              <w:widowControl/>
              <w:tabs>
                <w:tab w:val="left" w:pos="4830"/>
              </w:tabs>
              <w:kinsoku/>
              <w:wordWrap/>
              <w:overflowPunct/>
              <w:topLinePunct w:val="0"/>
              <w:autoSpaceDE/>
              <w:autoSpaceDN/>
              <w:bidi w:val="0"/>
              <w:adjustRightInd w:val="0"/>
              <w:snapToGrid w:val="0"/>
              <w:spacing w:line="360" w:lineRule="auto"/>
              <w:ind w:left="0" w:leftChars="0" w:firstLine="480" w:firstLineChars="200"/>
              <w:jc w:val="both"/>
              <w:textAlignment w:val="auto"/>
              <w:rPr>
                <w:rFonts w:hint="default" w:ascii="Times New Roman" w:hAnsi="Times New Roman" w:cs="Times New Roman"/>
                <w:b w:val="0"/>
                <w:bCs w:val="0"/>
                <w:color w:val="000000" w:themeColor="text1"/>
                <w:kern w:val="0"/>
                <w:sz w:val="24"/>
                <w:lang w:val="en-US" w:eastAsia="zh-CN"/>
                <w14:textFill>
                  <w14:solidFill>
                    <w14:schemeClr w14:val="tx1"/>
                  </w14:solidFill>
                </w14:textFill>
              </w:rPr>
            </w:pPr>
            <w:r>
              <w:rPr>
                <w:rFonts w:hint="eastAsia" w:ascii="Times New Roman" w:hAnsi="Times New Roman" w:cs="Times New Roman"/>
                <w:b w:val="0"/>
                <w:bCs w:val="0"/>
                <w:color w:val="000000" w:themeColor="text1"/>
                <w:kern w:val="0"/>
                <w:sz w:val="24"/>
                <w:lang w:val="en-US" w:eastAsia="zh-CN"/>
                <w14:textFill>
                  <w14:solidFill>
                    <w14:schemeClr w14:val="tx1"/>
                  </w14:solidFill>
                </w14:textFill>
              </w:rPr>
              <w:t>根据《关于加强和优化设施农业用地管理的通知》（云自然资规〔2026〕1 号）中“二、合理确定设施农业用地选址和规模”中的“六）合理确定项目规模。生产设施用地规模应由经营者根据农业生产需要合理确定，附属和配套等辅助设施用地占地总规模应控制在生产用地（包括粮食生产、设施农业、林果业等各类农业生产用地）总规模的15%以内，最多不超过30亩。种植类辅助设施、养殖设施在符合安全和防疫等相关要求前提下允许建设多层建筑。设施农业的各项建设内容应符合住房和城乡建设、生态环境等相关行业管理部门的规定和标准”。</w:t>
            </w:r>
            <w:r>
              <w:rPr>
                <w:rFonts w:hint="default" w:ascii="Times New Roman" w:hAnsi="Times New Roman" w:eastAsia="宋体" w:cs="Times New Roman"/>
                <w:color w:val="000000" w:themeColor="text1"/>
                <w14:textFill>
                  <w14:solidFill>
                    <w14:schemeClr w14:val="tx1"/>
                  </w14:solidFill>
                </w14:textFill>
              </w:rPr>
              <w:t>规划占地面积约1486.8亩</w:t>
            </w: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根据附件5，项目设施用地审批面积为169.69亩，占比为11.41%，未超过总规模的15%</w:t>
            </w:r>
            <w:r>
              <w:rPr>
                <w:rFonts w:hint="default" w:ascii="Times New Roman" w:hAnsi="Times New Roman" w:eastAsia="宋体" w:cs="Times New Roman"/>
                <w:color w:val="000000" w:themeColor="text1"/>
                <w:lang w:val="en-US" w:eastAsia="zh-CN"/>
                <w14:textFill>
                  <w14:solidFill>
                    <w14:schemeClr w14:val="tx1"/>
                  </w14:solidFill>
                </w14:textFill>
              </w:rPr>
              <w:t>。</w:t>
            </w:r>
          </w:p>
          <w:p w14:paraId="1D789E44">
            <w:pPr>
              <w:keepNext w:val="0"/>
              <w:keepLines w:val="0"/>
              <w:pageBreakBefore w:val="0"/>
              <w:widowControl/>
              <w:tabs>
                <w:tab w:val="left" w:pos="4830"/>
              </w:tabs>
              <w:kinsoku/>
              <w:wordWrap/>
              <w:overflowPunct/>
              <w:topLinePunct w:val="0"/>
              <w:autoSpaceDE/>
              <w:autoSpaceDN/>
              <w:bidi w:val="0"/>
              <w:adjustRightInd w:val="0"/>
              <w:snapToGrid w:val="0"/>
              <w:spacing w:line="360" w:lineRule="auto"/>
              <w:ind w:left="0" w:leftChars="0" w:firstLine="480" w:firstLineChars="200"/>
              <w:jc w:val="both"/>
              <w:textAlignment w:val="auto"/>
              <w:rPr>
                <w:rFonts w:hint="eastAsia" w:ascii="Times New Roman" w:hAnsi="Times New Roman" w:cs="Times New Roman"/>
                <w:b w:val="0"/>
                <w:bCs w:val="0"/>
                <w:color w:val="000000" w:themeColor="text1"/>
                <w:kern w:val="0"/>
                <w:sz w:val="24"/>
                <w:lang w:val="en-US" w:eastAsia="zh-CN"/>
                <w14:textFill>
                  <w14:solidFill>
                    <w14:schemeClr w14:val="tx1"/>
                  </w14:solidFill>
                </w14:textFill>
              </w:rPr>
            </w:pPr>
            <w:r>
              <w:rPr>
                <w:rFonts w:hint="eastAsia" w:ascii="Times New Roman" w:hAnsi="Times New Roman" w:cs="Times New Roman"/>
                <w:b w:val="0"/>
                <w:bCs w:val="0"/>
                <w:color w:val="000000" w:themeColor="text1"/>
                <w:kern w:val="0"/>
                <w:sz w:val="24"/>
                <w:lang w:val="en-US" w:eastAsia="zh-CN"/>
                <w14:textFill>
                  <w14:solidFill>
                    <w14:schemeClr w14:val="tx1"/>
                  </w14:solidFill>
                </w14:textFill>
              </w:rPr>
              <w:t>“四、加强设施农业用地使用管理”中的“（十）强化设施农业用地管理。坚持农地农用，必须按备案用途使用土地。禁止将同期建设、紧密关联的项目通过分次申报等方式变相扩大辅助设施用地规模；严禁以发展设施农业名义违法建设“田园综合体”等非农设施，以及擅自或者变相进行非农建设和采矿堆矿采砂采石活动；严禁使用设施农业用地发展二、三产业；严禁为违法占地行为违规办理设施农业用地备案。”项目设施用地已取得各部门的同意（详见附件5），根据项目设计，项目辅助设施用地规划为163.96亩，未超过已审批面积。</w:t>
            </w:r>
          </w:p>
          <w:p w14:paraId="5F8D62E4">
            <w:pPr>
              <w:keepNext w:val="0"/>
              <w:keepLines w:val="0"/>
              <w:pageBreakBefore w:val="0"/>
              <w:widowControl/>
              <w:tabs>
                <w:tab w:val="left" w:pos="4830"/>
              </w:tabs>
              <w:kinsoku/>
              <w:wordWrap/>
              <w:overflowPunct/>
              <w:topLinePunct w:val="0"/>
              <w:autoSpaceDE/>
              <w:autoSpaceDN/>
              <w:bidi w:val="0"/>
              <w:adjustRightInd w:val="0"/>
              <w:snapToGrid w:val="0"/>
              <w:spacing w:line="360" w:lineRule="auto"/>
              <w:ind w:left="0" w:leftChars="0" w:firstLine="482" w:firstLineChars="200"/>
              <w:jc w:val="both"/>
              <w:textAlignment w:val="auto"/>
              <w:rPr>
                <w:rFonts w:hint="default" w:ascii="Times New Roman" w:hAnsi="Times New Roman" w:eastAsia="宋体" w:cs="Times New Roman"/>
                <w:b/>
                <w:bCs/>
                <w:color w:val="000000" w:themeColor="text1"/>
                <w:kern w:val="0"/>
                <w:sz w:val="24"/>
                <w:lang w:val="en-US" w:eastAsia="zh-CN"/>
                <w14:textFill>
                  <w14:solidFill>
                    <w14:schemeClr w14:val="tx1"/>
                  </w14:solidFill>
                </w14:textFill>
              </w:rPr>
            </w:pPr>
            <w:r>
              <w:rPr>
                <w:rFonts w:hint="eastAsia" w:ascii="Times New Roman" w:hAnsi="Times New Roman" w:cs="Times New Roman"/>
                <w:b/>
                <w:bCs/>
                <w:color w:val="000000" w:themeColor="text1"/>
                <w:kern w:val="0"/>
                <w:sz w:val="24"/>
                <w:lang w:val="en-US" w:eastAsia="zh-CN"/>
                <w14:textFill>
                  <w14:solidFill>
                    <w14:schemeClr w14:val="tx1"/>
                  </w14:solidFill>
                </w14:textFill>
              </w:rPr>
              <w:t>20</w:t>
            </w:r>
            <w:r>
              <w:rPr>
                <w:rFonts w:hint="default" w:ascii="Times New Roman" w:hAnsi="Times New Roman" w:eastAsia="宋体" w:cs="Times New Roman"/>
                <w:b/>
                <w:bCs/>
                <w:color w:val="000000" w:themeColor="text1"/>
                <w:kern w:val="0"/>
                <w:sz w:val="24"/>
                <w:lang w:val="en-US" w:eastAsia="zh-CN"/>
                <w14:textFill>
                  <w14:solidFill>
                    <w14:schemeClr w14:val="tx1"/>
                  </w14:solidFill>
                </w14:textFill>
              </w:rPr>
              <w:t>、选址合理性分析</w:t>
            </w:r>
          </w:p>
          <w:p w14:paraId="6DE3226C">
            <w:pPr>
              <w:keepNext w:val="0"/>
              <w:keepLines w:val="0"/>
              <w:pageBreakBefore w:val="0"/>
              <w:widowControl w:val="0"/>
              <w:kinsoku/>
              <w:wordWrap/>
              <w:overflowPunct/>
              <w:topLinePunct w:val="0"/>
              <w:autoSpaceDE w:val="0"/>
              <w:autoSpaceDN w:val="0"/>
              <w:bidi w:val="0"/>
              <w:adjustRightInd w:val="0"/>
              <w:snapToGrid w:val="0"/>
              <w:spacing w:line="360" w:lineRule="auto"/>
              <w:ind w:firstLine="482" w:firstLineChars="200"/>
              <w:jc w:val="both"/>
              <w:textAlignment w:val="auto"/>
              <w:rPr>
                <w:rFonts w:hint="eastAsia" w:ascii="Times New Roman" w:hAnsi="Times New Roman" w:cs="Times New Roman"/>
                <w:b/>
                <w:bCs/>
                <w:color w:val="000000" w:themeColor="text1"/>
                <w:kern w:val="0"/>
                <w:sz w:val="24"/>
                <w:szCs w:val="24"/>
                <w:lang w:eastAsia="zh-CN"/>
                <w14:textFill>
                  <w14:solidFill>
                    <w14:schemeClr w14:val="tx1"/>
                  </w14:solidFill>
                </w14:textFill>
              </w:rPr>
            </w:pPr>
            <w:r>
              <w:rPr>
                <w:rFonts w:hint="eastAsia" w:ascii="Times New Roman" w:hAnsi="Times New Roman" w:cs="Times New Roman"/>
                <w:b/>
                <w:bCs/>
                <w:color w:val="000000" w:themeColor="text1"/>
                <w:kern w:val="0"/>
                <w:sz w:val="24"/>
                <w:szCs w:val="24"/>
                <w:lang w:eastAsia="zh-CN"/>
                <w14:textFill>
                  <w14:solidFill>
                    <w14:schemeClr w14:val="tx1"/>
                  </w14:solidFill>
                </w14:textFill>
              </w:rPr>
              <w:t>（1）项目环境可行性</w:t>
            </w:r>
          </w:p>
          <w:p w14:paraId="012C7BCB">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000000" w:themeColor="text1"/>
                <w:kern w:val="0"/>
                <w:sz w:val="24"/>
                <w:lang w:eastAsia="zh-CN"/>
                <w14:textFill>
                  <w14:solidFill>
                    <w14:schemeClr w14:val="tx1"/>
                  </w14:solidFill>
                </w14:textFill>
              </w:rPr>
            </w:pPr>
            <w:r>
              <w:rPr>
                <w:rFonts w:hint="default" w:ascii="Times New Roman" w:hAnsi="Times New Roman" w:eastAsia="宋体" w:cs="Times New Roman"/>
                <w:color w:val="000000" w:themeColor="text1"/>
                <w:kern w:val="0"/>
                <w:sz w:val="24"/>
                <w:highlight w:val="none"/>
                <w14:textFill>
                  <w14:solidFill>
                    <w14:schemeClr w14:val="tx1"/>
                  </w14:solidFill>
                </w14:textFill>
              </w:rPr>
              <w:t>建设场地交通便利，供水、供电条件好，本</w:t>
            </w:r>
            <w:r>
              <w:rPr>
                <w:rFonts w:hint="default" w:ascii="Times New Roman" w:hAnsi="Times New Roman" w:eastAsia="宋体" w:cs="Times New Roman"/>
                <w:color w:val="000000" w:themeColor="text1"/>
                <w:kern w:val="0"/>
                <w:sz w:val="24"/>
                <w14:textFill>
                  <w14:solidFill>
                    <w14:schemeClr w14:val="tx1"/>
                  </w14:solidFill>
                </w14:textFill>
              </w:rPr>
              <w:t>项目</w:t>
            </w:r>
            <w:r>
              <w:rPr>
                <w:rFonts w:hint="default" w:ascii="Times New Roman" w:hAnsi="Times New Roman" w:eastAsia="宋体" w:cs="Times New Roman"/>
                <w:color w:val="000000" w:themeColor="text1"/>
                <w:kern w:val="0"/>
                <w:sz w:val="24"/>
                <w:lang w:val="en-US" w:eastAsia="zh-CN"/>
                <w14:textFill>
                  <w14:solidFill>
                    <w14:schemeClr w14:val="tx1"/>
                  </w14:solidFill>
                </w14:textFill>
              </w:rPr>
              <w:t>共有两个片区</w:t>
            </w:r>
            <w:r>
              <w:rPr>
                <w:rFonts w:hint="default" w:ascii="Times New Roman" w:hAnsi="Times New Roman" w:eastAsia="宋体" w:cs="Times New Roman"/>
                <w:color w:val="000000" w:themeColor="text1"/>
                <w:kern w:val="0"/>
                <w:sz w:val="24"/>
                <w14:textFill>
                  <w14:solidFill>
                    <w14:schemeClr w14:val="tx1"/>
                  </w14:solidFill>
                </w14:textFill>
              </w:rPr>
              <w:t>，</w:t>
            </w:r>
            <w:r>
              <w:rPr>
                <w:rFonts w:hint="default" w:ascii="Times New Roman" w:hAnsi="Times New Roman" w:eastAsia="宋体" w:cs="Times New Roman"/>
                <w:color w:val="000000" w:themeColor="text1"/>
                <w:kern w:val="0"/>
                <w:sz w:val="24"/>
                <w:lang w:val="en-US" w:eastAsia="zh-CN"/>
                <w14:textFill>
                  <w14:solidFill>
                    <w14:schemeClr w14:val="tx1"/>
                  </w14:solidFill>
                </w14:textFill>
              </w:rPr>
              <w:t>乡道交错纵横，交通便利，</w:t>
            </w:r>
            <w:r>
              <w:rPr>
                <w:rFonts w:hint="default" w:ascii="Times New Roman" w:hAnsi="Times New Roman" w:eastAsia="宋体" w:cs="Times New Roman"/>
                <w:color w:val="000000" w:themeColor="text1"/>
                <w:kern w:val="0"/>
                <w:sz w:val="24"/>
                <w14:textFill>
                  <w14:solidFill>
                    <w14:schemeClr w14:val="tx1"/>
                  </w14:solidFill>
                </w14:textFill>
              </w:rPr>
              <w:t>便于</w:t>
            </w:r>
            <w:r>
              <w:rPr>
                <w:rFonts w:hint="default" w:ascii="Times New Roman" w:hAnsi="Times New Roman" w:eastAsia="宋体" w:cs="Times New Roman"/>
                <w:color w:val="000000" w:themeColor="text1"/>
                <w:kern w:val="0"/>
                <w:sz w:val="24"/>
                <w:lang w:val="en-US" w:eastAsia="zh-CN"/>
                <w14:textFill>
                  <w14:solidFill>
                    <w14:schemeClr w14:val="tx1"/>
                  </w14:solidFill>
                </w14:textFill>
              </w:rPr>
              <w:t>种植苗木</w:t>
            </w:r>
            <w:r>
              <w:rPr>
                <w:rFonts w:hint="default" w:ascii="Times New Roman" w:hAnsi="Times New Roman" w:eastAsia="宋体" w:cs="Times New Roman"/>
                <w:color w:val="000000" w:themeColor="text1"/>
                <w:kern w:val="0"/>
                <w:sz w:val="24"/>
                <w:lang w:eastAsia="zh-CN"/>
                <w14:textFill>
                  <w14:solidFill>
                    <w14:schemeClr w14:val="tx1"/>
                  </w14:solidFill>
                </w14:textFill>
              </w:rPr>
              <w:t>及产品</w:t>
            </w:r>
            <w:r>
              <w:rPr>
                <w:rFonts w:hint="default" w:ascii="Times New Roman" w:hAnsi="Times New Roman" w:eastAsia="宋体" w:cs="Times New Roman"/>
                <w:color w:val="000000" w:themeColor="text1"/>
                <w:kern w:val="0"/>
                <w:sz w:val="24"/>
                <w14:textFill>
                  <w14:solidFill>
                    <w14:schemeClr w14:val="tx1"/>
                  </w14:solidFill>
                </w14:textFill>
              </w:rPr>
              <w:t>的运输</w:t>
            </w:r>
            <w:r>
              <w:rPr>
                <w:rFonts w:hint="default" w:ascii="Times New Roman" w:hAnsi="Times New Roman" w:eastAsia="宋体" w:cs="Times New Roman"/>
                <w:color w:val="000000" w:themeColor="text1"/>
                <w:kern w:val="0"/>
                <w:sz w:val="24"/>
                <w:lang w:eastAsia="zh-CN"/>
                <w14:textFill>
                  <w14:solidFill>
                    <w14:schemeClr w14:val="tx1"/>
                  </w14:solidFill>
                </w14:textFill>
              </w:rPr>
              <w:t>；</w:t>
            </w:r>
            <w:r>
              <w:rPr>
                <w:rFonts w:hint="eastAsia" w:ascii="Times New Roman" w:hAnsi="Times New Roman" w:cs="Times New Roman"/>
                <w:color w:val="000000" w:themeColor="text1"/>
                <w:kern w:val="0"/>
                <w:sz w:val="24"/>
                <w:lang w:val="en-US" w:eastAsia="zh-CN"/>
                <w14:textFill>
                  <w14:solidFill>
                    <w14:schemeClr w14:val="tx1"/>
                  </w14:solidFill>
                </w14:textFill>
              </w:rPr>
              <w:t>项目</w:t>
            </w:r>
            <w:r>
              <w:rPr>
                <w:rFonts w:hint="default" w:ascii="Times New Roman" w:hAnsi="Times New Roman" w:eastAsia="宋体" w:cs="Times New Roman"/>
                <w:color w:val="000000" w:themeColor="text1"/>
                <w:sz w:val="24"/>
                <w:szCs w:val="24"/>
                <w14:textFill>
                  <w14:solidFill>
                    <w14:schemeClr w14:val="tx1"/>
                  </w14:solidFill>
                </w14:textFill>
              </w:rPr>
              <w:t>所处区域环境空气质量功能区划类别为二类功能区</w:t>
            </w:r>
            <w:r>
              <w:rPr>
                <w:rFonts w:hint="eastAsia"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kern w:val="0"/>
                <w:sz w:val="24"/>
                <w:lang w:val="en-US" w:eastAsia="zh-CN"/>
                <w14:textFill>
                  <w14:solidFill>
                    <w14:schemeClr w14:val="tx1"/>
                  </w14:solidFill>
                </w14:textFill>
              </w:rPr>
              <w:t>项目施工期和运营期</w:t>
            </w:r>
            <w:r>
              <w:rPr>
                <w:rFonts w:hint="default" w:ascii="Times New Roman" w:hAnsi="Times New Roman" w:eastAsia="宋体" w:cs="Times New Roman"/>
                <w:color w:val="000000" w:themeColor="text1"/>
                <w:kern w:val="0"/>
                <w:sz w:val="24"/>
                <w14:textFill>
                  <w14:solidFill>
                    <w14:schemeClr w14:val="tx1"/>
                  </w14:solidFill>
                </w14:textFill>
              </w:rPr>
              <w:t>在采取相应环保措施后，产生的废气</w:t>
            </w:r>
            <w:r>
              <w:rPr>
                <w:rFonts w:hint="default" w:ascii="Times New Roman" w:hAnsi="Times New Roman" w:eastAsia="宋体" w:cs="Times New Roman"/>
                <w:color w:val="000000" w:themeColor="text1"/>
                <w:kern w:val="0"/>
                <w:sz w:val="24"/>
                <w:lang w:val="en-US" w:eastAsia="zh-CN"/>
                <w14:textFill>
                  <w14:solidFill>
                    <w14:schemeClr w14:val="tx1"/>
                  </w14:solidFill>
                </w14:textFill>
              </w:rPr>
              <w:t>达标排放，</w:t>
            </w:r>
            <w:r>
              <w:rPr>
                <w:rFonts w:hint="default" w:ascii="Times New Roman" w:hAnsi="Times New Roman" w:eastAsia="宋体" w:cs="Times New Roman"/>
                <w:color w:val="000000" w:themeColor="text1"/>
                <w:kern w:val="0"/>
                <w:sz w:val="24"/>
                <w14:textFill>
                  <w14:solidFill>
                    <w14:schemeClr w14:val="tx1"/>
                  </w14:solidFill>
                </w14:textFill>
              </w:rPr>
              <w:t>对周围环境影响较小</w:t>
            </w:r>
            <w:r>
              <w:rPr>
                <w:rFonts w:hint="eastAsia" w:ascii="Times New Roman" w:hAnsi="Times New Roman" w:cs="Times New Roman"/>
                <w:color w:val="000000" w:themeColor="text1"/>
                <w:kern w:val="0"/>
                <w:sz w:val="24"/>
                <w:lang w:eastAsia="zh-CN"/>
                <w14:textFill>
                  <w14:solidFill>
                    <w14:schemeClr w14:val="tx1"/>
                  </w14:solidFill>
                </w14:textFill>
              </w:rPr>
              <w:t>，项目的建设不会对当地环境空气质量类别造成改变</w:t>
            </w:r>
            <w:r>
              <w:rPr>
                <w:rFonts w:hint="default" w:ascii="Times New Roman" w:hAnsi="Times New Roman" w:cs="Times New Roman"/>
                <w:color w:val="000000" w:themeColor="text1"/>
                <w:kern w:val="0"/>
                <w:sz w:val="24"/>
                <w:lang w:eastAsia="zh-CN"/>
                <w14:textFill>
                  <w14:solidFill>
                    <w14:schemeClr w14:val="tx1"/>
                  </w14:solidFill>
                </w14:textFill>
              </w:rPr>
              <w:t>；</w:t>
            </w:r>
            <w:r>
              <w:rPr>
                <w:rFonts w:hint="default"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项目</w:t>
            </w:r>
            <w:r>
              <w:rPr>
                <w:rFonts w:hint="default" w:ascii="Times New Roman" w:hAnsi="Times New Roman" w:cs="Times New Roman"/>
                <w:b w:val="0"/>
                <w:bCs/>
                <w:color w:val="000000" w:themeColor="text1"/>
                <w:sz w:val="24"/>
                <w:szCs w:val="24"/>
                <w:highlight w:val="none"/>
                <w:lang w:val="en-US" w:eastAsia="zh-CN"/>
                <w14:textFill>
                  <w14:solidFill>
                    <w14:schemeClr w14:val="tx1"/>
                  </w14:solidFill>
                </w14:textFill>
              </w:rPr>
              <w:t>运营期</w:t>
            </w:r>
            <w:r>
              <w:rPr>
                <w:rFonts w:hint="default"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生活污水</w:t>
            </w:r>
            <w:r>
              <w:rPr>
                <w:rFonts w:hint="default" w:ascii="Times New Roman" w:hAnsi="Times New Roman" w:cs="Times New Roman"/>
                <w:b w:val="0"/>
                <w:bCs/>
                <w:color w:val="000000" w:themeColor="text1"/>
                <w:sz w:val="24"/>
                <w:szCs w:val="24"/>
                <w:highlight w:val="none"/>
                <w:lang w:val="en-US" w:eastAsia="zh-CN"/>
                <w14:textFill>
                  <w14:solidFill>
                    <w14:schemeClr w14:val="tx1"/>
                  </w14:solidFill>
                </w14:textFill>
              </w:rPr>
              <w:t>经隔油池，化粪池预处理后排入一体化污水处理设备处理，处理达到《农田灌溉水质标准》（GB 5084—2021）中的“旱地作物”标准后的废水排入水池，回用于项目区内灌溉，</w:t>
            </w:r>
            <w:r>
              <w:rPr>
                <w:rFonts w:hint="default"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不外排</w:t>
            </w:r>
            <w:r>
              <w:rPr>
                <w:rFonts w:hint="eastAsia" w:ascii="Times New Roman" w:hAnsi="Times New Roman" w:cs="Times New Roman"/>
                <w:b w:val="0"/>
                <w:bCs/>
                <w:color w:val="000000" w:themeColor="text1"/>
                <w:sz w:val="24"/>
                <w:szCs w:val="24"/>
                <w:highlight w:val="none"/>
                <w:lang w:val="en-US" w:eastAsia="zh-CN"/>
                <w14:textFill>
                  <w14:solidFill>
                    <w14:schemeClr w14:val="tx1"/>
                  </w14:solidFill>
                </w14:textFill>
              </w:rPr>
              <w:t>；在种植区和道路区在地势低处设置截排水沟，雨水收集进入水池，沉淀后回用于项目区灌溉</w:t>
            </w:r>
            <w:r>
              <w:rPr>
                <w:rFonts w:hint="default"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kern w:val="0"/>
                <w:sz w:val="24"/>
                <w:highlight w:val="none"/>
                <w14:textFill>
                  <w14:solidFill>
                    <w14:schemeClr w14:val="tx1"/>
                  </w14:solidFill>
                </w14:textFill>
              </w:rPr>
              <w:t>噪声功能区划类别为</w:t>
            </w:r>
            <w:r>
              <w:rPr>
                <w:rFonts w:hint="eastAsia" w:ascii="Times New Roman" w:hAnsi="Times New Roman" w:cs="Times New Roman"/>
                <w:color w:val="000000" w:themeColor="text1"/>
                <w:kern w:val="0"/>
                <w:sz w:val="24"/>
                <w:highlight w:val="none"/>
                <w:lang w:val="en-US" w:eastAsia="zh-CN"/>
                <w14:textFill>
                  <w14:solidFill>
                    <w14:schemeClr w14:val="tx1"/>
                  </w14:solidFill>
                </w14:textFill>
              </w:rPr>
              <w:t>1</w:t>
            </w:r>
            <w:r>
              <w:rPr>
                <w:rFonts w:hint="default" w:ascii="Times New Roman" w:hAnsi="Times New Roman" w:eastAsia="宋体" w:cs="Times New Roman"/>
                <w:color w:val="000000" w:themeColor="text1"/>
                <w:kern w:val="0"/>
                <w:sz w:val="24"/>
                <w:highlight w:val="none"/>
                <w14:textFill>
                  <w14:solidFill>
                    <w14:schemeClr w14:val="tx1"/>
                  </w14:solidFill>
                </w14:textFill>
              </w:rPr>
              <w:t>类功能区</w:t>
            </w:r>
            <w:r>
              <w:rPr>
                <w:rFonts w:hint="eastAsia" w:ascii="Times New Roman" w:hAnsi="Times New Roman" w:cs="Times New Roman"/>
                <w:color w:val="000000" w:themeColor="text1"/>
                <w:kern w:val="0"/>
                <w:sz w:val="24"/>
                <w:highlight w:val="none"/>
                <w:lang w:eastAsia="zh-CN"/>
                <w14:textFill>
                  <w14:solidFill>
                    <w14:schemeClr w14:val="tx1"/>
                  </w14:solidFill>
                </w14:textFill>
              </w:rPr>
              <w:t>，采取基础减振</w:t>
            </w:r>
            <w:r>
              <w:rPr>
                <w:rFonts w:hint="eastAsia" w:ascii="Times New Roman" w:hAnsi="Times New Roman" w:cs="Times New Roman"/>
                <w:color w:val="000000" w:themeColor="text1"/>
                <w:sz w:val="24"/>
                <w:szCs w:val="24"/>
                <w:lang w:val="en-US" w:eastAsia="zh-CN"/>
                <w14:textFill>
                  <w14:solidFill>
                    <w14:schemeClr w14:val="tx1"/>
                  </w14:solidFill>
                </w14:textFill>
              </w:rPr>
              <w:t>及距离衰减等措施后，根据</w:t>
            </w:r>
            <w:r>
              <w:rPr>
                <w:rFonts w:hint="default" w:ascii="Times New Roman" w:hAnsi="Times New Roman" w:eastAsia="宋体" w:cs="Times New Roman"/>
                <w:color w:val="000000" w:themeColor="text1"/>
                <w:kern w:val="0"/>
                <w:sz w:val="24"/>
                <w14:textFill>
                  <w14:solidFill>
                    <w14:schemeClr w14:val="tx1"/>
                  </w14:solidFill>
                </w14:textFill>
              </w:rPr>
              <w:t>噪声厂界可达标排放</w:t>
            </w:r>
            <w:r>
              <w:rPr>
                <w:rFonts w:hint="eastAsia" w:ascii="Times New Roman" w:hAnsi="Times New Roman" w:cs="Times New Roman"/>
                <w:color w:val="000000" w:themeColor="text1"/>
                <w:kern w:val="0"/>
                <w:sz w:val="24"/>
                <w:lang w:eastAsia="zh-CN"/>
                <w14:textFill>
                  <w14:solidFill>
                    <w14:schemeClr w14:val="tx1"/>
                  </w14:solidFill>
                </w14:textFill>
              </w:rPr>
              <w:t>，</w:t>
            </w:r>
            <w:r>
              <w:rPr>
                <w:rFonts w:hint="eastAsia" w:ascii="Times New Roman" w:hAnsi="Times New Roman" w:cs="Times New Roman"/>
                <w:color w:val="000000" w:themeColor="text1"/>
                <w:kern w:val="0"/>
                <w:sz w:val="24"/>
                <w:lang w:val="en-US" w:eastAsia="zh-CN"/>
                <w14:textFill>
                  <w14:solidFill>
                    <w14:schemeClr w14:val="tx1"/>
                  </w14:solidFill>
                </w14:textFill>
              </w:rPr>
              <w:t>对周边环境影响较小</w:t>
            </w:r>
            <w:r>
              <w:rPr>
                <w:rFonts w:hint="default" w:ascii="Times New Roman" w:hAnsi="Times New Roman" w:eastAsia="宋体" w:cs="Times New Roman"/>
                <w:color w:val="000000" w:themeColor="text1"/>
                <w:kern w:val="0"/>
                <w:sz w:val="24"/>
                <w14:textFill>
                  <w14:solidFill>
                    <w14:schemeClr w14:val="tx1"/>
                  </w14:solidFill>
                </w14:textFill>
              </w:rPr>
              <w:t>；固体废物均能得到合理处置</w:t>
            </w:r>
            <w:r>
              <w:rPr>
                <w:rFonts w:hint="default" w:ascii="Times New Roman" w:hAnsi="Times New Roman" w:eastAsia="宋体" w:cs="Times New Roman"/>
                <w:color w:val="000000" w:themeColor="text1"/>
                <w:kern w:val="0"/>
                <w:sz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项目</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采取可行性的治理工艺保证</w:t>
            </w:r>
            <w:r>
              <w:rPr>
                <w:rFonts w:hint="default" w:ascii="Times New Roman" w:hAnsi="Times New Roman" w:eastAsia="宋体" w:cs="Times New Roman"/>
                <w:color w:val="000000" w:themeColor="text1"/>
                <w:sz w:val="24"/>
                <w:szCs w:val="24"/>
                <w14:textFill>
                  <w14:solidFill>
                    <w14:schemeClr w14:val="tx1"/>
                  </w14:solidFill>
                </w14:textFill>
              </w:rPr>
              <w:t>各项</w:t>
            </w:r>
            <w:r>
              <w:rPr>
                <w:rFonts w:hint="eastAsia" w:ascii="Times New Roman" w:hAnsi="Times New Roman" w:cs="Times New Roman"/>
                <w:color w:val="000000" w:themeColor="text1"/>
                <w:sz w:val="24"/>
                <w:szCs w:val="24"/>
                <w:lang w:eastAsia="zh-CN"/>
                <w14:textFill>
                  <w14:solidFill>
                    <w14:schemeClr w14:val="tx1"/>
                  </w14:solidFill>
                </w14:textFill>
              </w:rPr>
              <w:t>污染物</w:t>
            </w:r>
            <w:r>
              <w:rPr>
                <w:rFonts w:hint="default" w:ascii="Times New Roman" w:hAnsi="Times New Roman" w:eastAsia="宋体" w:cs="Times New Roman"/>
                <w:color w:val="000000" w:themeColor="text1"/>
                <w:sz w:val="24"/>
                <w:szCs w:val="24"/>
                <w14:textFill>
                  <w14:solidFill>
                    <w14:schemeClr w14:val="tx1"/>
                  </w14:solidFill>
                </w14:textFill>
              </w:rPr>
              <w:t>做到达标排放，则项目对周边环境的影响较小</w:t>
            </w:r>
          </w:p>
          <w:p w14:paraId="34C23EB6">
            <w:pPr>
              <w:keepNext w:val="0"/>
              <w:keepLines w:val="0"/>
              <w:pageBreakBefore w:val="0"/>
              <w:widowControl w:val="0"/>
              <w:kinsoku/>
              <w:wordWrap/>
              <w:overflowPunct/>
              <w:topLinePunct w:val="0"/>
              <w:autoSpaceDE w:val="0"/>
              <w:autoSpaceDN w:val="0"/>
              <w:bidi w:val="0"/>
              <w:adjustRightInd w:val="0"/>
              <w:snapToGrid w:val="0"/>
              <w:spacing w:line="360" w:lineRule="auto"/>
              <w:ind w:firstLine="482" w:firstLineChars="200"/>
              <w:jc w:val="both"/>
              <w:textAlignment w:val="auto"/>
              <w:rPr>
                <w:rFonts w:hint="eastAsia" w:ascii="Times New Roman" w:hAnsi="Times New Roman" w:eastAsia="宋体" w:cs="Times New Roman"/>
                <w:b/>
                <w:bCs/>
                <w:color w:val="000000" w:themeColor="text1"/>
                <w:kern w:val="0"/>
                <w:sz w:val="24"/>
                <w:szCs w:val="24"/>
                <w:lang w:eastAsia="zh-CN"/>
                <w14:textFill>
                  <w14:solidFill>
                    <w14:schemeClr w14:val="tx1"/>
                  </w14:solidFill>
                </w14:textFill>
              </w:rPr>
            </w:pPr>
            <w:r>
              <w:rPr>
                <w:rFonts w:hint="eastAsia" w:ascii="Times New Roman" w:hAnsi="Times New Roman" w:cs="Times New Roman"/>
                <w:b/>
                <w:bCs/>
                <w:color w:val="000000" w:themeColor="text1"/>
                <w:kern w:val="0"/>
                <w:sz w:val="24"/>
                <w:szCs w:val="24"/>
                <w:lang w:eastAsia="zh-CN"/>
                <w14:textFill>
                  <w14:solidFill>
                    <w14:schemeClr w14:val="tx1"/>
                  </w14:solidFill>
                </w14:textFill>
              </w:rPr>
              <w:t>（</w:t>
            </w:r>
            <w:r>
              <w:rPr>
                <w:rFonts w:hint="eastAsia" w:ascii="Times New Roman" w:hAnsi="Times New Roman" w:cs="Times New Roman"/>
                <w:b/>
                <w:bCs/>
                <w:color w:val="000000" w:themeColor="text1"/>
                <w:kern w:val="0"/>
                <w:sz w:val="24"/>
                <w:szCs w:val="24"/>
                <w:lang w:val="en-US" w:eastAsia="zh-CN"/>
                <w14:textFill>
                  <w14:solidFill>
                    <w14:schemeClr w14:val="tx1"/>
                  </w14:solidFill>
                </w14:textFill>
              </w:rPr>
              <w:t>2</w:t>
            </w:r>
            <w:r>
              <w:rPr>
                <w:rFonts w:hint="eastAsia" w:ascii="Times New Roman" w:hAnsi="Times New Roman" w:cs="Times New Roman"/>
                <w:b/>
                <w:bCs/>
                <w:color w:val="000000" w:themeColor="text1"/>
                <w:kern w:val="0"/>
                <w:sz w:val="24"/>
                <w:szCs w:val="24"/>
                <w:lang w:eastAsia="zh-CN"/>
                <w14:textFill>
                  <w14:solidFill>
                    <w14:schemeClr w14:val="tx1"/>
                  </w14:solidFill>
                </w14:textFill>
              </w:rPr>
              <w:t>）选址敏感性分析</w:t>
            </w:r>
          </w:p>
          <w:p w14:paraId="7B1A9BBF">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000000" w:themeColor="text1"/>
                <w:kern w:val="0"/>
                <w:sz w:val="24"/>
                <w:highlight w:val="none"/>
                <w:lang w:eastAsia="zh-CN"/>
                <w14:textFill>
                  <w14:solidFill>
                    <w14:schemeClr w14:val="tx1"/>
                  </w14:solidFill>
                </w14:textFill>
              </w:rPr>
            </w:pPr>
            <w:r>
              <w:rPr>
                <w:rFonts w:hint="default" w:ascii="Times New Roman" w:hAnsi="Times New Roman" w:eastAsia="宋体" w:cs="Times New Roman"/>
                <w:color w:val="000000" w:themeColor="text1"/>
                <w:kern w:val="0"/>
                <w:sz w:val="24"/>
                <w:szCs w:val="24"/>
                <w14:textFill>
                  <w14:solidFill>
                    <w14:schemeClr w14:val="tx1"/>
                  </w14:solidFill>
                </w14:textFill>
              </w:rPr>
              <w:t>项目</w:t>
            </w: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位于</w:t>
            </w:r>
            <w:r>
              <w:rPr>
                <w:rFonts w:hint="default" w:ascii="Times New Roman" w:hAnsi="Times New Roman" w:eastAsia="宋体" w:cs="Times New Roman"/>
                <w:color w:val="000000" w:themeColor="text1"/>
                <w:kern w:val="0"/>
                <w:sz w:val="24"/>
                <w:lang w:eastAsia="zh-CN"/>
                <w14:textFill>
                  <w14:solidFill>
                    <w14:schemeClr w14:val="tx1"/>
                  </w14:solidFill>
                </w14:textFill>
              </w:rPr>
              <w:t>峨山县塔甸镇大西村委会大西山</w:t>
            </w:r>
            <w:r>
              <w:rPr>
                <w:rFonts w:hint="default" w:ascii="Times New Roman" w:hAnsi="Times New Roman" w:eastAsia="宋体" w:cs="Times New Roman"/>
                <w:bCs/>
                <w:color w:val="000000" w:themeColor="text1"/>
                <w:sz w:val="24"/>
                <w:highlight w:val="none"/>
                <w:lang w:val="en-US" w:eastAsia="zh-CN"/>
                <w14:textFill>
                  <w14:solidFill>
                    <w14:schemeClr w14:val="tx1"/>
                  </w14:solidFill>
                </w14:textFill>
              </w:rPr>
              <w:t>，本项目实施区范围内无自然保护区、风景名胜区、文物古迹等需要特殊保护的环境敏感对象。</w:t>
            </w:r>
            <w:r>
              <w:rPr>
                <w:rFonts w:hint="default" w:ascii="Times New Roman" w:hAnsi="Times New Roman" w:eastAsia="宋体" w:cs="Times New Roman"/>
                <w:color w:val="000000" w:themeColor="text1"/>
                <w:kern w:val="0"/>
                <w:sz w:val="24"/>
                <w:szCs w:val="24"/>
                <w:highlight w:val="none"/>
                <w:lang w:eastAsia="zh-CN"/>
                <w14:textFill>
                  <w14:solidFill>
                    <w14:schemeClr w14:val="tx1"/>
                  </w14:solidFill>
                </w14:textFill>
              </w:rPr>
              <w:t>根据玉溪市</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峨山县</w:t>
            </w:r>
            <w:r>
              <w:rPr>
                <w:rFonts w:hint="default" w:ascii="Times New Roman" w:hAnsi="Times New Roman" w:eastAsia="宋体" w:cs="Times New Roman"/>
                <w:color w:val="000000" w:themeColor="text1"/>
                <w:kern w:val="0"/>
                <w:sz w:val="24"/>
                <w:szCs w:val="24"/>
                <w:highlight w:val="none"/>
                <w:lang w:eastAsia="zh-CN"/>
                <w14:textFill>
                  <w14:solidFill>
                    <w14:schemeClr w14:val="tx1"/>
                  </w14:solidFill>
                </w14:textFill>
              </w:rPr>
              <w:t>自然资源局出具的</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项目区“三区三线”查询结果，</w:t>
            </w:r>
            <w:r>
              <w:rPr>
                <w:rFonts w:hint="default" w:ascii="Times New Roman" w:hAnsi="Times New Roman" w:eastAsia="宋体" w:cs="Times New Roman"/>
                <w:color w:val="000000" w:themeColor="text1"/>
                <w:kern w:val="0"/>
                <w:sz w:val="24"/>
                <w:highlight w:val="none"/>
                <w:lang w:eastAsia="zh-CN"/>
                <w14:textFill>
                  <w14:solidFill>
                    <w14:schemeClr w14:val="tx1"/>
                  </w14:solidFill>
                </w14:textFill>
              </w:rPr>
              <w:t>项目选址</w:t>
            </w:r>
            <w:r>
              <w:rPr>
                <w:rFonts w:hint="default" w:ascii="Times New Roman" w:hAnsi="Times New Roman" w:eastAsia="宋体" w:cs="Times New Roman"/>
                <w:color w:val="000000" w:themeColor="text1"/>
                <w:kern w:val="0"/>
                <w:sz w:val="24"/>
                <w:highlight w:val="none"/>
                <w14:textFill>
                  <w14:solidFill>
                    <w14:schemeClr w14:val="tx1"/>
                  </w14:solidFill>
                </w14:textFill>
              </w:rPr>
              <w:t>不占用基本农田，</w:t>
            </w:r>
            <w:r>
              <w:rPr>
                <w:rFonts w:hint="default" w:ascii="Times New Roman" w:hAnsi="Times New Roman" w:eastAsia="宋体" w:cs="Times New Roman"/>
                <w:color w:val="000000" w:themeColor="text1"/>
                <w:kern w:val="0"/>
                <w:sz w:val="24"/>
                <w:highlight w:val="none"/>
                <w:lang w:eastAsia="zh-CN"/>
                <w14:textFill>
                  <w14:solidFill>
                    <w14:schemeClr w14:val="tx1"/>
                  </w14:solidFill>
                </w14:textFill>
              </w:rPr>
              <w:t>未</w:t>
            </w:r>
            <w:r>
              <w:rPr>
                <w:rFonts w:hint="default" w:ascii="Times New Roman" w:hAnsi="Times New Roman" w:eastAsia="宋体" w:cs="Times New Roman"/>
                <w:color w:val="000000" w:themeColor="text1"/>
                <w:kern w:val="0"/>
                <w:sz w:val="24"/>
                <w:highlight w:val="none"/>
                <w:lang w:val="en-US" w:eastAsia="zh-CN"/>
                <w14:textFill>
                  <w14:solidFill>
                    <w14:schemeClr w14:val="tx1"/>
                  </w14:solidFill>
                </w14:textFill>
              </w:rPr>
              <w:t>涉及</w:t>
            </w:r>
            <w:r>
              <w:rPr>
                <w:rFonts w:hint="default" w:ascii="Times New Roman" w:hAnsi="Times New Roman" w:eastAsia="宋体" w:cs="Times New Roman"/>
                <w:color w:val="000000" w:themeColor="text1"/>
                <w:kern w:val="0"/>
                <w:sz w:val="24"/>
                <w:highlight w:val="none"/>
                <w:lang w:eastAsia="zh-CN"/>
                <w14:textFill>
                  <w14:solidFill>
                    <w14:schemeClr w14:val="tx1"/>
                  </w14:solidFill>
                </w14:textFill>
              </w:rPr>
              <w:t>生态红线，项目的选址与《玉溪市国土空间总体规划（2021—2035年）》《峨山县国土空间总体规划（2021-2035）》相符。</w:t>
            </w:r>
          </w:p>
          <w:p w14:paraId="4436E9FF">
            <w:pPr>
              <w:keepNext w:val="0"/>
              <w:keepLines w:val="0"/>
              <w:pageBreakBefore w:val="0"/>
              <w:kinsoku/>
              <w:wordWrap/>
              <w:overflowPunct/>
              <w:topLinePunct w:val="0"/>
              <w:bidi w:val="0"/>
              <w:adjustRightInd w:val="0"/>
              <w:snapToGrid w:val="0"/>
              <w:ind w:firstLine="480" w:firstLineChars="200"/>
              <w:jc w:val="both"/>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eastAsia" w:ascii="Times New Roman" w:hAnsi="Times New Roman" w:cs="Times New Roman"/>
                <w:color w:val="000000" w:themeColor="text1"/>
                <w:sz w:val="24"/>
                <w:highlight w:val="none"/>
                <w:lang w:val="en-US" w:eastAsia="zh-CN"/>
                <w14:textFill>
                  <w14:solidFill>
                    <w14:schemeClr w14:val="tx1"/>
                  </w14:solidFill>
                </w14:textFill>
              </w:rPr>
              <w:t>（3）与大西水库及尼去本水库饮用水水源保护区关系</w:t>
            </w:r>
          </w:p>
          <w:p w14:paraId="614BE181">
            <w:pPr>
              <w:keepNext w:val="0"/>
              <w:keepLines w:val="0"/>
              <w:pageBreakBefore w:val="0"/>
              <w:kinsoku/>
              <w:wordWrap/>
              <w:overflowPunct/>
              <w:topLinePunct w:val="0"/>
              <w:bidi w:val="0"/>
              <w:adjustRightInd w:val="0"/>
              <w:snapToGrid w:val="0"/>
              <w:ind w:firstLine="480" w:firstLineChars="200"/>
              <w:jc w:val="both"/>
              <w:textAlignment w:val="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项目一片区位于峨山县大西水库二级保护区内，距离一级保护区最近距离1.21km，距离一级保护区最近的区块项目规划为羊肚菌种植区。项目二片区位于尼去本水库二级保护区内，距离一级保护区最近距离</w:t>
            </w:r>
            <w:r>
              <w:rPr>
                <w:rFonts w:hint="default" w:ascii="Times New Roman" w:hAnsi="Times New Roman" w:eastAsia="宋体" w:cs="Times New Roman"/>
                <w:color w:val="000000" w:themeColor="text1"/>
                <w:sz w:val="24"/>
                <w:lang w:val="en-US" w:eastAsia="zh-CN"/>
                <w14:textFill>
                  <w14:solidFill>
                    <w14:schemeClr w14:val="tx1"/>
                  </w14:solidFill>
                </w14:textFill>
              </w:rPr>
              <w:t>1.84km</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，距离一级保护区最近的区块项目规划为羊肚菌种植区。</w:t>
            </w:r>
          </w:p>
          <w:p w14:paraId="0B32D45E">
            <w:pPr>
              <w:keepNext w:val="0"/>
              <w:keepLines w:val="0"/>
              <w:pageBreakBefore w:val="0"/>
              <w:kinsoku/>
              <w:wordWrap/>
              <w:overflowPunct/>
              <w:topLinePunct w:val="0"/>
              <w:bidi w:val="0"/>
              <w:adjustRightInd w:val="0"/>
              <w:snapToGrid w:val="0"/>
              <w:ind w:firstLine="480" w:firstLineChars="200"/>
              <w:jc w:val="both"/>
              <w:textAlignment w:val="auto"/>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根据《建设项目环境影响报告表编制技术指南</w:t>
            </w: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生态影响类</w:t>
            </w: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试行</w:t>
            </w: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》地下水等环境要素参照环境影响评价技术导则开展现状调查。根据《环境影响评价技术导则·地下水环境》（HJ610-2016）附录A，本项目地下水环境影响评价项目类别为“A</w:t>
            </w:r>
            <w:r>
              <w:rPr>
                <w:rFonts w:hint="default" w:ascii="Times New Roman" w:hAnsi="Times New Roman" w:eastAsia="宋体" w:cs="Times New Roman"/>
                <w:color w:val="000000" w:themeColor="text1"/>
                <w:sz w:val="24"/>
                <w:szCs w:val="24"/>
                <w14:textFill>
                  <w14:solidFill>
                    <w14:schemeClr w14:val="tx1"/>
                  </w14:solidFill>
                </w14:textFill>
              </w:rPr>
              <w:t>农、林、牧、渔、海洋</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”中的“9、农产品基地”，为</w:t>
            </w: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Ⅳ类</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项目；</w:t>
            </w:r>
            <w:r>
              <w:rPr>
                <w:rFonts w:hint="default" w:ascii="Times New Roman" w:hAnsi="Times New Roman" w:eastAsia="宋体" w:cs="Times New Roman"/>
                <w:color w:val="000000" w:themeColor="text1"/>
                <w:sz w:val="24"/>
                <w:szCs w:val="24"/>
                <w:highlight w:val="none"/>
                <w14:textFill>
                  <w14:solidFill>
                    <w14:schemeClr w14:val="tx1"/>
                  </w14:solidFill>
                </w14:textFill>
              </w:rPr>
              <w:t>本项目地处</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峨山县塔甸镇大西村</w:t>
            </w:r>
            <w:r>
              <w:rPr>
                <w:rFonts w:hint="default" w:ascii="Times New Roman" w:hAnsi="Times New Roman" w:eastAsia="宋体" w:cs="Times New Roman"/>
                <w:color w:val="000000" w:themeColor="text1"/>
                <w:sz w:val="24"/>
                <w:szCs w:val="24"/>
                <w:highlight w:val="none"/>
                <w14:textFill>
                  <w14:solidFill>
                    <w14:schemeClr w14:val="tx1"/>
                  </w14:solidFill>
                </w14:textFill>
              </w:rPr>
              <w:t>，评价范围内</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也</w:t>
            </w:r>
            <w:r>
              <w:rPr>
                <w:rFonts w:hint="default" w:ascii="Times New Roman" w:hAnsi="Times New Roman" w:eastAsia="宋体" w:cs="Times New Roman"/>
                <w:color w:val="000000" w:themeColor="text1"/>
                <w:sz w:val="24"/>
                <w:szCs w:val="24"/>
                <w:highlight w:val="none"/>
                <w14:textFill>
                  <w14:solidFill>
                    <w14:schemeClr w14:val="tx1"/>
                  </w14:solidFill>
                </w14:textFill>
              </w:rPr>
              <w:t>不涉及重要的生态、野生珍稀动植物、自然保护区、文物保护单位、地下热水、矿泉水、温泉等特殊地下水资源的保护区和补给区。</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项目位于</w:t>
            </w:r>
            <w:r>
              <w:rPr>
                <w:rFonts w:hint="default" w:ascii="Times New Roman" w:hAnsi="Times New Roman" w:eastAsia="宋体" w:cs="Times New Roman"/>
                <w:color w:val="000000" w:themeColor="text1"/>
                <w:sz w:val="24"/>
                <w:lang w:val="en-US" w:eastAsia="zh-CN"/>
                <w14:textFill>
                  <w14:solidFill>
                    <w14:schemeClr w14:val="tx1"/>
                  </w14:solidFill>
                </w14:textFill>
              </w:rPr>
              <w:t>大西水库和尼去本水库两处饮用水水源保护区</w:t>
            </w:r>
            <w:r>
              <w:rPr>
                <w:rFonts w:hint="eastAsia" w:ascii="Times New Roman" w:hAnsi="Times New Roman" w:cs="Times New Roman"/>
                <w:color w:val="000000" w:themeColor="text1"/>
                <w:sz w:val="24"/>
                <w:lang w:val="en-US" w:eastAsia="zh-CN"/>
                <w14:textFill>
                  <w14:solidFill>
                    <w14:schemeClr w14:val="tx1"/>
                  </w14:solidFill>
                </w14:textFill>
              </w:rPr>
              <w:t>二级保护区范围内，</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项目区距离水库</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有一定距离</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lang w:val="en-US" w:eastAsia="zh-CN"/>
                <w14:textFill>
                  <w14:solidFill>
                    <w14:schemeClr w14:val="tx1"/>
                  </w14:solidFill>
                </w14:textFill>
              </w:rPr>
              <w:t>属于同一汇水范围。地表汇水范围是依据地形地貌、地质条件以及水系分布等多种因素所确定的区域，在此区域内，降水形成的地表径流会向特定的低点或水系汇聚。</w:t>
            </w:r>
            <w:r>
              <w:rPr>
                <w:rFonts w:hint="eastAsia" w:ascii="Times New Roman" w:hAnsi="Times New Roman" w:cs="Times New Roman"/>
                <w:color w:val="000000" w:themeColor="text1"/>
                <w:sz w:val="24"/>
                <w:lang w:val="en-US" w:eastAsia="zh-CN"/>
                <w14:textFill>
                  <w14:solidFill>
                    <w14:schemeClr w14:val="tx1"/>
                  </w14:solidFill>
                </w14:textFill>
              </w:rPr>
              <w:t>施工期：</w:t>
            </w:r>
            <w:r>
              <w:rPr>
                <w:rFonts w:hint="default" w:ascii="Times New Roman" w:hAnsi="Times New Roman" w:eastAsia="宋体" w:cs="Times New Roman"/>
                <w:color w:val="000000" w:themeColor="text1"/>
                <w:sz w:val="24"/>
                <w:lang w:val="en-US" w:eastAsia="zh-CN"/>
                <w14:textFill>
                  <w14:solidFill>
                    <w14:schemeClr w14:val="tx1"/>
                  </w14:solidFill>
                </w14:textFill>
              </w:rPr>
              <w:t>在种植期规划建设沉淀池及水池的位置建设相应池子，项目区内施工人员日常产生的洗手废水经收集沉淀后，回用于施工区域内降尘。</w:t>
            </w:r>
            <w:r>
              <w:rPr>
                <w:rFonts w:hint="eastAsia" w:ascii="Times New Roman" w:hAnsi="Times New Roman" w:cs="Times New Roman"/>
                <w:b w:val="0"/>
                <w:bCs/>
                <w:color w:val="000000" w:themeColor="text1"/>
                <w:sz w:val="24"/>
                <w:szCs w:val="24"/>
                <w:highlight w:val="none"/>
                <w:lang w:val="en-US" w:eastAsia="zh-CN"/>
                <w14:textFill>
                  <w14:solidFill>
                    <w14:schemeClr w14:val="tx1"/>
                  </w14:solidFill>
                </w14:textFill>
              </w:rPr>
              <w:t>在种植区和道路区在地势低处设置截排水沟，雨水收集进入水池，</w:t>
            </w:r>
            <w:r>
              <w:rPr>
                <w:rFonts w:hint="default" w:ascii="Times New Roman" w:hAnsi="Times New Roman" w:eastAsia="宋体" w:cs="Times New Roman"/>
                <w:color w:val="000000" w:themeColor="text1"/>
                <w:sz w:val="24"/>
                <w:lang w:val="en-US" w:eastAsia="zh-CN"/>
                <w14:textFill>
                  <w14:solidFill>
                    <w14:schemeClr w14:val="tx1"/>
                  </w14:solidFill>
                </w14:textFill>
              </w:rPr>
              <w:t>沉淀后回用于项目区洒水降尘</w:t>
            </w:r>
            <w:r>
              <w:rPr>
                <w:rFonts w:hint="eastAsia" w:ascii="Times New Roman" w:hAnsi="Times New Roman" w:cs="Times New Roman"/>
                <w:color w:val="000000" w:themeColor="text1"/>
                <w:sz w:val="24"/>
                <w:lang w:val="en-US" w:eastAsia="zh-CN"/>
                <w14:textFill>
                  <w14:solidFill>
                    <w14:schemeClr w14:val="tx1"/>
                  </w14:solidFill>
                </w14:textFill>
              </w:rPr>
              <w:t>。</w:t>
            </w:r>
            <w:r>
              <w:rPr>
                <w:rFonts w:hint="default" w:ascii="Times New Roman" w:hAnsi="Times New Roman" w:eastAsia="宋体" w:cs="Times New Roman"/>
                <w:color w:val="000000" w:themeColor="text1"/>
                <w:sz w:val="24"/>
                <w:lang w:val="en-US" w:eastAsia="zh-CN"/>
                <w14:textFill>
                  <w14:solidFill>
                    <w14:schemeClr w14:val="tx1"/>
                  </w14:solidFill>
                </w14:textFill>
              </w:rPr>
              <w:t>运营期：项目生活污水经隔油池，化粪池预处理后排入一体化污水处理设备处理，处理达到《农田灌溉水质标准》（GB 5084—2021）中的“旱地作物”标准后的废水排入水池，回用于项目区内灌溉，不外排</w:t>
            </w:r>
            <w:r>
              <w:rPr>
                <w:rFonts w:hint="eastAsia" w:ascii="Times New Roman" w:hAnsi="Times New Roman" w:cs="Times New Roman"/>
                <w:color w:val="000000" w:themeColor="text1"/>
                <w:sz w:val="24"/>
                <w:lang w:val="en-US" w:eastAsia="zh-CN"/>
                <w14:textFill>
                  <w14:solidFill>
                    <w14:schemeClr w14:val="tx1"/>
                  </w14:solidFill>
                </w14:textFill>
              </w:rPr>
              <w:t>；</w:t>
            </w:r>
            <w:r>
              <w:rPr>
                <w:rFonts w:hint="eastAsia" w:ascii="Times New Roman" w:hAnsi="Times New Roman" w:cs="Times New Roman"/>
                <w:b w:val="0"/>
                <w:bCs/>
                <w:color w:val="000000" w:themeColor="text1"/>
                <w:sz w:val="24"/>
                <w:szCs w:val="24"/>
                <w:highlight w:val="none"/>
                <w:lang w:val="en-US" w:eastAsia="zh-CN"/>
                <w14:textFill>
                  <w14:solidFill>
                    <w14:schemeClr w14:val="tx1"/>
                  </w14:solidFill>
                </w14:textFill>
              </w:rPr>
              <w:t>在种植区和道路区在地势低处设置截排水沟，雨水收集进入水池，沉淀后回用于项目区灌溉。</w:t>
            </w:r>
            <w:r>
              <w:rPr>
                <w:rFonts w:hint="default" w:ascii="Times New Roman" w:hAnsi="Times New Roman" w:eastAsia="宋体" w:cs="Times New Roman"/>
                <w:color w:val="000000" w:themeColor="text1"/>
                <w:sz w:val="24"/>
                <w:lang w:val="en-US" w:eastAsia="zh-CN"/>
                <w14:textFill>
                  <w14:solidFill>
                    <w14:schemeClr w14:val="tx1"/>
                  </w14:solidFill>
                </w14:textFill>
              </w:rPr>
              <w:t>项目施工期</w:t>
            </w:r>
            <w:r>
              <w:rPr>
                <w:rFonts w:hint="eastAsia" w:ascii="Times New Roman" w:hAnsi="Times New Roman" w:cs="Times New Roman"/>
                <w:color w:val="000000" w:themeColor="text1"/>
                <w:sz w:val="24"/>
                <w:lang w:val="en-US" w:eastAsia="zh-CN"/>
                <w14:textFill>
                  <w14:solidFill>
                    <w14:schemeClr w14:val="tx1"/>
                  </w14:solidFill>
                </w14:textFill>
              </w:rPr>
              <w:t>及运营期</w:t>
            </w:r>
            <w:r>
              <w:rPr>
                <w:rFonts w:hint="default" w:ascii="Times New Roman" w:hAnsi="Times New Roman" w:eastAsia="宋体" w:cs="Times New Roman"/>
                <w:color w:val="000000" w:themeColor="text1"/>
                <w:sz w:val="24"/>
                <w:lang w:val="en-US" w:eastAsia="zh-CN"/>
                <w14:textFill>
                  <w14:solidFill>
                    <w14:schemeClr w14:val="tx1"/>
                  </w14:solidFill>
                </w14:textFill>
              </w:rPr>
              <w:t>对</w:t>
            </w:r>
            <w:r>
              <w:rPr>
                <w:rFonts w:hint="default" w:ascii="Times New Roman" w:hAnsi="Times New Roman" w:eastAsia="宋体" w:cs="Times New Roman"/>
                <w:b w:val="0"/>
                <w:bCs w:val="0"/>
                <w:color w:val="000000" w:themeColor="text1"/>
                <w:lang w:val="en-US" w:eastAsia="zh-CN"/>
                <w14:textFill>
                  <w14:solidFill>
                    <w14:schemeClr w14:val="tx1"/>
                  </w14:solidFill>
                </w14:textFill>
              </w:rPr>
              <w:t>大西水库饮用水水源保护区和尼去本水库饮用水水源保护区</w:t>
            </w:r>
            <w:r>
              <w:rPr>
                <w:rFonts w:hint="default" w:ascii="Times New Roman" w:hAnsi="Times New Roman" w:eastAsia="宋体" w:cs="Times New Roman"/>
                <w:color w:val="000000" w:themeColor="text1"/>
                <w:sz w:val="24"/>
                <w:lang w:val="en-US" w:eastAsia="zh-CN"/>
                <w14:textFill>
                  <w14:solidFill>
                    <w14:schemeClr w14:val="tx1"/>
                  </w14:solidFill>
                </w14:textFill>
              </w:rPr>
              <w:t>影响不大。</w:t>
            </w:r>
          </w:p>
          <w:p w14:paraId="65916A7A">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000000" w:themeColor="text1"/>
                <w:kern w:val="0"/>
                <w:sz w:val="24"/>
                <w:lang w:eastAsia="zh-CN"/>
                <w14:textFill>
                  <w14:solidFill>
                    <w14:schemeClr w14:val="tx1"/>
                  </w14:solidFill>
                </w14:textFill>
              </w:rPr>
            </w:pPr>
            <w:r>
              <w:rPr>
                <w:rFonts w:hint="default" w:ascii="Times New Roman" w:hAnsi="Times New Roman" w:eastAsia="宋体" w:cs="Times New Roman"/>
                <w:color w:val="000000" w:themeColor="text1"/>
                <w:kern w:val="0"/>
                <w:sz w:val="24"/>
                <w:lang w:eastAsia="zh-CN"/>
                <w14:textFill>
                  <w14:solidFill>
                    <w14:schemeClr w14:val="tx1"/>
                  </w14:solidFill>
                </w14:textFill>
              </w:rPr>
              <w:t>综上</w:t>
            </w:r>
            <w:r>
              <w:rPr>
                <w:rFonts w:hint="default" w:ascii="Times New Roman" w:hAnsi="Times New Roman" w:eastAsia="宋体" w:cs="Times New Roman"/>
                <w:color w:val="000000" w:themeColor="text1"/>
                <w:kern w:val="0"/>
                <w:sz w:val="24"/>
                <w:lang w:val="en-US" w:eastAsia="zh-CN"/>
                <w14:textFill>
                  <w14:solidFill>
                    <w14:schemeClr w14:val="tx1"/>
                  </w14:solidFill>
                </w14:textFill>
              </w:rPr>
              <w:t>所述</w:t>
            </w:r>
            <w:r>
              <w:rPr>
                <w:rFonts w:hint="default" w:ascii="Times New Roman" w:hAnsi="Times New Roman" w:eastAsia="宋体" w:cs="Times New Roman"/>
                <w:color w:val="000000" w:themeColor="text1"/>
                <w:kern w:val="0"/>
                <w:sz w:val="24"/>
                <w:lang w:eastAsia="zh-CN"/>
                <w14:textFill>
                  <w14:solidFill>
                    <w14:schemeClr w14:val="tx1"/>
                  </w14:solidFill>
                </w14:textFill>
              </w:rPr>
              <w:t>，项目建设场地条件、交通运输、环境保护和水、电、通信等条件好，无重大的环境制约因素，项目选址合理。</w:t>
            </w:r>
          </w:p>
          <w:p w14:paraId="53983C86">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firstLine="482" w:firstLineChars="200"/>
              <w:jc w:val="both"/>
              <w:textAlignment w:val="auto"/>
              <w:rPr>
                <w:rFonts w:hint="default" w:ascii="Times New Roman" w:hAnsi="Times New Roman" w:eastAsia="宋体" w:cs="Times New Roman"/>
                <w:b/>
                <w:bCs/>
                <w:color w:val="000000" w:themeColor="text1"/>
                <w:kern w:val="0"/>
                <w:sz w:val="24"/>
                <w:szCs w:val="24"/>
                <w:highlight w:val="none"/>
                <w14:textFill>
                  <w14:solidFill>
                    <w14:schemeClr w14:val="tx1"/>
                  </w14:solidFill>
                </w14:textFill>
              </w:rPr>
            </w:pPr>
            <w:r>
              <w:rPr>
                <w:rFonts w:hint="eastAsia" w:ascii="Times New Roman" w:hAnsi="Times New Roman" w:cs="Times New Roman"/>
                <w:b/>
                <w:bCs/>
                <w:color w:val="000000" w:themeColor="text1"/>
                <w:kern w:val="0"/>
                <w:sz w:val="24"/>
                <w:szCs w:val="24"/>
                <w:highlight w:val="none"/>
                <w:lang w:val="en-US" w:eastAsia="zh-CN"/>
                <w14:textFill>
                  <w14:solidFill>
                    <w14:schemeClr w14:val="tx1"/>
                  </w14:solidFill>
                </w14:textFill>
              </w:rPr>
              <w:t>21</w:t>
            </w:r>
            <w:r>
              <w:rPr>
                <w:rFonts w:hint="default" w:ascii="Times New Roman" w:hAnsi="Times New Roman" w:eastAsia="宋体" w:cs="Times New Roman"/>
                <w:b/>
                <w:bCs/>
                <w:color w:val="000000" w:themeColor="text1"/>
                <w:kern w:val="0"/>
                <w:sz w:val="24"/>
                <w:szCs w:val="24"/>
                <w:highlight w:val="none"/>
                <w:lang w:val="en-US" w:eastAsia="zh-CN"/>
                <w14:textFill>
                  <w14:solidFill>
                    <w14:schemeClr w14:val="tx1"/>
                  </w14:solidFill>
                </w14:textFill>
              </w:rPr>
              <w:t>、</w:t>
            </w:r>
            <w:r>
              <w:rPr>
                <w:rFonts w:hint="default" w:ascii="Times New Roman" w:hAnsi="Times New Roman" w:eastAsia="宋体" w:cs="Times New Roman"/>
                <w:b/>
                <w:bCs/>
                <w:color w:val="000000" w:themeColor="text1"/>
                <w:kern w:val="0"/>
                <w:sz w:val="24"/>
                <w:szCs w:val="24"/>
                <w:highlight w:val="none"/>
                <w14:textFill>
                  <w14:solidFill>
                    <w14:schemeClr w14:val="tx1"/>
                  </w14:solidFill>
                </w14:textFill>
              </w:rPr>
              <w:t>平面布置合理性分析</w:t>
            </w:r>
          </w:p>
          <w:p w14:paraId="2112ADD3">
            <w:pPr>
              <w:keepNext w:val="0"/>
              <w:keepLines w:val="0"/>
              <w:pageBreakBefore w:val="0"/>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cs="Times New Roman"/>
                <w:i w:val="0"/>
                <w:iCs w:val="0"/>
                <w:caps w:val="0"/>
                <w:color w:val="000000" w:themeColor="text1"/>
                <w:spacing w:val="0"/>
                <w:sz w:val="24"/>
                <w:szCs w:val="24"/>
                <w:shd w:val="clear" w:fill="FFFFFF"/>
                <w:lang w:eastAsia="zh-CN"/>
                <w14:textFill>
                  <w14:solidFill>
                    <w14:schemeClr w14:val="tx1"/>
                  </w14:solidFill>
                </w14:textFill>
              </w:rPr>
            </w:pPr>
            <w:r>
              <w:rPr>
                <w:rFonts w:hint="default" w:ascii="Times New Roman" w:hAnsi="Times New Roman" w:eastAsia="宋体" w:cs="Times New Roman"/>
                <w:color w:val="000000" w:themeColor="text1"/>
                <w:sz w:val="24"/>
                <w:highlight w:val="none"/>
                <w:lang w:eastAsia="zh-CN"/>
                <w14:textFill>
                  <w14:solidFill>
                    <w14:schemeClr w14:val="tx1"/>
                  </w14:solidFill>
                </w14:textFill>
              </w:rPr>
              <w:t>本项目</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租用大西村委会下属六个村小组的荒山荒地，核心优势：项目区多为坡地，最合理的布置方式是依等高线开垦为梯田或种植带。这能有效减少水土流失，便于灌溉管理，且利于机械作业。</w:t>
            </w:r>
            <w:r>
              <w:rPr>
                <w:rFonts w:hint="default" w:ascii="Times New Roman" w:hAnsi="Times New Roman" w:eastAsia="宋体" w:cs="Times New Roman"/>
                <w:i w:val="0"/>
                <w:iCs w:val="0"/>
                <w:caps w:val="0"/>
                <w:color w:val="000000" w:themeColor="text1"/>
                <w:spacing w:val="0"/>
                <w:sz w:val="24"/>
                <w:szCs w:val="24"/>
                <w:shd w:val="clear" w:fill="FFFFFF"/>
                <w14:textFill>
                  <w14:solidFill>
                    <w14:schemeClr w14:val="tx1"/>
                  </w14:solidFill>
                </w14:textFill>
              </w:rPr>
              <w:t>从平面布置的角度来看，蓝莓、三七和羊肚菌</w:t>
            </w:r>
            <w:r>
              <w:rPr>
                <w:rFonts w:hint="default" w:ascii="Times New Roman" w:hAnsi="Times New Roman" w:eastAsia="宋体" w:cs="Times New Roman"/>
                <w:i w:val="0"/>
                <w:iCs w:val="0"/>
                <w:caps w:val="0"/>
                <w:color w:val="000000" w:themeColor="text1"/>
                <w:spacing w:val="0"/>
                <w:sz w:val="24"/>
                <w:szCs w:val="24"/>
                <w:shd w:val="clear" w:fill="FFFFFF"/>
                <w:lang w:eastAsia="zh-CN"/>
                <w14:textFill>
                  <w14:solidFill>
                    <w14:schemeClr w14:val="tx1"/>
                  </w14:solidFill>
                </w14:textFill>
              </w:rPr>
              <w:t>、</w:t>
            </w:r>
            <w:r>
              <w:rPr>
                <w:rFonts w:hint="default" w:ascii="Times New Roman" w:hAnsi="Times New Roman" w:eastAsia="宋体" w:cs="Times New Roman"/>
                <w:i w:val="0"/>
                <w:iCs w:val="0"/>
                <w:caps w:val="0"/>
                <w:color w:val="000000" w:themeColor="text1"/>
                <w:spacing w:val="0"/>
                <w:sz w:val="24"/>
                <w:szCs w:val="24"/>
                <w:shd w:val="clear" w:fill="FFFFFF"/>
                <w:lang w:val="en-US" w:eastAsia="zh-CN"/>
                <w14:textFill>
                  <w14:solidFill>
                    <w14:schemeClr w14:val="tx1"/>
                  </w14:solidFill>
                </w14:textFill>
              </w:rPr>
              <w:t>桃树、苹果树</w:t>
            </w:r>
            <w:r>
              <w:rPr>
                <w:rFonts w:hint="default" w:ascii="Times New Roman" w:hAnsi="Times New Roman" w:eastAsia="宋体" w:cs="Times New Roman"/>
                <w:i w:val="0"/>
                <w:iCs w:val="0"/>
                <w:caps w:val="0"/>
                <w:color w:val="000000" w:themeColor="text1"/>
                <w:spacing w:val="0"/>
                <w:sz w:val="24"/>
                <w:szCs w:val="24"/>
                <w:shd w:val="clear" w:fill="FFFFFF"/>
                <w14:textFill>
                  <w14:solidFill>
                    <w14:schemeClr w14:val="tx1"/>
                  </w14:solidFill>
                </w14:textFill>
              </w:rPr>
              <w:t>复合种植具有显著的空间优化优势。通过科学的水平分区设计</w:t>
            </w:r>
            <w:r>
              <w:rPr>
                <w:rFonts w:hint="eastAsia" w:ascii="Times New Roman" w:hAnsi="Times New Roman" w:cs="Times New Roman"/>
                <w:i w:val="0"/>
                <w:iCs w:val="0"/>
                <w:caps w:val="0"/>
                <w:color w:val="000000" w:themeColor="text1"/>
                <w:spacing w:val="0"/>
                <w:sz w:val="24"/>
                <w:szCs w:val="24"/>
                <w:shd w:val="clear" w:fill="FFFFFF"/>
                <w:lang w:eastAsia="zh-CN"/>
                <w14:textFill>
                  <w14:solidFill>
                    <w14:schemeClr w14:val="tx1"/>
                  </w14:solidFill>
                </w14:textFill>
              </w:rPr>
              <w:t>。</w:t>
            </w:r>
          </w:p>
          <w:p w14:paraId="18468A52">
            <w:pPr>
              <w:keepNext w:val="0"/>
              <w:keepLines w:val="0"/>
              <w:pageBreakBefore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i w:val="0"/>
                <w:iCs w:val="0"/>
                <w:caps w:val="0"/>
                <w:color w:val="000000" w:themeColor="text1"/>
                <w:spacing w:val="0"/>
                <w:sz w:val="24"/>
                <w:szCs w:val="24"/>
                <w:shd w:val="clear" w:fill="FFFFFF"/>
                <w14:textFill>
                  <w14:solidFill>
                    <w14:schemeClr w14:val="tx1"/>
                  </w14:solidFill>
                </w14:textFill>
              </w:rPr>
            </w:pPr>
            <w:r>
              <w:rPr>
                <w:rFonts w:hint="default" w:ascii="Times New Roman" w:hAnsi="Times New Roman" w:eastAsia="宋体" w:cs="Times New Roman"/>
                <w:i w:val="0"/>
                <w:iCs w:val="0"/>
                <w:caps w:val="0"/>
                <w:color w:val="000000" w:themeColor="text1"/>
                <w:spacing w:val="0"/>
                <w:sz w:val="24"/>
                <w:szCs w:val="24"/>
                <w:shd w:val="clear" w:fill="FFFFFF"/>
                <w:lang w:val="en-US" w:eastAsia="zh-CN"/>
                <w14:textFill>
                  <w14:solidFill>
                    <w14:schemeClr w14:val="tx1"/>
                  </w14:solidFill>
                </w14:textFill>
              </w:rPr>
              <w:t>一片区</w:t>
            </w:r>
            <w:r>
              <w:rPr>
                <w:rFonts w:hint="default" w:ascii="Times New Roman" w:hAnsi="Times New Roman" w:eastAsia="宋体" w:cs="Times New Roman"/>
                <w:i w:val="0"/>
                <w:iCs w:val="0"/>
                <w:caps w:val="0"/>
                <w:color w:val="000000" w:themeColor="text1"/>
                <w:spacing w:val="0"/>
                <w:sz w:val="24"/>
                <w:szCs w:val="24"/>
                <w:shd w:val="clear" w:fill="FFFFFF"/>
                <w14:textFill>
                  <w14:solidFill>
                    <w14:schemeClr w14:val="tx1"/>
                  </w14:solidFill>
                </w14:textFill>
              </w:rPr>
              <w:t>将喜光的蓝莓布置在南向开阔区，耐阴的三七种植于北向或林下遮阴带，需保湿的羊肚菌安排</w:t>
            </w:r>
            <w:r>
              <w:rPr>
                <w:rFonts w:hint="default" w:ascii="Times New Roman" w:hAnsi="Times New Roman" w:eastAsia="宋体" w:cs="Times New Roman"/>
                <w:i w:val="0"/>
                <w:iCs w:val="0"/>
                <w:caps w:val="0"/>
                <w:color w:val="000000" w:themeColor="text1"/>
                <w:spacing w:val="0"/>
                <w:sz w:val="24"/>
                <w:szCs w:val="24"/>
                <w:shd w:val="clear" w:fill="FFFFFF"/>
                <w14:textFill>
                  <w14:solidFill>
                    <w14:schemeClr w14:val="tx1"/>
                  </w14:solidFill>
                </w14:textFill>
              </w:rPr>
              <w:t>在</w:t>
            </w:r>
            <w:r>
              <w:rPr>
                <w:rFonts w:hint="eastAsia" w:ascii="Times New Roman" w:hAnsi="Times New Roman" w:cs="Times New Roman"/>
                <w:i w:val="0"/>
                <w:iCs w:val="0"/>
                <w:caps w:val="0"/>
                <w:color w:val="000000" w:themeColor="text1"/>
                <w:spacing w:val="0"/>
                <w:sz w:val="24"/>
                <w:szCs w:val="24"/>
                <w:shd w:val="clear" w:fill="FFFFFF"/>
                <w:lang w:val="en-US" w:eastAsia="zh-CN"/>
                <w14:textFill>
                  <w14:solidFill>
                    <w14:schemeClr w14:val="tx1"/>
                  </w14:solidFill>
                </w14:textFill>
              </w:rPr>
              <w:t>水池</w:t>
            </w:r>
            <w:r>
              <w:rPr>
                <w:rFonts w:hint="default" w:ascii="Times New Roman" w:hAnsi="Times New Roman" w:eastAsia="宋体" w:cs="Times New Roman"/>
                <w:i w:val="0"/>
                <w:iCs w:val="0"/>
                <w:caps w:val="0"/>
                <w:color w:val="000000" w:themeColor="text1"/>
                <w:spacing w:val="0"/>
                <w:sz w:val="24"/>
                <w:szCs w:val="24"/>
                <w:shd w:val="clear" w:fill="FFFFFF"/>
                <w:lang w:val="en-US" w:eastAsia="zh-CN"/>
                <w14:textFill>
                  <w14:solidFill>
                    <w14:schemeClr w14:val="tx1"/>
                  </w14:solidFill>
                </w14:textFill>
              </w:rPr>
              <w:t>附近</w:t>
            </w:r>
            <w:r>
              <w:rPr>
                <w:rFonts w:hint="default" w:ascii="Times New Roman" w:hAnsi="Times New Roman" w:eastAsia="宋体" w:cs="Times New Roman"/>
                <w:i w:val="0"/>
                <w:iCs w:val="0"/>
                <w:caps w:val="0"/>
                <w:color w:val="000000" w:themeColor="text1"/>
                <w:spacing w:val="0"/>
                <w:sz w:val="24"/>
                <w:szCs w:val="24"/>
                <w:shd w:val="clear" w:fill="FFFFFF"/>
                <w14:textFill>
                  <w14:solidFill>
                    <w14:schemeClr w14:val="tx1"/>
                  </w14:solidFill>
                </w14:textFill>
              </w:rPr>
              <w:t>，</w:t>
            </w:r>
            <w:r>
              <w:rPr>
                <w:rFonts w:hint="default" w:ascii="Times New Roman" w:hAnsi="Times New Roman" w:eastAsia="宋体" w:cs="Times New Roman"/>
                <w:i w:val="0"/>
                <w:iCs w:val="0"/>
                <w:caps w:val="0"/>
                <w:color w:val="000000" w:themeColor="text1"/>
                <w:spacing w:val="0"/>
                <w:sz w:val="24"/>
                <w:szCs w:val="24"/>
                <w:shd w:val="clear" w:fill="FFFFFF"/>
                <w:lang w:eastAsia="zh-CN"/>
                <w14:textFill>
                  <w14:solidFill>
                    <w14:schemeClr w14:val="tx1"/>
                  </w14:solidFill>
                </w14:textFill>
              </w:rPr>
              <w:t>桃树、苹果树</w:t>
            </w:r>
            <w:r>
              <w:rPr>
                <w:rFonts w:hint="default" w:ascii="Times New Roman" w:hAnsi="Times New Roman" w:eastAsia="宋体" w:cs="Times New Roman"/>
                <w:i w:val="0"/>
                <w:iCs w:val="0"/>
                <w:caps w:val="0"/>
                <w:color w:val="000000" w:themeColor="text1"/>
                <w:spacing w:val="0"/>
                <w:sz w:val="24"/>
                <w:szCs w:val="24"/>
                <w:shd w:val="clear" w:fill="FFFFFF"/>
                <w:lang w:val="en-US" w:eastAsia="zh-CN"/>
                <w14:textFill>
                  <w14:solidFill>
                    <w14:schemeClr w14:val="tx1"/>
                  </w14:solidFill>
                </w14:textFill>
              </w:rPr>
              <w:t>作为</w:t>
            </w:r>
            <w:r>
              <w:rPr>
                <w:rFonts w:hint="default" w:ascii="Times New Roman" w:hAnsi="Times New Roman" w:eastAsia="宋体" w:cs="Times New Roman"/>
                <w:i w:val="0"/>
                <w:iCs w:val="0"/>
                <w:caps w:val="0"/>
                <w:color w:val="000000" w:themeColor="text1"/>
                <w:spacing w:val="0"/>
                <w:sz w:val="24"/>
                <w:szCs w:val="24"/>
                <w:shd w:val="clear" w:fill="FFFFFF"/>
                <w14:textFill>
                  <w14:solidFill>
                    <w14:schemeClr w14:val="tx1"/>
                  </w14:solidFill>
                </w14:textFill>
              </w:rPr>
              <w:t>复合系统的“骨架”，需承担为三七遮阴的功能，同时</w:t>
            </w:r>
            <w:r>
              <w:rPr>
                <w:rFonts w:hint="default" w:ascii="Times New Roman" w:hAnsi="Times New Roman" w:eastAsia="宋体" w:cs="Times New Roman"/>
                <w:i w:val="0"/>
                <w:iCs w:val="0"/>
                <w:caps w:val="0"/>
                <w:color w:val="000000" w:themeColor="text1"/>
                <w:spacing w:val="0"/>
                <w:sz w:val="24"/>
                <w:szCs w:val="24"/>
                <w:shd w:val="clear" w:fill="FFFFFF"/>
                <w:lang w:val="en-US" w:eastAsia="zh-CN"/>
                <w14:textFill>
                  <w14:solidFill>
                    <w14:schemeClr w14:val="tx1"/>
                  </w14:solidFill>
                </w14:textFill>
              </w:rPr>
              <w:t>为</w:t>
            </w:r>
            <w:r>
              <w:rPr>
                <w:rFonts w:hint="default" w:ascii="Times New Roman" w:hAnsi="Times New Roman" w:eastAsia="宋体" w:cs="Times New Roman"/>
                <w:i w:val="0"/>
                <w:iCs w:val="0"/>
                <w:caps w:val="0"/>
                <w:color w:val="000000" w:themeColor="text1"/>
                <w:spacing w:val="0"/>
                <w:sz w:val="24"/>
                <w:szCs w:val="24"/>
                <w:shd w:val="clear" w:fill="FFFFFF"/>
                <w14:textFill>
                  <w14:solidFill>
                    <w14:schemeClr w14:val="tx1"/>
                  </w14:solidFill>
                </w14:textFill>
              </w:rPr>
              <w:t>避免自身过密导致光照不足</w:t>
            </w:r>
            <w:r>
              <w:rPr>
                <w:rFonts w:hint="default" w:ascii="Times New Roman" w:hAnsi="Times New Roman" w:eastAsia="宋体" w:cs="Times New Roman"/>
                <w:i w:val="0"/>
                <w:iCs w:val="0"/>
                <w:caps w:val="0"/>
                <w:color w:val="000000" w:themeColor="text1"/>
                <w:spacing w:val="0"/>
                <w:sz w:val="24"/>
                <w:szCs w:val="24"/>
                <w:shd w:val="clear" w:fill="FFFFFF"/>
                <w:lang w:eastAsia="zh-CN"/>
                <w14:textFill>
                  <w14:solidFill>
                    <w14:schemeClr w14:val="tx1"/>
                  </w14:solidFill>
                </w14:textFill>
              </w:rPr>
              <w:t>，</w:t>
            </w:r>
            <w:r>
              <w:rPr>
                <w:rFonts w:hint="default" w:ascii="Times New Roman" w:hAnsi="Times New Roman" w:eastAsia="宋体" w:cs="Times New Roman"/>
                <w:i w:val="0"/>
                <w:iCs w:val="0"/>
                <w:caps w:val="0"/>
                <w:color w:val="000000" w:themeColor="text1"/>
                <w:spacing w:val="0"/>
                <w:sz w:val="24"/>
                <w:szCs w:val="24"/>
                <w:shd w:val="clear" w:fill="FFFFFF"/>
                <w:lang w:val="en-US" w:eastAsia="zh-CN"/>
                <w14:textFill>
                  <w14:solidFill>
                    <w14:schemeClr w14:val="tx1"/>
                  </w14:solidFill>
                </w14:textFill>
              </w:rPr>
              <w:t>安排种植于一片区西北向</w:t>
            </w:r>
            <w:r>
              <w:rPr>
                <w:rFonts w:hint="default" w:ascii="Times New Roman" w:hAnsi="Times New Roman" w:eastAsia="宋体" w:cs="Times New Roman"/>
                <w:i w:val="0"/>
                <w:iCs w:val="0"/>
                <w:caps w:val="0"/>
                <w:color w:val="000000" w:themeColor="text1"/>
                <w:spacing w:val="0"/>
                <w:sz w:val="24"/>
                <w:szCs w:val="24"/>
                <w:shd w:val="clear" w:fill="FFFFFF"/>
                <w14:textFill>
                  <w14:solidFill>
                    <w14:schemeClr w14:val="tx1"/>
                  </w14:solidFill>
                </w14:textFill>
              </w:rPr>
              <w:t>。实现光热水气资源的差异化利用。</w:t>
            </w:r>
          </w:p>
          <w:p w14:paraId="608A3FB3">
            <w:pPr>
              <w:keepNext w:val="0"/>
              <w:keepLines w:val="0"/>
              <w:pageBreakBefore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i w:val="0"/>
                <w:iCs w:val="0"/>
                <w:caps w:val="0"/>
                <w:color w:val="000000" w:themeColor="text1"/>
                <w:spacing w:val="0"/>
                <w:sz w:val="24"/>
                <w:szCs w:val="24"/>
                <w:shd w:val="clear" w:fill="FFFFFF"/>
                <w14:textFill>
                  <w14:solidFill>
                    <w14:schemeClr w14:val="tx1"/>
                  </w14:solidFill>
                </w14:textFill>
              </w:rPr>
            </w:pPr>
            <w:r>
              <w:rPr>
                <w:rFonts w:hint="default" w:ascii="Times New Roman" w:hAnsi="Times New Roman" w:eastAsia="宋体" w:cs="Times New Roman"/>
                <w:i w:val="0"/>
                <w:iCs w:val="0"/>
                <w:caps w:val="0"/>
                <w:color w:val="000000" w:themeColor="text1"/>
                <w:spacing w:val="0"/>
                <w:sz w:val="24"/>
                <w:szCs w:val="24"/>
                <w:shd w:val="clear" w:fill="FFFFFF"/>
                <w:lang w:val="en-US" w:eastAsia="zh-CN"/>
                <w14:textFill>
                  <w14:solidFill>
                    <w14:schemeClr w14:val="tx1"/>
                  </w14:solidFill>
                </w14:textFill>
              </w:rPr>
              <w:t>二片区</w:t>
            </w:r>
            <w:r>
              <w:rPr>
                <w:rFonts w:hint="default" w:ascii="Times New Roman" w:hAnsi="Times New Roman" w:eastAsia="宋体" w:cs="Times New Roman"/>
                <w:i w:val="0"/>
                <w:iCs w:val="0"/>
                <w:caps w:val="0"/>
                <w:color w:val="000000" w:themeColor="text1"/>
                <w:spacing w:val="0"/>
                <w:sz w:val="24"/>
                <w:szCs w:val="24"/>
                <w:shd w:val="clear" w:fill="FFFFFF"/>
                <w14:textFill>
                  <w14:solidFill>
                    <w14:schemeClr w14:val="tx1"/>
                  </w14:solidFill>
                </w14:textFill>
              </w:rPr>
              <w:t>采用</w:t>
            </w:r>
            <w:r>
              <w:rPr>
                <w:rFonts w:hint="eastAsia" w:ascii="Times New Roman" w:hAnsi="Times New Roman" w:cs="Times New Roman"/>
                <w:i w:val="0"/>
                <w:iCs w:val="0"/>
                <w:caps w:val="0"/>
                <w:color w:val="000000" w:themeColor="text1"/>
                <w:spacing w:val="0"/>
                <w:sz w:val="24"/>
                <w:szCs w:val="24"/>
                <w:shd w:val="clear" w:fill="FFFFFF"/>
                <w:lang w:eastAsia="zh-CN"/>
                <w14:textFill>
                  <w14:solidFill>
                    <w14:schemeClr w14:val="tx1"/>
                  </w14:solidFill>
                </w14:textFill>
              </w:rPr>
              <w:t>“</w:t>
            </w:r>
            <w:r>
              <w:rPr>
                <w:rFonts w:hint="default" w:ascii="Times New Roman" w:hAnsi="Times New Roman" w:eastAsia="宋体" w:cs="Times New Roman"/>
                <w:i w:val="0"/>
                <w:iCs w:val="0"/>
                <w:caps w:val="0"/>
                <w:color w:val="000000" w:themeColor="text1"/>
                <w:spacing w:val="0"/>
                <w:sz w:val="24"/>
                <w:szCs w:val="24"/>
                <w:shd w:val="clear" w:fill="FFFFFF"/>
                <w14:textFill>
                  <w14:solidFill>
                    <w14:schemeClr w14:val="tx1"/>
                  </w14:solidFill>
                </w14:textFill>
              </w:rPr>
              <w:t>核心放射式</w:t>
            </w:r>
            <w:r>
              <w:rPr>
                <w:rFonts w:hint="eastAsia" w:ascii="Times New Roman" w:hAnsi="Times New Roman" w:cs="Times New Roman"/>
                <w:i w:val="0"/>
                <w:iCs w:val="0"/>
                <w:caps w:val="0"/>
                <w:color w:val="000000" w:themeColor="text1"/>
                <w:spacing w:val="0"/>
                <w:sz w:val="24"/>
                <w:szCs w:val="24"/>
                <w:shd w:val="clear" w:fill="FFFFFF"/>
                <w:lang w:eastAsia="zh-CN"/>
                <w14:textFill>
                  <w14:solidFill>
                    <w14:schemeClr w14:val="tx1"/>
                  </w14:solidFill>
                </w14:textFill>
              </w:rPr>
              <w:t>”</w:t>
            </w:r>
            <w:r>
              <w:rPr>
                <w:rFonts w:hint="default" w:ascii="Times New Roman" w:hAnsi="Times New Roman" w:eastAsia="宋体" w:cs="Times New Roman"/>
                <w:i w:val="0"/>
                <w:iCs w:val="0"/>
                <w:caps w:val="0"/>
                <w:color w:val="000000" w:themeColor="text1"/>
                <w:spacing w:val="0"/>
                <w:sz w:val="24"/>
                <w:szCs w:val="24"/>
                <w:shd w:val="clear" w:fill="FFFFFF"/>
                <w14:textFill>
                  <w14:solidFill>
                    <w14:schemeClr w14:val="tx1"/>
                  </w14:solidFill>
                </w14:textFill>
              </w:rPr>
              <w:t>布局，以灌溉主干管为中心向各作物区延伸支管，既保证蓝莓频繁采收的便利性，又兼顾三七中期管理和羊肚菌季节性生产的需求，大幅提升作业效率。同时，通过防风林带、</w:t>
            </w:r>
            <w:r>
              <w:rPr>
                <w:rFonts w:hint="default" w:ascii="Times New Roman" w:hAnsi="Times New Roman" w:eastAsia="宋体" w:cs="Times New Roman"/>
                <w:i w:val="0"/>
                <w:iCs w:val="0"/>
                <w:caps w:val="0"/>
                <w:color w:val="000000" w:themeColor="text1"/>
                <w:spacing w:val="0"/>
                <w:sz w:val="24"/>
                <w:szCs w:val="24"/>
                <w:shd w:val="clear" w:fill="FFFFFF"/>
                <w:lang w:eastAsia="zh-CN"/>
                <w14:textFill>
                  <w14:solidFill>
                    <w14:schemeClr w14:val="tx1"/>
                  </w14:solidFill>
                </w14:textFill>
              </w:rPr>
              <w:t>遮荫网</w:t>
            </w:r>
            <w:r>
              <w:rPr>
                <w:rFonts w:hint="default" w:ascii="Times New Roman" w:hAnsi="Times New Roman" w:eastAsia="宋体" w:cs="Times New Roman"/>
                <w:i w:val="0"/>
                <w:iCs w:val="0"/>
                <w:caps w:val="0"/>
                <w:color w:val="000000" w:themeColor="text1"/>
                <w:spacing w:val="0"/>
                <w:sz w:val="24"/>
                <w:szCs w:val="24"/>
                <w:shd w:val="clear" w:fill="FFFFFF"/>
                <w14:textFill>
                  <w14:solidFill>
                    <w14:schemeClr w14:val="tx1"/>
                  </w14:solidFill>
                </w14:textFill>
              </w:rPr>
              <w:t>和连栋大棚的合理配置，在单一地块内营造出三种差异化的生长微环境。这种棋盘式分区设计不仅便于实施</w:t>
            </w:r>
            <w:r>
              <w:rPr>
                <w:rFonts w:hint="eastAsia" w:ascii="Times New Roman" w:hAnsi="Times New Roman" w:cs="Times New Roman"/>
                <w:i w:val="0"/>
                <w:iCs w:val="0"/>
                <w:caps w:val="0"/>
                <w:color w:val="000000" w:themeColor="text1"/>
                <w:spacing w:val="0"/>
                <w:sz w:val="24"/>
                <w:szCs w:val="24"/>
                <w:shd w:val="clear" w:fill="FFFFFF"/>
                <w:lang w:eastAsia="zh-CN"/>
                <w14:textFill>
                  <w14:solidFill>
                    <w14:schemeClr w14:val="tx1"/>
                  </w14:solidFill>
                </w14:textFill>
              </w:rPr>
              <w:t>“</w:t>
            </w:r>
            <w:r>
              <w:rPr>
                <w:rFonts w:hint="default" w:ascii="Times New Roman" w:hAnsi="Times New Roman" w:eastAsia="宋体" w:cs="Times New Roman"/>
                <w:i w:val="0"/>
                <w:iCs w:val="0"/>
                <w:caps w:val="0"/>
                <w:color w:val="000000" w:themeColor="text1"/>
                <w:spacing w:val="0"/>
                <w:sz w:val="24"/>
                <w:szCs w:val="24"/>
                <w:shd w:val="clear" w:fill="FFFFFF"/>
                <w14:textFill>
                  <w14:solidFill>
                    <w14:schemeClr w14:val="tx1"/>
                  </w14:solidFill>
                </w14:textFill>
              </w:rPr>
              <w:t>蓝莓-三七-羊肚菌-绿肥</w:t>
            </w:r>
            <w:r>
              <w:rPr>
                <w:rFonts w:hint="eastAsia" w:ascii="Times New Roman" w:hAnsi="Times New Roman" w:cs="Times New Roman"/>
                <w:i w:val="0"/>
                <w:iCs w:val="0"/>
                <w:caps w:val="0"/>
                <w:color w:val="000000" w:themeColor="text1"/>
                <w:spacing w:val="0"/>
                <w:sz w:val="24"/>
                <w:szCs w:val="24"/>
                <w:shd w:val="clear" w:fill="FFFFFF"/>
                <w:lang w:eastAsia="zh-CN"/>
                <w14:textFill>
                  <w14:solidFill>
                    <w14:schemeClr w14:val="tx1"/>
                  </w14:solidFill>
                </w14:textFill>
              </w:rPr>
              <w:t>”</w:t>
            </w:r>
            <w:r>
              <w:rPr>
                <w:rFonts w:hint="default" w:ascii="Times New Roman" w:hAnsi="Times New Roman" w:eastAsia="宋体" w:cs="Times New Roman"/>
                <w:i w:val="0"/>
                <w:iCs w:val="0"/>
                <w:caps w:val="0"/>
                <w:color w:val="000000" w:themeColor="text1"/>
                <w:spacing w:val="0"/>
                <w:sz w:val="24"/>
                <w:szCs w:val="24"/>
                <w:shd w:val="clear" w:fill="FFFFFF"/>
                <w14:textFill>
                  <w14:solidFill>
                    <w14:schemeClr w14:val="tx1"/>
                  </w14:solidFill>
                </w14:textFill>
              </w:rPr>
              <w:t>的轮作体系，还能实现灌溉设施等基建的共享，降低30%以上的管理成本，使土地综合效益提升40%以上，充分体现了现代农业集约化、精准化的布局理念。</w:t>
            </w:r>
          </w:p>
          <w:p w14:paraId="75CCC063">
            <w:pPr>
              <w:keepNext w:val="0"/>
              <w:keepLines w:val="0"/>
              <w:pageBreakBefore w:val="0"/>
              <w:kinsoku/>
              <w:wordWrap/>
              <w:overflowPunct/>
              <w:topLinePunct w:val="0"/>
              <w:bidi w:val="0"/>
              <w:adjustRightInd w:val="0"/>
              <w:snapToGrid w:val="0"/>
              <w:ind w:firstLine="480" w:firstLineChars="200"/>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i w:val="0"/>
                <w:iCs w:val="0"/>
                <w:caps w:val="0"/>
                <w:color w:val="000000" w:themeColor="text1"/>
                <w:spacing w:val="0"/>
                <w:sz w:val="24"/>
                <w:szCs w:val="24"/>
                <w:shd w:val="clear" w:fill="FFFFFF"/>
                <w14:textFill>
                  <w14:solidFill>
                    <w14:schemeClr w14:val="tx1"/>
                  </w14:solidFill>
                </w14:textFill>
              </w:rPr>
              <w:t>种植</w:t>
            </w:r>
            <w:r>
              <w:rPr>
                <w:rFonts w:hint="default" w:ascii="Times New Roman" w:hAnsi="Times New Roman" w:eastAsia="宋体" w:cs="Times New Roman"/>
                <w:i w:val="0"/>
                <w:iCs w:val="0"/>
                <w:caps w:val="0"/>
                <w:color w:val="000000" w:themeColor="text1"/>
                <w:spacing w:val="0"/>
                <w:sz w:val="24"/>
                <w:szCs w:val="24"/>
                <w:shd w:val="clear" w:fill="FFFFFF"/>
                <w:lang w:val="en-US" w:eastAsia="zh-CN"/>
                <w14:textFill>
                  <w14:solidFill>
                    <w14:schemeClr w14:val="tx1"/>
                  </w14:solidFill>
                </w14:textFill>
              </w:rPr>
              <w:t>区</w:t>
            </w:r>
            <w:r>
              <w:rPr>
                <w:rFonts w:hint="default" w:ascii="Times New Roman" w:hAnsi="Times New Roman" w:eastAsia="宋体" w:cs="Times New Roman"/>
                <w:i w:val="0"/>
                <w:iCs w:val="0"/>
                <w:caps w:val="0"/>
                <w:color w:val="000000" w:themeColor="text1"/>
                <w:spacing w:val="0"/>
                <w:sz w:val="24"/>
                <w:szCs w:val="24"/>
                <w:shd w:val="clear" w:fill="FFFFFF"/>
                <w14:textFill>
                  <w14:solidFill>
                    <w14:schemeClr w14:val="tx1"/>
                  </w14:solidFill>
                </w14:textFill>
              </w:rPr>
              <w:t>内建设道路连接各地块，不仅能通过便利生产资料运输、农机作业及采收转运，直接提升种植与采收效率，降低人力与时间成本；</w:t>
            </w:r>
            <w:r>
              <w:rPr>
                <w:rFonts w:hint="default" w:ascii="Times New Roman" w:hAnsi="Times New Roman" w:eastAsia="宋体" w:cs="Times New Roman"/>
                <w:i w:val="0"/>
                <w:iCs w:val="0"/>
                <w:caps w:val="0"/>
                <w:color w:val="000000" w:themeColor="text1"/>
                <w:spacing w:val="0"/>
                <w:sz w:val="24"/>
                <w:szCs w:val="24"/>
                <w:shd w:val="clear" w:fill="FFFFFF"/>
                <w:lang w:val="en-US" w:eastAsia="zh-CN"/>
                <w14:textFill>
                  <w14:solidFill>
                    <w14:schemeClr w14:val="tx1"/>
                  </w14:solidFill>
                </w14:textFill>
              </w:rPr>
              <w:t>同时</w:t>
            </w:r>
            <w:r>
              <w:rPr>
                <w:rFonts w:hint="default" w:ascii="Times New Roman" w:hAnsi="Times New Roman" w:eastAsia="宋体" w:cs="Times New Roman"/>
                <w:i w:val="0"/>
                <w:iCs w:val="0"/>
                <w:caps w:val="0"/>
                <w:color w:val="000000" w:themeColor="text1"/>
                <w:spacing w:val="0"/>
                <w:sz w:val="24"/>
                <w:szCs w:val="24"/>
                <w:shd w:val="clear" w:fill="FFFFFF"/>
                <w14:textFill>
                  <w14:solidFill>
                    <w14:schemeClr w14:val="tx1"/>
                  </w14:solidFill>
                </w14:textFill>
              </w:rPr>
              <w:t>优化</w:t>
            </w:r>
            <w:r>
              <w:rPr>
                <w:rFonts w:hint="default" w:ascii="Times New Roman" w:hAnsi="Times New Roman" w:eastAsia="宋体" w:cs="Times New Roman"/>
                <w:i w:val="0"/>
                <w:iCs w:val="0"/>
                <w:caps w:val="0"/>
                <w:color w:val="000000" w:themeColor="text1"/>
                <w:spacing w:val="0"/>
                <w:sz w:val="24"/>
                <w:szCs w:val="24"/>
                <w:shd w:val="clear" w:fill="FFFFFF"/>
                <w:lang w:eastAsia="zh-CN"/>
                <w14:textFill>
                  <w14:solidFill>
                    <w14:schemeClr w14:val="tx1"/>
                  </w14:solidFill>
                </w14:textFill>
              </w:rPr>
              <w:t>了</w:t>
            </w:r>
            <w:r>
              <w:rPr>
                <w:rFonts w:hint="default" w:ascii="Times New Roman" w:hAnsi="Times New Roman" w:eastAsia="宋体" w:cs="Times New Roman"/>
                <w:i w:val="0"/>
                <w:iCs w:val="0"/>
                <w:caps w:val="0"/>
                <w:color w:val="000000" w:themeColor="text1"/>
                <w:spacing w:val="0"/>
                <w:sz w:val="24"/>
                <w:szCs w:val="24"/>
                <w:shd w:val="clear" w:fill="FFFFFF"/>
                <w14:textFill>
                  <w14:solidFill>
                    <w14:schemeClr w14:val="tx1"/>
                  </w14:solidFill>
                </w14:textFill>
              </w:rPr>
              <w:t>日常巡查、人员调度与数据监测，减少管理成本，保障地块运维顺畅；</w:t>
            </w:r>
            <w:r>
              <w:rPr>
                <w:rFonts w:hint="default" w:ascii="Times New Roman" w:hAnsi="Times New Roman" w:eastAsia="宋体" w:cs="Times New Roman"/>
                <w:i w:val="0"/>
                <w:iCs w:val="0"/>
                <w:caps w:val="0"/>
                <w:color w:val="000000" w:themeColor="text1"/>
                <w:spacing w:val="0"/>
                <w:sz w:val="24"/>
                <w:szCs w:val="24"/>
                <w:shd w:val="clear" w:fill="FFFFFF"/>
                <w:lang w:val="en-US" w:eastAsia="zh-CN"/>
                <w14:textFill>
                  <w14:solidFill>
                    <w14:schemeClr w14:val="tx1"/>
                  </w14:solidFill>
                </w14:textFill>
              </w:rPr>
              <w:t>也</w:t>
            </w:r>
            <w:r>
              <w:rPr>
                <w:rFonts w:hint="default" w:ascii="Times New Roman" w:hAnsi="Times New Roman" w:eastAsia="宋体" w:cs="Times New Roman"/>
                <w:i w:val="0"/>
                <w:iCs w:val="0"/>
                <w:caps w:val="0"/>
                <w:color w:val="000000" w:themeColor="text1"/>
                <w:spacing w:val="0"/>
                <w:sz w:val="24"/>
                <w:szCs w:val="24"/>
                <w:shd w:val="clear" w:fill="FFFFFF"/>
                <w14:textFill>
                  <w14:solidFill>
                    <w14:schemeClr w14:val="tx1"/>
                  </w14:solidFill>
                </w14:textFill>
              </w:rPr>
              <w:t>可作为应急通道，助力及时防控病虫害、应对极端天气，并保障人员安全；更能为未来地块扩容、布局调整及转型观光农业奠定基础，提升项目整体价值与发展潜力，是支撑项目规模化、规范化运行的关键基础工程。</w:t>
            </w:r>
          </w:p>
          <w:p w14:paraId="48F71B4E">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color w:val="000000" w:themeColor="text1"/>
                <w:sz w:val="24"/>
                <w:szCs w:val="24"/>
                <w:lang w:val="en-US" w:eastAsia="zh-CN" w:bidi="zh-CN"/>
                <w14:textFill>
                  <w14:solidFill>
                    <w14:schemeClr w14:val="tx1"/>
                  </w14:solidFill>
                </w14:textFill>
              </w:rPr>
            </w:pPr>
            <w:r>
              <w:rPr>
                <w:rFonts w:hint="default" w:ascii="Times New Roman" w:hAnsi="Times New Roman" w:eastAsia="宋体" w:cs="Times New Roman"/>
                <w:color w:val="000000" w:themeColor="text1"/>
                <w:kern w:val="0"/>
                <w:sz w:val="24"/>
                <w:lang w:val="en-US" w:eastAsia="zh-CN"/>
                <w14:textFill>
                  <w14:solidFill>
                    <w14:schemeClr w14:val="tx1"/>
                  </w14:solidFill>
                </w14:textFill>
              </w:rPr>
              <w:t>项目区500米范围内无敏感点，施工期</w:t>
            </w:r>
            <w:r>
              <w:rPr>
                <w:rFonts w:hint="default" w:ascii="Times New Roman" w:hAnsi="Times New Roman" w:eastAsia="宋体" w:cs="Times New Roman"/>
                <w:b w:val="0"/>
                <w:bCs/>
                <w:color w:val="000000" w:themeColor="text1"/>
                <w:sz w:val="24"/>
                <w:szCs w:val="24"/>
                <w:lang w:val="en-US" w:eastAsia="zh-CN" w:bidi="zh-CN"/>
                <w14:textFill>
                  <w14:solidFill>
                    <w14:schemeClr w14:val="tx1"/>
                  </w14:solidFill>
                </w14:textFill>
              </w:rPr>
              <w:t>项目污染源主要是施工扬尘、施工生活污水、施工噪声、大棚建设产生的废弃材料、施工区域原有地表挖除的灌木杂草、施工人员产生的生活垃圾等。运营期项目</w:t>
            </w:r>
            <w:r>
              <w:rPr>
                <w:rFonts w:hint="eastAsia" w:ascii="Times New Roman" w:hAnsi="Times New Roman" w:eastAsia="宋体" w:cs="Times New Roman"/>
                <w:b w:val="0"/>
                <w:bCs/>
                <w:color w:val="000000" w:themeColor="text1"/>
                <w:sz w:val="24"/>
                <w:szCs w:val="24"/>
                <w:lang w:val="en-US" w:eastAsia="zh-CN" w:bidi="zh-CN"/>
                <w14:textFill>
                  <w14:solidFill>
                    <w14:schemeClr w14:val="tx1"/>
                  </w14:solidFill>
                </w14:textFill>
              </w:rPr>
              <w:t>污染源</w:t>
            </w:r>
            <w:r>
              <w:rPr>
                <w:rFonts w:hint="default" w:ascii="Times New Roman" w:hAnsi="Times New Roman" w:eastAsia="宋体" w:cs="Times New Roman"/>
                <w:b w:val="0"/>
                <w:bCs/>
                <w:color w:val="000000" w:themeColor="text1"/>
                <w:sz w:val="24"/>
                <w:szCs w:val="24"/>
                <w:lang w:val="en-US" w:eastAsia="zh-CN" w:bidi="zh-CN"/>
                <w14:textFill>
                  <w14:solidFill>
                    <w14:schemeClr w14:val="tx1"/>
                  </w14:solidFill>
                </w14:textFill>
              </w:rPr>
              <w:t>主要是病虫害防治农药废气、种植翻地扬尘；生活污水；苗木补植前拆除的废包装材料、补植区挖除的未成活苗木、农药废包装容器、</w:t>
            </w:r>
            <w:r>
              <w:rPr>
                <w:rFonts w:hint="eastAsia" w:ascii="Times New Roman" w:hAnsi="Times New Roman" w:cs="Times New Roman"/>
                <w:b w:val="0"/>
                <w:bCs/>
                <w:color w:val="000000" w:themeColor="text1"/>
                <w:sz w:val="24"/>
                <w:szCs w:val="24"/>
                <w:lang w:val="en-US" w:eastAsia="zh-CN" w:bidi="zh-CN"/>
                <w14:textFill>
                  <w14:solidFill>
                    <w14:schemeClr w14:val="tx1"/>
                  </w14:solidFill>
                </w14:textFill>
              </w:rPr>
              <w:t>生产</w:t>
            </w:r>
            <w:r>
              <w:rPr>
                <w:rFonts w:hint="default" w:ascii="Times New Roman" w:hAnsi="Times New Roman" w:eastAsia="宋体" w:cs="Times New Roman"/>
                <w:b w:val="0"/>
                <w:bCs/>
                <w:color w:val="000000" w:themeColor="text1"/>
                <w:sz w:val="24"/>
                <w:szCs w:val="24"/>
                <w:lang w:val="en-US" w:eastAsia="zh-CN" w:bidi="zh-CN"/>
                <w14:textFill>
                  <w14:solidFill>
                    <w14:schemeClr w14:val="tx1"/>
                  </w14:solidFill>
                </w14:textFill>
              </w:rPr>
              <w:t>人员生活垃圾等。在落实本次环评提出的措施前提下，项目</w:t>
            </w:r>
            <w:r>
              <w:rPr>
                <w:rFonts w:hint="eastAsia" w:ascii="Times New Roman" w:hAnsi="Times New Roman" w:cs="Times New Roman"/>
                <w:b w:val="0"/>
                <w:bCs/>
                <w:color w:val="000000" w:themeColor="text1"/>
                <w:sz w:val="24"/>
                <w:szCs w:val="24"/>
                <w:lang w:val="en-US" w:eastAsia="zh-CN" w:bidi="zh-CN"/>
                <w14:textFill>
                  <w14:solidFill>
                    <w14:schemeClr w14:val="tx1"/>
                  </w14:solidFill>
                </w14:textFill>
              </w:rPr>
              <w:t>各污染物能达标排放及合理处置。</w:t>
            </w:r>
            <w:r>
              <w:rPr>
                <w:rFonts w:hint="default" w:ascii="Times New Roman" w:hAnsi="Times New Roman" w:eastAsia="宋体" w:cs="Times New Roman"/>
                <w:b w:val="0"/>
                <w:bCs/>
                <w:color w:val="000000" w:themeColor="text1"/>
                <w:sz w:val="24"/>
                <w:szCs w:val="24"/>
                <w:lang w:val="en-US" w:eastAsia="zh-CN" w:bidi="zh-CN"/>
                <w14:textFill>
                  <w14:solidFill>
                    <w14:schemeClr w14:val="tx1"/>
                  </w14:solidFill>
                </w14:textFill>
              </w:rPr>
              <w:t>项目施工期间只要严格执行文明施工条例，对所产生的污染物进行合理的处理处置后，项目施工</w:t>
            </w:r>
            <w:r>
              <w:rPr>
                <w:rFonts w:hint="eastAsia" w:ascii="Times New Roman" w:hAnsi="Times New Roman" w:cs="Times New Roman"/>
                <w:b w:val="0"/>
                <w:bCs/>
                <w:color w:val="000000" w:themeColor="text1"/>
                <w:sz w:val="24"/>
                <w:szCs w:val="24"/>
                <w:lang w:val="en-US" w:eastAsia="zh-CN" w:bidi="zh-CN"/>
                <w14:textFill>
                  <w14:solidFill>
                    <w14:schemeClr w14:val="tx1"/>
                  </w14:solidFill>
                </w14:textFill>
              </w:rPr>
              <w:t>期间</w:t>
            </w:r>
            <w:r>
              <w:rPr>
                <w:rFonts w:hint="default" w:ascii="Times New Roman" w:hAnsi="Times New Roman" w:eastAsia="宋体" w:cs="Times New Roman"/>
                <w:b w:val="0"/>
                <w:bCs/>
                <w:color w:val="000000" w:themeColor="text1"/>
                <w:sz w:val="24"/>
                <w:szCs w:val="24"/>
                <w:lang w:val="en-US" w:eastAsia="zh-CN" w:bidi="zh-CN"/>
                <w14:textFill>
                  <w14:solidFill>
                    <w14:schemeClr w14:val="tx1"/>
                  </w14:solidFill>
                </w14:textFill>
              </w:rPr>
              <w:t>对环境影</w:t>
            </w:r>
            <w:r>
              <w:rPr>
                <w:rFonts w:hint="default" w:ascii="Times New Roman" w:hAnsi="Times New Roman" w:eastAsia="宋体" w:cs="Times New Roman"/>
                <w:b w:val="0"/>
                <w:bCs/>
                <w:color w:val="000000" w:themeColor="text1"/>
                <w:sz w:val="24"/>
                <w:szCs w:val="24"/>
                <w:lang w:val="en-US" w:eastAsia="zh-CN" w:bidi="zh-CN"/>
                <w14:textFill>
                  <w14:solidFill>
                    <w14:schemeClr w14:val="tx1"/>
                  </w14:solidFill>
                </w14:textFill>
              </w:rPr>
              <w:t>响较小。</w:t>
            </w:r>
          </w:p>
          <w:p w14:paraId="1395E0E3">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000000" w:themeColor="text1"/>
                <w:kern w:val="0"/>
                <w:sz w:val="24"/>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综上所述，项目平面布置从环保、</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交通、生态</w:t>
            </w:r>
            <w:r>
              <w:rPr>
                <w:rFonts w:hint="default" w:ascii="Times New Roman" w:hAnsi="Times New Roman" w:eastAsia="宋体" w:cs="Times New Roman"/>
                <w:color w:val="000000" w:themeColor="text1"/>
                <w:sz w:val="24"/>
                <w:highlight w:val="none"/>
                <w14:textFill>
                  <w14:solidFill>
                    <w14:schemeClr w14:val="tx1"/>
                  </w14:solidFill>
                </w14:textFill>
              </w:rPr>
              <w:t>等方面考虑较合理。</w:t>
            </w:r>
          </w:p>
        </w:tc>
      </w:tr>
    </w:tbl>
    <w:p w14:paraId="60F8CDC8">
      <w:pPr>
        <w:ind w:firstLine="600"/>
        <w:jc w:val="both"/>
        <w:outlineLvl w:val="0"/>
        <w:rPr>
          <w:rFonts w:hint="default" w:ascii="Times New Roman" w:hAnsi="Times New Roman" w:eastAsia="宋体" w:cs="Times New Roman"/>
          <w:color w:val="000000" w:themeColor="text1"/>
          <w:sz w:val="30"/>
          <w14:textFill>
            <w14:solidFill>
              <w14:schemeClr w14:val="tx1"/>
            </w14:solidFill>
          </w14:textFill>
        </w:rPr>
        <w:sectPr>
          <w:footerReference r:id="rId9" w:type="default"/>
          <w:pgSz w:w="11906" w:h="16838"/>
          <w:pgMar w:top="1701" w:right="1531" w:bottom="1701" w:left="1531" w:header="851" w:footer="1077" w:gutter="0"/>
          <w:pgBorders>
            <w:top w:val="none" w:sz="0" w:space="0"/>
            <w:left w:val="none" w:sz="0" w:space="0"/>
            <w:bottom w:val="none" w:sz="0" w:space="0"/>
            <w:right w:val="none" w:sz="0" w:space="0"/>
          </w:pgBorders>
          <w:pgNumType w:fmt="decimal" w:start="1"/>
          <w:cols w:space="720" w:num="1"/>
          <w:docGrid w:linePitch="312" w:charSpace="0"/>
        </w:sectPr>
      </w:pPr>
    </w:p>
    <w:p w14:paraId="03C3E127">
      <w:pPr>
        <w:pStyle w:val="2"/>
        <w:bidi w:val="0"/>
        <w:ind w:firstLine="3012" w:firstLineChars="1000"/>
        <w:jc w:val="both"/>
        <w:rPr>
          <w:rFonts w:hint="eastAsia" w:ascii="宋体" w:hAnsi="宋体" w:eastAsia="宋体" w:cs="宋体"/>
          <w:color w:val="000000" w:themeColor="text1"/>
          <w14:textFill>
            <w14:solidFill>
              <w14:schemeClr w14:val="tx1"/>
            </w14:solidFill>
          </w14:textFill>
        </w:rPr>
      </w:pPr>
      <w:bookmarkStart w:id="3" w:name="_Toc87899389"/>
      <w:bookmarkStart w:id="4" w:name="_Toc5010"/>
      <w:r>
        <w:rPr>
          <w:rFonts w:hint="eastAsia" w:ascii="宋体" w:hAnsi="宋体" w:eastAsia="宋体" w:cs="宋体"/>
          <w:color w:val="000000" w:themeColor="text1"/>
          <w14:textFill>
            <w14:solidFill>
              <w14:schemeClr w14:val="tx1"/>
            </w14:solidFill>
          </w14:textFill>
        </w:rPr>
        <w:t>二、建设内容</w:t>
      </w:r>
      <w:bookmarkEnd w:id="3"/>
      <w:bookmarkEnd w:id="4"/>
    </w:p>
    <w:tbl>
      <w:tblPr>
        <w:tblStyle w:val="26"/>
        <w:tblW w:w="5255"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04"/>
        <w:gridCol w:w="8153"/>
      </w:tblGrid>
      <w:tr w14:paraId="2BF71D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48" w:type="pct"/>
            <w:vAlign w:val="center"/>
          </w:tcPr>
          <w:p w14:paraId="5CFD22E4">
            <w:pPr>
              <w:adjustRightInd w:val="0"/>
              <w:snapToGrid w:val="0"/>
              <w:ind w:firstLine="0" w:firstLineChars="0"/>
              <w:jc w:val="both"/>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地理位置</w:t>
            </w:r>
          </w:p>
        </w:tc>
        <w:tc>
          <w:tcPr>
            <w:tcW w:w="4551" w:type="pct"/>
            <w:vAlign w:val="center"/>
          </w:tcPr>
          <w:p w14:paraId="6C1CD838">
            <w:pPr>
              <w:keepNext w:val="0"/>
              <w:keepLines w:val="0"/>
              <w:pageBreakBefore w:val="0"/>
              <w:widowControl w:val="0"/>
              <w:kinsoku/>
              <w:wordWrap/>
              <w:overflowPunct/>
              <w:topLinePunct w:val="0"/>
              <w:autoSpaceDE/>
              <w:autoSpaceDN/>
              <w:bidi w:val="0"/>
              <w:adjustRightInd w:val="0"/>
              <w:snapToGrid w:val="0"/>
              <w:ind w:firstLine="48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本项目位于</w:t>
            </w:r>
            <w:r>
              <w:rPr>
                <w:rFonts w:hint="default" w:ascii="Times New Roman" w:hAnsi="Times New Roman" w:eastAsia="宋体" w:cs="Times New Roman"/>
                <w:color w:val="000000" w:themeColor="text1"/>
                <w:lang w:eastAsia="zh-CN"/>
                <w14:textFill>
                  <w14:solidFill>
                    <w14:schemeClr w14:val="tx1"/>
                  </w14:solidFill>
                </w14:textFill>
              </w:rPr>
              <w:t>峨山县塔甸镇大西村委会大西山</w:t>
            </w:r>
            <w:r>
              <w:rPr>
                <w:rFonts w:hint="default" w:ascii="Times New Roman" w:hAnsi="Times New Roman" w:eastAsia="宋体" w:cs="Times New Roman"/>
                <w:color w:val="000000" w:themeColor="text1"/>
                <w14:textFill>
                  <w14:solidFill>
                    <w14:schemeClr w14:val="tx1"/>
                  </w14:solidFill>
                </w14:textFill>
              </w:rPr>
              <w:t>，距镇政府所在地38公里，距县城91km，</w:t>
            </w:r>
            <w:r>
              <w:rPr>
                <w:rFonts w:hint="default" w:ascii="Times New Roman" w:hAnsi="Times New Roman" w:eastAsia="宋体" w:cs="Times New Roman"/>
                <w:color w:val="000000" w:themeColor="text1"/>
                <w:lang w:val="en-US" w:eastAsia="zh-CN"/>
                <w14:textFill>
                  <w14:solidFill>
                    <w14:schemeClr w14:val="tx1"/>
                  </w14:solidFill>
                </w14:textFill>
              </w:rPr>
              <w:t>大西</w:t>
            </w:r>
            <w:r>
              <w:rPr>
                <w:rFonts w:hint="default" w:ascii="Times New Roman" w:hAnsi="Times New Roman" w:eastAsia="宋体" w:cs="Times New Roman"/>
                <w:color w:val="000000" w:themeColor="text1"/>
                <w14:textFill>
                  <w14:solidFill>
                    <w14:schemeClr w14:val="tx1"/>
                  </w14:solidFill>
                </w14:textFill>
              </w:rPr>
              <w:t>西南</w:t>
            </w:r>
            <w:r>
              <w:rPr>
                <w:rFonts w:hint="default" w:ascii="Times New Roman" w:hAnsi="Times New Roman" w:eastAsia="宋体" w:cs="Times New Roman"/>
                <w:color w:val="000000" w:themeColor="text1"/>
                <w:lang w:val="en-US" w:eastAsia="zh-CN"/>
                <w14:textFill>
                  <w14:solidFill>
                    <w14:schemeClr w14:val="tx1"/>
                  </w14:solidFill>
                </w14:textFill>
              </w:rPr>
              <w:t>侧</w:t>
            </w:r>
            <w:r>
              <w:rPr>
                <w:rFonts w:hint="default" w:ascii="Times New Roman" w:hAnsi="Times New Roman" w:eastAsia="宋体" w:cs="Times New Roman"/>
                <w:color w:val="000000" w:themeColor="text1"/>
                <w14:textFill>
                  <w14:solidFill>
                    <w14:schemeClr w14:val="tx1"/>
                  </w14:solidFill>
                </w14:textFill>
              </w:rPr>
              <w:t>与新平县平甸乡、新化乡山水相连，西北</w:t>
            </w:r>
            <w:r>
              <w:rPr>
                <w:rFonts w:hint="default" w:ascii="Times New Roman" w:hAnsi="Times New Roman" w:eastAsia="宋体" w:cs="Times New Roman"/>
                <w:color w:val="000000" w:themeColor="text1"/>
                <w:lang w:val="en-US" w:eastAsia="zh-CN"/>
                <w14:textFill>
                  <w14:solidFill>
                    <w14:schemeClr w14:val="tx1"/>
                  </w14:solidFill>
                </w14:textFill>
              </w:rPr>
              <w:t>侧</w:t>
            </w:r>
            <w:r>
              <w:rPr>
                <w:rFonts w:hint="default" w:ascii="Times New Roman" w:hAnsi="Times New Roman" w:eastAsia="宋体" w:cs="Times New Roman"/>
                <w:color w:val="000000" w:themeColor="text1"/>
                <w14:textFill>
                  <w14:solidFill>
                    <w14:schemeClr w14:val="tx1"/>
                  </w14:solidFill>
                </w14:textFill>
              </w:rPr>
              <w:t>与楚雄州双柏县隔江相望，北</w:t>
            </w:r>
            <w:r>
              <w:rPr>
                <w:rFonts w:hint="default" w:ascii="Times New Roman" w:hAnsi="Times New Roman" w:eastAsia="宋体" w:cs="Times New Roman"/>
                <w:color w:val="000000" w:themeColor="text1"/>
                <w:lang w:val="en-US" w:eastAsia="zh-CN"/>
                <w14:textFill>
                  <w14:solidFill>
                    <w14:schemeClr w14:val="tx1"/>
                  </w14:solidFill>
                </w14:textFill>
              </w:rPr>
              <w:t>侧</w:t>
            </w:r>
            <w:r>
              <w:rPr>
                <w:rFonts w:hint="default" w:ascii="Times New Roman" w:hAnsi="Times New Roman" w:eastAsia="宋体" w:cs="Times New Roman"/>
                <w:color w:val="000000" w:themeColor="text1"/>
                <w14:textFill>
                  <w14:solidFill>
                    <w14:schemeClr w14:val="tx1"/>
                  </w14:solidFill>
                </w14:textFill>
              </w:rPr>
              <w:t>与峨山县富良棚乡接壤。属亚热带高原季风气候，由于地势高差悬殊，年平均气温在15.4</w:t>
            </w:r>
            <w:r>
              <w:rPr>
                <w:rFonts w:hint="default" w:ascii="Times New Roman" w:hAnsi="Times New Roman" w:eastAsia="宋体" w:cs="Times New Roman"/>
                <w:color w:val="000000" w:themeColor="text1"/>
                <w:lang w:val="en-US"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w:t>
            </w:r>
            <w:r>
              <w:rPr>
                <w:rFonts w:hint="eastAsia" w:ascii="Times New Roman" w:hAnsi="Times New Roman" w:cs="Times New Roman"/>
                <w:color w:val="000000" w:themeColor="text1"/>
                <w:lang w:eastAsia="zh-CN"/>
                <w14:textFill>
                  <w14:solidFill>
                    <w14:schemeClr w14:val="tx1"/>
                  </w14:solidFill>
                </w14:textFill>
              </w:rPr>
              <w:t>平均年降水量</w:t>
            </w:r>
            <w:r>
              <w:rPr>
                <w:rFonts w:hint="default" w:ascii="Times New Roman" w:hAnsi="Times New Roman" w:eastAsia="宋体" w:cs="Times New Roman"/>
                <w:color w:val="000000" w:themeColor="text1"/>
                <w14:textFill>
                  <w14:solidFill>
                    <w14:schemeClr w14:val="tx1"/>
                  </w14:solidFill>
                </w14:textFill>
              </w:rPr>
              <w:t>1000～1100</w:t>
            </w:r>
            <w:r>
              <w:rPr>
                <w:rFonts w:hint="default" w:ascii="Times New Roman" w:hAnsi="Times New Roman" w:eastAsia="宋体" w:cs="Times New Roman"/>
                <w:color w:val="000000" w:themeColor="text1"/>
                <w:lang w:val="en-US" w:eastAsia="zh-CN"/>
                <w14:textFill>
                  <w14:solidFill>
                    <w14:schemeClr w14:val="tx1"/>
                  </w14:solidFill>
                </w14:textFill>
              </w:rPr>
              <w:t>m</w:t>
            </w:r>
            <w:r>
              <w:rPr>
                <w:rFonts w:hint="default" w:ascii="Times New Roman" w:hAnsi="Times New Roman" w:eastAsia="宋体" w:cs="Times New Roman"/>
                <w:color w:val="000000" w:themeColor="text1"/>
                <w14:textFill>
                  <w14:solidFill>
                    <w14:schemeClr w14:val="tx1"/>
                  </w14:solidFill>
                </w14:textFill>
              </w:rPr>
              <w:t>m</w:t>
            </w:r>
            <w:r>
              <w:rPr>
                <w:rFonts w:hint="default" w:ascii="Times New Roman" w:hAnsi="Times New Roman" w:eastAsia="宋体"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平均海拔2210m最高海拔2406m大西村林地面积3586.53hm</w:t>
            </w:r>
            <w:r>
              <w:rPr>
                <w:rFonts w:hint="default" w:ascii="Times New Roman" w:hAnsi="Times New Roman" w:eastAsia="宋体" w:cs="Times New Roman"/>
                <w:color w:val="000000" w:themeColor="text1"/>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14:textFill>
                  <w14:solidFill>
                    <w14:schemeClr w14:val="tx1"/>
                  </w14:solidFill>
                </w14:textFill>
              </w:rPr>
              <w:t>，森林覆盖率为64.4%</w:t>
            </w:r>
            <w:r>
              <w:rPr>
                <w:rFonts w:hint="default" w:ascii="Times New Roman" w:hAnsi="Times New Roman" w:eastAsia="宋体"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耕地321.20hm</w:t>
            </w:r>
            <w:r>
              <w:rPr>
                <w:rFonts w:hint="default" w:ascii="Times New Roman" w:hAnsi="Times New Roman" w:eastAsia="宋体" w:cs="Times New Roman"/>
                <w:color w:val="000000" w:themeColor="text1"/>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14:textFill>
                  <w14:solidFill>
                    <w14:schemeClr w14:val="tx1"/>
                  </w14:solidFill>
                </w14:textFill>
              </w:rPr>
              <w:t>人均0.17hm</w:t>
            </w:r>
            <w:r>
              <w:rPr>
                <w:rFonts w:hint="default" w:ascii="Times New Roman" w:hAnsi="Times New Roman" w:eastAsia="宋体" w:cs="Times New Roman"/>
                <w:color w:val="000000" w:themeColor="text1"/>
                <w:lang w:val="en-US" w:eastAsia="zh-CN"/>
                <w14:textFill>
                  <w14:solidFill>
                    <w14:schemeClr w14:val="tx1"/>
                  </w14:solidFill>
                </w14:textFill>
              </w:rPr>
              <w:t>²</w:t>
            </w:r>
            <w:r>
              <w:rPr>
                <w:rFonts w:hint="default" w:ascii="Times New Roman" w:hAnsi="Times New Roman" w:eastAsia="宋体" w:cs="Times New Roman"/>
                <w:color w:val="000000" w:themeColor="text1"/>
                <w14:textFill>
                  <w14:solidFill>
                    <w14:schemeClr w14:val="tx1"/>
                  </w14:solidFill>
                </w14:textFill>
              </w:rPr>
              <w:t>。</w:t>
            </w:r>
          </w:p>
          <w:p w14:paraId="2229C6A6">
            <w:pPr>
              <w:keepNext w:val="0"/>
              <w:keepLines w:val="0"/>
              <w:pageBreakBefore w:val="0"/>
              <w:widowControl w:val="0"/>
              <w:kinsoku/>
              <w:wordWrap/>
              <w:overflowPunct/>
              <w:topLinePunct w:val="0"/>
              <w:autoSpaceDE/>
              <w:autoSpaceDN/>
              <w:bidi w:val="0"/>
              <w:adjustRightInd w:val="0"/>
              <w:snapToGrid w:val="0"/>
              <w:ind w:firstLine="480"/>
              <w:jc w:val="both"/>
              <w:textAlignment w:val="auto"/>
              <w:rPr>
                <w:rFonts w:hint="default"/>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该行政村总面积55.56平方公里，人均耕地1.85亩，主要种植烤烟、</w:t>
            </w:r>
            <w:r>
              <w:rPr>
                <w:rFonts w:hint="default" w:ascii="Times New Roman" w:hAnsi="Times New Roman" w:eastAsia="宋体" w:cs="Times New Roman"/>
                <w:color w:val="000000" w:themeColor="text1"/>
                <w:lang w:val="en-US" w:eastAsia="zh-CN"/>
                <w14:textFill>
                  <w14:solidFill>
                    <w14:schemeClr w14:val="tx1"/>
                  </w14:solidFill>
                </w14:textFill>
              </w:rPr>
              <w:t>番茄</w:t>
            </w:r>
            <w:r>
              <w:rPr>
                <w:rFonts w:hint="default" w:ascii="Times New Roman" w:hAnsi="Times New Roman" w:eastAsia="宋体" w:cs="Times New Roman"/>
                <w:color w:val="000000" w:themeColor="text1"/>
                <w14:textFill>
                  <w14:solidFill>
                    <w14:schemeClr w14:val="tx1"/>
                  </w14:solidFill>
                </w14:textFill>
              </w:rPr>
              <w:t>、玉米、紫洋芋等作物。农户主要经济收入来源于烤烟种植，其次为猪、牛、羊、鸡等养殖业，部分家庭采摘野生菌销售收入也是重要经济渠道。</w:t>
            </w:r>
          </w:p>
        </w:tc>
      </w:tr>
      <w:tr w14:paraId="25B41C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97" w:hRule="atLeast"/>
          <w:jc w:val="center"/>
        </w:trPr>
        <w:tc>
          <w:tcPr>
            <w:tcW w:w="448" w:type="pct"/>
            <w:vAlign w:val="center"/>
          </w:tcPr>
          <w:p w14:paraId="72F5992E">
            <w:pPr>
              <w:adjustRightInd w:val="0"/>
              <w:snapToGrid w:val="0"/>
              <w:ind w:firstLine="0" w:firstLineChars="0"/>
              <w:jc w:val="both"/>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项目组成及规模</w:t>
            </w:r>
          </w:p>
        </w:tc>
        <w:tc>
          <w:tcPr>
            <w:tcW w:w="4551" w:type="pct"/>
            <w:vAlign w:val="center"/>
          </w:tcPr>
          <w:p w14:paraId="42F9ED3E">
            <w:pPr>
              <w:keepNext w:val="0"/>
              <w:keepLines w:val="0"/>
              <w:pageBreakBefore w:val="0"/>
              <w:widowControl w:val="0"/>
              <w:numPr>
                <w:ilvl w:val="0"/>
                <w:numId w:val="0"/>
              </w:numPr>
              <w:kinsoku/>
              <w:wordWrap/>
              <w:overflowPunct/>
              <w:topLinePunct w:val="0"/>
              <w:autoSpaceDE/>
              <w:autoSpaceDN/>
              <w:bidi w:val="0"/>
              <w:adjustRightInd w:val="0"/>
              <w:snapToGrid w:val="0"/>
              <w:ind w:leftChars="0"/>
              <w:jc w:val="both"/>
              <w:textAlignment w:val="auto"/>
              <w:rPr>
                <w:rFonts w:hint="default" w:ascii="Times New Roman" w:hAnsi="Times New Roman" w:eastAsia="宋体" w:cs="Times New Roman"/>
                <w:b/>
                <w:bCs/>
                <w:color w:val="000000" w:themeColor="text1"/>
                <w:sz w:val="24"/>
                <w:lang w:val="en-US" w:eastAsia="zh-CN"/>
                <w14:textFill>
                  <w14:solidFill>
                    <w14:schemeClr w14:val="tx1"/>
                  </w14:solidFill>
                </w14:textFill>
              </w:rPr>
            </w:pPr>
            <w:r>
              <w:rPr>
                <w:rFonts w:hint="default" w:ascii="Times New Roman" w:hAnsi="Times New Roman" w:eastAsia="宋体" w:cs="Times New Roman"/>
                <w:b/>
                <w:bCs/>
                <w:color w:val="000000" w:themeColor="text1"/>
                <w:sz w:val="24"/>
                <w:lang w:val="en-US" w:eastAsia="zh-CN"/>
                <w14:textFill>
                  <w14:solidFill>
                    <w14:schemeClr w14:val="tx1"/>
                  </w14:solidFill>
                </w14:textFill>
              </w:rPr>
              <w:t>一、工程概况</w:t>
            </w:r>
          </w:p>
          <w:p w14:paraId="469A22F3">
            <w:pPr>
              <w:keepNext w:val="0"/>
              <w:keepLines w:val="0"/>
              <w:pageBreakBefore w:val="0"/>
              <w:widowControl w:val="0"/>
              <w:kinsoku/>
              <w:wordWrap/>
              <w:overflowPunct/>
              <w:topLinePunct w:val="0"/>
              <w:autoSpaceDE/>
              <w:autoSpaceDN/>
              <w:bidi w:val="0"/>
              <w:adjustRightInd w:val="0"/>
              <w:snapToGrid w:val="0"/>
              <w:ind w:firstLine="480"/>
              <w:jc w:val="both"/>
              <w:textAlignment w:val="auto"/>
              <w:rPr>
                <w:rFonts w:hint="default"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项目名称：峨山县大西农林种植基地建设项目</w:t>
            </w:r>
          </w:p>
          <w:p w14:paraId="53BC4740">
            <w:pPr>
              <w:keepNext w:val="0"/>
              <w:keepLines w:val="0"/>
              <w:pageBreakBefore w:val="0"/>
              <w:widowControl w:val="0"/>
              <w:kinsoku/>
              <w:wordWrap/>
              <w:overflowPunct/>
              <w:topLinePunct w:val="0"/>
              <w:autoSpaceDE/>
              <w:autoSpaceDN/>
              <w:bidi w:val="0"/>
              <w:adjustRightInd w:val="0"/>
              <w:snapToGrid w:val="0"/>
              <w:ind w:firstLine="480"/>
              <w:jc w:val="both"/>
              <w:textAlignment w:val="auto"/>
              <w:rPr>
                <w:rFonts w:hint="default"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建设单位：</w:t>
            </w:r>
            <w:r>
              <w:rPr>
                <w:rFonts w:hint="default" w:ascii="Times New Roman" w:hAnsi="Times New Roman" w:eastAsia="宋体" w:cs="Times New Roman"/>
                <w:color w:val="000000" w:themeColor="text1"/>
                <w:lang w:val="en-US" w:eastAsia="zh-CN"/>
                <w14:textFill>
                  <w14:solidFill>
                    <w14:schemeClr w14:val="tx1"/>
                  </w14:solidFill>
                </w14:textFill>
              </w:rPr>
              <w:t>玉溪市洛河昱鑫工贸有限公司</w:t>
            </w:r>
          </w:p>
          <w:p w14:paraId="33161E0A">
            <w:pPr>
              <w:keepNext w:val="0"/>
              <w:keepLines w:val="0"/>
              <w:pageBreakBefore w:val="0"/>
              <w:widowControl w:val="0"/>
              <w:kinsoku/>
              <w:wordWrap/>
              <w:overflowPunct/>
              <w:topLinePunct w:val="0"/>
              <w:autoSpaceDE/>
              <w:autoSpaceDN/>
              <w:bidi w:val="0"/>
              <w:adjustRightInd w:val="0"/>
              <w:snapToGrid w:val="0"/>
              <w:ind w:firstLine="480"/>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建设性质：新建</w:t>
            </w:r>
          </w:p>
          <w:p w14:paraId="1BA7146E">
            <w:pPr>
              <w:keepNext w:val="0"/>
              <w:keepLines w:val="0"/>
              <w:pageBreakBefore w:val="0"/>
              <w:widowControl w:val="0"/>
              <w:kinsoku/>
              <w:wordWrap/>
              <w:overflowPunct/>
              <w:topLinePunct w:val="0"/>
              <w:autoSpaceDE/>
              <w:autoSpaceDN/>
              <w:bidi w:val="0"/>
              <w:adjustRightInd w:val="0"/>
              <w:snapToGrid w:val="0"/>
              <w:ind w:firstLine="48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建设地点：</w:t>
            </w:r>
            <w:r>
              <w:rPr>
                <w:rFonts w:hint="default" w:ascii="Times New Roman" w:hAnsi="Times New Roman" w:eastAsia="宋体" w:cs="Times New Roman"/>
                <w:color w:val="000000" w:themeColor="text1"/>
                <w:lang w:val="en-US" w:eastAsia="zh-CN"/>
                <w14:textFill>
                  <w14:solidFill>
                    <w14:schemeClr w14:val="tx1"/>
                  </w14:solidFill>
                </w14:textFill>
              </w:rPr>
              <w:t>峨山县塔甸镇大西村委会大西山</w:t>
            </w:r>
          </w:p>
          <w:p w14:paraId="5F3F07E3">
            <w:pPr>
              <w:keepNext w:val="0"/>
              <w:keepLines w:val="0"/>
              <w:pageBreakBefore w:val="0"/>
              <w:widowControl w:val="0"/>
              <w:kinsoku/>
              <w:wordWrap/>
              <w:overflowPunct/>
              <w:topLinePunct w:val="0"/>
              <w:autoSpaceDE/>
              <w:autoSpaceDN/>
              <w:bidi w:val="0"/>
              <w:adjustRightInd w:val="0"/>
              <w:snapToGrid w:val="0"/>
              <w:ind w:firstLine="0" w:firstLineChars="0"/>
              <w:jc w:val="both"/>
              <w:textAlignment w:val="auto"/>
              <w:rPr>
                <w:rFonts w:hint="default" w:ascii="Times New Roman" w:hAnsi="Times New Roman" w:eastAsia="宋体" w:cs="Times New Roman"/>
                <w:b/>
                <w:bCs/>
                <w:color w:val="000000" w:themeColor="text1"/>
                <w:highlight w:val="none"/>
                <w:lang w:eastAsia="zh-CN"/>
                <w14:textFill>
                  <w14:solidFill>
                    <w14:schemeClr w14:val="tx1"/>
                  </w14:solidFill>
                </w14:textFill>
              </w:rPr>
            </w:pPr>
            <w:r>
              <w:rPr>
                <w:rFonts w:hint="default" w:ascii="Times New Roman" w:hAnsi="Times New Roman" w:eastAsia="宋体" w:cs="Times New Roman"/>
                <w:b/>
                <w:bCs/>
                <w:color w:val="000000" w:themeColor="text1"/>
                <w:highlight w:val="none"/>
                <w14:textFill>
                  <w14:solidFill>
                    <w14:schemeClr w14:val="tx1"/>
                  </w14:solidFill>
                </w14:textFill>
              </w:rPr>
              <w:t>二、工程</w:t>
            </w:r>
            <w:r>
              <w:rPr>
                <w:rFonts w:hint="default" w:ascii="Times New Roman" w:hAnsi="Times New Roman" w:eastAsia="宋体" w:cs="Times New Roman"/>
                <w:b/>
                <w:bCs/>
                <w:color w:val="000000" w:themeColor="text1"/>
                <w:highlight w:val="none"/>
                <w:lang w:eastAsia="zh-CN"/>
                <w14:textFill>
                  <w14:solidFill>
                    <w14:schemeClr w14:val="tx1"/>
                  </w14:solidFill>
                </w14:textFill>
              </w:rPr>
              <w:t>组成</w:t>
            </w:r>
          </w:p>
          <w:p w14:paraId="702ACB7C">
            <w:pPr>
              <w:keepNext w:val="0"/>
              <w:keepLines w:val="0"/>
              <w:pageBreakBefore w:val="0"/>
              <w:widowControl w:val="0"/>
              <w:kinsoku/>
              <w:wordWrap/>
              <w:overflowPunct/>
              <w:topLinePunct w:val="0"/>
              <w:autoSpaceDE/>
              <w:autoSpaceDN/>
              <w:bidi w:val="0"/>
              <w:adjustRightInd w:val="0"/>
              <w:snapToGrid w:val="0"/>
              <w:ind w:firstLine="480"/>
              <w:jc w:val="both"/>
              <w:textAlignment w:val="auto"/>
              <w:rPr>
                <w:rFonts w:hint="default" w:ascii="Times New Roman" w:hAnsi="Times New Roman" w:eastAsia="宋体" w:cs="Times New Roman"/>
                <w:color w:val="000000" w:themeColor="text1"/>
                <w:lang w:val="en-US"/>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t>项</w:t>
            </w:r>
            <w:r>
              <w:rPr>
                <w:rFonts w:hint="default" w:ascii="Times New Roman" w:hAnsi="Times New Roman" w:eastAsia="宋体" w:cs="Times New Roman"/>
                <w:color w:val="000000" w:themeColor="text1"/>
                <w14:textFill>
                  <w14:solidFill>
                    <w14:schemeClr w14:val="tx1"/>
                  </w14:solidFill>
                </w14:textFill>
              </w:rPr>
              <w:t>目规划占地面积约</w:t>
            </w:r>
            <w:r>
              <w:rPr>
                <w:rFonts w:hint="default" w:ascii="Times New Roman" w:hAnsi="Times New Roman" w:eastAsia="宋体" w:cs="Times New Roman"/>
                <w:color w:val="000000" w:themeColor="text1"/>
                <w:lang w:val="en-US" w:eastAsia="zh-CN"/>
                <w14:textFill>
                  <w14:solidFill>
                    <w14:schemeClr w14:val="tx1"/>
                  </w14:solidFill>
                </w14:textFill>
              </w:rPr>
              <w:t>14</w:t>
            </w:r>
            <w:r>
              <w:rPr>
                <w:rFonts w:hint="eastAsia" w:ascii="Times New Roman" w:hAnsi="Times New Roman" w:cs="Times New Roman"/>
                <w:color w:val="000000" w:themeColor="text1"/>
                <w:lang w:val="en-US" w:eastAsia="zh-CN"/>
                <w14:textFill>
                  <w14:solidFill>
                    <w14:schemeClr w14:val="tx1"/>
                  </w14:solidFill>
                </w14:textFill>
              </w:rPr>
              <w:t>86.8</w:t>
            </w:r>
            <w:r>
              <w:rPr>
                <w:rFonts w:hint="default" w:ascii="Times New Roman" w:hAnsi="Times New Roman" w:eastAsia="宋体" w:cs="Times New Roman"/>
                <w:color w:val="000000" w:themeColor="text1"/>
                <w14:textFill>
                  <w14:solidFill>
                    <w14:schemeClr w14:val="tx1"/>
                  </w14:solidFill>
                </w14:textFill>
              </w:rPr>
              <w:t>亩</w:t>
            </w:r>
            <w:r>
              <w:rPr>
                <w:rFonts w:hint="default" w:ascii="Times New Roman" w:hAnsi="Times New Roman" w:eastAsia="宋体"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农产品、药材种植面积约1283.88亩，辅助工程建设用地面积约163.96亩</w:t>
            </w:r>
            <w:r>
              <w:rPr>
                <w:rFonts w:hint="eastAsia" w:ascii="Times New Roman" w:hAnsi="Times New Roman" w:cs="Times New Roman"/>
                <w:color w:val="000000" w:themeColor="text1"/>
                <w:lang w:val="en-US" w:eastAsia="zh-CN"/>
                <w14:textFill>
                  <w14:solidFill>
                    <w14:schemeClr w14:val="tx1"/>
                  </w14:solidFill>
                </w14:textFill>
              </w:rPr>
              <w:t>，</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截排水沟占地面积18.41亩</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及未利用地部分面积20.35亩（仅涉及一片区）。</w:t>
            </w:r>
          </w:p>
          <w:p w14:paraId="388CC09E">
            <w:pPr>
              <w:keepNext w:val="0"/>
              <w:keepLines w:val="0"/>
              <w:pageBreakBefore w:val="0"/>
              <w:widowControl w:val="0"/>
              <w:kinsoku/>
              <w:wordWrap/>
              <w:overflowPunct/>
              <w:topLinePunct w:val="0"/>
              <w:autoSpaceDE/>
              <w:autoSpaceDN/>
              <w:bidi w:val="0"/>
              <w:adjustRightInd w:val="0"/>
              <w:snapToGrid w:val="0"/>
              <w:ind w:firstLine="48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1</w:t>
            </w:r>
            <w:r>
              <w:rPr>
                <w:rFonts w:hint="default" w:ascii="Times New Roman" w:hAnsi="Times New Roman" w:eastAsia="宋体" w:cs="Times New Roman"/>
                <w:color w:val="000000" w:themeColor="text1"/>
                <w:lang w:eastAsia="zh-CN"/>
                <w14:textFill>
                  <w14:solidFill>
                    <w14:schemeClr w14:val="tx1"/>
                  </w14:solidFill>
                </w14:textFill>
              </w:rPr>
              <w:t>）农产品、药材种植：</w:t>
            </w:r>
            <w:r>
              <w:rPr>
                <w:rFonts w:hint="default" w:ascii="Times New Roman" w:hAnsi="Times New Roman" w:eastAsia="宋体" w:cs="Times New Roman"/>
                <w:color w:val="000000" w:themeColor="text1"/>
                <w:lang w:val="en-US" w:eastAsia="zh-CN"/>
                <w14:textFill>
                  <w14:solidFill>
                    <w14:schemeClr w14:val="tx1"/>
                  </w14:solidFill>
                </w14:textFill>
              </w:rPr>
              <w:t>蓝莓种植</w:t>
            </w:r>
            <w:r>
              <w:rPr>
                <w:rFonts w:hint="default" w:ascii="Times New Roman" w:hAnsi="Times New Roman" w:eastAsia="宋体" w:cs="Times New Roman"/>
                <w:color w:val="000000" w:themeColor="text1"/>
                <w14:textFill>
                  <w14:solidFill>
                    <w14:schemeClr w14:val="tx1"/>
                  </w14:solidFill>
                </w14:textFill>
              </w:rPr>
              <w:t>建设规模</w:t>
            </w:r>
            <w:r>
              <w:rPr>
                <w:rFonts w:hint="default" w:ascii="Times New Roman" w:hAnsi="Times New Roman" w:eastAsia="宋体" w:cs="Times New Roman"/>
                <w:color w:val="000000" w:themeColor="text1"/>
                <w:lang w:val="en-US" w:eastAsia="zh-CN"/>
                <w14:textFill>
                  <w14:solidFill>
                    <w14:schemeClr w14:val="tx1"/>
                  </w14:solidFill>
                </w14:textFill>
              </w:rPr>
              <w:t>380.28亩、三七种植建设规模385.59亩、羊肚菌种植建设规模465.29亩</w:t>
            </w:r>
            <w:r>
              <w:rPr>
                <w:rFonts w:hint="default" w:ascii="Times New Roman" w:hAnsi="Times New Roman" w:eastAsia="宋体" w:cs="Times New Roman"/>
                <w:color w:val="000000" w:themeColor="text1"/>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桃子种植建设规模27.24亩，苹果种植建设规模25.48亩。</w:t>
            </w:r>
          </w:p>
          <w:p w14:paraId="321C311E">
            <w:pPr>
              <w:keepNext w:val="0"/>
              <w:keepLines w:val="0"/>
              <w:pageBreakBefore w:val="0"/>
              <w:widowControl w:val="0"/>
              <w:kinsoku/>
              <w:wordWrap/>
              <w:overflowPunct/>
              <w:topLinePunct w:val="0"/>
              <w:autoSpaceDE/>
              <w:autoSpaceDN/>
              <w:bidi w:val="0"/>
              <w:adjustRightInd w:val="0"/>
              <w:snapToGrid w:val="0"/>
              <w:ind w:firstLine="48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（2）基础设施和支撑体系</w:t>
            </w:r>
          </w:p>
          <w:p w14:paraId="4A907364">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1）一片区：</w:t>
            </w:r>
          </w:p>
          <w:p w14:paraId="2E63E4B1">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pP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（1）</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一片区：</w:t>
            </w:r>
          </w:p>
          <w:p w14:paraId="6A17C499">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000000" w:themeColor="text1"/>
                <w:kern w:val="0"/>
                <w:sz w:val="24"/>
                <w:szCs w:val="24"/>
                <w:highlight w:val="yellow"/>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占地面积</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332.71</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亩，其中种植面积约262.51</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亩</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蓝莓种植规模135.68亩、羊肚菌种植规模74.11亩</w:t>
            </w: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桃子种植规模27.24亩，苹果树种植25.48亩</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），辅助工程建设占地面积42.17亩，</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截排水沟占地约7.68亩，未利用地面积约为20.35亩</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项目投资备案证总占地面积为304.68亩，只包含了项目区种植面积及辅助工程面积，未包含截排水沟占地面积（7.68亩）及未利用地部分面积（20.35亩）。</w:t>
            </w:r>
          </w:p>
          <w:p w14:paraId="2B3407C0">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000000" w:themeColor="text1"/>
                <w:kern w:val="0"/>
                <w:sz w:val="24"/>
                <w:szCs w:val="24"/>
                <w:highlight w:val="none"/>
                <w:vertAlign w:val="baseli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根据《峨山县林业和草原局关于云南大西林下仿野生食用菌种植基地建设项目一期直接为林业生产服务工程设施使用林地的批复》（详见附件9）同意云南大西林下仿野生食用菌种植基地建设项目一期直接为林业生产服务工程设施使用峨山县塔甸镇集体林地面积3.9717公顷</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（59.5755亩）</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其中</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看护房规划面积为11393m</w:t>
            </w:r>
            <w:r>
              <w:rPr>
                <w:rFonts w:hint="default" w:ascii="Times New Roman" w:hAnsi="Times New Roman" w:eastAsia="宋体" w:cs="Times New Roman"/>
                <w:color w:val="000000" w:themeColor="text1"/>
                <w:kern w:val="0"/>
                <w:sz w:val="24"/>
                <w:szCs w:val="24"/>
                <w:highlight w:val="none"/>
                <w:vertAlign w:val="superscript"/>
                <w:lang w:val="en-US" w:eastAsia="zh-CN" w:bidi="ar"/>
                <w14:textFill>
                  <w14:solidFill>
                    <w14:schemeClr w14:val="tx1"/>
                  </w14:solidFill>
                </w14:textFill>
              </w:rPr>
              <w:t>2</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，水池规划面积为10295m</w:t>
            </w:r>
            <w:r>
              <w:rPr>
                <w:rFonts w:hint="default" w:ascii="Times New Roman" w:hAnsi="Times New Roman" w:eastAsia="宋体" w:cs="Times New Roman"/>
                <w:color w:val="000000" w:themeColor="text1"/>
                <w:kern w:val="0"/>
                <w:sz w:val="24"/>
                <w:szCs w:val="24"/>
                <w:highlight w:val="none"/>
                <w:vertAlign w:val="superscript"/>
                <w:lang w:val="en-US" w:eastAsia="zh-CN" w:bidi="ar"/>
                <w14:textFill>
                  <w14:solidFill>
                    <w14:schemeClr w14:val="tx1"/>
                  </w14:solidFill>
                </w14:textFill>
              </w:rPr>
              <w:t>2</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，道路规划面积为18029m</w:t>
            </w:r>
            <w:r>
              <w:rPr>
                <w:rFonts w:hint="default" w:ascii="Times New Roman" w:hAnsi="Times New Roman" w:eastAsia="宋体" w:cs="Times New Roman"/>
                <w:color w:val="000000" w:themeColor="text1"/>
                <w:kern w:val="0"/>
                <w:sz w:val="24"/>
                <w:szCs w:val="24"/>
                <w:highlight w:val="none"/>
                <w:vertAlign w:val="superscript"/>
                <w:lang w:val="en-US" w:eastAsia="zh-CN" w:bidi="ar"/>
                <w14:textFill>
                  <w14:solidFill>
                    <w14:schemeClr w14:val="tx1"/>
                  </w14:solidFill>
                </w14:textFill>
              </w:rPr>
              <w:t>2</w:t>
            </w:r>
            <w:r>
              <w:rPr>
                <w:rFonts w:hint="default" w:ascii="Times New Roman" w:hAnsi="Times New Roman" w:eastAsia="宋体" w:cs="Times New Roman"/>
                <w:color w:val="000000" w:themeColor="text1"/>
                <w:kern w:val="0"/>
                <w:sz w:val="24"/>
                <w:szCs w:val="24"/>
                <w:highlight w:val="none"/>
                <w:vertAlign w:val="baseline"/>
                <w:lang w:val="en-US" w:eastAsia="zh-CN" w:bidi="ar"/>
                <w14:textFill>
                  <w14:solidFill>
                    <w14:schemeClr w14:val="tx1"/>
                  </w14:solidFill>
                </w14:textFill>
              </w:rPr>
              <w:t>。</w:t>
            </w:r>
          </w:p>
          <w:p w14:paraId="37E583D5">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vertAlign w:val="baseline"/>
                <w:lang w:val="en-US" w:eastAsia="zh-CN" w:bidi="ar"/>
                <w14:textFill>
                  <w14:solidFill>
                    <w14:schemeClr w14:val="tx1"/>
                  </w14:solidFill>
                </w14:textFill>
              </w:rPr>
              <w:t>根据实际情况规划</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辅助工程建设用地面积约42.17</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亩，其中</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规划道路占地</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面积为</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3</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2.34</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亩</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（21560m</w:t>
            </w:r>
            <w:r>
              <w:rPr>
                <w:rFonts w:hint="eastAsia" w:ascii="Times New Roman" w:hAnsi="Times New Roman" w:cs="Times New Roman"/>
                <w:color w:val="000000" w:themeColor="text1"/>
                <w:kern w:val="0"/>
                <w:sz w:val="24"/>
                <w:szCs w:val="24"/>
                <w:highlight w:val="none"/>
                <w:vertAlign w:val="superscript"/>
                <w:lang w:val="en-US" w:eastAsia="zh-CN" w:bidi="ar"/>
                <w14:textFill>
                  <w14:solidFill>
                    <w14:schemeClr w14:val="tx1"/>
                  </w14:solidFill>
                </w14:textFill>
              </w:rPr>
              <w:t>2</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，长度</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8674</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m）</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沉淀池</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1</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个</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占</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地</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面积为0.24亩</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（160.45m</w:t>
            </w:r>
            <w:r>
              <w:rPr>
                <w:rFonts w:hint="eastAsia" w:ascii="Times New Roman" w:hAnsi="Times New Roman" w:cs="Times New Roman"/>
                <w:color w:val="000000" w:themeColor="text1"/>
                <w:kern w:val="0"/>
                <w:sz w:val="24"/>
                <w:szCs w:val="24"/>
                <w:highlight w:val="none"/>
                <w:vertAlign w:val="superscript"/>
                <w:lang w:val="en-US" w:eastAsia="zh-CN" w:bidi="ar"/>
                <w14:textFill>
                  <w14:solidFill>
                    <w14:schemeClr w14:val="tx1"/>
                  </w14:solidFill>
                </w14:textFill>
              </w:rPr>
              <w:t>2</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容积</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160.45</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m</w:t>
            </w:r>
            <w:r>
              <w:rPr>
                <w:rFonts w:hint="default" w:ascii="Times New Roman" w:hAnsi="Times New Roman" w:eastAsia="宋体" w:cs="Times New Roman"/>
                <w:color w:val="000000" w:themeColor="text1"/>
                <w:kern w:val="0"/>
                <w:sz w:val="24"/>
                <w:szCs w:val="24"/>
                <w:highlight w:val="none"/>
                <w:vertAlign w:val="superscript"/>
                <w:lang w:val="en-US" w:eastAsia="zh-CN" w:bidi="ar"/>
                <w14:textFill>
                  <w14:solidFill>
                    <w14:schemeClr w14:val="tx1"/>
                  </w14:solidFill>
                </w14:textFill>
              </w:rPr>
              <w:t>3</w:t>
            </w:r>
            <w:r>
              <w:rPr>
                <w:rFonts w:hint="eastAsia" w:ascii="Times New Roman" w:hAnsi="Times New Roman" w:cs="Times New Roman"/>
                <w:color w:val="000000" w:themeColor="text1"/>
                <w:kern w:val="0"/>
                <w:sz w:val="24"/>
                <w:szCs w:val="24"/>
                <w:highlight w:val="none"/>
                <w:vertAlign w:val="baseline"/>
                <w:lang w:val="en-US" w:eastAsia="zh-CN" w:bidi="ar"/>
                <w14:textFill>
                  <w14:solidFill>
                    <w14:schemeClr w14:val="tx1"/>
                  </w14:solidFill>
                </w14:textFill>
              </w:rPr>
              <w:t>）</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水肥中心</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1</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个，占地</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面积为1.5亩（</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1000m</w:t>
            </w:r>
            <w:r>
              <w:rPr>
                <w:rFonts w:hint="default" w:ascii="Times New Roman" w:hAnsi="Times New Roman" w:eastAsia="宋体" w:cs="Times New Roman"/>
                <w:color w:val="000000" w:themeColor="text1"/>
                <w:kern w:val="0"/>
                <w:sz w:val="24"/>
                <w:szCs w:val="24"/>
                <w:highlight w:val="none"/>
                <w:vertAlign w:val="superscript"/>
                <w:lang w:val="en-US" w:eastAsia="zh-CN" w:bidi="ar"/>
                <w14:textFill>
                  <w14:solidFill>
                    <w14:schemeClr w14:val="tx1"/>
                  </w14:solidFill>
                </w14:textFill>
              </w:rPr>
              <w:t>2</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。管护用房</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5</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间，</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总占地面积为3.49亩（2324.18</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m</w:t>
            </w:r>
            <w:r>
              <w:rPr>
                <w:rFonts w:hint="default" w:ascii="Times New Roman" w:hAnsi="Times New Roman" w:eastAsia="宋体" w:cs="Times New Roman"/>
                <w:color w:val="000000" w:themeColor="text1"/>
                <w:kern w:val="0"/>
                <w:sz w:val="24"/>
                <w:szCs w:val="24"/>
                <w:highlight w:val="none"/>
                <w:vertAlign w:val="superscript"/>
                <w:lang w:val="en-US" w:eastAsia="zh-CN" w:bidi="ar"/>
                <w14:textFill>
                  <w14:solidFill>
                    <w14:schemeClr w14:val="tx1"/>
                  </w14:solidFill>
                </w14:textFill>
              </w:rPr>
              <w:t>2</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水池3个，</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总</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占地</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面积为</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4.6亩（3068.08m</w:t>
            </w:r>
            <w:r>
              <w:rPr>
                <w:rFonts w:hint="eastAsia" w:ascii="Times New Roman" w:hAnsi="Times New Roman" w:cs="Times New Roman"/>
                <w:color w:val="000000" w:themeColor="text1"/>
                <w:kern w:val="0"/>
                <w:sz w:val="24"/>
                <w:szCs w:val="24"/>
                <w:highlight w:val="none"/>
                <w:vertAlign w:val="superscript"/>
                <w:lang w:val="en-US" w:eastAsia="zh-CN" w:bidi="ar"/>
                <w14:textFill>
                  <w14:solidFill>
                    <w14:schemeClr w14:val="tx1"/>
                  </w14:solidFill>
                </w14:textFill>
              </w:rPr>
              <w:t>2</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总容积为6136.16m</w:t>
            </w:r>
            <w:r>
              <w:rPr>
                <w:rFonts w:hint="eastAsia" w:ascii="Times New Roman" w:hAnsi="Times New Roman" w:cs="Times New Roman"/>
                <w:color w:val="000000" w:themeColor="text1"/>
                <w:sz w:val="24"/>
                <w:szCs w:val="24"/>
                <w:highlight w:val="none"/>
                <w:vertAlign w:val="superscript"/>
                <w:lang w:val="en-US" w:eastAsia="zh-CN"/>
                <w14:textFill>
                  <w14:solidFill>
                    <w14:schemeClr w14:val="tx1"/>
                  </w14:solidFill>
                </w14:textFill>
              </w:rPr>
              <w:t>3</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场地内及厂界外截排水沟占地约7.68亩，长度13</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050</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m</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未利用地面积约为20.35亩（13566.67m</w:t>
            </w:r>
            <w:r>
              <w:rPr>
                <w:rFonts w:hint="eastAsia" w:ascii="Times New Roman" w:hAnsi="Times New Roman" w:cs="Times New Roman"/>
                <w:color w:val="000000" w:themeColor="text1"/>
                <w:kern w:val="0"/>
                <w:sz w:val="24"/>
                <w:szCs w:val="24"/>
                <w:highlight w:val="none"/>
                <w:vertAlign w:val="superscript"/>
                <w:lang w:val="en-US" w:eastAsia="zh-CN" w:bidi="ar"/>
                <w14:textFill>
                  <w14:solidFill>
                    <w14:schemeClr w14:val="tx1"/>
                  </w14:solidFill>
                </w14:textFill>
              </w:rPr>
              <w:t>2</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w:t>
            </w:r>
          </w:p>
          <w:p w14:paraId="44908406">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000000" w:themeColor="text1"/>
                <w:sz w:val="24"/>
                <w:szCs w:val="24"/>
                <w:highlight w:val="yellow"/>
                <w:lang w:val="en-US"/>
                <w14:textFill>
                  <w14:solidFill>
                    <w14:schemeClr w14:val="tx1"/>
                  </w14:solidFill>
                </w14:textFill>
              </w:rPr>
            </w:pP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前期办理单位大杉农林科技发展（云南）有限公司，后期项目和该公司承租了土地，沿用已办理许可决定，前期计划为林下种植，现根据我公司种植模式调整为棚内及露天种植方式。</w:t>
            </w:r>
          </w:p>
          <w:p w14:paraId="1CADB05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kern w:val="0"/>
                <w:sz w:val="24"/>
                <w:szCs w:val="24"/>
                <w:highlight w:val="yellow"/>
                <w:lang w:val="en-US" w:eastAsia="zh-CN" w:bidi="ar"/>
                <w14:textFill>
                  <w14:solidFill>
                    <w14:schemeClr w14:val="tx1"/>
                  </w14:solidFill>
                </w14:textFill>
              </w:rPr>
            </w:pP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具体工程详见下表</w:t>
            </w:r>
          </w:p>
          <w:p w14:paraId="63D1D9D9">
            <w:pPr>
              <w:pStyle w:val="35"/>
              <w:keepNext w:val="0"/>
              <w:keepLines w:val="0"/>
              <w:pageBreakBefore w:val="0"/>
              <w:widowControl w:val="0"/>
              <w:kinsoku/>
              <w:wordWrap w:val="0"/>
              <w:overflowPunct/>
              <w:topLinePunct/>
              <w:autoSpaceDE/>
              <w:autoSpaceDN/>
              <w:bidi w:val="0"/>
              <w:adjustRightInd w:val="0"/>
              <w:snapToGrid w:val="0"/>
              <w:ind w:firstLine="0" w:firstLineChars="0"/>
              <w:jc w:val="center"/>
              <w:textAlignment w:val="baseline"/>
              <w:rPr>
                <w:rFonts w:hint="default" w:ascii="Times New Roman" w:hAnsi="Times New Roman" w:eastAsia="宋体" w:cs="Times New Roman"/>
                <w:b/>
                <w:bCs/>
                <w:color w:val="000000" w:themeColor="text1"/>
                <w:kern w:val="0"/>
                <w:sz w:val="24"/>
                <w:szCs w:val="24"/>
                <w:highlight w:val="none"/>
                <w:lang w:val="en-US" w:eastAsia="zh-CN" w:bidi="ar"/>
                <w14:textFill>
                  <w14:solidFill>
                    <w14:schemeClr w14:val="tx1"/>
                  </w14:solidFill>
                </w14:textFill>
              </w:rPr>
            </w:pPr>
            <w:r>
              <w:rPr>
                <w:rFonts w:hint="eastAsia" w:ascii="Times New Roman" w:hAnsi="Times New Roman" w:eastAsia="宋体" w:cs="Times New Roman"/>
                <w:b/>
                <w:bCs/>
                <w:color w:val="000000" w:themeColor="text1"/>
                <w:kern w:val="0"/>
                <w:sz w:val="24"/>
                <w:szCs w:val="24"/>
                <w:highlight w:val="none"/>
                <w:lang w:val="en-US" w:eastAsia="zh-CN" w:bidi="ar"/>
                <w14:textFill>
                  <w14:solidFill>
                    <w14:schemeClr w14:val="tx1"/>
                  </w14:solidFill>
                </w14:textFill>
              </w:rPr>
              <w:t>表2-1  一片区工程占地面积组成一览表</w:t>
            </w:r>
          </w:p>
          <w:tbl>
            <w:tblPr>
              <w:tblStyle w:val="2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0"/>
              <w:gridCol w:w="2449"/>
              <w:gridCol w:w="1358"/>
              <w:gridCol w:w="3158"/>
            </w:tblGrid>
            <w:tr w14:paraId="44C1F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rPr>
              <w:tc>
                <w:tcPr>
                  <w:tcW w:w="605" w:type="pct"/>
                  <w:vMerge w:val="restart"/>
                  <w:vAlign w:val="center"/>
                </w:tcPr>
                <w:p w14:paraId="1979D80F">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themeColor="text1"/>
                      <w:kern w:val="0"/>
                      <w:sz w:val="21"/>
                      <w:szCs w:val="21"/>
                      <w:highlight w:val="none"/>
                      <w:vertAlign w:val="baseline"/>
                      <w:lang w:val="en-US" w:eastAsia="zh-CN" w:bidi="ar"/>
                      <w14:textFill>
                        <w14:solidFill>
                          <w14:schemeClr w14:val="tx1"/>
                        </w14:solidFill>
                      </w14:textFill>
                    </w:rPr>
                  </w:pPr>
                  <w:r>
                    <w:rPr>
                      <w:rFonts w:hint="eastAsia" w:ascii="Times New Roman" w:hAnsi="Times New Roman" w:cs="Times New Roman"/>
                      <w:b/>
                      <w:bCs/>
                      <w:color w:val="000000" w:themeColor="text1"/>
                      <w:kern w:val="0"/>
                      <w:sz w:val="21"/>
                      <w:szCs w:val="21"/>
                      <w:highlight w:val="none"/>
                      <w:vertAlign w:val="baseline"/>
                      <w:lang w:val="en-US" w:eastAsia="zh-CN" w:bidi="ar"/>
                      <w14:textFill>
                        <w14:solidFill>
                          <w14:schemeClr w14:val="tx1"/>
                        </w14:solidFill>
                      </w14:textFill>
                    </w:rPr>
                    <w:t>序号</w:t>
                  </w:r>
                </w:p>
              </w:tc>
              <w:tc>
                <w:tcPr>
                  <w:tcW w:w="1545" w:type="pct"/>
                  <w:vMerge w:val="restart"/>
                  <w:vAlign w:val="center"/>
                </w:tcPr>
                <w:p w14:paraId="7089F996">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themeColor="text1"/>
                      <w:kern w:val="0"/>
                      <w:sz w:val="21"/>
                      <w:szCs w:val="21"/>
                      <w:highlight w:val="none"/>
                      <w:vertAlign w:val="baseline"/>
                      <w:lang w:val="en-US" w:eastAsia="zh-CN" w:bidi="ar"/>
                      <w14:textFill>
                        <w14:solidFill>
                          <w14:schemeClr w14:val="tx1"/>
                        </w14:solidFill>
                      </w14:textFill>
                    </w:rPr>
                  </w:pPr>
                  <w:r>
                    <w:rPr>
                      <w:rFonts w:hint="eastAsia" w:ascii="Times New Roman" w:hAnsi="Times New Roman" w:cs="Times New Roman"/>
                      <w:b/>
                      <w:bCs/>
                      <w:color w:val="000000" w:themeColor="text1"/>
                      <w:kern w:val="0"/>
                      <w:sz w:val="21"/>
                      <w:szCs w:val="21"/>
                      <w:highlight w:val="none"/>
                      <w:vertAlign w:val="baseline"/>
                      <w:lang w:val="en-US" w:eastAsia="zh-CN" w:bidi="ar"/>
                      <w14:textFill>
                        <w14:solidFill>
                          <w14:schemeClr w14:val="tx1"/>
                        </w14:solidFill>
                      </w14:textFill>
                    </w:rPr>
                    <w:t>类别</w:t>
                  </w:r>
                </w:p>
              </w:tc>
              <w:tc>
                <w:tcPr>
                  <w:tcW w:w="2849" w:type="pct"/>
                  <w:gridSpan w:val="2"/>
                  <w:vAlign w:val="center"/>
                </w:tcPr>
                <w:p w14:paraId="646BF567">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cs="Times New Roman"/>
                      <w:b/>
                      <w:bCs/>
                      <w:color w:val="000000" w:themeColor="text1"/>
                      <w:kern w:val="0"/>
                      <w:sz w:val="21"/>
                      <w:szCs w:val="21"/>
                      <w:highlight w:val="none"/>
                      <w:vertAlign w:val="baseline"/>
                      <w:lang w:val="en-US" w:eastAsia="zh-CN" w:bidi="ar"/>
                      <w14:textFill>
                        <w14:solidFill>
                          <w14:schemeClr w14:val="tx1"/>
                        </w14:solidFill>
                      </w14:textFill>
                    </w:rPr>
                  </w:pPr>
                  <w:r>
                    <w:rPr>
                      <w:rFonts w:hint="eastAsia" w:ascii="Times New Roman" w:hAnsi="Times New Roman" w:cs="Times New Roman"/>
                      <w:b/>
                      <w:bCs/>
                      <w:color w:val="000000" w:themeColor="text1"/>
                      <w:kern w:val="0"/>
                      <w:sz w:val="21"/>
                      <w:szCs w:val="21"/>
                      <w:highlight w:val="none"/>
                      <w:vertAlign w:val="baseline"/>
                      <w:lang w:val="en-US" w:eastAsia="zh-CN" w:bidi="ar"/>
                      <w14:textFill>
                        <w14:solidFill>
                          <w14:schemeClr w14:val="tx1"/>
                        </w14:solidFill>
                      </w14:textFill>
                    </w:rPr>
                    <w:t>面积</w:t>
                  </w:r>
                </w:p>
              </w:tc>
            </w:tr>
            <w:tr w14:paraId="2908C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05" w:type="pct"/>
                  <w:vMerge w:val="continue"/>
                  <w:vAlign w:val="center"/>
                </w:tcPr>
                <w:p w14:paraId="05FE98F8">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themeColor="text1"/>
                      <w:kern w:val="0"/>
                      <w:sz w:val="21"/>
                      <w:szCs w:val="21"/>
                      <w:highlight w:val="none"/>
                      <w:vertAlign w:val="baseline"/>
                      <w:lang w:val="en-US" w:eastAsia="zh-CN" w:bidi="ar"/>
                      <w14:textFill>
                        <w14:solidFill>
                          <w14:schemeClr w14:val="tx1"/>
                        </w14:solidFill>
                      </w14:textFill>
                    </w:rPr>
                  </w:pPr>
                </w:p>
              </w:tc>
              <w:tc>
                <w:tcPr>
                  <w:tcW w:w="1545" w:type="pct"/>
                  <w:vMerge w:val="continue"/>
                  <w:vAlign w:val="center"/>
                </w:tcPr>
                <w:p w14:paraId="45D4863D">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themeColor="text1"/>
                      <w:kern w:val="0"/>
                      <w:sz w:val="21"/>
                      <w:szCs w:val="21"/>
                      <w:highlight w:val="none"/>
                      <w:vertAlign w:val="baseline"/>
                      <w:lang w:val="en-US" w:eastAsia="zh-CN" w:bidi="ar"/>
                      <w14:textFill>
                        <w14:solidFill>
                          <w14:schemeClr w14:val="tx1"/>
                        </w14:solidFill>
                      </w14:textFill>
                    </w:rPr>
                  </w:pPr>
                </w:p>
              </w:tc>
              <w:tc>
                <w:tcPr>
                  <w:tcW w:w="856" w:type="pct"/>
                  <w:vAlign w:val="center"/>
                </w:tcPr>
                <w:p w14:paraId="57989024">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themeColor="text1"/>
                      <w:kern w:val="0"/>
                      <w:sz w:val="21"/>
                      <w:szCs w:val="21"/>
                      <w:highlight w:val="none"/>
                      <w:vertAlign w:val="baseline"/>
                      <w:lang w:val="en-US" w:eastAsia="zh-CN" w:bidi="ar"/>
                      <w14:textFill>
                        <w14:solidFill>
                          <w14:schemeClr w14:val="tx1"/>
                        </w14:solidFill>
                      </w14:textFill>
                    </w:rPr>
                  </w:pPr>
                  <w:r>
                    <w:rPr>
                      <w:rFonts w:hint="eastAsia" w:ascii="Times New Roman" w:hAnsi="Times New Roman" w:cs="Times New Roman"/>
                      <w:b/>
                      <w:bCs/>
                      <w:color w:val="000000" w:themeColor="text1"/>
                      <w:kern w:val="0"/>
                      <w:sz w:val="21"/>
                      <w:szCs w:val="21"/>
                      <w:highlight w:val="none"/>
                      <w:vertAlign w:val="baseline"/>
                      <w:lang w:val="en-US" w:eastAsia="zh-CN" w:bidi="ar"/>
                      <w14:textFill>
                        <w14:solidFill>
                          <w14:schemeClr w14:val="tx1"/>
                        </w14:solidFill>
                      </w14:textFill>
                    </w:rPr>
                    <w:t>亩</w:t>
                  </w:r>
                </w:p>
              </w:tc>
              <w:tc>
                <w:tcPr>
                  <w:tcW w:w="1992" w:type="pct"/>
                  <w:vAlign w:val="center"/>
                </w:tcPr>
                <w:p w14:paraId="7BBB9C95">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cs="Times New Roman"/>
                      <w:b/>
                      <w:bCs/>
                      <w:color w:val="000000" w:themeColor="text1"/>
                      <w:kern w:val="0"/>
                      <w:sz w:val="21"/>
                      <w:szCs w:val="21"/>
                      <w:highlight w:val="none"/>
                      <w:vertAlign w:val="baseline"/>
                      <w:lang w:val="en-US" w:eastAsia="zh-CN" w:bidi="ar"/>
                      <w14:textFill>
                        <w14:solidFill>
                          <w14:schemeClr w14:val="tx1"/>
                        </w14:solidFill>
                      </w14:textFill>
                    </w:rPr>
                  </w:pPr>
                  <w:r>
                    <w:rPr>
                      <w:rFonts w:hint="eastAsia" w:ascii="Times New Roman" w:hAnsi="Times New Roman" w:cs="Times New Roman"/>
                      <w:b/>
                      <w:bCs/>
                      <w:color w:val="000000" w:themeColor="text1"/>
                      <w:kern w:val="0"/>
                      <w:sz w:val="21"/>
                      <w:szCs w:val="21"/>
                      <w:highlight w:val="none"/>
                      <w:vertAlign w:val="baseline"/>
                      <w:lang w:val="en-US" w:eastAsia="zh-CN" w:bidi="ar"/>
                      <w14:textFill>
                        <w14:solidFill>
                          <w14:schemeClr w14:val="tx1"/>
                        </w14:solidFill>
                      </w14:textFill>
                    </w:rPr>
                    <w:t>m</w:t>
                  </w:r>
                  <w:r>
                    <w:rPr>
                      <w:rFonts w:hint="eastAsia" w:ascii="Times New Roman" w:hAnsi="Times New Roman" w:cs="Times New Roman"/>
                      <w:b/>
                      <w:bCs/>
                      <w:color w:val="000000" w:themeColor="text1"/>
                      <w:kern w:val="0"/>
                      <w:sz w:val="21"/>
                      <w:szCs w:val="21"/>
                      <w:highlight w:val="none"/>
                      <w:vertAlign w:val="superscript"/>
                      <w:lang w:val="en-US" w:eastAsia="zh-CN" w:bidi="ar"/>
                      <w14:textFill>
                        <w14:solidFill>
                          <w14:schemeClr w14:val="tx1"/>
                        </w14:solidFill>
                      </w14:textFill>
                    </w:rPr>
                    <w:t>2</w:t>
                  </w:r>
                </w:p>
              </w:tc>
            </w:tr>
            <w:tr w14:paraId="7B5D8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000" w:type="pct"/>
                  <w:gridSpan w:val="4"/>
                  <w:vAlign w:val="center"/>
                </w:tcPr>
                <w:p w14:paraId="1E079F7D">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pPr>
                  <w:r>
                    <w:rPr>
                      <w:rFonts w:hint="eastAsia" w:ascii="Times New Roman" w:hAnsi="Times New Roman" w:cs="Times New Roman"/>
                      <w:b/>
                      <w:bCs/>
                      <w:color w:val="000000" w:themeColor="text1"/>
                      <w:kern w:val="0"/>
                      <w:sz w:val="21"/>
                      <w:szCs w:val="21"/>
                      <w:highlight w:val="none"/>
                      <w:vertAlign w:val="baseline"/>
                      <w:lang w:val="en-US" w:eastAsia="zh-CN" w:bidi="ar"/>
                      <w14:textFill>
                        <w14:solidFill>
                          <w14:schemeClr w14:val="tx1"/>
                        </w14:solidFill>
                      </w14:textFill>
                    </w:rPr>
                    <w:t>一、种植面积</w:t>
                  </w:r>
                </w:p>
              </w:tc>
            </w:tr>
            <w:tr w14:paraId="49951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05" w:type="pct"/>
                  <w:vAlign w:val="center"/>
                </w:tcPr>
                <w:p w14:paraId="652C43F0">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pPr>
                  <w:r>
                    <w:rPr>
                      <w:rFonts w:hint="eastAsia" w:ascii="Times New Roman" w:hAnsi="Times New Roman" w:cs="Times New Roman"/>
                      <w:color w:val="000000" w:themeColor="text1"/>
                      <w:kern w:val="0"/>
                      <w:sz w:val="21"/>
                      <w:szCs w:val="21"/>
                      <w:highlight w:val="none"/>
                      <w:vertAlign w:val="baseline"/>
                      <w:lang w:val="en-US" w:eastAsia="zh-CN" w:bidi="ar"/>
                      <w14:textFill>
                        <w14:solidFill>
                          <w14:schemeClr w14:val="tx1"/>
                        </w14:solidFill>
                      </w14:textFill>
                    </w:rPr>
                    <w:t>1</w:t>
                  </w:r>
                </w:p>
              </w:tc>
              <w:tc>
                <w:tcPr>
                  <w:tcW w:w="1545" w:type="pct"/>
                  <w:vAlign w:val="center"/>
                </w:tcPr>
                <w:p w14:paraId="48E28478">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t>蓝莓</w:t>
                  </w:r>
                </w:p>
              </w:tc>
              <w:tc>
                <w:tcPr>
                  <w:tcW w:w="856" w:type="pct"/>
                  <w:vAlign w:val="center"/>
                </w:tcPr>
                <w:p w14:paraId="50EBE1F7">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t>135.68</w:t>
                  </w:r>
                </w:p>
              </w:tc>
              <w:tc>
                <w:tcPr>
                  <w:tcW w:w="1992" w:type="pct"/>
                  <w:vAlign w:val="center"/>
                </w:tcPr>
                <w:p w14:paraId="084CC5C1">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pPr>
                  <w:r>
                    <w:rPr>
                      <w:rFonts w:hint="eastAsia" w:ascii="Times New Roman" w:hAnsi="Times New Roman" w:cs="Times New Roman"/>
                      <w:color w:val="000000" w:themeColor="text1"/>
                      <w:kern w:val="0"/>
                      <w:sz w:val="21"/>
                      <w:szCs w:val="21"/>
                      <w:highlight w:val="none"/>
                      <w:vertAlign w:val="baseline"/>
                      <w:lang w:val="en-US" w:eastAsia="zh-CN" w:bidi="ar"/>
                      <w14:textFill>
                        <w14:solidFill>
                          <w14:schemeClr w14:val="tx1"/>
                        </w14:solidFill>
                      </w14:textFill>
                    </w:rPr>
                    <w:t>90453.33</w:t>
                  </w:r>
                </w:p>
              </w:tc>
            </w:tr>
            <w:tr w14:paraId="601DD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05" w:type="pct"/>
                  <w:vAlign w:val="center"/>
                </w:tcPr>
                <w:p w14:paraId="2CAE5B29">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pPr>
                  <w:r>
                    <w:rPr>
                      <w:rFonts w:hint="eastAsia" w:ascii="Times New Roman" w:hAnsi="Times New Roman" w:cs="Times New Roman"/>
                      <w:color w:val="000000" w:themeColor="text1"/>
                      <w:kern w:val="0"/>
                      <w:sz w:val="21"/>
                      <w:szCs w:val="21"/>
                      <w:highlight w:val="none"/>
                      <w:vertAlign w:val="baseline"/>
                      <w:lang w:val="en-US" w:eastAsia="zh-CN" w:bidi="ar"/>
                      <w14:textFill>
                        <w14:solidFill>
                          <w14:schemeClr w14:val="tx1"/>
                        </w14:solidFill>
                      </w14:textFill>
                    </w:rPr>
                    <w:t>2</w:t>
                  </w:r>
                </w:p>
              </w:tc>
              <w:tc>
                <w:tcPr>
                  <w:tcW w:w="1545" w:type="pct"/>
                  <w:vAlign w:val="center"/>
                </w:tcPr>
                <w:p w14:paraId="252E583F">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t>羊肚菌</w:t>
                  </w:r>
                </w:p>
              </w:tc>
              <w:tc>
                <w:tcPr>
                  <w:tcW w:w="856" w:type="pct"/>
                  <w:vAlign w:val="center"/>
                </w:tcPr>
                <w:p w14:paraId="33E6BE75">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t>74.11</w:t>
                  </w:r>
                </w:p>
              </w:tc>
              <w:tc>
                <w:tcPr>
                  <w:tcW w:w="1992" w:type="pct"/>
                  <w:vAlign w:val="center"/>
                </w:tcPr>
                <w:p w14:paraId="4F579237">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t>49406.67</w:t>
                  </w:r>
                </w:p>
              </w:tc>
            </w:tr>
            <w:tr w14:paraId="3A7B3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05" w:type="pct"/>
                  <w:vAlign w:val="center"/>
                </w:tcPr>
                <w:p w14:paraId="526DF2FC">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pPr>
                  <w:r>
                    <w:rPr>
                      <w:rFonts w:hint="eastAsia" w:ascii="Times New Roman" w:hAnsi="Times New Roman" w:cs="Times New Roman"/>
                      <w:color w:val="000000" w:themeColor="text1"/>
                      <w:kern w:val="0"/>
                      <w:sz w:val="21"/>
                      <w:szCs w:val="21"/>
                      <w:highlight w:val="none"/>
                      <w:vertAlign w:val="baseline"/>
                      <w:lang w:val="en-US" w:eastAsia="zh-CN" w:bidi="ar"/>
                      <w14:textFill>
                        <w14:solidFill>
                          <w14:schemeClr w14:val="tx1"/>
                        </w14:solidFill>
                      </w14:textFill>
                    </w:rPr>
                    <w:t>3</w:t>
                  </w:r>
                </w:p>
              </w:tc>
              <w:tc>
                <w:tcPr>
                  <w:tcW w:w="1545" w:type="pct"/>
                  <w:vAlign w:val="center"/>
                </w:tcPr>
                <w:p w14:paraId="0D2FBDA1">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t>桃子</w:t>
                  </w:r>
                </w:p>
              </w:tc>
              <w:tc>
                <w:tcPr>
                  <w:tcW w:w="856" w:type="pct"/>
                  <w:vAlign w:val="center"/>
                </w:tcPr>
                <w:p w14:paraId="603E7F58">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pPr>
                  <w:r>
                    <w:rPr>
                      <w:rFonts w:hint="eastAsia" w:ascii="Times New Roman" w:hAnsi="Times New Roman" w:cs="Times New Roman"/>
                      <w:color w:val="000000" w:themeColor="text1"/>
                      <w:kern w:val="0"/>
                      <w:sz w:val="21"/>
                      <w:szCs w:val="21"/>
                      <w:highlight w:val="none"/>
                      <w:vertAlign w:val="baseline"/>
                      <w:lang w:val="en-US" w:eastAsia="zh-CN" w:bidi="ar"/>
                      <w14:textFill>
                        <w14:solidFill>
                          <w14:schemeClr w14:val="tx1"/>
                        </w14:solidFill>
                      </w14:textFill>
                    </w:rPr>
                    <w:t>27.24</w:t>
                  </w:r>
                </w:p>
              </w:tc>
              <w:tc>
                <w:tcPr>
                  <w:tcW w:w="1992" w:type="pct"/>
                  <w:vAlign w:val="center"/>
                </w:tcPr>
                <w:p w14:paraId="5E128C3B">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t>1</w:t>
                  </w:r>
                  <w:r>
                    <w:rPr>
                      <w:rFonts w:hint="eastAsia" w:ascii="Times New Roman" w:hAnsi="Times New Roman" w:cs="Times New Roman"/>
                      <w:color w:val="000000" w:themeColor="text1"/>
                      <w:kern w:val="0"/>
                      <w:sz w:val="21"/>
                      <w:szCs w:val="21"/>
                      <w:highlight w:val="none"/>
                      <w:vertAlign w:val="baseline"/>
                      <w:lang w:val="en-US" w:eastAsia="zh-CN" w:bidi="ar"/>
                      <w14:textFill>
                        <w14:solidFill>
                          <w14:schemeClr w14:val="tx1"/>
                        </w14:solidFill>
                      </w14:textFill>
                    </w:rPr>
                    <w:t>8160</w:t>
                  </w:r>
                </w:p>
              </w:tc>
            </w:tr>
            <w:tr w14:paraId="38815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05" w:type="pct"/>
                  <w:vAlign w:val="center"/>
                </w:tcPr>
                <w:p w14:paraId="7A2454FB">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pPr>
                  <w:r>
                    <w:rPr>
                      <w:rFonts w:hint="eastAsia" w:ascii="Times New Roman" w:hAnsi="Times New Roman" w:cs="Times New Roman"/>
                      <w:color w:val="000000" w:themeColor="text1"/>
                      <w:kern w:val="0"/>
                      <w:sz w:val="21"/>
                      <w:szCs w:val="21"/>
                      <w:highlight w:val="none"/>
                      <w:vertAlign w:val="baseline"/>
                      <w:lang w:val="en-US" w:eastAsia="zh-CN" w:bidi="ar"/>
                      <w14:textFill>
                        <w14:solidFill>
                          <w14:schemeClr w14:val="tx1"/>
                        </w14:solidFill>
                      </w14:textFill>
                    </w:rPr>
                    <w:t>4</w:t>
                  </w:r>
                </w:p>
              </w:tc>
              <w:tc>
                <w:tcPr>
                  <w:tcW w:w="1545" w:type="pct"/>
                  <w:vAlign w:val="center"/>
                </w:tcPr>
                <w:p w14:paraId="3BBB61F2">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t>苹果树</w:t>
                  </w:r>
                </w:p>
              </w:tc>
              <w:tc>
                <w:tcPr>
                  <w:tcW w:w="856" w:type="pct"/>
                  <w:vAlign w:val="center"/>
                </w:tcPr>
                <w:p w14:paraId="551F1E39">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t>25.48</w:t>
                  </w:r>
                </w:p>
              </w:tc>
              <w:tc>
                <w:tcPr>
                  <w:tcW w:w="1992" w:type="pct"/>
                  <w:vAlign w:val="center"/>
                </w:tcPr>
                <w:p w14:paraId="0C1B8C83">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t>16986.67</w:t>
                  </w:r>
                </w:p>
              </w:tc>
            </w:tr>
            <w:tr w14:paraId="32964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50" w:type="pct"/>
                  <w:gridSpan w:val="2"/>
                  <w:vAlign w:val="center"/>
                </w:tcPr>
                <w:p w14:paraId="5FE80243">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bCs/>
                      <w:color w:val="000000" w:themeColor="text1"/>
                      <w:kern w:val="0"/>
                      <w:sz w:val="21"/>
                      <w:szCs w:val="21"/>
                      <w:highlight w:val="none"/>
                      <w:vertAlign w:val="baseline"/>
                      <w:lang w:val="en-US" w:eastAsia="zh-CN" w:bidi="ar"/>
                      <w14:textFill>
                        <w14:solidFill>
                          <w14:schemeClr w14:val="tx1"/>
                        </w14:solidFill>
                      </w14:textFill>
                    </w:rPr>
                  </w:pPr>
                  <w:r>
                    <w:rPr>
                      <w:rFonts w:hint="eastAsia" w:ascii="Times New Roman" w:hAnsi="Times New Roman" w:cs="Times New Roman"/>
                      <w:b/>
                      <w:bCs/>
                      <w:color w:val="000000" w:themeColor="text1"/>
                      <w:kern w:val="0"/>
                      <w:sz w:val="21"/>
                      <w:szCs w:val="21"/>
                      <w:highlight w:val="none"/>
                      <w:vertAlign w:val="baseline"/>
                      <w:lang w:val="en-US" w:eastAsia="zh-CN" w:bidi="ar"/>
                      <w14:textFill>
                        <w14:solidFill>
                          <w14:schemeClr w14:val="tx1"/>
                        </w14:solidFill>
                      </w14:textFill>
                    </w:rPr>
                    <w:t>合计</w:t>
                  </w:r>
                </w:p>
              </w:tc>
              <w:tc>
                <w:tcPr>
                  <w:tcW w:w="856" w:type="pct"/>
                  <w:vAlign w:val="center"/>
                </w:tcPr>
                <w:p w14:paraId="25865570">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cs="Times New Roman"/>
                      <w:b/>
                      <w:bCs/>
                      <w:color w:val="000000" w:themeColor="text1"/>
                      <w:kern w:val="0"/>
                      <w:sz w:val="21"/>
                      <w:szCs w:val="21"/>
                      <w:highlight w:val="none"/>
                      <w:vertAlign w:val="baseline"/>
                      <w:lang w:val="en-US" w:eastAsia="zh-CN" w:bidi="ar"/>
                      <w14:textFill>
                        <w14:solidFill>
                          <w14:schemeClr w14:val="tx1"/>
                        </w14:solidFill>
                      </w14:textFill>
                    </w:rPr>
                  </w:pPr>
                  <w:r>
                    <w:rPr>
                      <w:rFonts w:hint="eastAsia" w:ascii="Times New Roman" w:hAnsi="Times New Roman" w:cs="Times New Roman"/>
                      <w:b/>
                      <w:bCs/>
                      <w:color w:val="000000" w:themeColor="text1"/>
                      <w:kern w:val="0"/>
                      <w:sz w:val="21"/>
                      <w:szCs w:val="21"/>
                      <w:highlight w:val="none"/>
                      <w:vertAlign w:val="baseline"/>
                      <w:lang w:val="en-US" w:eastAsia="zh-CN" w:bidi="ar"/>
                      <w14:textFill>
                        <w14:solidFill>
                          <w14:schemeClr w14:val="tx1"/>
                        </w14:solidFill>
                      </w14:textFill>
                    </w:rPr>
                    <w:t>262.51</w:t>
                  </w:r>
                </w:p>
              </w:tc>
              <w:tc>
                <w:tcPr>
                  <w:tcW w:w="1992" w:type="pct"/>
                  <w:shd w:val="clear" w:color="auto" w:fill="auto"/>
                  <w:vAlign w:val="center"/>
                </w:tcPr>
                <w:p w14:paraId="10F4F3C3">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bCs/>
                      <w:i w:val="0"/>
                      <w:iCs w:val="0"/>
                      <w:color w:val="000000" w:themeColor="text1"/>
                      <w:kern w:val="2"/>
                      <w:sz w:val="21"/>
                      <w:szCs w:val="21"/>
                      <w:u w:val="none"/>
                      <w:lang w:val="en-US" w:eastAsia="zh-CN" w:bidi="ar-SA"/>
                      <w14:textFill>
                        <w14:solidFill>
                          <w14:schemeClr w14:val="tx1"/>
                        </w14:solidFill>
                      </w14:textFill>
                    </w:rPr>
                  </w:pPr>
                  <w:r>
                    <w:rPr>
                      <w:rFonts w:hint="default" w:ascii="Times New Roman" w:hAnsi="Times New Roman" w:cs="Times New Roman"/>
                      <w:b/>
                      <w:bCs/>
                      <w:color w:val="000000" w:themeColor="text1"/>
                      <w:kern w:val="0"/>
                      <w:sz w:val="21"/>
                      <w:szCs w:val="21"/>
                      <w:highlight w:val="none"/>
                      <w:vertAlign w:val="baseline"/>
                      <w:lang w:val="en-US" w:eastAsia="zh-CN" w:bidi="ar"/>
                      <w14:textFill>
                        <w14:solidFill>
                          <w14:schemeClr w14:val="tx1"/>
                        </w14:solidFill>
                      </w14:textFill>
                    </w:rPr>
                    <w:t>175006.67</w:t>
                  </w:r>
                </w:p>
              </w:tc>
            </w:tr>
            <w:tr w14:paraId="5E6B5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000" w:type="pct"/>
                  <w:gridSpan w:val="4"/>
                  <w:vAlign w:val="center"/>
                </w:tcPr>
                <w:p w14:paraId="3D35B3A4">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pPr>
                  <w:r>
                    <w:rPr>
                      <w:rFonts w:hint="eastAsia" w:ascii="Times New Roman" w:hAnsi="Times New Roman" w:cs="Times New Roman"/>
                      <w:b/>
                      <w:bCs/>
                      <w:color w:val="000000" w:themeColor="text1"/>
                      <w:kern w:val="0"/>
                      <w:sz w:val="21"/>
                      <w:szCs w:val="21"/>
                      <w:highlight w:val="none"/>
                      <w:vertAlign w:val="baseline"/>
                      <w:lang w:val="en-US" w:eastAsia="zh-CN" w:bidi="ar"/>
                      <w14:textFill>
                        <w14:solidFill>
                          <w14:schemeClr w14:val="tx1"/>
                        </w14:solidFill>
                      </w14:textFill>
                    </w:rPr>
                    <w:t>二、辅助工程</w:t>
                  </w:r>
                </w:p>
              </w:tc>
            </w:tr>
            <w:tr w14:paraId="1DF5D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05" w:type="pct"/>
                  <w:vAlign w:val="center"/>
                </w:tcPr>
                <w:p w14:paraId="01049C06">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pPr>
                  <w:r>
                    <w:rPr>
                      <w:rFonts w:hint="eastAsia" w:ascii="Times New Roman" w:hAnsi="Times New Roman" w:cs="Times New Roman"/>
                      <w:color w:val="000000" w:themeColor="text1"/>
                      <w:kern w:val="0"/>
                      <w:sz w:val="21"/>
                      <w:szCs w:val="21"/>
                      <w:highlight w:val="none"/>
                      <w:vertAlign w:val="baseline"/>
                      <w:lang w:val="en-US" w:eastAsia="zh-CN" w:bidi="ar"/>
                      <w14:textFill>
                        <w14:solidFill>
                          <w14:schemeClr w14:val="tx1"/>
                        </w14:solidFill>
                      </w14:textFill>
                    </w:rPr>
                    <w:t>1</w:t>
                  </w:r>
                </w:p>
              </w:tc>
              <w:tc>
                <w:tcPr>
                  <w:tcW w:w="1545" w:type="pct"/>
                  <w:vAlign w:val="center"/>
                </w:tcPr>
                <w:p w14:paraId="2E112EE0">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t>管护用房</w:t>
                  </w:r>
                </w:p>
              </w:tc>
              <w:tc>
                <w:tcPr>
                  <w:tcW w:w="856" w:type="pct"/>
                  <w:vAlign w:val="center"/>
                </w:tcPr>
                <w:p w14:paraId="1E0D0ED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3.49</w:t>
                  </w:r>
                </w:p>
              </w:tc>
              <w:tc>
                <w:tcPr>
                  <w:tcW w:w="1992" w:type="pct"/>
                  <w:vAlign w:val="center"/>
                </w:tcPr>
                <w:p w14:paraId="59FACE8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2324.18</w:t>
                  </w:r>
                </w:p>
              </w:tc>
            </w:tr>
            <w:tr w14:paraId="7F5F9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05" w:type="pct"/>
                  <w:vAlign w:val="center"/>
                </w:tcPr>
                <w:p w14:paraId="142D7968">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pPr>
                  <w:r>
                    <w:rPr>
                      <w:rFonts w:hint="eastAsia" w:ascii="Times New Roman" w:hAnsi="Times New Roman" w:cs="Times New Roman"/>
                      <w:color w:val="000000" w:themeColor="text1"/>
                      <w:kern w:val="0"/>
                      <w:sz w:val="21"/>
                      <w:szCs w:val="21"/>
                      <w:highlight w:val="none"/>
                      <w:vertAlign w:val="baseline"/>
                      <w:lang w:val="en-US" w:eastAsia="zh-CN" w:bidi="ar"/>
                      <w14:textFill>
                        <w14:solidFill>
                          <w14:schemeClr w14:val="tx1"/>
                        </w14:solidFill>
                      </w14:textFill>
                    </w:rPr>
                    <w:t>2</w:t>
                  </w:r>
                </w:p>
              </w:tc>
              <w:tc>
                <w:tcPr>
                  <w:tcW w:w="1545" w:type="pct"/>
                  <w:vAlign w:val="center"/>
                </w:tcPr>
                <w:p w14:paraId="71FBFE2B">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t>水池</w:t>
                  </w:r>
                </w:p>
              </w:tc>
              <w:tc>
                <w:tcPr>
                  <w:tcW w:w="856" w:type="pct"/>
                  <w:vAlign w:val="center"/>
                </w:tcPr>
                <w:p w14:paraId="40671D44">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pPr>
                  <w:r>
                    <w:rPr>
                      <w:rFonts w:hint="eastAsia" w:ascii="Times New Roman" w:hAnsi="Times New Roman" w:cs="Times New Roman"/>
                      <w:color w:val="000000" w:themeColor="text1"/>
                      <w:kern w:val="0"/>
                      <w:sz w:val="21"/>
                      <w:szCs w:val="21"/>
                      <w:highlight w:val="none"/>
                      <w:vertAlign w:val="baseline"/>
                      <w:lang w:val="en-US" w:eastAsia="zh-CN" w:bidi="ar"/>
                      <w14:textFill>
                        <w14:solidFill>
                          <w14:schemeClr w14:val="tx1"/>
                        </w14:solidFill>
                      </w14:textFill>
                    </w:rPr>
                    <w:t>4.6</w:t>
                  </w:r>
                </w:p>
              </w:tc>
              <w:tc>
                <w:tcPr>
                  <w:tcW w:w="1992" w:type="pct"/>
                  <w:vAlign w:val="center"/>
                </w:tcPr>
                <w:p w14:paraId="0BFE576E">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pPr>
                  <w:r>
                    <w:rPr>
                      <w:rFonts w:hint="eastAsia" w:ascii="Times New Roman" w:hAnsi="Times New Roman" w:cs="Times New Roman"/>
                      <w:color w:val="000000" w:themeColor="text1"/>
                      <w:kern w:val="0"/>
                      <w:sz w:val="21"/>
                      <w:szCs w:val="21"/>
                      <w:highlight w:val="none"/>
                      <w:vertAlign w:val="baseline"/>
                      <w:lang w:val="en-US" w:eastAsia="zh-CN" w:bidi="ar"/>
                      <w14:textFill>
                        <w14:solidFill>
                          <w14:schemeClr w14:val="tx1"/>
                        </w14:solidFill>
                      </w14:textFill>
                    </w:rPr>
                    <w:t>3</w:t>
                  </w:r>
                  <w:r>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t>068.08</w:t>
                  </w:r>
                </w:p>
              </w:tc>
            </w:tr>
            <w:tr w14:paraId="111E3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05" w:type="pct"/>
                  <w:vAlign w:val="center"/>
                </w:tcPr>
                <w:p w14:paraId="190330FB">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pPr>
                  <w:r>
                    <w:rPr>
                      <w:rFonts w:hint="eastAsia" w:ascii="Times New Roman" w:hAnsi="Times New Roman" w:cs="Times New Roman"/>
                      <w:color w:val="000000" w:themeColor="text1"/>
                      <w:kern w:val="0"/>
                      <w:sz w:val="21"/>
                      <w:szCs w:val="21"/>
                      <w:highlight w:val="none"/>
                      <w:vertAlign w:val="baseline"/>
                      <w:lang w:val="en-US" w:eastAsia="zh-CN" w:bidi="ar"/>
                      <w14:textFill>
                        <w14:solidFill>
                          <w14:schemeClr w14:val="tx1"/>
                        </w14:solidFill>
                      </w14:textFill>
                    </w:rPr>
                    <w:t>3</w:t>
                  </w:r>
                </w:p>
              </w:tc>
              <w:tc>
                <w:tcPr>
                  <w:tcW w:w="1545" w:type="pct"/>
                  <w:vAlign w:val="center"/>
                </w:tcPr>
                <w:p w14:paraId="16273772">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t>沉淀池</w:t>
                  </w:r>
                </w:p>
              </w:tc>
              <w:tc>
                <w:tcPr>
                  <w:tcW w:w="856" w:type="pct"/>
                  <w:vAlign w:val="center"/>
                </w:tcPr>
                <w:p w14:paraId="49DCE9D0">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pPr>
                  <w:r>
                    <w:rPr>
                      <w:rFonts w:hint="eastAsia" w:ascii="Times New Roman" w:hAnsi="Times New Roman" w:cs="Times New Roman"/>
                      <w:color w:val="000000" w:themeColor="text1"/>
                      <w:kern w:val="0"/>
                      <w:sz w:val="21"/>
                      <w:szCs w:val="21"/>
                      <w:highlight w:val="none"/>
                      <w:vertAlign w:val="baseline"/>
                      <w:lang w:val="en-US" w:eastAsia="zh-CN" w:bidi="ar"/>
                      <w14:textFill>
                        <w14:solidFill>
                          <w14:schemeClr w14:val="tx1"/>
                        </w14:solidFill>
                      </w14:textFill>
                    </w:rPr>
                    <w:t>0.24</w:t>
                  </w:r>
                </w:p>
              </w:tc>
              <w:tc>
                <w:tcPr>
                  <w:tcW w:w="1992" w:type="pct"/>
                  <w:vAlign w:val="center"/>
                </w:tcPr>
                <w:p w14:paraId="2DFB5FC3">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t>160.45</w:t>
                  </w:r>
                </w:p>
              </w:tc>
            </w:tr>
            <w:tr w14:paraId="1E932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05" w:type="pct"/>
                  <w:vAlign w:val="center"/>
                </w:tcPr>
                <w:p w14:paraId="610D16A9">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Times New Roman" w:hAnsi="Times New Roman" w:cs="Times New Roman"/>
                      <w:color w:val="000000" w:themeColor="text1"/>
                      <w:kern w:val="0"/>
                      <w:sz w:val="21"/>
                      <w:szCs w:val="21"/>
                      <w:highlight w:val="none"/>
                      <w:vertAlign w:val="baseline"/>
                      <w:lang w:val="en-US" w:eastAsia="zh-CN" w:bidi="ar"/>
                      <w14:textFill>
                        <w14:solidFill>
                          <w14:schemeClr w14:val="tx1"/>
                        </w14:solidFill>
                      </w14:textFill>
                    </w:rPr>
                  </w:pPr>
                </w:p>
              </w:tc>
              <w:tc>
                <w:tcPr>
                  <w:tcW w:w="1545" w:type="pct"/>
                  <w:vAlign w:val="center"/>
                </w:tcPr>
                <w:p w14:paraId="3E42E7C5">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t>水肥中心</w:t>
                  </w:r>
                </w:p>
              </w:tc>
              <w:tc>
                <w:tcPr>
                  <w:tcW w:w="856" w:type="pct"/>
                  <w:vAlign w:val="center"/>
                </w:tcPr>
                <w:p w14:paraId="681A3705">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Times New Roman" w:hAnsi="Times New Roman" w:cs="Times New Roman"/>
                      <w:color w:val="000000" w:themeColor="text1"/>
                      <w:kern w:val="0"/>
                      <w:sz w:val="21"/>
                      <w:szCs w:val="21"/>
                      <w:highlight w:val="none"/>
                      <w:vertAlign w:val="baseline"/>
                      <w:lang w:val="en-US" w:eastAsia="zh-CN" w:bidi="ar"/>
                      <w14:textFill>
                        <w14:solidFill>
                          <w14:schemeClr w14:val="tx1"/>
                        </w14:solidFill>
                      </w14:textFill>
                    </w:rPr>
                  </w:pPr>
                  <w:r>
                    <w:rPr>
                      <w:rFonts w:hint="eastAsia" w:ascii="Times New Roman" w:hAnsi="Times New Roman" w:cs="Times New Roman"/>
                      <w:color w:val="000000" w:themeColor="text1"/>
                      <w:kern w:val="0"/>
                      <w:sz w:val="21"/>
                      <w:szCs w:val="21"/>
                      <w:highlight w:val="none"/>
                      <w:vertAlign w:val="baseline"/>
                      <w:lang w:val="en-US" w:eastAsia="zh-CN" w:bidi="ar"/>
                      <w14:textFill>
                        <w14:solidFill>
                          <w14:schemeClr w14:val="tx1"/>
                        </w14:solidFill>
                      </w14:textFill>
                    </w:rPr>
                    <w:t>1.5</w:t>
                  </w:r>
                </w:p>
              </w:tc>
              <w:tc>
                <w:tcPr>
                  <w:tcW w:w="1992" w:type="pct"/>
                  <w:vAlign w:val="center"/>
                </w:tcPr>
                <w:p w14:paraId="0CC7E3A7">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Times New Roman" w:hAnsi="Times New Roman" w:cs="Times New Roman"/>
                      <w:color w:val="000000" w:themeColor="text1"/>
                      <w:kern w:val="0"/>
                      <w:sz w:val="21"/>
                      <w:szCs w:val="21"/>
                      <w:highlight w:val="none"/>
                      <w:vertAlign w:val="baseline"/>
                      <w:lang w:val="en-US" w:eastAsia="zh-CN" w:bidi="ar"/>
                      <w14:textFill>
                        <w14:solidFill>
                          <w14:schemeClr w14:val="tx1"/>
                        </w14:solidFill>
                      </w14:textFill>
                    </w:rPr>
                  </w:pPr>
                  <w:r>
                    <w:rPr>
                      <w:rFonts w:hint="eastAsia" w:ascii="Times New Roman" w:hAnsi="Times New Roman" w:cs="Times New Roman"/>
                      <w:color w:val="000000" w:themeColor="text1"/>
                      <w:kern w:val="0"/>
                      <w:sz w:val="21"/>
                      <w:szCs w:val="21"/>
                      <w:highlight w:val="none"/>
                      <w:vertAlign w:val="baseline"/>
                      <w:lang w:val="en-US" w:eastAsia="zh-CN" w:bidi="ar"/>
                      <w14:textFill>
                        <w14:solidFill>
                          <w14:schemeClr w14:val="tx1"/>
                        </w14:solidFill>
                      </w14:textFill>
                    </w:rPr>
                    <w:t>1000</w:t>
                  </w:r>
                </w:p>
              </w:tc>
            </w:tr>
            <w:tr w14:paraId="15CD2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05" w:type="pct"/>
                  <w:vAlign w:val="center"/>
                </w:tcPr>
                <w:p w14:paraId="35064699">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pPr>
                  <w:r>
                    <w:rPr>
                      <w:rFonts w:hint="eastAsia" w:ascii="Times New Roman" w:hAnsi="Times New Roman" w:cs="Times New Roman"/>
                      <w:color w:val="000000" w:themeColor="text1"/>
                      <w:kern w:val="0"/>
                      <w:sz w:val="21"/>
                      <w:szCs w:val="21"/>
                      <w:highlight w:val="none"/>
                      <w:vertAlign w:val="baseline"/>
                      <w:lang w:val="en-US" w:eastAsia="zh-CN" w:bidi="ar"/>
                      <w14:textFill>
                        <w14:solidFill>
                          <w14:schemeClr w14:val="tx1"/>
                        </w14:solidFill>
                      </w14:textFill>
                    </w:rPr>
                    <w:t>4</w:t>
                  </w:r>
                </w:p>
              </w:tc>
              <w:tc>
                <w:tcPr>
                  <w:tcW w:w="1545" w:type="pct"/>
                  <w:vAlign w:val="center"/>
                </w:tcPr>
                <w:p w14:paraId="61E9314E">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t>道路</w:t>
                  </w:r>
                </w:p>
              </w:tc>
              <w:tc>
                <w:tcPr>
                  <w:tcW w:w="856" w:type="pct"/>
                  <w:vAlign w:val="center"/>
                </w:tcPr>
                <w:p w14:paraId="195DE062">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pPr>
                  <w:r>
                    <w:rPr>
                      <w:rFonts w:hint="eastAsia" w:ascii="Times New Roman" w:hAnsi="Times New Roman" w:cs="Times New Roman"/>
                      <w:color w:val="000000" w:themeColor="text1"/>
                      <w:kern w:val="0"/>
                      <w:sz w:val="21"/>
                      <w:szCs w:val="21"/>
                      <w:highlight w:val="none"/>
                      <w:vertAlign w:val="baseline"/>
                      <w:lang w:val="en-US" w:eastAsia="zh-CN" w:bidi="ar"/>
                      <w14:textFill>
                        <w14:solidFill>
                          <w14:schemeClr w14:val="tx1"/>
                        </w14:solidFill>
                      </w14:textFill>
                    </w:rPr>
                    <w:t>32.34</w:t>
                  </w:r>
                </w:p>
              </w:tc>
              <w:tc>
                <w:tcPr>
                  <w:tcW w:w="1992" w:type="pct"/>
                  <w:vAlign w:val="center"/>
                </w:tcPr>
                <w:p w14:paraId="38F6F52A">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pPr>
                  <w:r>
                    <w:rPr>
                      <w:rFonts w:hint="eastAsia" w:ascii="Times New Roman" w:hAnsi="Times New Roman" w:cs="Times New Roman"/>
                      <w:color w:val="000000" w:themeColor="text1"/>
                      <w:kern w:val="0"/>
                      <w:sz w:val="21"/>
                      <w:szCs w:val="21"/>
                      <w:highlight w:val="none"/>
                      <w:vertAlign w:val="baseline"/>
                      <w:lang w:val="en-US" w:eastAsia="zh-CN" w:bidi="ar"/>
                      <w14:textFill>
                        <w14:solidFill>
                          <w14:schemeClr w14:val="tx1"/>
                        </w14:solidFill>
                      </w14:textFill>
                    </w:rPr>
                    <w:t>21560</w:t>
                  </w:r>
                </w:p>
              </w:tc>
            </w:tr>
            <w:tr w14:paraId="0ECFC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50" w:type="pct"/>
                  <w:gridSpan w:val="2"/>
                  <w:vAlign w:val="center"/>
                </w:tcPr>
                <w:p w14:paraId="534435A8">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Times New Roman" w:hAnsi="Times New Roman" w:eastAsia="宋体" w:cs="Times New Roman"/>
                      <w:b/>
                      <w:bCs/>
                      <w:color w:val="000000" w:themeColor="text1"/>
                      <w:kern w:val="0"/>
                      <w:sz w:val="21"/>
                      <w:szCs w:val="21"/>
                      <w:highlight w:val="none"/>
                      <w:vertAlign w:val="baseline"/>
                      <w:lang w:val="en-US" w:eastAsia="zh-CN" w:bidi="ar"/>
                      <w14:textFill>
                        <w14:solidFill>
                          <w14:schemeClr w14:val="tx1"/>
                        </w14:solidFill>
                      </w14:textFill>
                    </w:rPr>
                  </w:pPr>
                  <w:r>
                    <w:rPr>
                      <w:rFonts w:hint="eastAsia" w:ascii="Times New Roman" w:hAnsi="Times New Roman" w:cs="Times New Roman"/>
                      <w:b/>
                      <w:bCs/>
                      <w:color w:val="000000" w:themeColor="text1"/>
                      <w:kern w:val="0"/>
                      <w:sz w:val="21"/>
                      <w:szCs w:val="21"/>
                      <w:highlight w:val="none"/>
                      <w:vertAlign w:val="baseline"/>
                      <w:lang w:val="en-US" w:eastAsia="zh-CN" w:bidi="ar"/>
                      <w14:textFill>
                        <w14:solidFill>
                          <w14:schemeClr w14:val="tx1"/>
                        </w14:solidFill>
                      </w14:textFill>
                    </w:rPr>
                    <w:t>合计</w:t>
                  </w:r>
                </w:p>
              </w:tc>
              <w:tc>
                <w:tcPr>
                  <w:tcW w:w="856" w:type="pct"/>
                  <w:vAlign w:val="center"/>
                </w:tcPr>
                <w:p w14:paraId="5BBED3CC">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bCs/>
                      <w:color w:val="000000" w:themeColor="text1"/>
                      <w:kern w:val="0"/>
                      <w:sz w:val="21"/>
                      <w:szCs w:val="21"/>
                      <w:highlight w:val="none"/>
                      <w:vertAlign w:val="baseli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1"/>
                      <w:szCs w:val="21"/>
                      <w:highlight w:val="none"/>
                      <w:vertAlign w:val="baseline"/>
                      <w:lang w:val="en-US" w:eastAsia="zh-CN" w:bidi="ar"/>
                      <w14:textFill>
                        <w14:solidFill>
                          <w14:schemeClr w14:val="tx1"/>
                        </w14:solidFill>
                      </w14:textFill>
                    </w:rPr>
                    <w:t>42.1</w:t>
                  </w:r>
                  <w:r>
                    <w:rPr>
                      <w:rFonts w:hint="eastAsia" w:ascii="Times New Roman" w:hAnsi="Times New Roman" w:cs="Times New Roman"/>
                      <w:b/>
                      <w:bCs/>
                      <w:color w:val="000000" w:themeColor="text1"/>
                      <w:kern w:val="0"/>
                      <w:sz w:val="21"/>
                      <w:szCs w:val="21"/>
                      <w:highlight w:val="none"/>
                      <w:vertAlign w:val="baseline"/>
                      <w:lang w:val="en-US" w:eastAsia="zh-CN" w:bidi="ar"/>
                      <w14:textFill>
                        <w14:solidFill>
                          <w14:schemeClr w14:val="tx1"/>
                        </w14:solidFill>
                      </w14:textFill>
                    </w:rPr>
                    <w:t>7</w:t>
                  </w:r>
                </w:p>
              </w:tc>
              <w:tc>
                <w:tcPr>
                  <w:tcW w:w="1992" w:type="pct"/>
                  <w:vAlign w:val="center"/>
                </w:tcPr>
                <w:p w14:paraId="3BDF94ED">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bCs/>
                      <w:color w:val="000000" w:themeColor="text1"/>
                      <w:kern w:val="0"/>
                      <w:sz w:val="21"/>
                      <w:szCs w:val="21"/>
                      <w:highlight w:val="none"/>
                      <w:vertAlign w:val="baseli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1"/>
                      <w:szCs w:val="21"/>
                      <w:highlight w:val="none"/>
                      <w:vertAlign w:val="baseline"/>
                      <w:lang w:val="en-US" w:eastAsia="zh-CN" w:bidi="ar"/>
                      <w14:textFill>
                        <w14:solidFill>
                          <w14:schemeClr w14:val="tx1"/>
                        </w14:solidFill>
                      </w14:textFill>
                    </w:rPr>
                    <w:t>28112.71</w:t>
                  </w:r>
                </w:p>
              </w:tc>
            </w:tr>
            <w:tr w14:paraId="4F604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000" w:type="pct"/>
                  <w:gridSpan w:val="4"/>
                  <w:vAlign w:val="center"/>
                </w:tcPr>
                <w:p w14:paraId="5CC8E620">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bCs/>
                      <w:color w:val="000000" w:themeColor="text1"/>
                      <w:kern w:val="0"/>
                      <w:sz w:val="21"/>
                      <w:szCs w:val="21"/>
                      <w:highlight w:val="none"/>
                      <w:vertAlign w:val="baseline"/>
                      <w:lang w:val="en-US" w:eastAsia="zh-CN" w:bidi="ar"/>
                      <w14:textFill>
                        <w14:solidFill>
                          <w14:schemeClr w14:val="tx1"/>
                        </w14:solidFill>
                      </w14:textFill>
                    </w:rPr>
                  </w:pPr>
                  <w:r>
                    <w:rPr>
                      <w:rFonts w:hint="eastAsia" w:ascii="Times New Roman" w:hAnsi="Times New Roman" w:cs="Times New Roman"/>
                      <w:b/>
                      <w:bCs/>
                      <w:color w:val="000000" w:themeColor="text1"/>
                      <w:kern w:val="0"/>
                      <w:sz w:val="21"/>
                      <w:szCs w:val="21"/>
                      <w:highlight w:val="none"/>
                      <w:vertAlign w:val="baseline"/>
                      <w:lang w:val="en-US" w:eastAsia="zh-CN" w:bidi="ar"/>
                      <w14:textFill>
                        <w14:solidFill>
                          <w14:schemeClr w14:val="tx1"/>
                        </w14:solidFill>
                      </w14:textFill>
                    </w:rPr>
                    <w:t>三、截排水沟</w:t>
                  </w:r>
                </w:p>
              </w:tc>
            </w:tr>
            <w:tr w14:paraId="383D1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50" w:type="pct"/>
                  <w:gridSpan w:val="2"/>
                  <w:vAlign w:val="center"/>
                </w:tcPr>
                <w:p w14:paraId="6503A342">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Times New Roman" w:hAnsi="Times New Roman" w:cs="Times New Roman"/>
                      <w:b/>
                      <w:bCs/>
                      <w:color w:val="000000" w:themeColor="text1"/>
                      <w:kern w:val="0"/>
                      <w:sz w:val="21"/>
                      <w:szCs w:val="21"/>
                      <w:highlight w:val="none"/>
                      <w:vertAlign w:val="baseline"/>
                      <w:lang w:val="en-US" w:eastAsia="zh-CN" w:bidi="ar"/>
                      <w14:textFill>
                        <w14:solidFill>
                          <w14:schemeClr w14:val="tx1"/>
                        </w14:solidFill>
                      </w14:textFill>
                    </w:rPr>
                  </w:pPr>
                  <w:r>
                    <w:rPr>
                      <w:rFonts w:hint="eastAsia" w:ascii="Times New Roman" w:hAnsi="Times New Roman" w:cs="Times New Roman"/>
                      <w:b/>
                      <w:bCs/>
                      <w:color w:val="000000" w:themeColor="text1"/>
                      <w:kern w:val="0"/>
                      <w:sz w:val="21"/>
                      <w:szCs w:val="21"/>
                      <w:highlight w:val="none"/>
                      <w:vertAlign w:val="baseline"/>
                      <w:lang w:val="en-US" w:eastAsia="zh-CN" w:bidi="ar"/>
                      <w14:textFill>
                        <w14:solidFill>
                          <w14:schemeClr w14:val="tx1"/>
                        </w14:solidFill>
                      </w14:textFill>
                    </w:rPr>
                    <w:t>截排水沟</w:t>
                  </w:r>
                </w:p>
              </w:tc>
              <w:tc>
                <w:tcPr>
                  <w:tcW w:w="856" w:type="pct"/>
                  <w:vAlign w:val="center"/>
                </w:tcPr>
                <w:p w14:paraId="3C3EB5D3">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bCs/>
                      <w:color w:val="000000" w:themeColor="text1"/>
                      <w:kern w:val="0"/>
                      <w:sz w:val="21"/>
                      <w:szCs w:val="21"/>
                      <w:highlight w:val="none"/>
                      <w:vertAlign w:val="baseline"/>
                      <w:lang w:val="en-US" w:eastAsia="zh-CN" w:bidi="ar"/>
                      <w14:textFill>
                        <w14:solidFill>
                          <w14:schemeClr w14:val="tx1"/>
                        </w14:solidFill>
                      </w14:textFill>
                    </w:rPr>
                  </w:pPr>
                  <w:r>
                    <w:rPr>
                      <w:rFonts w:hint="eastAsia" w:ascii="Times New Roman" w:hAnsi="Times New Roman" w:cs="Times New Roman"/>
                      <w:b/>
                      <w:bCs/>
                      <w:color w:val="000000" w:themeColor="text1"/>
                      <w:kern w:val="0"/>
                      <w:sz w:val="21"/>
                      <w:szCs w:val="21"/>
                      <w:highlight w:val="none"/>
                      <w:vertAlign w:val="baseline"/>
                      <w:lang w:val="en-US" w:eastAsia="zh-CN" w:bidi="ar"/>
                      <w14:textFill>
                        <w14:solidFill>
                          <w14:schemeClr w14:val="tx1"/>
                        </w14:solidFill>
                      </w14:textFill>
                    </w:rPr>
                    <w:t>7.68</w:t>
                  </w:r>
                </w:p>
              </w:tc>
              <w:tc>
                <w:tcPr>
                  <w:tcW w:w="1992" w:type="pct"/>
                  <w:vAlign w:val="center"/>
                </w:tcPr>
                <w:p w14:paraId="739FC15E">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bCs/>
                      <w:color w:val="000000" w:themeColor="text1"/>
                      <w:kern w:val="0"/>
                      <w:sz w:val="21"/>
                      <w:szCs w:val="21"/>
                      <w:highlight w:val="none"/>
                      <w:vertAlign w:val="baseline"/>
                      <w:lang w:val="en-US" w:eastAsia="zh-CN" w:bidi="ar"/>
                      <w14:textFill>
                        <w14:solidFill>
                          <w14:schemeClr w14:val="tx1"/>
                        </w14:solidFill>
                      </w14:textFill>
                    </w:rPr>
                  </w:pPr>
                  <w:r>
                    <w:rPr>
                      <w:rFonts w:hint="eastAsia" w:ascii="Times New Roman" w:hAnsi="Times New Roman" w:cs="Times New Roman"/>
                      <w:b/>
                      <w:bCs/>
                      <w:color w:val="000000" w:themeColor="text1"/>
                      <w:kern w:val="0"/>
                      <w:sz w:val="21"/>
                      <w:szCs w:val="21"/>
                      <w:highlight w:val="none"/>
                      <w:vertAlign w:val="baseline"/>
                      <w:lang w:val="en-US" w:eastAsia="zh-CN" w:bidi="ar"/>
                      <w14:textFill>
                        <w14:solidFill>
                          <w14:schemeClr w14:val="tx1"/>
                        </w14:solidFill>
                      </w14:textFill>
                    </w:rPr>
                    <w:t>5120</w:t>
                  </w:r>
                </w:p>
              </w:tc>
            </w:tr>
            <w:tr w14:paraId="74CE4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000" w:type="pct"/>
                  <w:gridSpan w:val="4"/>
                  <w:vAlign w:val="center"/>
                </w:tcPr>
                <w:p w14:paraId="7DB693C7">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bCs/>
                      <w:color w:val="000000" w:themeColor="text1"/>
                      <w:kern w:val="0"/>
                      <w:sz w:val="21"/>
                      <w:szCs w:val="21"/>
                      <w:highlight w:val="none"/>
                      <w:vertAlign w:val="baseline"/>
                      <w:lang w:val="en-US" w:eastAsia="zh-CN" w:bidi="ar"/>
                      <w14:textFill>
                        <w14:solidFill>
                          <w14:schemeClr w14:val="tx1"/>
                        </w14:solidFill>
                      </w14:textFill>
                    </w:rPr>
                  </w:pPr>
                  <w:r>
                    <w:rPr>
                      <w:rFonts w:hint="eastAsia" w:ascii="Times New Roman" w:hAnsi="Times New Roman" w:cs="Times New Roman"/>
                      <w:b/>
                      <w:bCs/>
                      <w:color w:val="000000" w:themeColor="text1"/>
                      <w:kern w:val="0"/>
                      <w:sz w:val="21"/>
                      <w:szCs w:val="21"/>
                      <w:highlight w:val="none"/>
                      <w:vertAlign w:val="baseline"/>
                      <w:lang w:val="en-US" w:eastAsia="zh-CN" w:bidi="ar"/>
                      <w14:textFill>
                        <w14:solidFill>
                          <w14:schemeClr w14:val="tx1"/>
                        </w14:solidFill>
                      </w14:textFill>
                    </w:rPr>
                    <w:t>四、未利用地</w:t>
                  </w:r>
                </w:p>
              </w:tc>
            </w:tr>
            <w:tr w14:paraId="535B5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50" w:type="pct"/>
                  <w:gridSpan w:val="2"/>
                  <w:vAlign w:val="center"/>
                </w:tcPr>
                <w:p w14:paraId="33EAE78D">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Times New Roman" w:hAnsi="Times New Roman" w:cs="Times New Roman"/>
                      <w:b/>
                      <w:bCs/>
                      <w:color w:val="000000" w:themeColor="text1"/>
                      <w:kern w:val="0"/>
                      <w:sz w:val="21"/>
                      <w:szCs w:val="21"/>
                      <w:highlight w:val="none"/>
                      <w:vertAlign w:val="baseline"/>
                      <w:lang w:val="en-US" w:eastAsia="zh-CN" w:bidi="ar"/>
                      <w14:textFill>
                        <w14:solidFill>
                          <w14:schemeClr w14:val="tx1"/>
                        </w14:solidFill>
                      </w14:textFill>
                    </w:rPr>
                  </w:pPr>
                  <w:r>
                    <w:rPr>
                      <w:rFonts w:hint="eastAsia" w:ascii="Times New Roman" w:hAnsi="Times New Roman" w:cs="Times New Roman"/>
                      <w:b/>
                      <w:bCs/>
                      <w:color w:val="000000" w:themeColor="text1"/>
                      <w:kern w:val="0"/>
                      <w:sz w:val="21"/>
                      <w:szCs w:val="21"/>
                      <w:highlight w:val="none"/>
                      <w:vertAlign w:val="baseline"/>
                      <w:lang w:val="en-US" w:eastAsia="zh-CN" w:bidi="ar"/>
                      <w14:textFill>
                        <w14:solidFill>
                          <w14:schemeClr w14:val="tx1"/>
                        </w14:solidFill>
                      </w14:textFill>
                    </w:rPr>
                    <w:t>未利用地</w:t>
                  </w:r>
                </w:p>
              </w:tc>
              <w:tc>
                <w:tcPr>
                  <w:tcW w:w="856" w:type="pct"/>
                  <w:vAlign w:val="center"/>
                </w:tcPr>
                <w:p w14:paraId="10132616">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bCs/>
                      <w:color w:val="000000" w:themeColor="text1"/>
                      <w:kern w:val="0"/>
                      <w:sz w:val="21"/>
                      <w:szCs w:val="21"/>
                      <w:highlight w:val="none"/>
                      <w:vertAlign w:val="baseline"/>
                      <w:lang w:val="en-US" w:eastAsia="zh-CN" w:bidi="ar"/>
                      <w14:textFill>
                        <w14:solidFill>
                          <w14:schemeClr w14:val="tx1"/>
                        </w14:solidFill>
                      </w14:textFill>
                    </w:rPr>
                  </w:pPr>
                  <w:r>
                    <w:rPr>
                      <w:rFonts w:hint="eastAsia" w:ascii="Times New Roman" w:hAnsi="Times New Roman" w:cs="Times New Roman"/>
                      <w:b/>
                      <w:bCs/>
                      <w:color w:val="000000" w:themeColor="text1"/>
                      <w:kern w:val="0"/>
                      <w:sz w:val="21"/>
                      <w:szCs w:val="21"/>
                      <w:highlight w:val="none"/>
                      <w:vertAlign w:val="baseline"/>
                      <w:lang w:val="en-US" w:eastAsia="zh-CN" w:bidi="ar"/>
                      <w14:textFill>
                        <w14:solidFill>
                          <w14:schemeClr w14:val="tx1"/>
                        </w14:solidFill>
                      </w14:textFill>
                    </w:rPr>
                    <w:t>20.35</w:t>
                  </w:r>
                </w:p>
              </w:tc>
              <w:tc>
                <w:tcPr>
                  <w:tcW w:w="1992" w:type="pct"/>
                  <w:vAlign w:val="center"/>
                </w:tcPr>
                <w:p w14:paraId="24C0AD5C">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bCs/>
                      <w:color w:val="000000" w:themeColor="text1"/>
                      <w:kern w:val="0"/>
                      <w:sz w:val="21"/>
                      <w:szCs w:val="21"/>
                      <w:highlight w:val="none"/>
                      <w:vertAlign w:val="baseli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1"/>
                      <w:szCs w:val="21"/>
                      <w:highlight w:val="none"/>
                      <w:vertAlign w:val="baseline"/>
                      <w:lang w:val="en-US" w:eastAsia="zh-CN" w:bidi="ar"/>
                      <w14:textFill>
                        <w14:solidFill>
                          <w14:schemeClr w14:val="tx1"/>
                        </w14:solidFill>
                      </w14:textFill>
                    </w:rPr>
                    <w:t>13566.67</w:t>
                  </w:r>
                </w:p>
              </w:tc>
            </w:tr>
            <w:tr w14:paraId="0BF5F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50" w:type="pct"/>
                  <w:gridSpan w:val="2"/>
                  <w:vAlign w:val="center"/>
                </w:tcPr>
                <w:p w14:paraId="53AABEBB">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cs="Times New Roman"/>
                      <w:b/>
                      <w:bCs/>
                      <w:color w:val="000000" w:themeColor="text1"/>
                      <w:kern w:val="0"/>
                      <w:sz w:val="21"/>
                      <w:szCs w:val="21"/>
                      <w:highlight w:val="none"/>
                      <w:vertAlign w:val="baseline"/>
                      <w:lang w:val="en-US" w:eastAsia="zh-CN" w:bidi="ar"/>
                      <w14:textFill>
                        <w14:solidFill>
                          <w14:schemeClr w14:val="tx1"/>
                        </w14:solidFill>
                      </w14:textFill>
                    </w:rPr>
                  </w:pPr>
                  <w:r>
                    <w:rPr>
                      <w:rFonts w:hint="eastAsia" w:ascii="Times New Roman" w:hAnsi="Times New Roman" w:cs="Times New Roman"/>
                      <w:b/>
                      <w:bCs/>
                      <w:color w:val="000000" w:themeColor="text1"/>
                      <w:kern w:val="0"/>
                      <w:sz w:val="21"/>
                      <w:szCs w:val="21"/>
                      <w:highlight w:val="none"/>
                      <w:vertAlign w:val="baseline"/>
                      <w:lang w:val="en-US" w:eastAsia="zh-CN" w:bidi="ar"/>
                      <w14:textFill>
                        <w14:solidFill>
                          <w14:schemeClr w14:val="tx1"/>
                        </w14:solidFill>
                      </w14:textFill>
                    </w:rPr>
                    <w:t>总计</w:t>
                  </w:r>
                </w:p>
              </w:tc>
              <w:tc>
                <w:tcPr>
                  <w:tcW w:w="856" w:type="pct"/>
                  <w:vAlign w:val="center"/>
                </w:tcPr>
                <w:p w14:paraId="050A7DEE">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bCs/>
                      <w:color w:val="000000" w:themeColor="text1"/>
                      <w:kern w:val="0"/>
                      <w:sz w:val="21"/>
                      <w:szCs w:val="21"/>
                      <w:highlight w:val="none"/>
                      <w:vertAlign w:val="baseline"/>
                      <w:lang w:val="en-US" w:eastAsia="zh-CN" w:bidi="ar"/>
                      <w14:textFill>
                        <w14:solidFill>
                          <w14:schemeClr w14:val="tx1"/>
                        </w14:solidFill>
                      </w14:textFill>
                    </w:rPr>
                  </w:pPr>
                  <w:r>
                    <w:rPr>
                      <w:rFonts w:hint="eastAsia" w:ascii="Times New Roman" w:hAnsi="Times New Roman" w:cs="Times New Roman"/>
                      <w:b/>
                      <w:bCs/>
                      <w:color w:val="000000" w:themeColor="text1"/>
                      <w:kern w:val="0"/>
                      <w:sz w:val="21"/>
                      <w:szCs w:val="21"/>
                      <w:highlight w:val="none"/>
                      <w:vertAlign w:val="baseline"/>
                      <w:lang w:val="en-US" w:eastAsia="zh-CN" w:bidi="ar"/>
                      <w14:textFill>
                        <w14:solidFill>
                          <w14:schemeClr w14:val="tx1"/>
                        </w14:solidFill>
                      </w14:textFill>
                    </w:rPr>
                    <w:t>332.71</w:t>
                  </w:r>
                </w:p>
              </w:tc>
              <w:tc>
                <w:tcPr>
                  <w:tcW w:w="1992" w:type="pct"/>
                  <w:vAlign w:val="center"/>
                </w:tcPr>
                <w:p w14:paraId="3F0EAF70">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bCs/>
                      <w:color w:val="000000" w:themeColor="text1"/>
                      <w:kern w:val="0"/>
                      <w:sz w:val="21"/>
                      <w:szCs w:val="21"/>
                      <w:highlight w:val="none"/>
                      <w:vertAlign w:val="baseline"/>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1"/>
                      <w:szCs w:val="21"/>
                      <w:highlight w:val="none"/>
                      <w:vertAlign w:val="baseline"/>
                      <w:lang w:val="en-US" w:eastAsia="zh-CN" w:bidi="ar"/>
                      <w14:textFill>
                        <w14:solidFill>
                          <w14:schemeClr w14:val="tx1"/>
                        </w14:solidFill>
                      </w14:textFill>
                    </w:rPr>
                    <w:t>221805.07</w:t>
                  </w:r>
                </w:p>
              </w:tc>
            </w:tr>
          </w:tbl>
          <w:p w14:paraId="0095D90A">
            <w:pPr>
              <w:pStyle w:val="37"/>
              <w:jc w:val="both"/>
              <w:rPr>
                <w:rFonts w:hint="default" w:ascii="Times New Roman" w:hAnsi="Times New Roman" w:eastAsia="宋体" w:cs="Times New Roman"/>
                <w:color w:val="000000" w:themeColor="text1"/>
                <w:kern w:val="0"/>
                <w:sz w:val="24"/>
                <w:szCs w:val="24"/>
                <w:highlight w:val="yellow"/>
                <w:lang w:val="en-US" w:eastAsia="zh-CN" w:bidi="ar"/>
                <w14:textFill>
                  <w14:solidFill>
                    <w14:schemeClr w14:val="tx1"/>
                  </w14:solidFill>
                </w14:textFill>
              </w:rPr>
            </w:pPr>
          </w:p>
          <w:p w14:paraId="31D7BA13">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color w:val="000000" w:themeColor="text1"/>
                <w:kern w:val="0"/>
                <w:sz w:val="24"/>
                <w:szCs w:val="24"/>
                <w:highlight w:val="none"/>
                <w:lang w:val="en-US" w:eastAsia="zh-CN" w:bidi="ar"/>
                <w14:textFill>
                  <w14:solidFill>
                    <w14:schemeClr w14:val="tx1"/>
                  </w14:solidFill>
                </w14:textFill>
              </w:rPr>
            </w:pP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（2）</w:t>
            </w:r>
            <w:r>
              <w:rPr>
                <w:rFonts w:hint="default" w:ascii="Times New Roman" w:hAnsi="Times New Roman" w:cs="Times New Roman"/>
                <w:color w:val="000000" w:themeColor="text1"/>
                <w:kern w:val="0"/>
                <w:sz w:val="24"/>
                <w:szCs w:val="24"/>
                <w:highlight w:val="none"/>
                <w:lang w:val="en-US" w:eastAsia="zh-CN" w:bidi="ar"/>
                <w14:textFill>
                  <w14:solidFill>
                    <w14:schemeClr w14:val="tx1"/>
                  </w14:solidFill>
                </w14:textFill>
              </w:rPr>
              <w:t>二片区：</w:t>
            </w:r>
          </w:p>
          <w:p w14:paraId="2C338264">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项目区占地面积</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1153.89</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亩</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，其中种植面积为1021.37亩</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蓝莓种植规模244.6亩、三七种植规模385.59亩</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、羊肚菌种植规模391.</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18</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亩</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辅助工程建设用地面积约121.79亩</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场地内及厂界外截排水沟占地面积约10.73亩（长度约15</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1975</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m）</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项目投资备案证总占地面积为1143.16亩，只包含了项目区种植面积及辅助工程面积，未包含截排水沟占地面积。</w:t>
            </w:r>
          </w:p>
          <w:p w14:paraId="600B7DE1">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根据《峨山县林业和草原局关于峨山县大西北林业种植基地建设项目为林业生</w:t>
            </w:r>
            <w:r>
              <w:rPr>
                <w:rFonts w:hint="eastAsia" w:ascii="Times New Roman" w:hAnsi="Times New Roman" w:eastAsia="宋体" w:cs="Times New Roman"/>
                <w:color w:val="000000" w:themeColor="text1"/>
                <w:lang w:val="en-US" w:eastAsia="zh-CN"/>
                <w14:textFill>
                  <w14:solidFill>
                    <w14:schemeClr w14:val="tx1"/>
                  </w14:solidFill>
                </w14:textFill>
              </w:rPr>
              <w:t>产</w:t>
            </w:r>
            <w:r>
              <w:rPr>
                <w:rFonts w:hint="default" w:ascii="Times New Roman" w:hAnsi="Times New Roman" w:eastAsia="宋体" w:cs="Times New Roman"/>
                <w:color w:val="000000" w:themeColor="text1"/>
                <w:lang w:val="en-US" w:eastAsia="zh-CN"/>
                <w14:textFill>
                  <w14:solidFill>
                    <w14:schemeClr w14:val="tx1"/>
                  </w14:solidFill>
                </w14:textFill>
              </w:rPr>
              <w:t>服务设施使用林地的行政许可决定》（详见附件10）</w:t>
            </w:r>
            <w:r>
              <w:rPr>
                <w:rFonts w:hint="eastAsia"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同意峨山县大西北林业种植基地建设项目直接为林业生产服务工程设施使用峨山县塔甸镇大西村委会集体林地5.7818公顷</w:t>
            </w:r>
            <w:r>
              <w:rPr>
                <w:rFonts w:hint="eastAsia" w:ascii="Times New Roman" w:hAnsi="Times New Roman" w:cs="Times New Roman"/>
                <w:color w:val="000000" w:themeColor="text1"/>
                <w:lang w:val="en-US" w:eastAsia="zh-CN"/>
                <w14:textFill>
                  <w14:solidFill>
                    <w14:schemeClr w14:val="tx1"/>
                  </w14:solidFill>
                </w14:textFill>
              </w:rPr>
              <w:t>（86.73亩）</w:t>
            </w:r>
            <w:r>
              <w:rPr>
                <w:rFonts w:hint="eastAsia"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二片区看护房规划面积为3516m</w:t>
            </w:r>
            <w:r>
              <w:rPr>
                <w:rFonts w:hint="default" w:ascii="Times New Roman" w:hAnsi="Times New Roman" w:eastAsia="宋体" w:cs="Times New Roman"/>
                <w:color w:val="000000" w:themeColor="text1"/>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lang w:val="en-US" w:eastAsia="zh-CN"/>
                <w14:textFill>
                  <w14:solidFill>
                    <w14:schemeClr w14:val="tx1"/>
                  </w14:solidFill>
                </w14:textFill>
              </w:rPr>
              <w:t>，水池规划面积为7110m</w:t>
            </w:r>
            <w:r>
              <w:rPr>
                <w:rFonts w:hint="default" w:ascii="Times New Roman" w:hAnsi="Times New Roman" w:eastAsia="宋体" w:cs="Times New Roman"/>
                <w:color w:val="000000" w:themeColor="text1"/>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lang w:val="en-US" w:eastAsia="zh-CN"/>
                <w14:textFill>
                  <w14:solidFill>
                    <w14:schemeClr w14:val="tx1"/>
                  </w14:solidFill>
                </w14:textFill>
              </w:rPr>
              <w:t>，道路规划面积为47192m</w:t>
            </w:r>
            <w:r>
              <w:rPr>
                <w:rFonts w:hint="default" w:ascii="Times New Roman" w:hAnsi="Times New Roman" w:eastAsia="宋体" w:cs="Times New Roman"/>
                <w:color w:val="000000" w:themeColor="text1"/>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lang w:val="en-US" w:eastAsia="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《峨山县林业和草原局关于峨山县大西林业种植基地配套基础设施项目为林业生产服务设施使用林地的行政许可决定》</w:t>
            </w:r>
            <w:r>
              <w:rPr>
                <w:rFonts w:hint="default" w:ascii="Times New Roman" w:hAnsi="Times New Roman" w:eastAsia="宋体" w:cs="Times New Roman"/>
                <w:color w:val="000000" w:themeColor="text1"/>
                <w:lang w:val="en-US" w:eastAsia="zh-CN"/>
                <w14:textFill>
                  <w14:solidFill>
                    <w14:schemeClr w14:val="tx1"/>
                  </w14:solidFill>
                </w14:textFill>
              </w:rPr>
              <w:t>（详见附件1</w:t>
            </w:r>
            <w:r>
              <w:rPr>
                <w:rFonts w:hint="eastAsia" w:ascii="Times New Roman" w:hAnsi="Times New Roman" w:cs="Times New Roman"/>
                <w:color w:val="000000" w:themeColor="text1"/>
                <w:lang w:val="en-US" w:eastAsia="zh-CN"/>
                <w14:textFill>
                  <w14:solidFill>
                    <w14:schemeClr w14:val="tx1"/>
                  </w14:solidFill>
                </w14:textFill>
              </w:rPr>
              <w:t>1</w:t>
            </w:r>
            <w:r>
              <w:rPr>
                <w:rFonts w:hint="default" w:ascii="Times New Roman" w:hAnsi="Times New Roman" w:eastAsia="宋体" w:cs="Times New Roman"/>
                <w:color w:val="000000" w:themeColor="text1"/>
                <w:lang w:val="en-US" w:eastAsia="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同意峨山县大西北林业种植基地建设项目直接为林业生产服务工程设施使用峨山县塔甸镇大西村委会集体林地0.2845公顷</w:t>
            </w:r>
            <w:r>
              <w:rPr>
                <w:rFonts w:hint="eastAsia" w:ascii="Times New Roman" w:hAnsi="Times New Roman" w:cs="Times New Roman"/>
                <w:color w:val="000000" w:themeColor="text1"/>
                <w:lang w:val="en-US" w:eastAsia="zh-CN"/>
                <w14:textFill>
                  <w14:solidFill>
                    <w14:schemeClr w14:val="tx1"/>
                  </w14:solidFill>
                </w14:textFill>
              </w:rPr>
              <w:t>，规划建设电力塔基</w:t>
            </w:r>
            <w:r>
              <w:rPr>
                <w:rFonts w:hint="default" w:ascii="Times New Roman" w:hAnsi="Times New Roman" w:eastAsia="宋体" w:cs="Times New Roman"/>
                <w:color w:val="000000" w:themeColor="text1"/>
                <w:lang w:val="en-US" w:eastAsia="zh-CN"/>
                <w14:textFill>
                  <w14:solidFill>
                    <w14:schemeClr w14:val="tx1"/>
                  </w14:solidFill>
                </w14:textFill>
              </w:rPr>
              <w:t>。</w:t>
            </w:r>
          </w:p>
          <w:p w14:paraId="6125C6F8">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000000" w:themeColor="text1"/>
                <w:sz w:val="24"/>
                <w:szCs w:val="24"/>
                <w:highlight w:val="yellow"/>
                <w:lang w:val="en-US"/>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根据实际情况规划建设</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管护用房7间，</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总</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占地</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面积为5.59亩（</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3726.03m</w:t>
            </w:r>
            <w:r>
              <w:rPr>
                <w:rFonts w:hint="default" w:ascii="Times New Roman" w:hAnsi="Times New Roman" w:eastAsia="宋体" w:cs="Times New Roman"/>
                <w:color w:val="000000" w:themeColor="text1"/>
                <w:kern w:val="0"/>
                <w:sz w:val="24"/>
                <w:szCs w:val="24"/>
                <w:highlight w:val="none"/>
                <w:vertAlign w:val="superscript"/>
                <w:lang w:val="en-US" w:eastAsia="zh-CN" w:bidi="ar"/>
                <w14:textFill>
                  <w14:solidFill>
                    <w14:schemeClr w14:val="tx1"/>
                  </w14:solidFill>
                </w14:textFill>
              </w:rPr>
              <w:t>2</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水肥中心2个，占地</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面积为3.11亩（</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2071m</w:t>
            </w:r>
            <w:r>
              <w:rPr>
                <w:rFonts w:hint="default" w:ascii="Times New Roman" w:hAnsi="Times New Roman" w:eastAsia="宋体" w:cs="Times New Roman"/>
                <w:color w:val="000000" w:themeColor="text1"/>
                <w:kern w:val="0"/>
                <w:sz w:val="24"/>
                <w:szCs w:val="24"/>
                <w:highlight w:val="none"/>
                <w:vertAlign w:val="superscript"/>
                <w:lang w:val="en-US" w:eastAsia="zh-CN" w:bidi="ar"/>
                <w14:textFill>
                  <w14:solidFill>
                    <w14:schemeClr w14:val="tx1"/>
                  </w14:solidFill>
                </w14:textFill>
              </w:rPr>
              <w:t>2</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分拣房2间，占地</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面积为3.59亩（</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2392.31m</w:t>
            </w:r>
            <w:r>
              <w:rPr>
                <w:rFonts w:hint="default" w:ascii="Times New Roman" w:hAnsi="Times New Roman" w:eastAsia="宋体" w:cs="Times New Roman"/>
                <w:color w:val="000000" w:themeColor="text1"/>
                <w:kern w:val="0"/>
                <w:sz w:val="24"/>
                <w:szCs w:val="24"/>
                <w:highlight w:val="none"/>
                <w:vertAlign w:val="superscript"/>
                <w:lang w:val="en-US" w:eastAsia="zh-CN" w:bidi="ar"/>
                <w14:textFill>
                  <w14:solidFill>
                    <w14:schemeClr w14:val="tx1"/>
                  </w14:solidFill>
                </w14:textFill>
              </w:rPr>
              <w:t>2</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工具房2间，占地</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面积为1.8亩（</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787.07m</w:t>
            </w:r>
            <w:r>
              <w:rPr>
                <w:rFonts w:hint="default" w:ascii="Times New Roman" w:hAnsi="Times New Roman" w:eastAsia="宋体" w:cs="Times New Roman"/>
                <w:color w:val="000000" w:themeColor="text1"/>
                <w:kern w:val="0"/>
                <w:sz w:val="24"/>
                <w:szCs w:val="24"/>
                <w:highlight w:val="none"/>
                <w:vertAlign w:val="superscript"/>
                <w:lang w:val="en-US" w:eastAsia="zh-CN" w:bidi="ar"/>
                <w14:textFill>
                  <w14:solidFill>
                    <w14:schemeClr w14:val="tx1"/>
                  </w14:solidFill>
                </w14:textFill>
              </w:rPr>
              <w:t>2</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沉淀池2个，占地</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面积为0.74亩</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（1个占地面积为250.28m</w:t>
            </w:r>
            <w:r>
              <w:rPr>
                <w:rFonts w:hint="eastAsia" w:ascii="Times New Roman" w:hAnsi="Times New Roman" w:cs="Times New Roman"/>
                <w:color w:val="000000" w:themeColor="text1"/>
                <w:kern w:val="0"/>
                <w:sz w:val="24"/>
                <w:szCs w:val="24"/>
                <w:highlight w:val="none"/>
                <w:vertAlign w:val="superscript"/>
                <w:lang w:val="en-US" w:eastAsia="zh-CN" w:bidi="ar"/>
                <w14:textFill>
                  <w14:solidFill>
                    <w14:schemeClr w14:val="tx1"/>
                  </w14:solidFill>
                </w14:textFill>
              </w:rPr>
              <w:t>2</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，1个占地面积为243.75m</w:t>
            </w:r>
            <w:r>
              <w:rPr>
                <w:rFonts w:hint="eastAsia" w:ascii="Times New Roman" w:hAnsi="Times New Roman" w:cs="Times New Roman"/>
                <w:color w:val="000000" w:themeColor="text1"/>
                <w:kern w:val="0"/>
                <w:sz w:val="24"/>
                <w:szCs w:val="24"/>
                <w:highlight w:val="none"/>
                <w:vertAlign w:val="superscript"/>
                <w:lang w:val="en-US" w:eastAsia="zh-CN" w:bidi="ar"/>
                <w14:textFill>
                  <w14:solidFill>
                    <w14:schemeClr w14:val="tx1"/>
                  </w14:solidFill>
                </w14:textFill>
              </w:rPr>
              <w:t>2</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，合计总占地面积为</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494.03m</w:t>
            </w:r>
            <w:r>
              <w:rPr>
                <w:rFonts w:hint="default" w:ascii="Times New Roman" w:hAnsi="Times New Roman" w:eastAsia="宋体" w:cs="Times New Roman"/>
                <w:color w:val="000000" w:themeColor="text1"/>
                <w:kern w:val="0"/>
                <w:sz w:val="24"/>
                <w:szCs w:val="24"/>
                <w:highlight w:val="none"/>
                <w:vertAlign w:val="superscript"/>
                <w:lang w:val="en-US" w:eastAsia="zh-CN" w:bidi="ar"/>
                <w14:textFill>
                  <w14:solidFill>
                    <w14:schemeClr w14:val="tx1"/>
                  </w14:solidFill>
                </w14:textFill>
              </w:rPr>
              <w:t>2</w:t>
            </w:r>
            <w:r>
              <w:rPr>
                <w:rFonts w:hint="eastAsia" w:ascii="Times New Roman" w:hAnsi="Times New Roman" w:cs="Times New Roman"/>
                <w:color w:val="000000" w:themeColor="text1"/>
                <w:kern w:val="0"/>
                <w:sz w:val="24"/>
                <w:szCs w:val="24"/>
                <w:highlight w:val="none"/>
                <w:vertAlign w:val="baseline"/>
                <w:lang w:val="en-US" w:eastAsia="zh-CN" w:bidi="ar"/>
                <w14:textFill>
                  <w14:solidFill>
                    <w14:schemeClr w14:val="tx1"/>
                  </w14:solidFill>
                </w14:textFill>
              </w:rPr>
              <w:t>，</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总容积为494.03m</w:t>
            </w:r>
            <w:r>
              <w:rPr>
                <w:rFonts w:hint="eastAsia" w:ascii="Times New Roman" w:hAnsi="Times New Roman" w:cs="Times New Roman"/>
                <w:color w:val="000000" w:themeColor="text1"/>
                <w:sz w:val="24"/>
                <w:szCs w:val="24"/>
                <w:highlight w:val="none"/>
                <w:vertAlign w:val="superscript"/>
                <w:lang w:val="en-US" w:eastAsia="zh-CN"/>
                <w14:textFill>
                  <w14:solidFill>
                    <w14:schemeClr w14:val="tx1"/>
                  </w14:solidFill>
                </w14:textFill>
              </w:rPr>
              <w:t>3</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水池1</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2</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个，</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总</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占地</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面积为13.91亩</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9</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27</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5.</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05</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m</w:t>
            </w:r>
            <w:r>
              <w:rPr>
                <w:rFonts w:hint="default" w:ascii="Times New Roman" w:hAnsi="Times New Roman" w:eastAsia="宋体" w:cs="Times New Roman"/>
                <w:color w:val="000000" w:themeColor="text1"/>
                <w:kern w:val="0"/>
                <w:sz w:val="24"/>
                <w:szCs w:val="24"/>
                <w:highlight w:val="none"/>
                <w:vertAlign w:val="superscript"/>
                <w:lang w:val="en-US" w:eastAsia="zh-CN" w:bidi="ar"/>
                <w14:textFill>
                  <w14:solidFill>
                    <w14:schemeClr w14:val="tx1"/>
                  </w14:solidFill>
                </w14:textFill>
              </w:rPr>
              <w:t>2</w:t>
            </w:r>
            <w:r>
              <w:rPr>
                <w:rFonts w:hint="default" w:ascii="Times New Roman" w:hAnsi="Times New Roman" w:eastAsia="宋体" w:cs="Times New Roman"/>
                <w:color w:val="000000" w:themeColor="text1"/>
                <w:kern w:val="0"/>
                <w:sz w:val="24"/>
                <w:szCs w:val="24"/>
                <w:highlight w:val="none"/>
                <w:vertAlign w:val="baseline"/>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总容积为</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43964.24</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m</w:t>
            </w:r>
            <w:r>
              <w:rPr>
                <w:rFonts w:hint="default" w:ascii="Times New Roman" w:hAnsi="Times New Roman" w:eastAsia="宋体" w:cs="Times New Roman"/>
                <w:color w:val="000000" w:themeColor="text1"/>
                <w:kern w:val="0"/>
                <w:sz w:val="24"/>
                <w:szCs w:val="24"/>
                <w:highlight w:val="none"/>
                <w:vertAlign w:val="superscript"/>
                <w:lang w:val="en-US" w:eastAsia="zh-CN" w:bidi="ar"/>
                <w14:textFill>
                  <w14:solidFill>
                    <w14:schemeClr w14:val="tx1"/>
                  </w14:solidFill>
                </w14:textFill>
              </w:rPr>
              <w:t>3</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规划道路占地</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面积为93.67</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亩</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（62446.67m</w:t>
            </w:r>
            <w:r>
              <w:rPr>
                <w:rFonts w:hint="eastAsia" w:ascii="Times New Roman" w:hAnsi="Times New Roman" w:cs="Times New Roman"/>
                <w:color w:val="000000" w:themeColor="text1"/>
                <w:kern w:val="0"/>
                <w:sz w:val="24"/>
                <w:szCs w:val="24"/>
                <w:highlight w:val="none"/>
                <w:vertAlign w:val="superscript"/>
                <w:lang w:val="en-US" w:eastAsia="zh-CN" w:bidi="ar"/>
                <w14:textFill>
                  <w14:solidFill>
                    <w14:schemeClr w14:val="tx1"/>
                  </w14:solidFill>
                </w14:textFill>
              </w:rPr>
              <w:t>2</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，长度31227m</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。场地内及厂界外雨水收集沟15</w:t>
            </w:r>
            <w:r>
              <w:rPr>
                <w:rFonts w:hint="default" w:ascii="Times New Roman" w:hAnsi="Times New Roman" w:eastAsia="宋体" w:cs="Times New Roman"/>
                <w:color w:val="000000" w:themeColor="text1"/>
                <w:kern w:val="0"/>
                <w:sz w:val="24"/>
                <w:szCs w:val="24"/>
                <w:highlight w:val="none"/>
                <w:lang w:val="en-US" w:eastAsia="zh-CN" w:bidi="ar"/>
                <w14:textFill>
                  <w14:solidFill>
                    <w14:schemeClr w14:val="tx1"/>
                  </w14:solidFill>
                </w14:textFill>
              </w:rPr>
              <w:t>1975米。</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超过许可面积的35.06亩不属于林地范围，不影响许可决定。</w:t>
            </w:r>
          </w:p>
          <w:p w14:paraId="019E457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000000" w:themeColor="text1"/>
                <w:kern w:val="0"/>
                <w:sz w:val="24"/>
                <w:szCs w:val="24"/>
                <w:highlight w:val="yellow"/>
                <w:lang w:val="en-US" w:eastAsia="zh-CN" w:bidi="ar"/>
                <w14:textFill>
                  <w14:solidFill>
                    <w14:schemeClr w14:val="tx1"/>
                  </w14:solidFill>
                </w14:textFill>
              </w:rPr>
            </w:pP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具体工程详见下表</w:t>
            </w:r>
          </w:p>
          <w:p w14:paraId="27E14DCD">
            <w:pPr>
              <w:pStyle w:val="35"/>
              <w:jc w:val="center"/>
              <w:rPr>
                <w:rFonts w:hint="default" w:ascii="Times New Roman" w:hAnsi="Times New Roman" w:eastAsia="宋体" w:cs="Times New Roman"/>
                <w:b/>
                <w:bCs/>
                <w:color w:val="000000" w:themeColor="text1"/>
                <w:kern w:val="0"/>
                <w:sz w:val="24"/>
                <w:szCs w:val="24"/>
                <w:highlight w:val="none"/>
                <w:lang w:val="en-US" w:eastAsia="zh-CN" w:bidi="ar"/>
                <w14:textFill>
                  <w14:solidFill>
                    <w14:schemeClr w14:val="tx1"/>
                  </w14:solidFill>
                </w14:textFill>
              </w:rPr>
            </w:pPr>
            <w:r>
              <w:rPr>
                <w:rFonts w:hint="eastAsia" w:ascii="Times New Roman" w:hAnsi="Times New Roman" w:eastAsia="宋体" w:cs="Times New Roman"/>
                <w:b/>
                <w:bCs/>
                <w:color w:val="000000" w:themeColor="text1"/>
                <w:kern w:val="0"/>
                <w:sz w:val="24"/>
                <w:szCs w:val="24"/>
                <w:highlight w:val="none"/>
                <w:lang w:val="en-US" w:eastAsia="zh-CN" w:bidi="ar"/>
                <w14:textFill>
                  <w14:solidFill>
                    <w14:schemeClr w14:val="tx1"/>
                  </w14:solidFill>
                </w14:textFill>
              </w:rPr>
              <w:t>表2-2   二片区工程占地面积组成一览表</w:t>
            </w:r>
          </w:p>
          <w:tbl>
            <w:tblPr>
              <w:tblStyle w:val="2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960"/>
              <w:gridCol w:w="2449"/>
              <w:gridCol w:w="2043"/>
              <w:gridCol w:w="2473"/>
            </w:tblGrid>
            <w:tr w14:paraId="77B85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trPr>
              <w:tc>
                <w:tcPr>
                  <w:tcW w:w="605" w:type="pct"/>
                  <w:vMerge w:val="restart"/>
                  <w:shd w:val="clear" w:color="auto" w:fill="auto"/>
                  <w:vAlign w:val="center"/>
                </w:tcPr>
                <w:p w14:paraId="0FBC1B4F">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themeColor="text1"/>
                      <w:kern w:val="0"/>
                      <w:sz w:val="21"/>
                      <w:szCs w:val="21"/>
                      <w:highlight w:val="none"/>
                      <w:vertAlign w:val="baseline"/>
                      <w:lang w:val="en-US" w:eastAsia="zh-CN" w:bidi="ar"/>
                      <w14:textFill>
                        <w14:solidFill>
                          <w14:schemeClr w14:val="tx1"/>
                        </w14:solidFill>
                      </w14:textFill>
                    </w:rPr>
                  </w:pPr>
                  <w:r>
                    <w:rPr>
                      <w:rFonts w:hint="eastAsia" w:ascii="Times New Roman" w:hAnsi="Times New Roman" w:cs="Times New Roman"/>
                      <w:b/>
                      <w:bCs/>
                      <w:color w:val="000000" w:themeColor="text1"/>
                      <w:kern w:val="0"/>
                      <w:sz w:val="21"/>
                      <w:szCs w:val="21"/>
                      <w:highlight w:val="none"/>
                      <w:vertAlign w:val="baseline"/>
                      <w:lang w:val="en-US" w:eastAsia="zh-CN" w:bidi="ar"/>
                      <w14:textFill>
                        <w14:solidFill>
                          <w14:schemeClr w14:val="tx1"/>
                        </w14:solidFill>
                      </w14:textFill>
                    </w:rPr>
                    <w:t>序号</w:t>
                  </w:r>
                </w:p>
              </w:tc>
              <w:tc>
                <w:tcPr>
                  <w:tcW w:w="1545" w:type="pct"/>
                  <w:vMerge w:val="restart"/>
                  <w:shd w:val="clear" w:color="auto" w:fill="auto"/>
                  <w:vAlign w:val="center"/>
                </w:tcPr>
                <w:p w14:paraId="3F68E049">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themeColor="text1"/>
                      <w:kern w:val="0"/>
                      <w:sz w:val="21"/>
                      <w:szCs w:val="21"/>
                      <w:highlight w:val="none"/>
                      <w:vertAlign w:val="baseline"/>
                      <w:lang w:val="en-US" w:eastAsia="zh-CN" w:bidi="ar"/>
                      <w14:textFill>
                        <w14:solidFill>
                          <w14:schemeClr w14:val="tx1"/>
                        </w14:solidFill>
                      </w14:textFill>
                    </w:rPr>
                  </w:pPr>
                  <w:r>
                    <w:rPr>
                      <w:rFonts w:hint="eastAsia" w:ascii="Times New Roman" w:hAnsi="Times New Roman" w:cs="Times New Roman"/>
                      <w:b/>
                      <w:bCs/>
                      <w:color w:val="000000" w:themeColor="text1"/>
                      <w:kern w:val="0"/>
                      <w:sz w:val="21"/>
                      <w:szCs w:val="21"/>
                      <w:highlight w:val="none"/>
                      <w:vertAlign w:val="baseline"/>
                      <w:lang w:val="en-US" w:eastAsia="zh-CN" w:bidi="ar"/>
                      <w14:textFill>
                        <w14:solidFill>
                          <w14:schemeClr w14:val="tx1"/>
                        </w14:solidFill>
                      </w14:textFill>
                    </w:rPr>
                    <w:t>类别</w:t>
                  </w:r>
                </w:p>
              </w:tc>
              <w:tc>
                <w:tcPr>
                  <w:tcW w:w="2849" w:type="pct"/>
                  <w:gridSpan w:val="2"/>
                  <w:shd w:val="clear" w:color="auto" w:fill="auto"/>
                  <w:vAlign w:val="center"/>
                </w:tcPr>
                <w:p w14:paraId="2ABE4B2C">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cs="Times New Roman"/>
                      <w:b/>
                      <w:bCs/>
                      <w:color w:val="000000" w:themeColor="text1"/>
                      <w:kern w:val="0"/>
                      <w:sz w:val="21"/>
                      <w:szCs w:val="21"/>
                      <w:highlight w:val="none"/>
                      <w:vertAlign w:val="baseline"/>
                      <w:lang w:val="en-US" w:eastAsia="zh-CN" w:bidi="ar"/>
                      <w14:textFill>
                        <w14:solidFill>
                          <w14:schemeClr w14:val="tx1"/>
                        </w14:solidFill>
                      </w14:textFill>
                    </w:rPr>
                  </w:pPr>
                  <w:r>
                    <w:rPr>
                      <w:rFonts w:hint="eastAsia" w:ascii="Times New Roman" w:hAnsi="Times New Roman" w:cs="Times New Roman"/>
                      <w:b/>
                      <w:bCs/>
                      <w:color w:val="000000" w:themeColor="text1"/>
                      <w:kern w:val="0"/>
                      <w:sz w:val="21"/>
                      <w:szCs w:val="21"/>
                      <w:highlight w:val="none"/>
                      <w:vertAlign w:val="baseline"/>
                      <w:lang w:val="en-US" w:eastAsia="zh-CN" w:bidi="ar"/>
                      <w14:textFill>
                        <w14:solidFill>
                          <w14:schemeClr w14:val="tx1"/>
                        </w14:solidFill>
                      </w14:textFill>
                    </w:rPr>
                    <w:t>面积</w:t>
                  </w:r>
                </w:p>
              </w:tc>
            </w:tr>
            <w:tr w14:paraId="53C4C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trPr>
              <w:tc>
                <w:tcPr>
                  <w:tcW w:w="605" w:type="pct"/>
                  <w:vMerge w:val="continue"/>
                  <w:shd w:val="clear" w:color="auto" w:fill="auto"/>
                  <w:vAlign w:val="center"/>
                </w:tcPr>
                <w:p w14:paraId="7A9CEB0A">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themeColor="text1"/>
                      <w:kern w:val="0"/>
                      <w:sz w:val="21"/>
                      <w:szCs w:val="21"/>
                      <w:highlight w:val="none"/>
                      <w:vertAlign w:val="baseline"/>
                      <w:lang w:val="en-US" w:eastAsia="zh-CN" w:bidi="ar"/>
                      <w14:textFill>
                        <w14:solidFill>
                          <w14:schemeClr w14:val="tx1"/>
                        </w14:solidFill>
                      </w14:textFill>
                    </w:rPr>
                  </w:pPr>
                </w:p>
              </w:tc>
              <w:tc>
                <w:tcPr>
                  <w:tcW w:w="1545" w:type="pct"/>
                  <w:vMerge w:val="continue"/>
                  <w:shd w:val="clear" w:color="auto" w:fill="auto"/>
                  <w:vAlign w:val="center"/>
                </w:tcPr>
                <w:p w14:paraId="3056C854">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themeColor="text1"/>
                      <w:kern w:val="0"/>
                      <w:sz w:val="21"/>
                      <w:szCs w:val="21"/>
                      <w:highlight w:val="none"/>
                      <w:vertAlign w:val="baseline"/>
                      <w:lang w:val="en-US" w:eastAsia="zh-CN" w:bidi="ar"/>
                      <w14:textFill>
                        <w14:solidFill>
                          <w14:schemeClr w14:val="tx1"/>
                        </w14:solidFill>
                      </w14:textFill>
                    </w:rPr>
                  </w:pPr>
                </w:p>
              </w:tc>
              <w:tc>
                <w:tcPr>
                  <w:tcW w:w="1288" w:type="pct"/>
                  <w:shd w:val="clear" w:color="auto" w:fill="auto"/>
                  <w:vAlign w:val="center"/>
                </w:tcPr>
                <w:p w14:paraId="4959B946">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themeColor="text1"/>
                      <w:kern w:val="0"/>
                      <w:sz w:val="21"/>
                      <w:szCs w:val="21"/>
                      <w:highlight w:val="none"/>
                      <w:vertAlign w:val="baseline"/>
                      <w:lang w:val="en-US" w:eastAsia="zh-CN" w:bidi="ar"/>
                      <w14:textFill>
                        <w14:solidFill>
                          <w14:schemeClr w14:val="tx1"/>
                        </w14:solidFill>
                      </w14:textFill>
                    </w:rPr>
                  </w:pPr>
                  <w:r>
                    <w:rPr>
                      <w:rFonts w:hint="eastAsia" w:ascii="Times New Roman" w:hAnsi="Times New Roman" w:cs="Times New Roman"/>
                      <w:b/>
                      <w:bCs/>
                      <w:color w:val="000000" w:themeColor="text1"/>
                      <w:kern w:val="0"/>
                      <w:sz w:val="21"/>
                      <w:szCs w:val="21"/>
                      <w:highlight w:val="none"/>
                      <w:vertAlign w:val="baseline"/>
                      <w:lang w:val="en-US" w:eastAsia="zh-CN" w:bidi="ar"/>
                      <w14:textFill>
                        <w14:solidFill>
                          <w14:schemeClr w14:val="tx1"/>
                        </w14:solidFill>
                      </w14:textFill>
                    </w:rPr>
                    <w:t>亩</w:t>
                  </w:r>
                </w:p>
              </w:tc>
              <w:tc>
                <w:tcPr>
                  <w:tcW w:w="1560" w:type="pct"/>
                  <w:shd w:val="clear" w:color="auto" w:fill="auto"/>
                  <w:vAlign w:val="center"/>
                </w:tcPr>
                <w:p w14:paraId="63B846B2">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cs="Times New Roman"/>
                      <w:b/>
                      <w:bCs/>
                      <w:color w:val="000000" w:themeColor="text1"/>
                      <w:kern w:val="0"/>
                      <w:sz w:val="21"/>
                      <w:szCs w:val="21"/>
                      <w:highlight w:val="none"/>
                      <w:vertAlign w:val="baseline"/>
                      <w:lang w:val="en-US" w:eastAsia="zh-CN" w:bidi="ar"/>
                      <w14:textFill>
                        <w14:solidFill>
                          <w14:schemeClr w14:val="tx1"/>
                        </w14:solidFill>
                      </w14:textFill>
                    </w:rPr>
                  </w:pPr>
                  <w:r>
                    <w:rPr>
                      <w:rFonts w:hint="eastAsia" w:ascii="Times New Roman" w:hAnsi="Times New Roman" w:cs="Times New Roman"/>
                      <w:b/>
                      <w:bCs/>
                      <w:color w:val="000000" w:themeColor="text1"/>
                      <w:kern w:val="0"/>
                      <w:sz w:val="21"/>
                      <w:szCs w:val="21"/>
                      <w:highlight w:val="none"/>
                      <w:vertAlign w:val="baseline"/>
                      <w:lang w:val="en-US" w:eastAsia="zh-CN" w:bidi="ar"/>
                      <w14:textFill>
                        <w14:solidFill>
                          <w14:schemeClr w14:val="tx1"/>
                        </w14:solidFill>
                      </w14:textFill>
                    </w:rPr>
                    <w:t>m</w:t>
                  </w:r>
                  <w:r>
                    <w:rPr>
                      <w:rFonts w:hint="eastAsia" w:ascii="Times New Roman" w:hAnsi="Times New Roman" w:cs="Times New Roman"/>
                      <w:b/>
                      <w:bCs/>
                      <w:color w:val="000000" w:themeColor="text1"/>
                      <w:kern w:val="0"/>
                      <w:sz w:val="21"/>
                      <w:szCs w:val="21"/>
                      <w:highlight w:val="none"/>
                      <w:vertAlign w:val="superscript"/>
                      <w:lang w:val="en-US" w:eastAsia="zh-CN" w:bidi="ar"/>
                      <w14:textFill>
                        <w14:solidFill>
                          <w14:schemeClr w14:val="tx1"/>
                        </w14:solidFill>
                      </w14:textFill>
                    </w:rPr>
                    <w:t>2</w:t>
                  </w:r>
                </w:p>
              </w:tc>
            </w:tr>
            <w:tr w14:paraId="329E9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trPr>
              <w:tc>
                <w:tcPr>
                  <w:tcW w:w="5000" w:type="pct"/>
                  <w:gridSpan w:val="4"/>
                  <w:shd w:val="clear" w:color="auto" w:fill="auto"/>
                  <w:vAlign w:val="center"/>
                </w:tcPr>
                <w:p w14:paraId="4EB40DD1">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pPr>
                  <w:r>
                    <w:rPr>
                      <w:rFonts w:hint="eastAsia" w:ascii="Times New Roman" w:hAnsi="Times New Roman" w:cs="Times New Roman"/>
                      <w:b/>
                      <w:bCs/>
                      <w:color w:val="000000" w:themeColor="text1"/>
                      <w:kern w:val="0"/>
                      <w:sz w:val="21"/>
                      <w:szCs w:val="21"/>
                      <w:highlight w:val="none"/>
                      <w:vertAlign w:val="baseline"/>
                      <w:lang w:val="en-US" w:eastAsia="zh-CN" w:bidi="ar"/>
                      <w14:textFill>
                        <w14:solidFill>
                          <w14:schemeClr w14:val="tx1"/>
                        </w14:solidFill>
                      </w14:textFill>
                    </w:rPr>
                    <w:t>一、种植面积</w:t>
                  </w:r>
                </w:p>
              </w:tc>
            </w:tr>
            <w:tr w14:paraId="070E8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trPr>
              <w:tc>
                <w:tcPr>
                  <w:tcW w:w="605" w:type="pct"/>
                  <w:shd w:val="clear" w:color="auto" w:fill="auto"/>
                  <w:vAlign w:val="center"/>
                </w:tcPr>
                <w:p w14:paraId="1A53D28D">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pPr>
                  <w:r>
                    <w:rPr>
                      <w:rFonts w:hint="eastAsia" w:ascii="Times New Roman" w:hAnsi="Times New Roman" w:cs="Times New Roman"/>
                      <w:color w:val="000000" w:themeColor="text1"/>
                      <w:kern w:val="0"/>
                      <w:sz w:val="21"/>
                      <w:szCs w:val="21"/>
                      <w:highlight w:val="none"/>
                      <w:vertAlign w:val="baseline"/>
                      <w:lang w:val="en-US" w:eastAsia="zh-CN" w:bidi="ar"/>
                      <w14:textFill>
                        <w14:solidFill>
                          <w14:schemeClr w14:val="tx1"/>
                        </w14:solidFill>
                      </w14:textFill>
                    </w:rPr>
                    <w:t>1</w:t>
                  </w:r>
                </w:p>
              </w:tc>
              <w:tc>
                <w:tcPr>
                  <w:tcW w:w="1545" w:type="pct"/>
                  <w:shd w:val="clear" w:color="auto" w:fill="auto"/>
                  <w:vAlign w:val="center"/>
                </w:tcPr>
                <w:p w14:paraId="1E5C3181">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t>蓝莓</w:t>
                  </w:r>
                </w:p>
              </w:tc>
              <w:tc>
                <w:tcPr>
                  <w:tcW w:w="1288" w:type="pct"/>
                  <w:shd w:val="clear" w:color="auto" w:fill="auto"/>
                  <w:vAlign w:val="center"/>
                </w:tcPr>
                <w:p w14:paraId="67AFE1B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rPr>
                      <w:rFonts w:hint="default" w:ascii="Times New Roman" w:hAnsi="Times New Roman" w:cs="Times New Roman"/>
                      <w:color w:val="000000" w:themeColor="text1"/>
                      <w:kern w:val="0"/>
                      <w:sz w:val="21"/>
                      <w:szCs w:val="21"/>
                      <w:highlight w:val="none"/>
                      <w:vertAlign w:val="baseli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244.6</w:t>
                  </w:r>
                </w:p>
              </w:tc>
              <w:tc>
                <w:tcPr>
                  <w:tcW w:w="1560" w:type="pct"/>
                  <w:shd w:val="clear" w:color="auto" w:fill="auto"/>
                  <w:vAlign w:val="center"/>
                </w:tcPr>
                <w:p w14:paraId="320F818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rPr>
                      <w:rFonts w:hint="default" w:ascii="Times New Roman" w:hAnsi="Times New Roman" w:cs="Times New Roman"/>
                      <w:color w:val="000000" w:themeColor="text1"/>
                      <w:kern w:val="0"/>
                      <w:sz w:val="21"/>
                      <w:szCs w:val="21"/>
                      <w:highlight w:val="none"/>
                      <w:vertAlign w:val="baseli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163086.04</w:t>
                  </w:r>
                </w:p>
              </w:tc>
            </w:tr>
            <w:tr w14:paraId="01270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05" w:type="pct"/>
                  <w:shd w:val="clear" w:color="auto" w:fill="auto"/>
                  <w:vAlign w:val="center"/>
                </w:tcPr>
                <w:p w14:paraId="4DFDC37A">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pPr>
                  <w:r>
                    <w:rPr>
                      <w:rFonts w:hint="eastAsia" w:ascii="Times New Roman" w:hAnsi="Times New Roman" w:cs="Times New Roman"/>
                      <w:color w:val="000000" w:themeColor="text1"/>
                      <w:kern w:val="0"/>
                      <w:sz w:val="21"/>
                      <w:szCs w:val="21"/>
                      <w:highlight w:val="none"/>
                      <w:vertAlign w:val="baseline"/>
                      <w:lang w:val="en-US" w:eastAsia="zh-CN" w:bidi="ar"/>
                      <w14:textFill>
                        <w14:solidFill>
                          <w14:schemeClr w14:val="tx1"/>
                        </w14:solidFill>
                      </w14:textFill>
                    </w:rPr>
                    <w:t>2</w:t>
                  </w:r>
                </w:p>
              </w:tc>
              <w:tc>
                <w:tcPr>
                  <w:tcW w:w="1545" w:type="pct"/>
                  <w:shd w:val="clear" w:color="auto" w:fill="auto"/>
                  <w:vAlign w:val="center"/>
                </w:tcPr>
                <w:p w14:paraId="203C20DE">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t>三七</w:t>
                  </w:r>
                </w:p>
              </w:tc>
              <w:tc>
                <w:tcPr>
                  <w:tcW w:w="1288" w:type="pct"/>
                  <w:shd w:val="clear" w:color="auto" w:fill="auto"/>
                  <w:vAlign w:val="center"/>
                </w:tcPr>
                <w:p w14:paraId="70AF348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rPr>
                      <w:rFonts w:hint="default" w:ascii="Times New Roman" w:hAnsi="Times New Roman" w:cs="Times New Roman"/>
                      <w:color w:val="000000" w:themeColor="text1"/>
                      <w:kern w:val="0"/>
                      <w:sz w:val="21"/>
                      <w:szCs w:val="21"/>
                      <w:highlight w:val="none"/>
                      <w:vertAlign w:val="baseli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385.59</w:t>
                  </w:r>
                </w:p>
              </w:tc>
              <w:tc>
                <w:tcPr>
                  <w:tcW w:w="1560" w:type="pct"/>
                  <w:shd w:val="clear" w:color="auto" w:fill="auto"/>
                  <w:vAlign w:val="center"/>
                </w:tcPr>
                <w:p w14:paraId="567C8D8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rPr>
                      <w:rFonts w:hint="default" w:ascii="Times New Roman" w:hAnsi="Times New Roman" w:cs="Times New Roman"/>
                      <w:color w:val="000000" w:themeColor="text1"/>
                      <w:kern w:val="0"/>
                      <w:sz w:val="21"/>
                      <w:szCs w:val="21"/>
                      <w:highlight w:val="none"/>
                      <w:vertAlign w:val="baseli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25</w:t>
                  </w:r>
                  <w:r>
                    <w:rPr>
                      <w:rFonts w:hint="eastAsia" w:ascii="Times New Roman" w:hAnsi="Times New Roman" w:cs="Times New Roman"/>
                      <w:i w:val="0"/>
                      <w:iCs w:val="0"/>
                      <w:color w:val="000000" w:themeColor="text1"/>
                      <w:kern w:val="0"/>
                      <w:sz w:val="21"/>
                      <w:szCs w:val="21"/>
                      <w:u w:val="none"/>
                      <w:lang w:val="en-US" w:eastAsia="zh-CN" w:bidi="ar"/>
                      <w14:textFill>
                        <w14:solidFill>
                          <w14:schemeClr w14:val="tx1"/>
                        </w14:solidFill>
                      </w14:textFill>
                    </w:rPr>
                    <w:t>6659.53</w:t>
                  </w:r>
                </w:p>
              </w:tc>
            </w:tr>
            <w:tr w14:paraId="626FC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05" w:type="pct"/>
                  <w:shd w:val="clear" w:color="auto" w:fill="auto"/>
                  <w:vAlign w:val="center"/>
                </w:tcPr>
                <w:p w14:paraId="056A0DC3">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pPr>
                  <w:r>
                    <w:rPr>
                      <w:rFonts w:hint="eastAsia" w:ascii="Times New Roman" w:hAnsi="Times New Roman" w:cs="Times New Roman"/>
                      <w:color w:val="000000" w:themeColor="text1"/>
                      <w:kern w:val="0"/>
                      <w:sz w:val="21"/>
                      <w:szCs w:val="21"/>
                      <w:highlight w:val="none"/>
                      <w:vertAlign w:val="baseline"/>
                      <w:lang w:val="en-US" w:eastAsia="zh-CN" w:bidi="ar"/>
                      <w14:textFill>
                        <w14:solidFill>
                          <w14:schemeClr w14:val="tx1"/>
                        </w14:solidFill>
                      </w14:textFill>
                    </w:rPr>
                    <w:t>3</w:t>
                  </w:r>
                </w:p>
              </w:tc>
              <w:tc>
                <w:tcPr>
                  <w:tcW w:w="1545" w:type="pct"/>
                  <w:shd w:val="clear" w:color="auto" w:fill="auto"/>
                  <w:vAlign w:val="center"/>
                </w:tcPr>
                <w:p w14:paraId="288E51AA">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t>羊肚菌</w:t>
                  </w:r>
                </w:p>
              </w:tc>
              <w:tc>
                <w:tcPr>
                  <w:tcW w:w="1288" w:type="pct"/>
                  <w:shd w:val="clear" w:color="auto" w:fill="auto"/>
                  <w:vAlign w:val="center"/>
                </w:tcPr>
                <w:p w14:paraId="3A7E718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rPr>
                      <w:rFonts w:hint="default" w:ascii="Times New Roman" w:hAnsi="Times New Roman" w:cs="Times New Roman"/>
                      <w:color w:val="000000" w:themeColor="text1"/>
                      <w:kern w:val="0"/>
                      <w:sz w:val="21"/>
                      <w:szCs w:val="21"/>
                      <w:highlight w:val="none"/>
                      <w:vertAlign w:val="baseli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391.18</w:t>
                  </w:r>
                </w:p>
              </w:tc>
              <w:tc>
                <w:tcPr>
                  <w:tcW w:w="1560" w:type="pct"/>
                  <w:shd w:val="clear" w:color="auto" w:fill="auto"/>
                  <w:vAlign w:val="center"/>
                </w:tcPr>
                <w:p w14:paraId="2290366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rPr>
                      <w:rFonts w:hint="default" w:ascii="Times New Roman" w:hAnsi="Times New Roman" w:cs="Times New Roman"/>
                      <w:color w:val="000000" w:themeColor="text1"/>
                      <w:kern w:val="0"/>
                      <w:sz w:val="21"/>
                      <w:szCs w:val="21"/>
                      <w:highlight w:val="none"/>
                      <w:vertAlign w:val="baseli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260802.81</w:t>
                  </w:r>
                </w:p>
              </w:tc>
            </w:tr>
            <w:tr w14:paraId="261F2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150" w:type="pct"/>
                  <w:gridSpan w:val="2"/>
                  <w:shd w:val="clear" w:color="auto" w:fill="auto"/>
                  <w:vAlign w:val="center"/>
                </w:tcPr>
                <w:p w14:paraId="79A2593A">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bCs/>
                      <w:color w:val="000000" w:themeColor="text1"/>
                      <w:kern w:val="0"/>
                      <w:sz w:val="21"/>
                      <w:szCs w:val="21"/>
                      <w:highlight w:val="none"/>
                      <w:vertAlign w:val="baseline"/>
                      <w:lang w:val="en-US" w:eastAsia="zh-CN" w:bidi="ar"/>
                      <w14:textFill>
                        <w14:solidFill>
                          <w14:schemeClr w14:val="tx1"/>
                        </w14:solidFill>
                      </w14:textFill>
                    </w:rPr>
                  </w:pPr>
                  <w:r>
                    <w:rPr>
                      <w:rFonts w:hint="eastAsia" w:ascii="Times New Roman" w:hAnsi="Times New Roman" w:cs="Times New Roman"/>
                      <w:b/>
                      <w:bCs/>
                      <w:color w:val="000000" w:themeColor="text1"/>
                      <w:kern w:val="0"/>
                      <w:sz w:val="21"/>
                      <w:szCs w:val="21"/>
                      <w:highlight w:val="none"/>
                      <w:vertAlign w:val="baseline"/>
                      <w:lang w:val="en-US" w:eastAsia="zh-CN" w:bidi="ar"/>
                      <w14:textFill>
                        <w14:solidFill>
                          <w14:schemeClr w14:val="tx1"/>
                        </w14:solidFill>
                      </w14:textFill>
                    </w:rPr>
                    <w:t>合计</w:t>
                  </w:r>
                </w:p>
              </w:tc>
              <w:tc>
                <w:tcPr>
                  <w:tcW w:w="1288" w:type="pct"/>
                  <w:shd w:val="clear" w:color="auto" w:fill="auto"/>
                  <w:vAlign w:val="center"/>
                </w:tcPr>
                <w:p w14:paraId="007BACA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rPr>
                      <w:rFonts w:hint="default" w:ascii="Times New Roman" w:hAnsi="Times New Roman" w:cs="Times New Roman"/>
                      <w:b/>
                      <w:bCs/>
                      <w:color w:val="000000" w:themeColor="text1"/>
                      <w:kern w:val="0"/>
                      <w:sz w:val="21"/>
                      <w:szCs w:val="21"/>
                      <w:highlight w:val="none"/>
                      <w:vertAlign w:val="baseline"/>
                      <w:lang w:val="en-US" w:eastAsia="zh-CN" w:bidi="ar"/>
                      <w14:textFill>
                        <w14:solidFill>
                          <w14:schemeClr w14:val="tx1"/>
                        </w14:solidFill>
                      </w14:textFill>
                    </w:rPr>
                  </w:pPr>
                  <w:r>
                    <w:rPr>
                      <w:rFonts w:hint="default" w:ascii="Times New Roman" w:hAnsi="Times New Roman" w:cs="Times New Roman"/>
                      <w:b/>
                      <w:bCs/>
                      <w:color w:val="000000" w:themeColor="text1"/>
                      <w:kern w:val="0"/>
                      <w:sz w:val="21"/>
                      <w:szCs w:val="21"/>
                      <w:highlight w:val="none"/>
                      <w:vertAlign w:val="baseline"/>
                      <w:lang w:val="en-US" w:eastAsia="zh-CN" w:bidi="ar"/>
                      <w14:textFill>
                        <w14:solidFill>
                          <w14:schemeClr w14:val="tx1"/>
                        </w14:solidFill>
                      </w14:textFill>
                    </w:rPr>
                    <w:t>1021.37</w:t>
                  </w:r>
                </w:p>
              </w:tc>
              <w:tc>
                <w:tcPr>
                  <w:tcW w:w="1560" w:type="pct"/>
                  <w:shd w:val="clear" w:color="auto" w:fill="auto"/>
                  <w:vAlign w:val="center"/>
                </w:tcPr>
                <w:p w14:paraId="67453FE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rPr>
                      <w:rFonts w:hint="default" w:ascii="Times New Roman" w:hAnsi="Times New Roman" w:cs="Times New Roman"/>
                      <w:b/>
                      <w:bCs/>
                      <w:color w:val="000000" w:themeColor="text1"/>
                      <w:kern w:val="0"/>
                      <w:sz w:val="21"/>
                      <w:szCs w:val="21"/>
                      <w:highlight w:val="none"/>
                      <w:vertAlign w:val="baseline"/>
                      <w:lang w:val="en-US" w:eastAsia="zh-CN" w:bidi="ar"/>
                      <w14:textFill>
                        <w14:solidFill>
                          <w14:schemeClr w14:val="tx1"/>
                        </w14:solidFill>
                      </w14:textFill>
                    </w:rPr>
                  </w:pPr>
                  <w:r>
                    <w:rPr>
                      <w:rFonts w:hint="default" w:ascii="Times New Roman" w:hAnsi="Times New Roman" w:cs="Times New Roman"/>
                      <w:b/>
                      <w:bCs/>
                      <w:color w:val="000000" w:themeColor="text1"/>
                      <w:kern w:val="0"/>
                      <w:sz w:val="21"/>
                      <w:szCs w:val="21"/>
                      <w:highlight w:val="none"/>
                      <w:vertAlign w:val="baseline"/>
                      <w:lang w:val="en-US" w:eastAsia="zh-CN" w:bidi="ar"/>
                      <w14:textFill>
                        <w14:solidFill>
                          <w14:schemeClr w14:val="tx1"/>
                        </w14:solidFill>
                      </w14:textFill>
                    </w:rPr>
                    <w:t>680548.38</w:t>
                  </w:r>
                </w:p>
              </w:tc>
            </w:tr>
            <w:tr w14:paraId="3D2B3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trPr>
              <w:tc>
                <w:tcPr>
                  <w:tcW w:w="5000" w:type="pct"/>
                  <w:gridSpan w:val="4"/>
                  <w:shd w:val="clear" w:color="auto" w:fill="auto"/>
                  <w:vAlign w:val="center"/>
                </w:tcPr>
                <w:p w14:paraId="5D408E1F">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pPr>
                  <w:r>
                    <w:rPr>
                      <w:rFonts w:hint="eastAsia" w:ascii="Times New Roman" w:hAnsi="Times New Roman" w:cs="Times New Roman"/>
                      <w:b/>
                      <w:bCs/>
                      <w:color w:val="000000" w:themeColor="text1"/>
                      <w:kern w:val="0"/>
                      <w:sz w:val="21"/>
                      <w:szCs w:val="21"/>
                      <w:highlight w:val="none"/>
                      <w:vertAlign w:val="baseline"/>
                      <w:lang w:val="en-US" w:eastAsia="zh-CN" w:bidi="ar"/>
                      <w14:textFill>
                        <w14:solidFill>
                          <w14:schemeClr w14:val="tx1"/>
                        </w14:solidFill>
                      </w14:textFill>
                    </w:rPr>
                    <w:t>二、辅助工程</w:t>
                  </w:r>
                </w:p>
              </w:tc>
            </w:tr>
            <w:tr w14:paraId="4DE99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trPr>
              <w:tc>
                <w:tcPr>
                  <w:tcW w:w="605" w:type="pct"/>
                  <w:shd w:val="clear" w:color="auto" w:fill="auto"/>
                  <w:vAlign w:val="center"/>
                </w:tcPr>
                <w:p w14:paraId="7082C792">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pPr>
                  <w:r>
                    <w:rPr>
                      <w:rFonts w:hint="eastAsia" w:ascii="Times New Roman" w:hAnsi="Times New Roman" w:cs="Times New Roman"/>
                      <w:color w:val="000000" w:themeColor="text1"/>
                      <w:kern w:val="0"/>
                      <w:sz w:val="21"/>
                      <w:szCs w:val="21"/>
                      <w:highlight w:val="none"/>
                      <w:vertAlign w:val="baseline"/>
                      <w:lang w:val="en-US" w:eastAsia="zh-CN" w:bidi="ar"/>
                      <w14:textFill>
                        <w14:solidFill>
                          <w14:schemeClr w14:val="tx1"/>
                        </w14:solidFill>
                      </w14:textFill>
                    </w:rPr>
                    <w:t>1</w:t>
                  </w:r>
                </w:p>
              </w:tc>
              <w:tc>
                <w:tcPr>
                  <w:tcW w:w="1545" w:type="pct"/>
                  <w:shd w:val="clear" w:color="auto" w:fill="auto"/>
                  <w:vAlign w:val="center"/>
                </w:tcPr>
                <w:p w14:paraId="32815D9C">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t>管护用房</w:t>
                  </w:r>
                </w:p>
              </w:tc>
              <w:tc>
                <w:tcPr>
                  <w:tcW w:w="1288" w:type="pct"/>
                  <w:shd w:val="clear" w:color="auto" w:fill="auto"/>
                  <w:vAlign w:val="center"/>
                </w:tcPr>
                <w:p w14:paraId="7F8C45E9">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t>5.59</w:t>
                  </w:r>
                </w:p>
              </w:tc>
              <w:tc>
                <w:tcPr>
                  <w:tcW w:w="1560" w:type="pct"/>
                  <w:shd w:val="clear" w:color="auto" w:fill="auto"/>
                  <w:vAlign w:val="center"/>
                </w:tcPr>
                <w:p w14:paraId="20476385">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t>3726.03</w:t>
                  </w:r>
                </w:p>
              </w:tc>
            </w:tr>
            <w:tr w14:paraId="4D234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05" w:type="pct"/>
                  <w:shd w:val="clear" w:color="auto" w:fill="auto"/>
                  <w:vAlign w:val="center"/>
                </w:tcPr>
                <w:p w14:paraId="5B42FE0B">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pPr>
                  <w:r>
                    <w:rPr>
                      <w:rFonts w:hint="eastAsia" w:ascii="Times New Roman" w:hAnsi="Times New Roman" w:cs="Times New Roman"/>
                      <w:color w:val="000000" w:themeColor="text1"/>
                      <w:kern w:val="0"/>
                      <w:sz w:val="21"/>
                      <w:szCs w:val="21"/>
                      <w:highlight w:val="none"/>
                      <w:vertAlign w:val="baseline"/>
                      <w:lang w:val="en-US" w:eastAsia="zh-CN" w:bidi="ar"/>
                      <w14:textFill>
                        <w14:solidFill>
                          <w14:schemeClr w14:val="tx1"/>
                        </w14:solidFill>
                      </w14:textFill>
                    </w:rPr>
                    <w:t>2</w:t>
                  </w:r>
                </w:p>
              </w:tc>
              <w:tc>
                <w:tcPr>
                  <w:tcW w:w="1545" w:type="pct"/>
                  <w:shd w:val="clear" w:color="auto" w:fill="auto"/>
                  <w:vAlign w:val="center"/>
                </w:tcPr>
                <w:p w14:paraId="25A01D4C">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t>水池</w:t>
                  </w:r>
                </w:p>
              </w:tc>
              <w:tc>
                <w:tcPr>
                  <w:tcW w:w="1288" w:type="pct"/>
                  <w:shd w:val="clear" w:color="auto" w:fill="auto"/>
                  <w:vAlign w:val="center"/>
                </w:tcPr>
                <w:p w14:paraId="09E9A955">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pPr>
                  <w:r>
                    <w:rPr>
                      <w:rFonts w:hint="eastAsia" w:ascii="Times New Roman" w:hAnsi="Times New Roman" w:cs="Times New Roman"/>
                      <w:color w:val="000000" w:themeColor="text1"/>
                      <w:kern w:val="0"/>
                      <w:sz w:val="21"/>
                      <w:szCs w:val="21"/>
                      <w:highlight w:val="none"/>
                      <w:vertAlign w:val="baseline"/>
                      <w:lang w:val="en-US" w:eastAsia="zh-CN" w:bidi="ar"/>
                      <w14:textFill>
                        <w14:solidFill>
                          <w14:schemeClr w14:val="tx1"/>
                        </w14:solidFill>
                      </w14:textFill>
                    </w:rPr>
                    <w:t>13.91</w:t>
                  </w:r>
                </w:p>
              </w:tc>
              <w:tc>
                <w:tcPr>
                  <w:tcW w:w="1560" w:type="pct"/>
                  <w:shd w:val="clear" w:color="auto" w:fill="auto"/>
                  <w:vAlign w:val="center"/>
                </w:tcPr>
                <w:p w14:paraId="532A2E76">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t>9</w:t>
                  </w:r>
                  <w:r>
                    <w:rPr>
                      <w:rFonts w:hint="eastAsia" w:ascii="Times New Roman" w:hAnsi="Times New Roman" w:cs="Times New Roman"/>
                      <w:color w:val="000000" w:themeColor="text1"/>
                      <w:kern w:val="0"/>
                      <w:sz w:val="21"/>
                      <w:szCs w:val="21"/>
                      <w:highlight w:val="none"/>
                      <w:vertAlign w:val="baseline"/>
                      <w:lang w:val="en-US" w:eastAsia="zh-CN" w:bidi="ar"/>
                      <w14:textFill>
                        <w14:solidFill>
                          <w14:schemeClr w14:val="tx1"/>
                        </w14:solidFill>
                      </w14:textFill>
                    </w:rPr>
                    <w:t>275.05</w:t>
                  </w:r>
                </w:p>
              </w:tc>
            </w:tr>
            <w:tr w14:paraId="44F80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trPr>
              <w:tc>
                <w:tcPr>
                  <w:tcW w:w="605" w:type="pct"/>
                  <w:shd w:val="clear" w:color="auto" w:fill="auto"/>
                  <w:vAlign w:val="center"/>
                </w:tcPr>
                <w:p w14:paraId="160F2FD2">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Times New Roman" w:hAnsi="Times New Roman" w:eastAsia="宋体" w:cs="Times New Roman"/>
                      <w:color w:val="000000" w:themeColor="text1"/>
                      <w:spacing w:val="4"/>
                      <w:kern w:val="0"/>
                      <w:sz w:val="21"/>
                      <w:szCs w:val="21"/>
                      <w:highlight w:val="none"/>
                      <w:vertAlign w:val="baseline"/>
                      <w:lang w:val="en-US" w:eastAsia="zh-CN" w:bidi="ar"/>
                      <w14:textFill>
                        <w14:solidFill>
                          <w14:schemeClr w14:val="tx1"/>
                        </w14:solidFill>
                      </w14:textFill>
                    </w:rPr>
                  </w:pPr>
                  <w:r>
                    <w:rPr>
                      <w:rFonts w:hint="eastAsia" w:ascii="Times New Roman" w:hAnsi="Times New Roman" w:cs="Times New Roman"/>
                      <w:color w:val="000000" w:themeColor="text1"/>
                      <w:kern w:val="0"/>
                      <w:sz w:val="21"/>
                      <w:szCs w:val="21"/>
                      <w:highlight w:val="none"/>
                      <w:vertAlign w:val="baseline"/>
                      <w:lang w:val="en-US" w:eastAsia="zh-CN" w:bidi="ar"/>
                      <w14:textFill>
                        <w14:solidFill>
                          <w14:schemeClr w14:val="tx1"/>
                        </w14:solidFill>
                      </w14:textFill>
                    </w:rPr>
                    <w:t>3</w:t>
                  </w:r>
                </w:p>
              </w:tc>
              <w:tc>
                <w:tcPr>
                  <w:tcW w:w="1545" w:type="pct"/>
                  <w:shd w:val="clear" w:color="auto" w:fill="auto"/>
                  <w:vAlign w:val="center"/>
                </w:tcPr>
                <w:p w14:paraId="7356927B">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pPr>
                  <w:r>
                    <w:rPr>
                      <w:rFonts w:hint="eastAsia" w:ascii="Times New Roman" w:hAnsi="Times New Roman" w:cs="Times New Roman"/>
                      <w:color w:val="000000" w:themeColor="text1"/>
                      <w:kern w:val="0"/>
                      <w:sz w:val="21"/>
                      <w:szCs w:val="21"/>
                      <w:highlight w:val="none"/>
                      <w:vertAlign w:val="baseline"/>
                      <w:lang w:val="en-US" w:eastAsia="zh-CN" w:bidi="ar"/>
                      <w14:textFill>
                        <w14:solidFill>
                          <w14:schemeClr w14:val="tx1"/>
                        </w14:solidFill>
                      </w14:textFill>
                    </w:rPr>
                    <w:t>沉淀池</w:t>
                  </w:r>
                </w:p>
              </w:tc>
              <w:tc>
                <w:tcPr>
                  <w:tcW w:w="1288" w:type="pct"/>
                  <w:shd w:val="clear" w:color="auto" w:fill="auto"/>
                  <w:vAlign w:val="center"/>
                </w:tcPr>
                <w:p w14:paraId="5CC517FA">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Times New Roman" w:hAnsi="Times New Roman" w:eastAsia="宋体" w:cs="Times New Roman"/>
                      <w:color w:val="000000" w:themeColor="text1"/>
                      <w:spacing w:val="4"/>
                      <w:kern w:val="0"/>
                      <w:sz w:val="21"/>
                      <w:szCs w:val="21"/>
                      <w:highlight w:val="none"/>
                      <w:vertAlign w:val="baseline"/>
                      <w:lang w:val="en-US" w:eastAsia="zh-CN" w:bidi="ar"/>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t>0.74</w:t>
                  </w:r>
                </w:p>
              </w:tc>
              <w:tc>
                <w:tcPr>
                  <w:tcW w:w="1560" w:type="pct"/>
                  <w:shd w:val="clear" w:color="auto" w:fill="auto"/>
                  <w:vAlign w:val="center"/>
                </w:tcPr>
                <w:p w14:paraId="21D0D669">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pacing w:val="4"/>
                      <w:kern w:val="0"/>
                      <w:sz w:val="21"/>
                      <w:szCs w:val="21"/>
                      <w:highlight w:val="none"/>
                      <w:vertAlign w:val="baseli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t>494.03</w:t>
                  </w:r>
                </w:p>
              </w:tc>
            </w:tr>
            <w:tr w14:paraId="24B0E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trPr>
              <w:tc>
                <w:tcPr>
                  <w:tcW w:w="605" w:type="pct"/>
                  <w:shd w:val="clear" w:color="auto" w:fill="auto"/>
                  <w:vAlign w:val="center"/>
                </w:tcPr>
                <w:p w14:paraId="215D555C">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pacing w:val="4"/>
                      <w:kern w:val="0"/>
                      <w:sz w:val="21"/>
                      <w:szCs w:val="21"/>
                      <w:highlight w:val="none"/>
                      <w:vertAlign w:val="baseline"/>
                      <w:lang w:val="en-US" w:eastAsia="zh-CN" w:bidi="ar"/>
                      <w14:textFill>
                        <w14:solidFill>
                          <w14:schemeClr w14:val="tx1"/>
                        </w14:solidFill>
                      </w14:textFill>
                    </w:rPr>
                  </w:pPr>
                  <w:r>
                    <w:rPr>
                      <w:rFonts w:hint="eastAsia" w:ascii="Times New Roman" w:hAnsi="Times New Roman" w:cs="Times New Roman"/>
                      <w:color w:val="000000" w:themeColor="text1"/>
                      <w:kern w:val="0"/>
                      <w:sz w:val="21"/>
                      <w:szCs w:val="21"/>
                      <w:highlight w:val="none"/>
                      <w:vertAlign w:val="baseline"/>
                      <w:lang w:val="en-US" w:eastAsia="zh-CN" w:bidi="ar"/>
                      <w14:textFill>
                        <w14:solidFill>
                          <w14:schemeClr w14:val="tx1"/>
                        </w14:solidFill>
                      </w14:textFill>
                    </w:rPr>
                    <w:t>4</w:t>
                  </w:r>
                </w:p>
              </w:tc>
              <w:tc>
                <w:tcPr>
                  <w:tcW w:w="1545" w:type="pct"/>
                  <w:shd w:val="clear" w:color="auto" w:fill="auto"/>
                  <w:vAlign w:val="center"/>
                </w:tcPr>
                <w:p w14:paraId="03261D81">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pacing w:val="4"/>
                      <w:kern w:val="0"/>
                      <w:sz w:val="21"/>
                      <w:szCs w:val="21"/>
                      <w:highlight w:val="none"/>
                      <w:vertAlign w:val="baseline"/>
                      <w:lang w:val="en-US" w:eastAsia="zh-CN" w:bidi="ar"/>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t>水肥中心</w:t>
                  </w:r>
                </w:p>
              </w:tc>
              <w:tc>
                <w:tcPr>
                  <w:tcW w:w="1288" w:type="pct"/>
                  <w:shd w:val="clear" w:color="auto" w:fill="auto"/>
                  <w:vAlign w:val="center"/>
                </w:tcPr>
                <w:p w14:paraId="6E226851">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pacing w:val="4"/>
                      <w:kern w:val="0"/>
                      <w:sz w:val="21"/>
                      <w:szCs w:val="21"/>
                      <w:highlight w:val="none"/>
                      <w:vertAlign w:val="baseline"/>
                      <w:lang w:val="en-US" w:eastAsia="zh-CN" w:bidi="ar"/>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t>3.11</w:t>
                  </w:r>
                </w:p>
              </w:tc>
              <w:tc>
                <w:tcPr>
                  <w:tcW w:w="1560" w:type="pct"/>
                  <w:shd w:val="clear" w:color="auto" w:fill="auto"/>
                  <w:vAlign w:val="center"/>
                </w:tcPr>
                <w:p w14:paraId="6B8F9FC7">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pacing w:val="4"/>
                      <w:kern w:val="0"/>
                      <w:sz w:val="21"/>
                      <w:szCs w:val="21"/>
                      <w:highlight w:val="none"/>
                      <w:vertAlign w:val="baseline"/>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t>2071</w:t>
                  </w:r>
                </w:p>
              </w:tc>
            </w:tr>
            <w:tr w14:paraId="32BBE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trPr>
              <w:tc>
                <w:tcPr>
                  <w:tcW w:w="605" w:type="pct"/>
                  <w:shd w:val="clear" w:color="auto" w:fill="auto"/>
                  <w:vAlign w:val="center"/>
                </w:tcPr>
                <w:p w14:paraId="580305EF">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pacing w:val="4"/>
                      <w:kern w:val="0"/>
                      <w:sz w:val="21"/>
                      <w:szCs w:val="21"/>
                      <w:highlight w:val="none"/>
                      <w:vertAlign w:val="baseline"/>
                      <w:lang w:val="en-US" w:eastAsia="zh-CN" w:bidi="ar"/>
                      <w14:textFill>
                        <w14:solidFill>
                          <w14:schemeClr w14:val="tx1"/>
                        </w14:solidFill>
                      </w14:textFill>
                    </w:rPr>
                  </w:pPr>
                  <w:r>
                    <w:rPr>
                      <w:rFonts w:hint="eastAsia" w:ascii="Times New Roman" w:hAnsi="Times New Roman" w:cs="Times New Roman"/>
                      <w:color w:val="000000" w:themeColor="text1"/>
                      <w:kern w:val="0"/>
                      <w:sz w:val="21"/>
                      <w:szCs w:val="21"/>
                      <w:highlight w:val="none"/>
                      <w:vertAlign w:val="baseline"/>
                      <w:lang w:val="en-US" w:eastAsia="zh-CN" w:bidi="ar"/>
                      <w14:textFill>
                        <w14:solidFill>
                          <w14:schemeClr w14:val="tx1"/>
                        </w14:solidFill>
                      </w14:textFill>
                    </w:rPr>
                    <w:t>5</w:t>
                  </w:r>
                </w:p>
              </w:tc>
              <w:tc>
                <w:tcPr>
                  <w:tcW w:w="1545" w:type="pct"/>
                  <w:shd w:val="clear" w:color="auto" w:fill="auto"/>
                  <w:vAlign w:val="center"/>
                </w:tcPr>
                <w:p w14:paraId="75F8342A">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pacing w:val="4"/>
                      <w:kern w:val="0"/>
                      <w:sz w:val="21"/>
                      <w:szCs w:val="21"/>
                      <w:highlight w:val="none"/>
                      <w:vertAlign w:val="baseline"/>
                      <w:lang w:val="en-US" w:eastAsia="zh-CN" w:bidi="ar"/>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t>道路规划</w:t>
                  </w:r>
                </w:p>
              </w:tc>
              <w:tc>
                <w:tcPr>
                  <w:tcW w:w="1288" w:type="pct"/>
                  <w:shd w:val="clear" w:color="auto" w:fill="auto"/>
                  <w:vAlign w:val="center"/>
                </w:tcPr>
                <w:p w14:paraId="78480C4D">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pacing w:val="4"/>
                      <w:kern w:val="0"/>
                      <w:sz w:val="21"/>
                      <w:szCs w:val="21"/>
                      <w:highlight w:val="none"/>
                      <w:vertAlign w:val="baseline"/>
                      <w:lang w:val="en-US" w:eastAsia="zh-CN" w:bidi="ar"/>
                      <w14:textFill>
                        <w14:solidFill>
                          <w14:schemeClr w14:val="tx1"/>
                        </w14:solidFill>
                      </w14:textFill>
                    </w:rPr>
                  </w:pPr>
                  <w:r>
                    <w:rPr>
                      <w:rFonts w:hint="eastAsia" w:ascii="Times New Roman" w:hAnsi="Times New Roman" w:cs="Times New Roman"/>
                      <w:color w:val="000000" w:themeColor="text1"/>
                      <w:kern w:val="0"/>
                      <w:sz w:val="21"/>
                      <w:szCs w:val="21"/>
                      <w:highlight w:val="none"/>
                      <w:vertAlign w:val="baseline"/>
                      <w:lang w:val="en-US" w:eastAsia="zh-CN" w:bidi="ar"/>
                      <w14:textFill>
                        <w14:solidFill>
                          <w14:schemeClr w14:val="tx1"/>
                        </w14:solidFill>
                      </w14:textFill>
                    </w:rPr>
                    <w:t>93.67</w:t>
                  </w:r>
                </w:p>
              </w:tc>
              <w:tc>
                <w:tcPr>
                  <w:tcW w:w="1560" w:type="pct"/>
                  <w:shd w:val="clear" w:color="auto" w:fill="auto"/>
                  <w:vAlign w:val="center"/>
                </w:tcPr>
                <w:p w14:paraId="5019A24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rPr>
                      <w:rFonts w:hint="default" w:ascii="Times New Roman" w:hAnsi="Times New Roman" w:eastAsia="宋体" w:cs="Times New Roman"/>
                      <w:color w:val="000000" w:themeColor="text1"/>
                      <w:spacing w:val="4"/>
                      <w:kern w:val="0"/>
                      <w:sz w:val="21"/>
                      <w:szCs w:val="21"/>
                      <w:highlight w:val="none"/>
                      <w:vertAlign w:val="baseli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62446.67</w:t>
                  </w:r>
                </w:p>
              </w:tc>
            </w:tr>
            <w:tr w14:paraId="1E3C4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trPr>
              <w:tc>
                <w:tcPr>
                  <w:tcW w:w="605" w:type="pct"/>
                  <w:shd w:val="clear" w:color="auto" w:fill="auto"/>
                  <w:vAlign w:val="center"/>
                </w:tcPr>
                <w:p w14:paraId="22153239">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pPr>
                  <w:r>
                    <w:rPr>
                      <w:rFonts w:hint="eastAsia" w:ascii="Times New Roman" w:hAnsi="Times New Roman" w:cs="Times New Roman"/>
                      <w:color w:val="000000" w:themeColor="text1"/>
                      <w:kern w:val="0"/>
                      <w:sz w:val="21"/>
                      <w:szCs w:val="21"/>
                      <w:highlight w:val="none"/>
                      <w:vertAlign w:val="baseline"/>
                      <w:lang w:val="en-US" w:eastAsia="zh-CN" w:bidi="ar"/>
                      <w14:textFill>
                        <w14:solidFill>
                          <w14:schemeClr w14:val="tx1"/>
                        </w14:solidFill>
                      </w14:textFill>
                    </w:rPr>
                    <w:t>6</w:t>
                  </w:r>
                </w:p>
              </w:tc>
              <w:tc>
                <w:tcPr>
                  <w:tcW w:w="1545" w:type="pct"/>
                  <w:shd w:val="clear" w:color="auto" w:fill="auto"/>
                  <w:vAlign w:val="center"/>
                </w:tcPr>
                <w:p w14:paraId="0F961A22">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pacing w:val="4"/>
                      <w:kern w:val="0"/>
                      <w:sz w:val="21"/>
                      <w:szCs w:val="21"/>
                      <w:highlight w:val="none"/>
                      <w:vertAlign w:val="baseline"/>
                      <w:lang w:val="en-US" w:eastAsia="zh-CN" w:bidi="ar"/>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t>分拣</w:t>
                  </w:r>
                  <w:r>
                    <w:rPr>
                      <w:rFonts w:hint="eastAsia" w:ascii="Times New Roman" w:hAnsi="Times New Roman" w:cs="Times New Roman"/>
                      <w:color w:val="000000" w:themeColor="text1"/>
                      <w:kern w:val="0"/>
                      <w:sz w:val="21"/>
                      <w:szCs w:val="21"/>
                      <w:highlight w:val="none"/>
                      <w:vertAlign w:val="baseline"/>
                      <w:lang w:val="en-US" w:eastAsia="zh-CN" w:bidi="ar"/>
                      <w14:textFill>
                        <w14:solidFill>
                          <w14:schemeClr w14:val="tx1"/>
                        </w14:solidFill>
                      </w14:textFill>
                    </w:rPr>
                    <w:t>中心</w:t>
                  </w:r>
                </w:p>
              </w:tc>
              <w:tc>
                <w:tcPr>
                  <w:tcW w:w="1288" w:type="pct"/>
                  <w:shd w:val="clear" w:color="auto" w:fill="auto"/>
                  <w:vAlign w:val="center"/>
                </w:tcPr>
                <w:p w14:paraId="25545530">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pacing w:val="4"/>
                      <w:kern w:val="0"/>
                      <w:sz w:val="21"/>
                      <w:szCs w:val="21"/>
                      <w:highlight w:val="none"/>
                      <w:vertAlign w:val="baseline"/>
                      <w:lang w:val="en-US" w:eastAsia="zh-CN" w:bidi="ar"/>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t>3.59</w:t>
                  </w:r>
                </w:p>
              </w:tc>
              <w:tc>
                <w:tcPr>
                  <w:tcW w:w="1560" w:type="pct"/>
                  <w:shd w:val="clear" w:color="auto" w:fill="auto"/>
                  <w:vAlign w:val="center"/>
                </w:tcPr>
                <w:p w14:paraId="7EFCCD8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rPr>
                      <w:rFonts w:hint="default" w:ascii="Times New Roman" w:hAnsi="Times New Roman" w:eastAsia="宋体" w:cs="Times New Roman"/>
                      <w:color w:val="000000" w:themeColor="text1"/>
                      <w:spacing w:val="4"/>
                      <w:kern w:val="0"/>
                      <w:sz w:val="21"/>
                      <w:szCs w:val="21"/>
                      <w:highlight w:val="none"/>
                      <w:vertAlign w:val="baseli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2392.31</w:t>
                  </w:r>
                </w:p>
              </w:tc>
            </w:tr>
            <w:tr w14:paraId="35773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trPr>
              <w:tc>
                <w:tcPr>
                  <w:tcW w:w="605" w:type="pct"/>
                  <w:shd w:val="clear" w:color="auto" w:fill="auto"/>
                  <w:vAlign w:val="center"/>
                </w:tcPr>
                <w:p w14:paraId="7416EC70">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cs="Times New Roman"/>
                      <w:color w:val="000000" w:themeColor="text1"/>
                      <w:kern w:val="0"/>
                      <w:sz w:val="21"/>
                      <w:szCs w:val="21"/>
                      <w:highlight w:val="none"/>
                      <w:vertAlign w:val="baseline"/>
                      <w:lang w:val="en-US" w:eastAsia="zh-CN" w:bidi="ar"/>
                      <w14:textFill>
                        <w14:solidFill>
                          <w14:schemeClr w14:val="tx1"/>
                        </w14:solidFill>
                      </w14:textFill>
                    </w:rPr>
                  </w:pPr>
                  <w:r>
                    <w:rPr>
                      <w:rFonts w:hint="eastAsia" w:ascii="Times New Roman" w:hAnsi="Times New Roman" w:cs="Times New Roman"/>
                      <w:color w:val="000000" w:themeColor="text1"/>
                      <w:kern w:val="0"/>
                      <w:sz w:val="21"/>
                      <w:szCs w:val="21"/>
                      <w:highlight w:val="none"/>
                      <w:vertAlign w:val="baseline"/>
                      <w:lang w:val="en-US" w:eastAsia="zh-CN" w:bidi="ar"/>
                      <w14:textFill>
                        <w14:solidFill>
                          <w14:schemeClr w14:val="tx1"/>
                        </w14:solidFill>
                      </w14:textFill>
                    </w:rPr>
                    <w:t>7</w:t>
                  </w:r>
                </w:p>
              </w:tc>
              <w:tc>
                <w:tcPr>
                  <w:tcW w:w="1545" w:type="pct"/>
                  <w:shd w:val="clear" w:color="auto" w:fill="auto"/>
                  <w:vAlign w:val="center"/>
                </w:tcPr>
                <w:p w14:paraId="427BEBDD">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pacing w:val="4"/>
                      <w:kern w:val="0"/>
                      <w:sz w:val="21"/>
                      <w:szCs w:val="21"/>
                      <w:highlight w:val="none"/>
                      <w:vertAlign w:val="baseline"/>
                      <w:lang w:val="en-US" w:eastAsia="zh-CN" w:bidi="ar"/>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t>工具间</w:t>
                  </w:r>
                </w:p>
              </w:tc>
              <w:tc>
                <w:tcPr>
                  <w:tcW w:w="1288" w:type="pct"/>
                  <w:shd w:val="clear" w:color="auto" w:fill="auto"/>
                  <w:vAlign w:val="center"/>
                </w:tcPr>
                <w:p w14:paraId="48DDAEDD">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Times New Roman" w:hAnsi="Times New Roman" w:eastAsia="宋体" w:cs="Times New Roman"/>
                      <w:color w:val="000000" w:themeColor="text1"/>
                      <w:spacing w:val="4"/>
                      <w:kern w:val="0"/>
                      <w:sz w:val="21"/>
                      <w:szCs w:val="21"/>
                      <w:highlight w:val="none"/>
                      <w:vertAlign w:val="baseline"/>
                      <w:lang w:val="en-US" w:eastAsia="zh-CN" w:bidi="ar"/>
                      <w14:textFill>
                        <w14:solidFill>
                          <w14:schemeClr w14:val="tx1"/>
                        </w14:solidFill>
                      </w14:textFill>
                    </w:rPr>
                  </w:pPr>
                  <w:r>
                    <w:rPr>
                      <w:rFonts w:hint="eastAsia"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t>1.</w:t>
                  </w:r>
                  <w:r>
                    <w:rPr>
                      <w:rFonts w:hint="eastAsia" w:ascii="Times New Roman" w:hAnsi="Times New Roman" w:cs="Times New Roman"/>
                      <w:color w:val="000000" w:themeColor="text1"/>
                      <w:kern w:val="0"/>
                      <w:sz w:val="21"/>
                      <w:szCs w:val="21"/>
                      <w:highlight w:val="none"/>
                      <w:vertAlign w:val="baseline"/>
                      <w:lang w:val="en-US" w:eastAsia="zh-CN" w:bidi="ar"/>
                      <w14:textFill>
                        <w14:solidFill>
                          <w14:schemeClr w14:val="tx1"/>
                        </w14:solidFill>
                      </w14:textFill>
                    </w:rPr>
                    <w:t>1</w:t>
                  </w:r>
                  <w:r>
                    <w:rPr>
                      <w:rFonts w:hint="eastAsia"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t>8</w:t>
                  </w:r>
                </w:p>
              </w:tc>
              <w:tc>
                <w:tcPr>
                  <w:tcW w:w="1560" w:type="pct"/>
                  <w:shd w:val="clear" w:color="auto" w:fill="auto"/>
                  <w:vAlign w:val="center"/>
                </w:tcPr>
                <w:p w14:paraId="01A364D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rPr>
                      <w:rFonts w:hint="eastAsia" w:ascii="Times New Roman" w:hAnsi="Times New Roman" w:eastAsia="宋体" w:cs="Times New Roman"/>
                      <w:color w:val="000000" w:themeColor="text1"/>
                      <w:spacing w:val="4"/>
                      <w:kern w:val="0"/>
                      <w:sz w:val="21"/>
                      <w:szCs w:val="21"/>
                      <w:highlight w:val="none"/>
                      <w:vertAlign w:val="baseli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t>787.07</w:t>
                  </w:r>
                </w:p>
              </w:tc>
            </w:tr>
            <w:tr w14:paraId="6392E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trPr>
              <w:tc>
                <w:tcPr>
                  <w:tcW w:w="2150" w:type="pct"/>
                  <w:gridSpan w:val="2"/>
                  <w:shd w:val="clear" w:color="auto" w:fill="auto"/>
                  <w:vAlign w:val="center"/>
                </w:tcPr>
                <w:p w14:paraId="5AFE6F6B">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Times New Roman" w:hAnsi="Times New Roman" w:eastAsia="宋体" w:cs="Times New Roman"/>
                      <w:b/>
                      <w:bCs/>
                      <w:color w:val="000000" w:themeColor="text1"/>
                      <w:spacing w:val="4"/>
                      <w:kern w:val="0"/>
                      <w:sz w:val="21"/>
                      <w:szCs w:val="21"/>
                      <w:highlight w:val="none"/>
                      <w:vertAlign w:val="baseline"/>
                      <w:lang w:val="en-US" w:eastAsia="zh-CN" w:bidi="ar"/>
                      <w14:textFill>
                        <w14:solidFill>
                          <w14:schemeClr w14:val="tx1"/>
                        </w14:solidFill>
                      </w14:textFill>
                    </w:rPr>
                  </w:pPr>
                  <w:r>
                    <w:rPr>
                      <w:rFonts w:hint="eastAsia" w:ascii="Times New Roman" w:hAnsi="Times New Roman" w:cs="Times New Roman"/>
                      <w:b/>
                      <w:bCs/>
                      <w:color w:val="000000" w:themeColor="text1"/>
                      <w:kern w:val="0"/>
                      <w:sz w:val="21"/>
                      <w:szCs w:val="21"/>
                      <w:highlight w:val="none"/>
                      <w:vertAlign w:val="baseline"/>
                      <w:lang w:val="en-US" w:eastAsia="zh-CN" w:bidi="ar"/>
                      <w14:textFill>
                        <w14:solidFill>
                          <w14:schemeClr w14:val="tx1"/>
                        </w14:solidFill>
                      </w14:textFill>
                    </w:rPr>
                    <w:t>合计</w:t>
                  </w:r>
                </w:p>
              </w:tc>
              <w:tc>
                <w:tcPr>
                  <w:tcW w:w="1288" w:type="pct"/>
                  <w:shd w:val="clear" w:color="auto" w:fill="auto"/>
                  <w:vAlign w:val="center"/>
                </w:tcPr>
                <w:p w14:paraId="5768918E">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Times New Roman" w:hAnsi="Times New Roman" w:eastAsia="宋体" w:cs="Times New Roman"/>
                      <w:b/>
                      <w:bCs/>
                      <w:color w:val="000000" w:themeColor="text1"/>
                      <w:spacing w:val="4"/>
                      <w:kern w:val="0"/>
                      <w:sz w:val="21"/>
                      <w:szCs w:val="21"/>
                      <w:highlight w:val="none"/>
                      <w:vertAlign w:val="baseline"/>
                      <w:lang w:val="en-US" w:eastAsia="zh-CN" w:bidi="ar"/>
                      <w14:textFill>
                        <w14:solidFill>
                          <w14:schemeClr w14:val="tx1"/>
                        </w14:solidFill>
                      </w14:textFill>
                    </w:rPr>
                  </w:pPr>
                  <w:r>
                    <w:rPr>
                      <w:rFonts w:hint="eastAsia" w:ascii="Times New Roman" w:hAnsi="Times New Roman" w:cs="Times New Roman"/>
                      <w:b/>
                      <w:bCs/>
                      <w:color w:val="000000" w:themeColor="text1"/>
                      <w:kern w:val="0"/>
                      <w:sz w:val="21"/>
                      <w:szCs w:val="21"/>
                      <w:highlight w:val="none"/>
                      <w:vertAlign w:val="baseline"/>
                      <w:lang w:val="en-US" w:eastAsia="zh-CN" w:bidi="ar"/>
                      <w14:textFill>
                        <w14:solidFill>
                          <w14:schemeClr w14:val="tx1"/>
                        </w14:solidFill>
                      </w14:textFill>
                    </w:rPr>
                    <w:t>121.79</w:t>
                  </w:r>
                </w:p>
              </w:tc>
              <w:tc>
                <w:tcPr>
                  <w:tcW w:w="1560" w:type="pct"/>
                  <w:shd w:val="clear" w:color="auto" w:fill="auto"/>
                  <w:vAlign w:val="center"/>
                </w:tcPr>
                <w:p w14:paraId="4C70851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rPr>
                      <w:rFonts w:hint="default" w:ascii="Times New Roman" w:hAnsi="Times New Roman" w:eastAsia="宋体" w:cs="Times New Roman"/>
                      <w:b/>
                      <w:bCs/>
                      <w:color w:val="000000" w:themeColor="text1"/>
                      <w:kern w:val="0"/>
                      <w:sz w:val="21"/>
                      <w:szCs w:val="21"/>
                      <w:highlight w:val="none"/>
                      <w:vertAlign w:val="baseli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81192.16</w:t>
                  </w:r>
                </w:p>
              </w:tc>
            </w:tr>
            <w:tr w14:paraId="5DC71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trPr>
              <w:tc>
                <w:tcPr>
                  <w:tcW w:w="5000" w:type="pct"/>
                  <w:gridSpan w:val="4"/>
                  <w:shd w:val="clear" w:color="auto" w:fill="auto"/>
                  <w:vAlign w:val="center"/>
                </w:tcPr>
                <w:p w14:paraId="6E9D64C9">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bCs/>
                      <w:color w:val="000000" w:themeColor="text1"/>
                      <w:spacing w:val="4"/>
                      <w:kern w:val="0"/>
                      <w:sz w:val="21"/>
                      <w:szCs w:val="21"/>
                      <w:highlight w:val="none"/>
                      <w:vertAlign w:val="baseline"/>
                      <w:lang w:val="en-US" w:eastAsia="zh-CN" w:bidi="ar"/>
                      <w14:textFill>
                        <w14:solidFill>
                          <w14:schemeClr w14:val="tx1"/>
                        </w14:solidFill>
                      </w14:textFill>
                    </w:rPr>
                  </w:pPr>
                  <w:r>
                    <w:rPr>
                      <w:rFonts w:hint="eastAsia" w:ascii="Times New Roman" w:hAnsi="Times New Roman" w:cs="Times New Roman"/>
                      <w:b/>
                      <w:bCs/>
                      <w:color w:val="000000" w:themeColor="text1"/>
                      <w:kern w:val="0"/>
                      <w:sz w:val="21"/>
                      <w:szCs w:val="21"/>
                      <w:highlight w:val="none"/>
                      <w:vertAlign w:val="baseline"/>
                      <w:lang w:val="en-US" w:eastAsia="zh-CN" w:bidi="ar"/>
                      <w14:textFill>
                        <w14:solidFill>
                          <w14:schemeClr w14:val="tx1"/>
                        </w14:solidFill>
                      </w14:textFill>
                    </w:rPr>
                    <w:t>三、截排水沟</w:t>
                  </w:r>
                </w:p>
              </w:tc>
            </w:tr>
            <w:tr w14:paraId="2F6FD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trPr>
              <w:tc>
                <w:tcPr>
                  <w:tcW w:w="2150" w:type="pct"/>
                  <w:gridSpan w:val="2"/>
                  <w:shd w:val="clear" w:color="auto" w:fill="auto"/>
                  <w:vAlign w:val="center"/>
                </w:tcPr>
                <w:p w14:paraId="54306C04">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Times New Roman" w:hAnsi="Times New Roman" w:eastAsia="宋体" w:cs="Times New Roman"/>
                      <w:color w:val="000000" w:themeColor="text1"/>
                      <w:kern w:val="0"/>
                      <w:sz w:val="21"/>
                      <w:szCs w:val="21"/>
                      <w:highlight w:val="none"/>
                      <w:vertAlign w:val="baseline"/>
                      <w:lang w:val="en-US" w:eastAsia="zh-CN" w:bidi="ar"/>
                      <w14:textFill>
                        <w14:solidFill>
                          <w14:schemeClr w14:val="tx1"/>
                        </w14:solidFill>
                      </w14:textFill>
                    </w:rPr>
                  </w:pPr>
                  <w:r>
                    <w:rPr>
                      <w:rFonts w:hint="eastAsia" w:ascii="Times New Roman" w:hAnsi="Times New Roman" w:cs="Times New Roman"/>
                      <w:b/>
                      <w:bCs/>
                      <w:color w:val="000000" w:themeColor="text1"/>
                      <w:kern w:val="0"/>
                      <w:sz w:val="21"/>
                      <w:szCs w:val="21"/>
                      <w:highlight w:val="none"/>
                      <w:vertAlign w:val="baseline"/>
                      <w:lang w:val="en-US" w:eastAsia="zh-CN" w:bidi="ar"/>
                      <w14:textFill>
                        <w14:solidFill>
                          <w14:schemeClr w14:val="tx1"/>
                        </w14:solidFill>
                      </w14:textFill>
                    </w:rPr>
                    <w:t>截排水沟</w:t>
                  </w:r>
                </w:p>
              </w:tc>
              <w:tc>
                <w:tcPr>
                  <w:tcW w:w="1288" w:type="pct"/>
                  <w:shd w:val="clear" w:color="auto" w:fill="auto"/>
                  <w:vAlign w:val="center"/>
                </w:tcPr>
                <w:p w14:paraId="08523B1E">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b/>
                      <w:bCs/>
                      <w:color w:val="000000" w:themeColor="text1"/>
                      <w:kern w:val="0"/>
                      <w:sz w:val="21"/>
                      <w:szCs w:val="21"/>
                      <w:highlight w:val="none"/>
                      <w:vertAlign w:val="baseline"/>
                      <w:lang w:val="en-US" w:eastAsia="zh-CN" w:bidi="ar"/>
                      <w14:textFill>
                        <w14:solidFill>
                          <w14:schemeClr w14:val="tx1"/>
                        </w14:solidFill>
                      </w14:textFill>
                    </w:rPr>
                  </w:pPr>
                  <w:r>
                    <w:rPr>
                      <w:rFonts w:hint="eastAsia" w:ascii="Times New Roman" w:hAnsi="Times New Roman" w:cs="Times New Roman"/>
                      <w:b/>
                      <w:bCs/>
                      <w:color w:val="000000" w:themeColor="text1"/>
                      <w:kern w:val="0"/>
                      <w:sz w:val="21"/>
                      <w:szCs w:val="21"/>
                      <w:highlight w:val="none"/>
                      <w:vertAlign w:val="baseline"/>
                      <w:lang w:val="en-US" w:eastAsia="zh-CN" w:bidi="ar"/>
                      <w14:textFill>
                        <w14:solidFill>
                          <w14:schemeClr w14:val="tx1"/>
                        </w14:solidFill>
                      </w14:textFill>
                    </w:rPr>
                    <w:t>10.73</w:t>
                  </w:r>
                </w:p>
              </w:tc>
              <w:tc>
                <w:tcPr>
                  <w:tcW w:w="1560" w:type="pct"/>
                  <w:shd w:val="clear" w:color="auto" w:fill="auto"/>
                  <w:vAlign w:val="center"/>
                </w:tcPr>
                <w:p w14:paraId="1CFE2E1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u w:val="none"/>
                      <w:lang w:val="en-US" w:eastAsia="zh-CN" w:bidi="ar"/>
                      <w14:textFill>
                        <w14:solidFill>
                          <w14:schemeClr w14:val="tx1"/>
                        </w14:solidFill>
                      </w14:textFill>
                    </w:rPr>
                    <w:t>7153.33</w:t>
                  </w:r>
                </w:p>
              </w:tc>
            </w:tr>
            <w:tr w14:paraId="0F343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7" w:hRule="atLeast"/>
              </w:trPr>
              <w:tc>
                <w:tcPr>
                  <w:tcW w:w="2150" w:type="pct"/>
                  <w:gridSpan w:val="2"/>
                  <w:shd w:val="clear" w:color="auto" w:fill="auto"/>
                  <w:vAlign w:val="center"/>
                </w:tcPr>
                <w:p w14:paraId="25C72B1E">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cs="Times New Roman"/>
                      <w:b/>
                      <w:bCs/>
                      <w:color w:val="000000" w:themeColor="text1"/>
                      <w:kern w:val="0"/>
                      <w:sz w:val="21"/>
                      <w:szCs w:val="21"/>
                      <w:highlight w:val="none"/>
                      <w:vertAlign w:val="baseline"/>
                      <w:lang w:val="en-US" w:eastAsia="zh-CN" w:bidi="ar"/>
                      <w14:textFill>
                        <w14:solidFill>
                          <w14:schemeClr w14:val="tx1"/>
                        </w14:solidFill>
                      </w14:textFill>
                    </w:rPr>
                  </w:pPr>
                  <w:r>
                    <w:rPr>
                      <w:rFonts w:hint="eastAsia" w:ascii="Times New Roman" w:hAnsi="Times New Roman" w:cs="Times New Roman"/>
                      <w:b/>
                      <w:bCs/>
                      <w:color w:val="000000" w:themeColor="text1"/>
                      <w:kern w:val="0"/>
                      <w:sz w:val="21"/>
                      <w:szCs w:val="21"/>
                      <w:highlight w:val="none"/>
                      <w:vertAlign w:val="baseline"/>
                      <w:lang w:val="en-US" w:eastAsia="zh-CN" w:bidi="ar"/>
                      <w14:textFill>
                        <w14:solidFill>
                          <w14:schemeClr w14:val="tx1"/>
                        </w14:solidFill>
                      </w14:textFill>
                    </w:rPr>
                    <w:t>总计</w:t>
                  </w:r>
                </w:p>
              </w:tc>
              <w:tc>
                <w:tcPr>
                  <w:tcW w:w="1288" w:type="pct"/>
                  <w:shd w:val="clear" w:color="auto" w:fill="auto"/>
                  <w:vAlign w:val="center"/>
                </w:tcPr>
                <w:p w14:paraId="71C97239">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cs="Times New Roman"/>
                      <w:b/>
                      <w:bCs/>
                      <w:color w:val="000000" w:themeColor="text1"/>
                      <w:kern w:val="0"/>
                      <w:sz w:val="21"/>
                      <w:szCs w:val="21"/>
                      <w:highlight w:val="none"/>
                      <w:vertAlign w:val="baseline"/>
                      <w:lang w:val="en-US" w:eastAsia="zh-CN" w:bidi="ar"/>
                      <w14:textFill>
                        <w14:solidFill>
                          <w14:schemeClr w14:val="tx1"/>
                        </w14:solidFill>
                      </w14:textFill>
                    </w:rPr>
                  </w:pPr>
                  <w:r>
                    <w:rPr>
                      <w:rFonts w:hint="eastAsia" w:ascii="Times New Roman" w:hAnsi="Times New Roman" w:cs="Times New Roman"/>
                      <w:b/>
                      <w:bCs/>
                      <w:color w:val="000000" w:themeColor="text1"/>
                      <w:kern w:val="0"/>
                      <w:sz w:val="21"/>
                      <w:szCs w:val="21"/>
                      <w:highlight w:val="none"/>
                      <w:vertAlign w:val="baseline"/>
                      <w:lang w:val="en-US" w:eastAsia="zh-CN" w:bidi="ar"/>
                      <w14:textFill>
                        <w14:solidFill>
                          <w14:schemeClr w14:val="tx1"/>
                        </w14:solidFill>
                      </w14:textFill>
                    </w:rPr>
                    <w:t>1153.89</w:t>
                  </w:r>
                </w:p>
              </w:tc>
              <w:tc>
                <w:tcPr>
                  <w:tcW w:w="1560" w:type="pct"/>
                  <w:shd w:val="clear" w:color="auto" w:fill="auto"/>
                  <w:vAlign w:val="center"/>
                </w:tcPr>
                <w:p w14:paraId="587826C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rPr>
                      <w:rFonts w:hint="eastAsia" w:ascii="Times New Roman" w:hAnsi="Times New Roman" w:eastAsia="宋体" w:cs="Times New Roman"/>
                      <w:b/>
                      <w:bCs/>
                      <w:i w:val="0"/>
                      <w:iCs w:val="0"/>
                      <w:color w:val="000000" w:themeColor="text1"/>
                      <w:kern w:val="2"/>
                      <w:sz w:val="21"/>
                      <w:szCs w:val="21"/>
                      <w:u w:val="none"/>
                      <w:lang w:val="en-US" w:eastAsia="zh-CN" w:bidi="ar-SA"/>
                      <w14:textFill>
                        <w14:solidFill>
                          <w14:schemeClr w14:val="tx1"/>
                        </w14:solidFill>
                      </w14:textFill>
                    </w:rPr>
                  </w:pPr>
                  <w:r>
                    <w:rPr>
                      <w:rFonts w:hint="eastAsia" w:ascii="Times New Roman" w:hAnsi="Times New Roman" w:eastAsia="宋体" w:cs="Times New Roman"/>
                      <w:b/>
                      <w:bCs/>
                      <w:i w:val="0"/>
                      <w:iCs w:val="0"/>
                      <w:color w:val="000000" w:themeColor="text1"/>
                      <w:kern w:val="2"/>
                      <w:sz w:val="21"/>
                      <w:szCs w:val="21"/>
                      <w:u w:val="none"/>
                      <w:lang w:val="en-US" w:eastAsia="zh-CN" w:bidi="ar-SA"/>
                      <w14:textFill>
                        <w14:solidFill>
                          <w14:schemeClr w14:val="tx1"/>
                        </w14:solidFill>
                      </w14:textFill>
                    </w:rPr>
                    <w:t>769264.72</w:t>
                  </w:r>
                </w:p>
              </w:tc>
            </w:tr>
          </w:tbl>
          <w:p w14:paraId="5DD9B7AA">
            <w:pPr>
              <w:keepNext w:val="0"/>
              <w:keepLines w:val="0"/>
              <w:pageBreakBefore w:val="0"/>
              <w:widowControl w:val="0"/>
              <w:kinsoku/>
              <w:wordWrap/>
              <w:overflowPunct/>
              <w:topLinePunct w:val="0"/>
              <w:autoSpaceDE/>
              <w:autoSpaceDN/>
              <w:bidi w:val="0"/>
              <w:adjustRightInd w:val="0"/>
              <w:snapToGrid w:val="0"/>
              <w:ind w:firstLine="480"/>
              <w:jc w:val="both"/>
              <w:textAlignment w:val="auto"/>
              <w:rPr>
                <w:rFonts w:hint="default" w:ascii="Times New Roman" w:hAnsi="Times New Roman" w:eastAsia="宋体" w:cs="Times New Roman"/>
                <w:color w:val="000000" w:themeColor="text1"/>
                <w14:textFill>
                  <w14:solidFill>
                    <w14:schemeClr w14:val="tx1"/>
                  </w14:solidFill>
                </w14:textFill>
              </w:rPr>
            </w:pPr>
          </w:p>
          <w:p w14:paraId="7862BCF2">
            <w:pPr>
              <w:keepNext w:val="0"/>
              <w:keepLines w:val="0"/>
              <w:pageBreakBefore w:val="0"/>
              <w:widowControl w:val="0"/>
              <w:kinsoku/>
              <w:wordWrap/>
              <w:overflowPunct/>
              <w:topLinePunct w:val="0"/>
              <w:autoSpaceDE/>
              <w:autoSpaceDN/>
              <w:bidi w:val="0"/>
              <w:adjustRightInd w:val="0"/>
              <w:snapToGrid w:val="0"/>
              <w:ind w:firstLine="480"/>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项目2个片区</w:t>
            </w:r>
            <w:r>
              <w:rPr>
                <w:rFonts w:hint="default" w:ascii="Times New Roman" w:hAnsi="Times New Roman" w:eastAsia="宋体" w:cs="Times New Roman"/>
                <w:color w:val="000000" w:themeColor="text1"/>
                <w14:textFill>
                  <w14:solidFill>
                    <w14:schemeClr w14:val="tx1"/>
                  </w14:solidFill>
                </w14:textFill>
              </w:rPr>
              <w:t>主要建设内容组成详见</w:t>
            </w:r>
            <w:r>
              <w:rPr>
                <w:rFonts w:hint="default" w:ascii="Times New Roman" w:hAnsi="Times New Roman" w:eastAsia="宋体" w:cs="Times New Roman"/>
                <w:color w:val="000000" w:themeColor="text1"/>
                <w:lang w:eastAsia="zh-CN"/>
                <w14:textFill>
                  <w14:solidFill>
                    <w14:schemeClr w14:val="tx1"/>
                  </w14:solidFill>
                </w14:textFill>
              </w:rPr>
              <w:t>下表</w:t>
            </w:r>
            <w:r>
              <w:rPr>
                <w:rFonts w:hint="default" w:ascii="Times New Roman" w:hAnsi="Times New Roman" w:eastAsia="宋体" w:cs="Times New Roman"/>
                <w:color w:val="000000" w:themeColor="text1"/>
                <w14:textFill>
                  <w14:solidFill>
                    <w14:schemeClr w14:val="tx1"/>
                  </w14:solidFill>
                </w14:textFill>
              </w:rPr>
              <w:t>。</w:t>
            </w:r>
          </w:p>
          <w:p w14:paraId="7D0C7FB2">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14:textFill>
                  <w14:solidFill>
                    <w14:schemeClr w14:val="tx1"/>
                  </w14:solidFill>
                </w14:textFill>
              </w:rPr>
              <w:t>表</w:t>
            </w: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2-</w:t>
            </w:r>
            <w:r>
              <w:rPr>
                <w:rFonts w:hint="eastAsia" w:ascii="Times New Roman" w:hAnsi="Times New Roman" w:cs="Times New Roman"/>
                <w:b/>
                <w:bCs/>
                <w:color w:val="000000" w:themeColor="text1"/>
                <w:sz w:val="21"/>
                <w:szCs w:val="21"/>
                <w:highlight w:val="none"/>
                <w:lang w:val="en-US" w:eastAsia="zh-CN"/>
                <w14:textFill>
                  <w14:solidFill>
                    <w14:schemeClr w14:val="tx1"/>
                  </w14:solidFill>
                </w14:textFill>
              </w:rPr>
              <w:t>3</w:t>
            </w: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 xml:space="preserve">  </w:t>
            </w:r>
            <w:r>
              <w:rPr>
                <w:rFonts w:hint="default" w:ascii="Times New Roman" w:hAnsi="Times New Roman" w:eastAsia="宋体" w:cs="Times New Roman"/>
                <w:b/>
                <w:bCs/>
                <w:color w:val="000000" w:themeColor="text1"/>
                <w:sz w:val="21"/>
                <w:szCs w:val="21"/>
                <w:highlight w:val="none"/>
                <w14:textFill>
                  <w14:solidFill>
                    <w14:schemeClr w14:val="tx1"/>
                  </w14:solidFill>
                </w14:textFill>
              </w:rPr>
              <w:t>项目主要建设内容</w:t>
            </w:r>
          </w:p>
          <w:tbl>
            <w:tblPr>
              <w:tblStyle w:val="2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9"/>
              <w:gridCol w:w="1154"/>
              <w:gridCol w:w="989"/>
              <w:gridCol w:w="5052"/>
            </w:tblGrid>
            <w:tr w14:paraId="0BC6B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9" w:type="pct"/>
                  <w:vAlign w:val="center"/>
                </w:tcPr>
                <w:p w14:paraId="63B768BB">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both"/>
                    <w:textAlignment w:val="auto"/>
                    <w:rPr>
                      <w:rFonts w:hint="default" w:ascii="宋体" w:hAnsi="宋体" w:eastAsia="宋体"/>
                      <w:b/>
                      <w:bCs/>
                      <w:color w:val="000000" w:themeColor="text1"/>
                      <w:sz w:val="21"/>
                      <w:szCs w:val="21"/>
                      <w:lang w:val="en-US" w:eastAsia="zh-CN"/>
                      <w14:textFill>
                        <w14:solidFill>
                          <w14:schemeClr w14:val="tx1"/>
                        </w14:solidFill>
                      </w14:textFill>
                    </w:rPr>
                  </w:pPr>
                  <w:r>
                    <w:rPr>
                      <w:rFonts w:hint="default" w:ascii="宋体" w:hAnsi="宋体" w:eastAsia="宋体"/>
                      <w:b/>
                      <w:bCs/>
                      <w:color w:val="000000" w:themeColor="text1"/>
                      <w:sz w:val="21"/>
                      <w:szCs w:val="21"/>
                      <w:lang w:val="en-US" w:eastAsia="zh-CN"/>
                      <w14:textFill>
                        <w14:solidFill>
                          <w14:schemeClr w14:val="tx1"/>
                        </w14:solidFill>
                      </w14:textFill>
                    </w:rPr>
                    <w:t>工程内容</w:t>
                  </w:r>
                </w:p>
              </w:tc>
              <w:tc>
                <w:tcPr>
                  <w:tcW w:w="728" w:type="pct"/>
                  <w:vAlign w:val="center"/>
                </w:tcPr>
                <w:p w14:paraId="448E055F">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both"/>
                    <w:textAlignment w:val="auto"/>
                    <w:rPr>
                      <w:rFonts w:hint="default" w:ascii="宋体" w:hAnsi="宋体" w:eastAsia="宋体"/>
                      <w:b/>
                      <w:bCs/>
                      <w:color w:val="000000" w:themeColor="text1"/>
                      <w:sz w:val="21"/>
                      <w:szCs w:val="21"/>
                      <w:lang w:val="en-US" w:eastAsia="zh-CN"/>
                      <w14:textFill>
                        <w14:solidFill>
                          <w14:schemeClr w14:val="tx1"/>
                        </w14:solidFill>
                      </w14:textFill>
                    </w:rPr>
                  </w:pPr>
                  <w:r>
                    <w:rPr>
                      <w:rFonts w:hint="default" w:ascii="宋体" w:hAnsi="宋体" w:eastAsia="宋体"/>
                      <w:b/>
                      <w:bCs/>
                      <w:color w:val="000000" w:themeColor="text1"/>
                      <w:sz w:val="21"/>
                      <w:szCs w:val="21"/>
                      <w:lang w:val="en-US" w:eastAsia="zh-CN"/>
                      <w14:textFill>
                        <w14:solidFill>
                          <w14:schemeClr w14:val="tx1"/>
                        </w14:solidFill>
                      </w14:textFill>
                    </w:rPr>
                    <w:t>名称</w:t>
                  </w:r>
                </w:p>
              </w:tc>
              <w:tc>
                <w:tcPr>
                  <w:tcW w:w="3811" w:type="pct"/>
                  <w:gridSpan w:val="2"/>
                  <w:vAlign w:val="center"/>
                </w:tcPr>
                <w:p w14:paraId="25B613BA">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both"/>
                    <w:textAlignment w:val="auto"/>
                    <w:rPr>
                      <w:rFonts w:hint="default" w:ascii="宋体" w:hAnsi="宋体" w:eastAsia="宋体"/>
                      <w:b/>
                      <w:bCs/>
                      <w:color w:val="000000" w:themeColor="text1"/>
                      <w:sz w:val="21"/>
                      <w:szCs w:val="21"/>
                      <w:lang w:val="en-US" w:eastAsia="zh-CN"/>
                      <w14:textFill>
                        <w14:solidFill>
                          <w14:schemeClr w14:val="tx1"/>
                        </w14:solidFill>
                      </w14:textFill>
                    </w:rPr>
                  </w:pPr>
                  <w:r>
                    <w:rPr>
                      <w:rFonts w:hint="default" w:ascii="宋体" w:hAnsi="宋体" w:eastAsia="宋体"/>
                      <w:b/>
                      <w:bCs/>
                      <w:color w:val="000000" w:themeColor="text1"/>
                      <w:sz w:val="21"/>
                      <w:szCs w:val="21"/>
                      <w:lang w:val="en-US" w:eastAsia="zh-CN"/>
                      <w14:textFill>
                        <w14:solidFill>
                          <w14:schemeClr w14:val="tx1"/>
                        </w14:solidFill>
                      </w14:textFill>
                    </w:rPr>
                    <w:t>主要建设内容及规模</w:t>
                  </w:r>
                </w:p>
              </w:tc>
            </w:tr>
            <w:tr w14:paraId="1A84E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459" w:type="pct"/>
                  <w:vMerge w:val="restart"/>
                  <w:vAlign w:val="center"/>
                </w:tcPr>
                <w:p w14:paraId="27C5FFC3">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both"/>
                    <w:textAlignment w:val="auto"/>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pPr>
                  <w:r>
                    <w:rPr>
                      <w:rFonts w:hint="default" w:ascii="宋体" w:hAnsi="宋体" w:eastAsia="宋体"/>
                      <w:color w:val="000000" w:themeColor="text1"/>
                      <w:sz w:val="21"/>
                      <w:szCs w:val="21"/>
                      <w:lang w:val="en-US" w:eastAsia="zh-CN"/>
                      <w14:textFill>
                        <w14:solidFill>
                          <w14:schemeClr w14:val="tx1"/>
                        </w14:solidFill>
                      </w14:textFill>
                    </w:rPr>
                    <w:t>主体工程</w:t>
                  </w:r>
                </w:p>
              </w:tc>
              <w:tc>
                <w:tcPr>
                  <w:tcW w:w="728" w:type="pct"/>
                  <w:vMerge w:val="restart"/>
                  <w:vAlign w:val="center"/>
                </w:tcPr>
                <w:p w14:paraId="2D124FD5">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both"/>
                    <w:textAlignment w:val="auto"/>
                    <w:rPr>
                      <w:rFonts w:hint="default"/>
                      <w:color w:val="000000" w:themeColor="text1"/>
                      <w:lang w:val="en-US" w:eastAsia="zh-CN"/>
                      <w14:textFill>
                        <w14:solidFill>
                          <w14:schemeClr w14:val="tx1"/>
                        </w14:solidFill>
                      </w14:textFill>
                    </w:rPr>
                  </w:pPr>
                  <w:r>
                    <w:rPr>
                      <w:rFonts w:hint="default"/>
                      <w:color w:val="000000" w:themeColor="text1"/>
                      <w:sz w:val="21"/>
                      <w:szCs w:val="21"/>
                      <w:lang w:val="en-US" w:eastAsia="zh-CN"/>
                      <w14:textFill>
                        <w14:solidFill>
                          <w14:schemeClr w14:val="tx1"/>
                        </w14:solidFill>
                      </w14:textFill>
                    </w:rPr>
                    <w:t>农产品、药材种植</w:t>
                  </w:r>
                </w:p>
              </w:tc>
              <w:tc>
                <w:tcPr>
                  <w:tcW w:w="3811" w:type="pct"/>
                  <w:gridSpan w:val="2"/>
                  <w:vAlign w:val="center"/>
                </w:tcPr>
                <w:p w14:paraId="0408711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本项目种植蓝莓、三七、羊肚菌、桃树、苹果树共计1283.88亩，其中蓝莓种植建设规模380.28亩、三七建设规模385.59亩、羊肚菌建设规模465.29亩、桃子种植规模27.24亩、苹果树种植25.48亩。</w:t>
                  </w:r>
                </w:p>
              </w:tc>
            </w:tr>
            <w:tr w14:paraId="507AB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9" w:type="pct"/>
                  <w:vMerge w:val="continue"/>
                  <w:vAlign w:val="center"/>
                </w:tcPr>
                <w:p w14:paraId="000B8FF8">
                  <w:pPr>
                    <w:pStyle w:val="73"/>
                    <w:bidi w:val="0"/>
                    <w:jc w:val="both"/>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pPr>
                </w:p>
              </w:tc>
              <w:tc>
                <w:tcPr>
                  <w:tcW w:w="728" w:type="pct"/>
                  <w:vMerge w:val="continue"/>
                  <w:vAlign w:val="center"/>
                </w:tcPr>
                <w:p w14:paraId="6F3DF997">
                  <w:pPr>
                    <w:pStyle w:val="73"/>
                    <w:bidi w:val="0"/>
                    <w:jc w:val="both"/>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pPr>
                </w:p>
              </w:tc>
              <w:tc>
                <w:tcPr>
                  <w:tcW w:w="624" w:type="pct"/>
                  <w:vAlign w:val="center"/>
                </w:tcPr>
                <w:p w14:paraId="0BD7E188">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both"/>
                    <w:textAlignment w:val="auto"/>
                    <w:rPr>
                      <w:rFonts w:hint="default" w:ascii="宋体" w:hAnsi="宋体" w:eastAsia="宋体"/>
                      <w:color w:val="000000" w:themeColor="text1"/>
                      <w:sz w:val="21"/>
                      <w:szCs w:val="21"/>
                      <w:lang w:val="en-US" w:eastAsia="zh-CN"/>
                      <w14:textFill>
                        <w14:solidFill>
                          <w14:schemeClr w14:val="tx1"/>
                        </w14:solidFill>
                      </w14:textFill>
                    </w:rPr>
                  </w:pPr>
                  <w:r>
                    <w:rPr>
                      <w:rFonts w:hint="default" w:ascii="宋体" w:hAnsi="宋体" w:eastAsia="宋体"/>
                      <w:color w:val="000000" w:themeColor="text1"/>
                      <w:sz w:val="21"/>
                      <w:szCs w:val="21"/>
                      <w:lang w:val="en-US" w:eastAsia="zh-CN"/>
                      <w14:textFill>
                        <w14:solidFill>
                          <w14:schemeClr w14:val="tx1"/>
                        </w14:solidFill>
                      </w14:textFill>
                    </w:rPr>
                    <w:t>一片区</w:t>
                  </w:r>
                </w:p>
              </w:tc>
              <w:tc>
                <w:tcPr>
                  <w:tcW w:w="3187" w:type="pct"/>
                  <w:vAlign w:val="center"/>
                </w:tcPr>
                <w:p w14:paraId="4BA9CA2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种植面积262.51亩，其中蓝莓种植规模135.68亩、建设大棚种植；羊肚菌种植规模74.11亩，建设大棚种植；桃子种植规模27.24亩，苹果树种植25.48亩，合计262.51亩。</w:t>
                  </w:r>
                </w:p>
              </w:tc>
            </w:tr>
            <w:tr w14:paraId="75960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9" w:type="pct"/>
                  <w:vMerge w:val="continue"/>
                  <w:vAlign w:val="center"/>
                </w:tcPr>
                <w:p w14:paraId="7A69AC6D">
                  <w:pPr>
                    <w:pStyle w:val="73"/>
                    <w:bidi w:val="0"/>
                    <w:jc w:val="both"/>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pPr>
                </w:p>
              </w:tc>
              <w:tc>
                <w:tcPr>
                  <w:tcW w:w="728" w:type="pct"/>
                  <w:vMerge w:val="continue"/>
                  <w:vAlign w:val="center"/>
                </w:tcPr>
                <w:p w14:paraId="696D8843">
                  <w:pPr>
                    <w:pStyle w:val="73"/>
                    <w:bidi w:val="0"/>
                    <w:jc w:val="both"/>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pPr>
                </w:p>
              </w:tc>
              <w:tc>
                <w:tcPr>
                  <w:tcW w:w="624" w:type="pct"/>
                  <w:vAlign w:val="center"/>
                </w:tcPr>
                <w:p w14:paraId="5451A89E">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both"/>
                    <w:textAlignment w:val="auto"/>
                    <w:rPr>
                      <w:rFonts w:hint="default" w:ascii="宋体" w:hAnsi="宋体" w:eastAsia="宋体"/>
                      <w:color w:val="000000" w:themeColor="text1"/>
                      <w:sz w:val="21"/>
                      <w:szCs w:val="21"/>
                      <w:lang w:val="en-US" w:eastAsia="zh-CN"/>
                      <w14:textFill>
                        <w14:solidFill>
                          <w14:schemeClr w14:val="tx1"/>
                        </w14:solidFill>
                      </w14:textFill>
                    </w:rPr>
                  </w:pPr>
                  <w:r>
                    <w:rPr>
                      <w:rFonts w:hint="default" w:ascii="宋体" w:hAnsi="宋体" w:eastAsia="宋体"/>
                      <w:color w:val="000000" w:themeColor="text1"/>
                      <w:sz w:val="21"/>
                      <w:szCs w:val="21"/>
                      <w:lang w:val="en-US" w:eastAsia="zh-CN"/>
                      <w14:textFill>
                        <w14:solidFill>
                          <w14:schemeClr w14:val="tx1"/>
                        </w14:solidFill>
                      </w14:textFill>
                    </w:rPr>
                    <w:t>二片区</w:t>
                  </w:r>
                </w:p>
              </w:tc>
              <w:tc>
                <w:tcPr>
                  <w:tcW w:w="3187" w:type="pct"/>
                  <w:vAlign w:val="center"/>
                </w:tcPr>
                <w:p w14:paraId="7F4C0CB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种植面积为1021.37亩，其中蓝莓种植建设规模244.6亩，建设大棚种植；三七建设规模385.59亩，建设简易化大棚种植；羊肚菌建设规模391.18亩，建设大棚种植。</w:t>
                  </w:r>
                </w:p>
              </w:tc>
            </w:tr>
            <w:tr w14:paraId="612F2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9" w:type="pct"/>
                  <w:vMerge w:val="restart"/>
                  <w:vAlign w:val="center"/>
                </w:tcPr>
                <w:p w14:paraId="4C2BF57B">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both"/>
                    <w:textAlignment w:val="auto"/>
                    <w:rPr>
                      <w:rFonts w:hint="default" w:ascii="宋体" w:hAnsi="宋体" w:eastAsia="宋体"/>
                      <w:color w:val="000000" w:themeColor="text1"/>
                      <w:sz w:val="21"/>
                      <w:szCs w:val="21"/>
                      <w:lang w:val="en-US" w:eastAsia="zh-CN"/>
                      <w14:textFill>
                        <w14:solidFill>
                          <w14:schemeClr w14:val="tx1"/>
                        </w14:solidFill>
                      </w14:textFill>
                    </w:rPr>
                  </w:pPr>
                  <w:r>
                    <w:rPr>
                      <w:rFonts w:hint="default" w:ascii="宋体" w:hAnsi="宋体" w:eastAsia="宋体"/>
                      <w:color w:val="000000" w:themeColor="text1"/>
                      <w:sz w:val="21"/>
                      <w:szCs w:val="21"/>
                      <w:lang w:val="en-US" w:eastAsia="zh-CN"/>
                      <w14:textFill>
                        <w14:solidFill>
                          <w14:schemeClr w14:val="tx1"/>
                        </w14:solidFill>
                      </w14:textFill>
                    </w:rPr>
                    <w:t>辅助工程</w:t>
                  </w:r>
                </w:p>
              </w:tc>
              <w:tc>
                <w:tcPr>
                  <w:tcW w:w="728" w:type="pct"/>
                  <w:vMerge w:val="restart"/>
                  <w:vAlign w:val="center"/>
                </w:tcPr>
                <w:p w14:paraId="67E8A91F">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both"/>
                    <w:textAlignment w:val="auto"/>
                    <w:rPr>
                      <w:rFonts w:hint="default" w:ascii="宋体" w:hAnsi="宋体" w:eastAsia="宋体"/>
                      <w:color w:val="000000" w:themeColor="text1"/>
                      <w:sz w:val="21"/>
                      <w:szCs w:val="21"/>
                      <w:lang w:val="en-US" w:eastAsia="zh-CN"/>
                      <w14:textFill>
                        <w14:solidFill>
                          <w14:schemeClr w14:val="tx1"/>
                        </w14:solidFill>
                      </w14:textFill>
                    </w:rPr>
                  </w:pPr>
                  <w:r>
                    <w:rPr>
                      <w:rFonts w:hint="default" w:ascii="宋体" w:hAnsi="宋体" w:eastAsia="宋体"/>
                      <w:color w:val="000000" w:themeColor="text1"/>
                      <w:sz w:val="21"/>
                      <w:szCs w:val="21"/>
                      <w:lang w:val="en-US" w:eastAsia="zh-CN"/>
                      <w14:textFill>
                        <w14:solidFill>
                          <w14:schemeClr w14:val="tx1"/>
                        </w14:solidFill>
                      </w14:textFill>
                    </w:rPr>
                    <w:t>沉淀池</w:t>
                  </w:r>
                </w:p>
              </w:tc>
              <w:tc>
                <w:tcPr>
                  <w:tcW w:w="3811" w:type="pct"/>
                  <w:gridSpan w:val="2"/>
                  <w:vAlign w:val="center"/>
                </w:tcPr>
                <w:p w14:paraId="75615E1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一片区1个，容积为</w:t>
                  </w:r>
                  <w:r>
                    <w:rPr>
                      <w:rFonts w:hint="eastAsia" w:ascii="Times New Roman" w:hAnsi="Times New Roman" w:cs="Times New Roman"/>
                      <w:color w:val="000000" w:themeColor="text1"/>
                      <w:sz w:val="21"/>
                      <w:szCs w:val="21"/>
                      <w:lang w:val="en-US" w:eastAsia="zh-CN"/>
                      <w14:textFill>
                        <w14:solidFill>
                          <w14:schemeClr w14:val="tx1"/>
                        </w14:solidFill>
                      </w14:textFill>
                    </w:rPr>
                    <w:t>160.45</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m³。</w:t>
                  </w:r>
                  <w:r>
                    <w:rPr>
                      <w:rFonts w:hint="eastAsia" w:ascii="Times New Roman" w:hAnsi="Times New Roman" w:cs="Times New Roman"/>
                      <w:color w:val="000000" w:themeColor="text1"/>
                      <w:sz w:val="21"/>
                      <w:szCs w:val="21"/>
                      <w:lang w:val="en-US" w:eastAsia="zh-CN"/>
                      <w14:textFill>
                        <w14:solidFill>
                          <w14:schemeClr w14:val="tx1"/>
                        </w14:solidFill>
                      </w14:textFill>
                    </w:rPr>
                    <w:t>主要用于收集项目区工具清洗废水，废水沉淀后回用于灌溉。</w:t>
                  </w:r>
                </w:p>
              </w:tc>
            </w:tr>
            <w:tr w14:paraId="63C44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9" w:type="pct"/>
                  <w:vMerge w:val="continue"/>
                  <w:vAlign w:val="center"/>
                </w:tcPr>
                <w:p w14:paraId="7AC44AFC">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both"/>
                    <w:textAlignment w:val="auto"/>
                    <w:rPr>
                      <w:rFonts w:hint="default" w:ascii="宋体" w:hAnsi="宋体" w:eastAsia="宋体"/>
                      <w:color w:val="000000" w:themeColor="text1"/>
                      <w:sz w:val="21"/>
                      <w:szCs w:val="21"/>
                      <w:lang w:val="en-US" w:eastAsia="zh-CN"/>
                      <w14:textFill>
                        <w14:solidFill>
                          <w14:schemeClr w14:val="tx1"/>
                        </w14:solidFill>
                      </w14:textFill>
                    </w:rPr>
                  </w:pPr>
                </w:p>
              </w:tc>
              <w:tc>
                <w:tcPr>
                  <w:tcW w:w="728" w:type="pct"/>
                  <w:vMerge w:val="continue"/>
                  <w:vAlign w:val="center"/>
                </w:tcPr>
                <w:p w14:paraId="6838227B">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both"/>
                    <w:textAlignment w:val="auto"/>
                    <w:rPr>
                      <w:rFonts w:hint="default" w:ascii="宋体" w:hAnsi="宋体" w:eastAsia="宋体"/>
                      <w:color w:val="000000" w:themeColor="text1"/>
                      <w:sz w:val="21"/>
                      <w:szCs w:val="21"/>
                      <w:lang w:val="en-US" w:eastAsia="zh-CN"/>
                      <w14:textFill>
                        <w14:solidFill>
                          <w14:schemeClr w14:val="tx1"/>
                        </w14:solidFill>
                      </w14:textFill>
                    </w:rPr>
                  </w:pPr>
                </w:p>
              </w:tc>
              <w:tc>
                <w:tcPr>
                  <w:tcW w:w="3811" w:type="pct"/>
                  <w:gridSpan w:val="2"/>
                  <w:vAlign w:val="center"/>
                </w:tcPr>
                <w:p w14:paraId="3FB056E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二片区</w:t>
                  </w:r>
                  <w:r>
                    <w:rPr>
                      <w:rFonts w:hint="eastAsia" w:ascii="Times New Roman" w:hAnsi="Times New Roman" w:cs="Times New Roman"/>
                      <w:color w:val="000000" w:themeColor="text1"/>
                      <w:sz w:val="21"/>
                      <w:szCs w:val="21"/>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个，</w:t>
                  </w:r>
                  <w:r>
                    <w:rPr>
                      <w:rFonts w:hint="eastAsia" w:ascii="Times New Roman" w:hAnsi="Times New Roman" w:cs="Times New Roman"/>
                      <w:color w:val="000000" w:themeColor="text1"/>
                      <w:sz w:val="21"/>
                      <w:szCs w:val="21"/>
                      <w:lang w:val="en-US" w:eastAsia="zh-CN"/>
                      <w14:textFill>
                        <w14:solidFill>
                          <w14:schemeClr w14:val="tx1"/>
                        </w14:solidFill>
                      </w14:textFill>
                    </w:rPr>
                    <w:t>其中1个</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容积为</w:t>
                  </w:r>
                  <w:r>
                    <w:rPr>
                      <w:rFonts w:hint="eastAsia" w:ascii="Times New Roman" w:hAnsi="Times New Roman" w:cs="Times New Roman"/>
                      <w:color w:val="000000" w:themeColor="text1"/>
                      <w:sz w:val="21"/>
                      <w:szCs w:val="21"/>
                      <w:lang w:val="en-US" w:eastAsia="zh-CN"/>
                      <w14:textFill>
                        <w14:solidFill>
                          <w14:schemeClr w14:val="tx1"/>
                        </w14:solidFill>
                      </w14:textFill>
                    </w:rPr>
                    <w:t>250.28m</w:t>
                  </w:r>
                  <w:r>
                    <w:rPr>
                      <w:rFonts w:hint="eastAsia" w:ascii="Times New Roman" w:hAnsi="Times New Roman" w:cs="Times New Roman"/>
                      <w:color w:val="000000" w:themeColor="text1"/>
                      <w:sz w:val="21"/>
                      <w:szCs w:val="21"/>
                      <w:vertAlign w:val="superscript"/>
                      <w:lang w:val="en-US" w:eastAsia="zh-CN"/>
                      <w14:textFill>
                        <w14:solidFill>
                          <w14:schemeClr w14:val="tx1"/>
                        </w14:solidFill>
                      </w14:textFill>
                    </w:rPr>
                    <w:t>3</w:t>
                  </w:r>
                  <w:r>
                    <w:rPr>
                      <w:rFonts w:hint="eastAsia" w:ascii="Times New Roman" w:hAnsi="Times New Roman" w:cs="Times New Roman"/>
                      <w:color w:val="000000" w:themeColor="text1"/>
                      <w:sz w:val="21"/>
                      <w:szCs w:val="21"/>
                      <w:lang w:val="en-US" w:eastAsia="zh-CN"/>
                      <w14:textFill>
                        <w14:solidFill>
                          <w14:schemeClr w14:val="tx1"/>
                        </w14:solidFill>
                      </w14:textFill>
                    </w:rPr>
                    <w:t>，1个</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容积为</w:t>
                  </w:r>
                  <w:r>
                    <w:rPr>
                      <w:rFonts w:hint="eastAsia" w:ascii="Times New Roman" w:hAnsi="Times New Roman" w:cs="Times New Roman"/>
                      <w:color w:val="000000" w:themeColor="text1"/>
                      <w:sz w:val="21"/>
                      <w:szCs w:val="21"/>
                      <w:lang w:val="en-US" w:eastAsia="zh-CN"/>
                      <w14:textFill>
                        <w14:solidFill>
                          <w14:schemeClr w14:val="tx1"/>
                        </w14:solidFill>
                      </w14:textFill>
                    </w:rPr>
                    <w:t>243.75m</w:t>
                  </w:r>
                  <w:r>
                    <w:rPr>
                      <w:rFonts w:hint="eastAsia" w:ascii="Times New Roman" w:hAnsi="Times New Roman" w:cs="Times New Roman"/>
                      <w:color w:val="000000" w:themeColor="text1"/>
                      <w:sz w:val="21"/>
                      <w:szCs w:val="21"/>
                      <w:vertAlign w:val="superscript"/>
                      <w:lang w:val="en-US" w:eastAsia="zh-CN"/>
                      <w14:textFill>
                        <w14:solidFill>
                          <w14:schemeClr w14:val="tx1"/>
                        </w14:solidFill>
                      </w14:textFill>
                    </w:rPr>
                    <w:t>3</w:t>
                  </w:r>
                  <w:r>
                    <w:rPr>
                      <w:rFonts w:hint="eastAsia" w:ascii="Times New Roman" w:hAnsi="Times New Roman" w:cs="Times New Roman"/>
                      <w:color w:val="000000" w:themeColor="text1"/>
                      <w:sz w:val="21"/>
                      <w:szCs w:val="21"/>
                      <w:lang w:val="en-US" w:eastAsia="zh-CN"/>
                      <w14:textFill>
                        <w14:solidFill>
                          <w14:schemeClr w14:val="tx1"/>
                        </w14:solidFill>
                      </w14:textFill>
                    </w:rPr>
                    <w:t>，总容积为494.03m</w:t>
                  </w:r>
                  <w:r>
                    <w:rPr>
                      <w:rFonts w:hint="eastAsia" w:ascii="Times New Roman" w:hAnsi="Times New Roman" w:cs="Times New Roman"/>
                      <w:color w:val="000000" w:themeColor="text1"/>
                      <w:sz w:val="21"/>
                      <w:szCs w:val="21"/>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r>
                    <w:rPr>
                      <w:rFonts w:hint="eastAsia" w:ascii="Times New Roman" w:hAnsi="Times New Roman" w:cs="Times New Roman"/>
                      <w:color w:val="000000" w:themeColor="text1"/>
                      <w:sz w:val="21"/>
                      <w:szCs w:val="21"/>
                      <w:lang w:val="en-US" w:eastAsia="zh-CN"/>
                      <w14:textFill>
                        <w14:solidFill>
                          <w14:schemeClr w14:val="tx1"/>
                        </w14:solidFill>
                      </w14:textFill>
                    </w:rPr>
                    <w:t>主要用于收集项目区工具清洗废水，废水沉淀后回用于灌溉。</w:t>
                  </w:r>
                </w:p>
              </w:tc>
            </w:tr>
            <w:tr w14:paraId="35E8A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9" w:type="pct"/>
                  <w:vMerge w:val="continue"/>
                  <w:vAlign w:val="center"/>
                </w:tcPr>
                <w:p w14:paraId="67E9EFDD">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both"/>
                    <w:textAlignment w:val="auto"/>
                    <w:rPr>
                      <w:rFonts w:hint="default" w:ascii="宋体" w:hAnsi="宋体" w:eastAsia="宋体"/>
                      <w:color w:val="000000" w:themeColor="text1"/>
                      <w:sz w:val="21"/>
                      <w:szCs w:val="21"/>
                      <w:lang w:val="en-US" w:eastAsia="zh-CN"/>
                      <w14:textFill>
                        <w14:solidFill>
                          <w14:schemeClr w14:val="tx1"/>
                        </w14:solidFill>
                      </w14:textFill>
                    </w:rPr>
                  </w:pPr>
                </w:p>
              </w:tc>
              <w:tc>
                <w:tcPr>
                  <w:tcW w:w="728" w:type="pct"/>
                  <w:vMerge w:val="restart"/>
                  <w:vAlign w:val="center"/>
                </w:tcPr>
                <w:p w14:paraId="1E0670C1">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both"/>
                    <w:textAlignment w:val="auto"/>
                    <w:rPr>
                      <w:rFonts w:hint="default" w:ascii="宋体" w:hAnsi="宋体" w:eastAsia="宋体"/>
                      <w:color w:val="000000" w:themeColor="text1"/>
                      <w:sz w:val="21"/>
                      <w:szCs w:val="21"/>
                      <w:lang w:val="en-US" w:eastAsia="zh-CN"/>
                      <w14:textFill>
                        <w14:solidFill>
                          <w14:schemeClr w14:val="tx1"/>
                        </w14:solidFill>
                      </w14:textFill>
                    </w:rPr>
                  </w:pPr>
                  <w:r>
                    <w:rPr>
                      <w:rFonts w:hint="default" w:ascii="宋体" w:hAnsi="宋体" w:eastAsia="宋体"/>
                      <w:color w:val="000000" w:themeColor="text1"/>
                      <w:sz w:val="21"/>
                      <w:szCs w:val="21"/>
                      <w:lang w:val="en-US" w:eastAsia="zh-CN"/>
                      <w14:textFill>
                        <w14:solidFill>
                          <w14:schemeClr w14:val="tx1"/>
                        </w14:solidFill>
                      </w14:textFill>
                    </w:rPr>
                    <w:t>水肥中心</w:t>
                  </w:r>
                </w:p>
              </w:tc>
              <w:tc>
                <w:tcPr>
                  <w:tcW w:w="3811" w:type="pct"/>
                  <w:gridSpan w:val="2"/>
                  <w:vAlign w:val="center"/>
                </w:tcPr>
                <w:p w14:paraId="3B219B0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一片区设水肥中心1个，</w:t>
                  </w:r>
                  <w:r>
                    <w:rPr>
                      <w:rFonts w:hint="eastAsia" w:ascii="Times New Roman" w:hAnsi="Times New Roman" w:cs="Times New Roman"/>
                      <w:color w:val="000000" w:themeColor="text1"/>
                      <w:sz w:val="21"/>
                      <w:szCs w:val="21"/>
                      <w:lang w:val="en-US" w:eastAsia="zh-CN"/>
                      <w14:textFill>
                        <w14:solidFill>
                          <w14:schemeClr w14:val="tx1"/>
                        </w14:solidFill>
                      </w14:textFill>
                    </w:rPr>
                    <w:t>一层砖混结构建筑，层高6m，</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占地1000m</w:t>
                  </w:r>
                  <w:r>
                    <w:rPr>
                      <w:rFonts w:hint="default" w:ascii="Times New Roman" w:hAnsi="Times New Roman" w:eastAsia="宋体" w:cs="Times New Roman"/>
                      <w:color w:val="000000" w:themeColor="text1"/>
                      <w:sz w:val="21"/>
                      <w:szCs w:val="21"/>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r>
                    <w:rPr>
                      <w:rFonts w:hint="eastAsia" w:ascii="Times New Roman" w:hAnsi="Times New Roman" w:cs="Times New Roman"/>
                      <w:color w:val="000000" w:themeColor="text1"/>
                      <w:sz w:val="21"/>
                      <w:szCs w:val="21"/>
                      <w:lang w:val="en-US" w:eastAsia="zh-CN"/>
                      <w14:textFill>
                        <w14:solidFill>
                          <w14:schemeClr w14:val="tx1"/>
                        </w14:solidFill>
                      </w14:textFill>
                    </w:rPr>
                    <w:t>主要是用于项目施肥配置。</w:t>
                  </w:r>
                </w:p>
              </w:tc>
            </w:tr>
            <w:tr w14:paraId="4C12C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9" w:type="pct"/>
                  <w:vMerge w:val="continue"/>
                  <w:vAlign w:val="center"/>
                </w:tcPr>
                <w:p w14:paraId="44348FFD">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both"/>
                    <w:textAlignment w:val="auto"/>
                    <w:rPr>
                      <w:rFonts w:hint="default" w:ascii="宋体" w:hAnsi="宋体" w:eastAsia="宋体"/>
                      <w:color w:val="000000" w:themeColor="text1"/>
                      <w:sz w:val="21"/>
                      <w:szCs w:val="21"/>
                      <w:lang w:val="en-US" w:eastAsia="zh-CN"/>
                      <w14:textFill>
                        <w14:solidFill>
                          <w14:schemeClr w14:val="tx1"/>
                        </w14:solidFill>
                      </w14:textFill>
                    </w:rPr>
                  </w:pPr>
                </w:p>
              </w:tc>
              <w:tc>
                <w:tcPr>
                  <w:tcW w:w="728" w:type="pct"/>
                  <w:vMerge w:val="continue"/>
                  <w:vAlign w:val="center"/>
                </w:tcPr>
                <w:p w14:paraId="310915E4">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both"/>
                    <w:textAlignment w:val="auto"/>
                    <w:rPr>
                      <w:rFonts w:hint="default" w:ascii="宋体" w:hAnsi="宋体" w:eastAsia="宋体"/>
                      <w:color w:val="000000" w:themeColor="text1"/>
                      <w:sz w:val="21"/>
                      <w:szCs w:val="21"/>
                      <w:lang w:val="en-US" w:eastAsia="zh-CN"/>
                      <w14:textFill>
                        <w14:solidFill>
                          <w14:schemeClr w14:val="tx1"/>
                        </w14:solidFill>
                      </w14:textFill>
                    </w:rPr>
                  </w:pPr>
                </w:p>
              </w:tc>
              <w:tc>
                <w:tcPr>
                  <w:tcW w:w="3811" w:type="pct"/>
                  <w:gridSpan w:val="2"/>
                  <w:vAlign w:val="center"/>
                </w:tcPr>
                <w:p w14:paraId="56D7AC8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二片区设水肥中心2个，</w:t>
                  </w:r>
                  <w:r>
                    <w:rPr>
                      <w:rFonts w:hint="eastAsia" w:ascii="Times New Roman" w:hAnsi="Times New Roman" w:cs="Times New Roman"/>
                      <w:color w:val="000000" w:themeColor="text1"/>
                      <w:sz w:val="21"/>
                      <w:szCs w:val="21"/>
                      <w:lang w:val="en-US" w:eastAsia="zh-CN"/>
                      <w14:textFill>
                        <w14:solidFill>
                          <w14:schemeClr w14:val="tx1"/>
                        </w14:solidFill>
                      </w14:textFill>
                    </w:rPr>
                    <w:t>一层砖混结构建筑，层高6m，</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占地面积分别为928m</w:t>
                  </w:r>
                  <w:r>
                    <w:rPr>
                      <w:rFonts w:hint="default" w:ascii="Times New Roman" w:hAnsi="Times New Roman" w:eastAsia="宋体" w:cs="Times New Roman"/>
                      <w:color w:val="000000" w:themeColor="text1"/>
                      <w:sz w:val="21"/>
                      <w:szCs w:val="21"/>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、1143m</w:t>
                  </w:r>
                  <w:r>
                    <w:rPr>
                      <w:rFonts w:hint="default" w:ascii="Times New Roman" w:hAnsi="Times New Roman" w:eastAsia="宋体" w:cs="Times New Roman"/>
                      <w:color w:val="000000" w:themeColor="text1"/>
                      <w:sz w:val="21"/>
                      <w:szCs w:val="21"/>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，总占地面积2071m</w:t>
                  </w:r>
                  <w:r>
                    <w:rPr>
                      <w:rFonts w:hint="default" w:ascii="Times New Roman" w:hAnsi="Times New Roman" w:eastAsia="宋体" w:cs="Times New Roman"/>
                      <w:color w:val="000000" w:themeColor="text1"/>
                      <w:sz w:val="21"/>
                      <w:szCs w:val="21"/>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r>
                    <w:rPr>
                      <w:rFonts w:hint="eastAsia" w:ascii="Times New Roman" w:hAnsi="Times New Roman" w:cs="Times New Roman"/>
                      <w:color w:val="000000" w:themeColor="text1"/>
                      <w:sz w:val="21"/>
                      <w:szCs w:val="21"/>
                      <w:lang w:val="en-US" w:eastAsia="zh-CN"/>
                      <w14:textFill>
                        <w14:solidFill>
                          <w14:schemeClr w14:val="tx1"/>
                        </w14:solidFill>
                      </w14:textFill>
                    </w:rPr>
                    <w:t>主要是用于项目施肥配置。</w:t>
                  </w:r>
                </w:p>
              </w:tc>
            </w:tr>
            <w:tr w14:paraId="6EF7E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9" w:type="pct"/>
                  <w:vMerge w:val="continue"/>
                  <w:vAlign w:val="center"/>
                </w:tcPr>
                <w:p w14:paraId="4B1958BB">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both"/>
                    <w:textAlignment w:val="auto"/>
                    <w:rPr>
                      <w:rFonts w:hint="default" w:ascii="宋体" w:hAnsi="宋体" w:eastAsia="宋体"/>
                      <w:color w:val="000000" w:themeColor="text1"/>
                      <w:sz w:val="21"/>
                      <w:szCs w:val="21"/>
                      <w:lang w:val="en-US" w:eastAsia="zh-CN"/>
                      <w14:textFill>
                        <w14:solidFill>
                          <w14:schemeClr w14:val="tx1"/>
                        </w14:solidFill>
                      </w14:textFill>
                    </w:rPr>
                  </w:pPr>
                </w:p>
              </w:tc>
              <w:tc>
                <w:tcPr>
                  <w:tcW w:w="728" w:type="pct"/>
                  <w:vMerge w:val="restart"/>
                  <w:vAlign w:val="center"/>
                </w:tcPr>
                <w:p w14:paraId="08E1831D">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both"/>
                    <w:textAlignment w:val="auto"/>
                    <w:rPr>
                      <w:rFonts w:hint="default" w:ascii="宋体" w:hAnsi="宋体" w:eastAsia="宋体"/>
                      <w:color w:val="000000" w:themeColor="text1"/>
                      <w:sz w:val="21"/>
                      <w:szCs w:val="21"/>
                      <w:lang w:val="en-US" w:eastAsia="zh-CN"/>
                      <w14:textFill>
                        <w14:solidFill>
                          <w14:schemeClr w14:val="tx1"/>
                        </w14:solidFill>
                      </w14:textFill>
                    </w:rPr>
                  </w:pPr>
                  <w:r>
                    <w:rPr>
                      <w:rFonts w:hint="default" w:ascii="宋体" w:hAnsi="宋体" w:eastAsia="宋体"/>
                      <w:color w:val="000000" w:themeColor="text1"/>
                      <w:sz w:val="21"/>
                      <w:szCs w:val="21"/>
                      <w:lang w:val="en-US" w:eastAsia="zh-CN"/>
                      <w14:textFill>
                        <w14:solidFill>
                          <w14:schemeClr w14:val="tx1"/>
                        </w14:solidFill>
                      </w14:textFill>
                    </w:rPr>
                    <w:t>道路</w:t>
                  </w:r>
                </w:p>
              </w:tc>
              <w:tc>
                <w:tcPr>
                  <w:tcW w:w="3811" w:type="pct"/>
                  <w:gridSpan w:val="2"/>
                  <w:vAlign w:val="center"/>
                </w:tcPr>
                <w:p w14:paraId="17F43613">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一片区道路规划</w:t>
                  </w:r>
                  <w:r>
                    <w:rPr>
                      <w:rFonts w:hint="eastAsia" w:ascii="Times New Roman" w:hAnsi="Times New Roman" w:cs="Times New Roman"/>
                      <w:color w:val="000000" w:themeColor="text1"/>
                      <w:sz w:val="21"/>
                      <w:szCs w:val="21"/>
                      <w:lang w:val="en-US" w:eastAsia="zh-CN"/>
                      <w14:textFill>
                        <w14:solidFill>
                          <w14:schemeClr w14:val="tx1"/>
                        </w14:solidFill>
                      </w14:textFill>
                    </w:rPr>
                    <w:t>面积</w:t>
                  </w:r>
                  <w:r>
                    <w:rPr>
                      <w:rFonts w:hint="eastAsia" w:ascii="Times New Roman" w:hAnsi="Times New Roman" w:cs="Times New Roman"/>
                      <w:color w:val="000000" w:themeColor="text1"/>
                      <w:kern w:val="0"/>
                      <w:sz w:val="21"/>
                      <w:szCs w:val="21"/>
                      <w:highlight w:val="none"/>
                      <w:vertAlign w:val="baseline"/>
                      <w:lang w:val="en-US" w:eastAsia="zh-CN" w:bidi="ar"/>
                      <w14:textFill>
                        <w14:solidFill>
                          <w14:schemeClr w14:val="tx1"/>
                        </w14:solidFill>
                      </w14:textFill>
                    </w:rPr>
                    <w:t>21560m</w:t>
                  </w:r>
                  <w:r>
                    <w:rPr>
                      <w:rFonts w:hint="eastAsia" w:ascii="Times New Roman" w:hAnsi="Times New Roman" w:cs="Times New Roman"/>
                      <w:color w:val="000000" w:themeColor="text1"/>
                      <w:kern w:val="0"/>
                      <w:sz w:val="21"/>
                      <w:szCs w:val="21"/>
                      <w:highlight w:val="none"/>
                      <w:vertAlign w:val="superscript"/>
                      <w:lang w:val="en-US" w:eastAsia="zh-CN" w:bidi="ar"/>
                      <w14:textFill>
                        <w14:solidFill>
                          <w14:schemeClr w14:val="tx1"/>
                        </w14:solidFill>
                      </w14:textFill>
                    </w:rPr>
                    <w:t>2</w:t>
                  </w:r>
                  <w:r>
                    <w:rPr>
                      <w:rFonts w:hint="eastAsia" w:ascii="Times New Roman" w:hAnsi="Times New Roman" w:cs="Times New Roman"/>
                      <w:color w:val="000000" w:themeColor="text1"/>
                      <w:kern w:val="0"/>
                      <w:sz w:val="21"/>
                      <w:szCs w:val="21"/>
                      <w:highlight w:val="none"/>
                      <w:vertAlign w:val="baseline"/>
                      <w:lang w:val="en-US" w:eastAsia="zh-CN" w:bidi="ar"/>
                      <w14:textFill>
                        <w14:solidFill>
                          <w14:schemeClr w14:val="tx1"/>
                        </w14:solidFill>
                      </w14:textFill>
                    </w:rPr>
                    <w:t>，长度约</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8674米</w:t>
                  </w:r>
                  <w:r>
                    <w:rPr>
                      <w:rFonts w:hint="eastAsia" w:ascii="Times New Roman" w:hAnsi="Times New Roman" w:cs="Times New Roman"/>
                      <w:color w:val="000000" w:themeColor="text1"/>
                      <w:sz w:val="21"/>
                      <w:szCs w:val="21"/>
                      <w:lang w:val="en-US" w:eastAsia="zh-CN"/>
                      <w14:textFill>
                        <w14:solidFill>
                          <w14:schemeClr w14:val="tx1"/>
                        </w14:solidFill>
                      </w14:textFill>
                    </w:rPr>
                    <w:t>，其中约600m为项目内现有土路，改为水泥浇灌路面，其余新建</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主干道：宽度4</w:t>
                  </w:r>
                  <w:r>
                    <w:rPr>
                      <w:rFonts w:hint="eastAsia" w:ascii="Times New Roman" w:hAnsi="Times New Roman"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5米，能保证大型</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车</w:t>
                  </w:r>
                  <w:r>
                    <w:rPr>
                      <w:rFonts w:hint="eastAsia" w:ascii="Times New Roman" w:hAnsi="Times New Roman" w:cs="Times New Roman"/>
                      <w:color w:val="000000" w:themeColor="text1"/>
                      <w:sz w:val="21"/>
                      <w:szCs w:val="21"/>
                      <w:lang w:val="en-US" w:eastAsia="zh-CN"/>
                      <w14:textFill>
                        <w14:solidFill>
                          <w14:schemeClr w14:val="tx1"/>
                        </w14:solidFill>
                      </w14:textFill>
                    </w:rPr>
                    <w:t>辆</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（如运输车、挖掘机）双向通行和掉头，连接基地主要出入口和各个大区。支路/作业道：宽度2</w:t>
                  </w:r>
                  <w:r>
                    <w:rPr>
                      <w:rFonts w:hint="eastAsia" w:ascii="Times New Roman" w:hAnsi="Times New Roman"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3米，能保证小型运输机械（如三轮车）通行，连接种植单元之间</w:t>
                  </w:r>
                  <w:r>
                    <w:rPr>
                      <w:rFonts w:hint="eastAsia" w:ascii="Times New Roman" w:hAnsi="Times New Roman" w:cs="Times New Roman"/>
                      <w:color w:val="000000" w:themeColor="text1"/>
                      <w:sz w:val="21"/>
                      <w:szCs w:val="21"/>
                      <w:lang w:val="en-US" w:eastAsia="zh-CN"/>
                      <w14:textFill>
                        <w14:solidFill>
                          <w14:schemeClr w14:val="tx1"/>
                        </w14:solidFill>
                      </w14:textFill>
                    </w:rPr>
                    <w:t>，为水泥浇筑路面。</w:t>
                  </w:r>
                </w:p>
              </w:tc>
            </w:tr>
            <w:tr w14:paraId="13BA6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9" w:type="pct"/>
                  <w:vMerge w:val="continue"/>
                  <w:vAlign w:val="center"/>
                </w:tcPr>
                <w:p w14:paraId="15A2B42B">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both"/>
                    <w:textAlignment w:val="auto"/>
                    <w:rPr>
                      <w:rFonts w:hint="default" w:ascii="宋体" w:hAnsi="宋体" w:eastAsia="宋体"/>
                      <w:color w:val="000000" w:themeColor="text1"/>
                      <w:sz w:val="21"/>
                      <w:szCs w:val="21"/>
                      <w:lang w:val="en-US" w:eastAsia="zh-CN"/>
                      <w14:textFill>
                        <w14:solidFill>
                          <w14:schemeClr w14:val="tx1"/>
                        </w14:solidFill>
                      </w14:textFill>
                    </w:rPr>
                  </w:pPr>
                </w:p>
              </w:tc>
              <w:tc>
                <w:tcPr>
                  <w:tcW w:w="728" w:type="pct"/>
                  <w:vMerge w:val="continue"/>
                  <w:vAlign w:val="center"/>
                </w:tcPr>
                <w:p w14:paraId="312174CB">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both"/>
                    <w:textAlignment w:val="auto"/>
                    <w:rPr>
                      <w:rFonts w:hint="default" w:ascii="宋体" w:hAnsi="宋体" w:eastAsia="宋体"/>
                      <w:color w:val="000000" w:themeColor="text1"/>
                      <w:sz w:val="21"/>
                      <w:szCs w:val="21"/>
                      <w:lang w:val="en-US" w:eastAsia="zh-CN"/>
                      <w14:textFill>
                        <w14:solidFill>
                          <w14:schemeClr w14:val="tx1"/>
                        </w14:solidFill>
                      </w14:textFill>
                    </w:rPr>
                  </w:pPr>
                </w:p>
              </w:tc>
              <w:tc>
                <w:tcPr>
                  <w:tcW w:w="3811" w:type="pct"/>
                  <w:gridSpan w:val="2"/>
                  <w:vAlign w:val="center"/>
                </w:tcPr>
                <w:p w14:paraId="2E14FAD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二片区道路</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规划</w:t>
                  </w:r>
                  <w:r>
                    <w:rPr>
                      <w:rFonts w:hint="eastAsia" w:ascii="Times New Roman" w:hAnsi="Times New Roman" w:cs="Times New Roman"/>
                      <w:color w:val="000000" w:themeColor="text1"/>
                      <w:sz w:val="21"/>
                      <w:szCs w:val="21"/>
                      <w:lang w:val="en-US" w:eastAsia="zh-CN"/>
                      <w14:textFill>
                        <w14:solidFill>
                          <w14:schemeClr w14:val="tx1"/>
                        </w14:solidFill>
                      </w14:textFill>
                    </w:rPr>
                    <w:t>面积</w:t>
                  </w:r>
                  <w:r>
                    <w:rPr>
                      <w:rFonts w:hint="eastAsia" w:ascii="Times New Roman" w:hAnsi="Times New Roman" w:cs="Times New Roman"/>
                      <w:color w:val="000000" w:themeColor="text1"/>
                      <w:kern w:val="0"/>
                      <w:sz w:val="21"/>
                      <w:szCs w:val="21"/>
                      <w:highlight w:val="none"/>
                      <w:vertAlign w:val="baseline"/>
                      <w:lang w:val="en-US" w:eastAsia="zh-CN" w:bidi="ar"/>
                      <w14:textFill>
                        <w14:solidFill>
                          <w14:schemeClr w14:val="tx1"/>
                        </w14:solidFill>
                      </w14:textFill>
                    </w:rPr>
                    <w:t>21560m</w:t>
                  </w:r>
                  <w:r>
                    <w:rPr>
                      <w:rFonts w:hint="eastAsia" w:ascii="Times New Roman" w:hAnsi="Times New Roman" w:cs="Times New Roman"/>
                      <w:color w:val="000000" w:themeColor="text1"/>
                      <w:kern w:val="0"/>
                      <w:sz w:val="21"/>
                      <w:szCs w:val="21"/>
                      <w:highlight w:val="none"/>
                      <w:vertAlign w:val="superscript"/>
                      <w:lang w:val="en-US" w:eastAsia="zh-CN" w:bidi="ar"/>
                      <w14:textFill>
                        <w14:solidFill>
                          <w14:schemeClr w14:val="tx1"/>
                        </w14:solidFill>
                      </w14:textFill>
                    </w:rPr>
                    <w:t>2</w:t>
                  </w:r>
                  <w:r>
                    <w:rPr>
                      <w:rFonts w:hint="eastAsia" w:ascii="Times New Roman" w:hAnsi="Times New Roman" w:cs="Times New Roman"/>
                      <w:color w:val="000000" w:themeColor="text1"/>
                      <w:kern w:val="0"/>
                      <w:sz w:val="21"/>
                      <w:szCs w:val="21"/>
                      <w:highlight w:val="none"/>
                      <w:vertAlign w:val="baseline"/>
                      <w:lang w:val="en-US" w:eastAsia="zh-CN" w:bidi="ar"/>
                      <w14:textFill>
                        <w14:solidFill>
                          <w14:schemeClr w14:val="tx1"/>
                        </w14:solidFill>
                      </w14:textFill>
                    </w:rPr>
                    <w:t>，长度约</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31227</w:t>
                  </w:r>
                  <w:r>
                    <w:rPr>
                      <w:rFonts w:hint="eastAsia" w:ascii="Times New Roman" w:hAnsi="Times New Roman" w:cs="Times New Roman"/>
                      <w:color w:val="000000" w:themeColor="text1"/>
                      <w:sz w:val="21"/>
                      <w:szCs w:val="21"/>
                      <w:lang w:val="en-US" w:eastAsia="zh-CN"/>
                      <w14:textFill>
                        <w14:solidFill>
                          <w14:schemeClr w14:val="tx1"/>
                        </w14:solidFill>
                      </w14:textFill>
                    </w:rPr>
                    <w:t>m，其中约1650m为已建土路，改为水泥浇灌路面；约2050m为已建水泥道路</w:t>
                  </w:r>
                  <w:r>
                    <w:rPr>
                      <w:rFonts w:hint="eastAsia" w:ascii="Times New Roman" w:hAnsi="Times New Roman" w:cs="Times New Roman"/>
                      <w:color w:val="000000" w:themeColor="text1"/>
                      <w:sz w:val="21"/>
                      <w:szCs w:val="21"/>
                      <w:lang w:val="en-US" w:eastAsia="zh-CN"/>
                      <w14:textFill>
                        <w14:solidFill>
                          <w14:schemeClr w14:val="tx1"/>
                        </w14:solidFill>
                      </w14:textFill>
                    </w:rPr>
                    <w:t>，项目依托使用</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。主干道：宽度4</w:t>
                  </w:r>
                  <w:r>
                    <w:rPr>
                      <w:rFonts w:hint="eastAsia" w:ascii="Times New Roman" w:hAnsi="Times New Roman"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5米，能保证大型车辆（如运输车、挖掘机）双向通行和掉头，连接基地主要出入口和各个大区。支路/作业道：宽度2</w:t>
                  </w:r>
                  <w:r>
                    <w:rPr>
                      <w:rFonts w:hint="eastAsia" w:ascii="Times New Roman" w:hAnsi="Times New Roman"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3米，能保证小型运输机械（如三轮车）通行，连接种植单元之间</w:t>
                  </w:r>
                  <w:r>
                    <w:rPr>
                      <w:rFonts w:hint="eastAsia" w:ascii="Times New Roman" w:hAnsi="Times New Roman" w:cs="Times New Roman"/>
                      <w:color w:val="000000" w:themeColor="text1"/>
                      <w:sz w:val="21"/>
                      <w:szCs w:val="21"/>
                      <w:lang w:val="en-US" w:eastAsia="zh-CN"/>
                      <w14:textFill>
                        <w14:solidFill>
                          <w14:schemeClr w14:val="tx1"/>
                        </w14:solidFill>
                      </w14:textFill>
                    </w:rPr>
                    <w:t>，为水泥浇筑路面。</w:t>
                  </w:r>
                </w:p>
              </w:tc>
            </w:tr>
            <w:tr w14:paraId="3A76D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jc w:val="center"/>
              </w:trPr>
              <w:tc>
                <w:tcPr>
                  <w:tcW w:w="459" w:type="pct"/>
                  <w:vMerge w:val="continue"/>
                  <w:vAlign w:val="center"/>
                </w:tcPr>
                <w:p w14:paraId="0888672B">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both"/>
                    <w:textAlignment w:val="auto"/>
                    <w:rPr>
                      <w:rFonts w:hint="default" w:ascii="宋体" w:hAnsi="宋体" w:eastAsia="宋体"/>
                      <w:color w:val="000000" w:themeColor="text1"/>
                      <w:sz w:val="21"/>
                      <w:szCs w:val="21"/>
                      <w:lang w:val="en-US" w:eastAsia="zh-CN"/>
                      <w14:textFill>
                        <w14:solidFill>
                          <w14:schemeClr w14:val="tx1"/>
                        </w14:solidFill>
                      </w14:textFill>
                    </w:rPr>
                  </w:pPr>
                </w:p>
              </w:tc>
              <w:tc>
                <w:tcPr>
                  <w:tcW w:w="728" w:type="pct"/>
                  <w:vMerge w:val="restart"/>
                  <w:vAlign w:val="center"/>
                </w:tcPr>
                <w:p w14:paraId="0EB1209F">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both"/>
                    <w:textAlignment w:val="auto"/>
                    <w:rPr>
                      <w:rFonts w:hint="default" w:ascii="宋体" w:hAnsi="宋体" w:eastAsia="宋体"/>
                      <w:color w:val="000000" w:themeColor="text1"/>
                      <w:sz w:val="21"/>
                      <w:szCs w:val="21"/>
                      <w:lang w:val="en-US" w:eastAsia="zh-CN"/>
                      <w14:textFill>
                        <w14:solidFill>
                          <w14:schemeClr w14:val="tx1"/>
                        </w14:solidFill>
                      </w14:textFill>
                    </w:rPr>
                  </w:pPr>
                  <w:r>
                    <w:rPr>
                      <w:rFonts w:hint="default" w:ascii="宋体" w:hAnsi="宋体" w:eastAsia="宋体"/>
                      <w:color w:val="000000" w:themeColor="text1"/>
                      <w:sz w:val="21"/>
                      <w:szCs w:val="21"/>
                      <w:lang w:val="en-US" w:eastAsia="zh-CN"/>
                      <w14:textFill>
                        <w14:solidFill>
                          <w14:schemeClr w14:val="tx1"/>
                        </w14:solidFill>
                      </w14:textFill>
                    </w:rPr>
                    <w:t>管护用房</w:t>
                  </w:r>
                </w:p>
              </w:tc>
              <w:tc>
                <w:tcPr>
                  <w:tcW w:w="3811" w:type="pct"/>
                  <w:gridSpan w:val="2"/>
                  <w:vAlign w:val="center"/>
                </w:tcPr>
                <w:p w14:paraId="02B1C74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一片区设</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管护用房</w:t>
                  </w:r>
                  <w:r>
                    <w:rPr>
                      <w:rFonts w:hint="eastAsia" w:ascii="Times New Roman" w:hAnsi="Times New Roman" w:cs="Times New Roman"/>
                      <w:color w:val="000000" w:themeColor="text1"/>
                      <w:sz w:val="21"/>
                      <w:szCs w:val="21"/>
                      <w:lang w:val="en-US" w:eastAsia="zh-CN"/>
                      <w14:textFill>
                        <w14:solidFill>
                          <w14:schemeClr w14:val="tx1"/>
                        </w14:solidFill>
                      </w14:textFill>
                    </w:rPr>
                    <w:t>5</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间，</w:t>
                  </w:r>
                  <w:r>
                    <w:rPr>
                      <w:rFonts w:hint="eastAsia" w:ascii="Times New Roman" w:hAnsi="Times New Roman" w:cs="Times New Roman"/>
                      <w:color w:val="000000" w:themeColor="text1"/>
                      <w:sz w:val="21"/>
                      <w:szCs w:val="21"/>
                      <w:lang w:val="en-US" w:eastAsia="zh-CN"/>
                      <w14:textFill>
                        <w14:solidFill>
                          <w14:schemeClr w14:val="tx1"/>
                        </w14:solidFill>
                      </w14:textFill>
                    </w:rPr>
                    <w:t>一层砖混结构建筑，层高均为4m</w:t>
                  </w:r>
                  <w:r>
                    <w:rPr>
                      <w:rFonts w:hint="eastAsia" w:ascii="Times New Roman" w:hAnsi="Times New Roman"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占地面积为</w:t>
                  </w:r>
                  <w:r>
                    <w:rPr>
                      <w:rFonts w:hint="eastAsia" w:ascii="Times New Roman" w:hAnsi="Times New Roman" w:cs="Times New Roman"/>
                      <w:color w:val="000000" w:themeColor="text1"/>
                      <w:sz w:val="21"/>
                      <w:szCs w:val="21"/>
                      <w:lang w:val="en-US" w:eastAsia="zh-CN"/>
                      <w14:textFill>
                        <w14:solidFill>
                          <w14:schemeClr w14:val="tx1"/>
                        </w14:solidFill>
                      </w14:textFill>
                    </w:rPr>
                    <w:t>1#</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3</w:t>
                  </w:r>
                  <w:r>
                    <w:rPr>
                      <w:rFonts w:hint="eastAsia" w:ascii="Times New Roman" w:hAnsi="Times New Roman" w:cs="Times New Roman"/>
                      <w:color w:val="000000" w:themeColor="text1"/>
                      <w:sz w:val="21"/>
                      <w:szCs w:val="21"/>
                      <w:lang w:val="en-US" w:eastAsia="zh-CN"/>
                      <w14:textFill>
                        <w14:solidFill>
                          <w14:schemeClr w14:val="tx1"/>
                        </w14:solidFill>
                      </w14:textFill>
                    </w:rPr>
                    <w:t>58.72</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m</w:t>
                  </w:r>
                  <w:r>
                    <w:rPr>
                      <w:rFonts w:hint="default" w:ascii="Times New Roman" w:hAnsi="Times New Roman" w:eastAsia="宋体" w:cs="Times New Roman"/>
                      <w:color w:val="000000" w:themeColor="text1"/>
                      <w:sz w:val="21"/>
                      <w:szCs w:val="21"/>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r>
                    <w:rPr>
                      <w:rFonts w:hint="eastAsia" w:ascii="Times New Roman" w:hAnsi="Times New Roman" w:cs="Times New Roman"/>
                      <w:color w:val="000000" w:themeColor="text1"/>
                      <w:sz w:val="21"/>
                      <w:szCs w:val="21"/>
                      <w:lang w:val="en-US" w:eastAsia="zh-CN"/>
                      <w14:textFill>
                        <w14:solidFill>
                          <w14:schemeClr w14:val="tx1"/>
                        </w14:solidFill>
                      </w14:textFill>
                    </w:rPr>
                    <w:t>2#232.26</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m</w:t>
                  </w:r>
                  <w:r>
                    <w:rPr>
                      <w:rFonts w:hint="default" w:ascii="Times New Roman" w:hAnsi="Times New Roman" w:eastAsia="宋体" w:cs="Times New Roman"/>
                      <w:color w:val="000000" w:themeColor="text1"/>
                      <w:sz w:val="21"/>
                      <w:szCs w:val="21"/>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r>
                    <w:rPr>
                      <w:rFonts w:hint="eastAsia" w:ascii="Times New Roman" w:hAnsi="Times New Roman" w:cs="Times New Roman"/>
                      <w:color w:val="000000" w:themeColor="text1"/>
                      <w:sz w:val="21"/>
                      <w:szCs w:val="21"/>
                      <w:lang w:val="en-US" w:eastAsia="zh-CN"/>
                      <w14:textFill>
                        <w14:solidFill>
                          <w14:schemeClr w14:val="tx1"/>
                        </w14:solidFill>
                      </w14:textFill>
                    </w:rPr>
                    <w:t>3#988.36</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m</w:t>
                  </w:r>
                  <w:r>
                    <w:rPr>
                      <w:rFonts w:hint="default" w:ascii="Times New Roman" w:hAnsi="Times New Roman" w:eastAsia="宋体" w:cs="Times New Roman"/>
                      <w:color w:val="000000" w:themeColor="text1"/>
                      <w:sz w:val="21"/>
                      <w:szCs w:val="21"/>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r>
                    <w:rPr>
                      <w:rFonts w:hint="eastAsia" w:ascii="Times New Roman" w:hAnsi="Times New Roman" w:cs="Times New Roman"/>
                      <w:color w:val="000000" w:themeColor="text1"/>
                      <w:sz w:val="21"/>
                      <w:szCs w:val="21"/>
                      <w:lang w:val="en-US" w:eastAsia="zh-CN"/>
                      <w14:textFill>
                        <w14:solidFill>
                          <w14:schemeClr w14:val="tx1"/>
                        </w14:solidFill>
                      </w14:textFill>
                    </w:rPr>
                    <w:t>4#382.58</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m</w:t>
                  </w:r>
                  <w:r>
                    <w:rPr>
                      <w:rFonts w:hint="default" w:ascii="Times New Roman" w:hAnsi="Times New Roman" w:eastAsia="宋体" w:cs="Times New Roman"/>
                      <w:color w:val="000000" w:themeColor="text1"/>
                      <w:sz w:val="21"/>
                      <w:szCs w:val="21"/>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r>
                    <w:rPr>
                      <w:rFonts w:hint="eastAsia" w:ascii="Times New Roman" w:hAnsi="Times New Roman" w:cs="Times New Roman"/>
                      <w:color w:val="000000" w:themeColor="text1"/>
                      <w:sz w:val="21"/>
                      <w:szCs w:val="21"/>
                      <w:lang w:val="en-US" w:eastAsia="zh-CN"/>
                      <w14:textFill>
                        <w14:solidFill>
                          <w14:schemeClr w14:val="tx1"/>
                        </w14:solidFill>
                      </w14:textFill>
                    </w:rPr>
                    <w:t>5#362.26</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m</w:t>
                  </w:r>
                  <w:r>
                    <w:rPr>
                      <w:rFonts w:hint="default" w:ascii="Times New Roman" w:hAnsi="Times New Roman" w:eastAsia="宋体" w:cs="Times New Roman"/>
                      <w:color w:val="000000" w:themeColor="text1"/>
                      <w:sz w:val="21"/>
                      <w:szCs w:val="21"/>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。总占地面积</w:t>
                  </w:r>
                  <w:r>
                    <w:rPr>
                      <w:rFonts w:hint="eastAsia" w:ascii="Times New Roman" w:hAnsi="Times New Roman" w:cs="Times New Roman"/>
                      <w:color w:val="000000" w:themeColor="text1"/>
                      <w:sz w:val="21"/>
                      <w:szCs w:val="21"/>
                      <w:lang w:val="en-US" w:eastAsia="zh-CN"/>
                      <w14:textFill>
                        <w14:solidFill>
                          <w14:schemeClr w14:val="tx1"/>
                        </w14:solidFill>
                      </w14:textFill>
                    </w:rPr>
                    <w:t>2324.18</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m</w:t>
                  </w:r>
                  <w:r>
                    <w:rPr>
                      <w:rFonts w:hint="default" w:ascii="Times New Roman" w:hAnsi="Times New Roman" w:eastAsia="宋体" w:cs="Times New Roman"/>
                      <w:color w:val="000000" w:themeColor="text1"/>
                      <w:sz w:val="21"/>
                      <w:szCs w:val="21"/>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p>
              </w:tc>
            </w:tr>
            <w:tr w14:paraId="66CA3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9" w:type="pct"/>
                  <w:vMerge w:val="continue"/>
                  <w:vAlign w:val="center"/>
                </w:tcPr>
                <w:p w14:paraId="67BF5519">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both"/>
                    <w:textAlignment w:val="auto"/>
                    <w:rPr>
                      <w:rFonts w:hint="default" w:ascii="宋体" w:hAnsi="宋体" w:eastAsia="宋体"/>
                      <w:color w:val="000000" w:themeColor="text1"/>
                      <w:sz w:val="21"/>
                      <w:szCs w:val="21"/>
                      <w:lang w:val="en-US" w:eastAsia="zh-CN"/>
                      <w14:textFill>
                        <w14:solidFill>
                          <w14:schemeClr w14:val="tx1"/>
                        </w14:solidFill>
                      </w14:textFill>
                    </w:rPr>
                  </w:pPr>
                </w:p>
              </w:tc>
              <w:tc>
                <w:tcPr>
                  <w:tcW w:w="728" w:type="pct"/>
                  <w:vMerge w:val="continue"/>
                  <w:vAlign w:val="center"/>
                </w:tcPr>
                <w:p w14:paraId="527FA0FA">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both"/>
                    <w:textAlignment w:val="auto"/>
                    <w:rPr>
                      <w:rFonts w:hint="default" w:ascii="宋体" w:hAnsi="宋体" w:eastAsia="宋体"/>
                      <w:color w:val="000000" w:themeColor="text1"/>
                      <w:sz w:val="21"/>
                      <w:szCs w:val="21"/>
                      <w:lang w:val="en-US" w:eastAsia="zh-CN"/>
                      <w14:textFill>
                        <w14:solidFill>
                          <w14:schemeClr w14:val="tx1"/>
                        </w14:solidFill>
                      </w14:textFill>
                    </w:rPr>
                  </w:pPr>
                </w:p>
              </w:tc>
              <w:tc>
                <w:tcPr>
                  <w:tcW w:w="3811" w:type="pct"/>
                  <w:gridSpan w:val="2"/>
                  <w:vAlign w:val="center"/>
                </w:tcPr>
                <w:p w14:paraId="448BF54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二片区设管护用房7间，</w:t>
                  </w:r>
                  <w:r>
                    <w:rPr>
                      <w:rFonts w:hint="eastAsia" w:ascii="Times New Roman" w:hAnsi="Times New Roman" w:cs="Times New Roman"/>
                      <w:color w:val="000000" w:themeColor="text1"/>
                      <w:sz w:val="21"/>
                      <w:szCs w:val="21"/>
                      <w:lang w:val="en-US" w:eastAsia="zh-CN"/>
                      <w14:textFill>
                        <w14:solidFill>
                          <w14:schemeClr w14:val="tx1"/>
                        </w14:solidFill>
                      </w14:textFill>
                    </w:rPr>
                    <w:t>一层砖混结构建筑，层高均为4m。</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占地面积为</w:t>
                  </w:r>
                  <w:r>
                    <w:rPr>
                      <w:rFonts w:hint="eastAsia" w:ascii="Times New Roman" w:hAnsi="Times New Roman" w:cs="Times New Roman"/>
                      <w:color w:val="000000" w:themeColor="text1"/>
                      <w:sz w:val="21"/>
                      <w:szCs w:val="21"/>
                      <w:lang w:val="en-US" w:eastAsia="zh-CN"/>
                      <w14:textFill>
                        <w14:solidFill>
                          <w14:schemeClr w14:val="tx1"/>
                        </w14:solidFill>
                      </w14:textFill>
                    </w:rPr>
                    <w:t>1#</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658.12m</w:t>
                  </w:r>
                  <w:r>
                    <w:rPr>
                      <w:rFonts w:hint="default" w:ascii="Times New Roman" w:hAnsi="Times New Roman" w:eastAsia="宋体" w:cs="Times New Roman"/>
                      <w:color w:val="000000" w:themeColor="text1"/>
                      <w:sz w:val="21"/>
                      <w:szCs w:val="21"/>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r>
                    <w:rPr>
                      <w:rFonts w:hint="eastAsia" w:ascii="Times New Roman" w:hAnsi="Times New Roman" w:cs="Times New Roman"/>
                      <w:color w:val="000000" w:themeColor="text1"/>
                      <w:sz w:val="21"/>
                      <w:szCs w:val="21"/>
                      <w:lang w:val="en-US" w:eastAsia="zh-CN"/>
                      <w14:textFill>
                        <w14:solidFill>
                          <w14:schemeClr w14:val="tx1"/>
                        </w14:solidFill>
                      </w14:textFill>
                    </w:rPr>
                    <w:t>2#6</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36.70m</w:t>
                  </w:r>
                  <w:r>
                    <w:rPr>
                      <w:rFonts w:hint="default" w:ascii="Times New Roman" w:hAnsi="Times New Roman" w:eastAsia="宋体" w:cs="Times New Roman"/>
                      <w:color w:val="000000" w:themeColor="text1"/>
                      <w:sz w:val="21"/>
                      <w:szCs w:val="21"/>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r>
                    <w:rPr>
                      <w:rFonts w:hint="eastAsia" w:ascii="Times New Roman" w:hAnsi="Times New Roman" w:cs="Times New Roman"/>
                      <w:color w:val="000000" w:themeColor="text1"/>
                      <w:sz w:val="21"/>
                      <w:szCs w:val="21"/>
                      <w:lang w:val="en-US" w:eastAsia="zh-CN"/>
                      <w14:textFill>
                        <w14:solidFill>
                          <w14:schemeClr w14:val="tx1"/>
                        </w14:solidFill>
                      </w14:textFill>
                    </w:rPr>
                    <w:t>3#</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775.96m</w:t>
                  </w:r>
                  <w:r>
                    <w:rPr>
                      <w:rFonts w:hint="default" w:ascii="Times New Roman" w:hAnsi="Times New Roman" w:eastAsia="宋体" w:cs="Times New Roman"/>
                      <w:color w:val="000000" w:themeColor="text1"/>
                      <w:sz w:val="21"/>
                      <w:szCs w:val="21"/>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r>
                    <w:rPr>
                      <w:rFonts w:hint="eastAsia" w:ascii="Times New Roman" w:hAnsi="Times New Roman" w:cs="Times New Roman"/>
                      <w:color w:val="000000" w:themeColor="text1"/>
                      <w:sz w:val="21"/>
                      <w:szCs w:val="21"/>
                      <w:lang w:val="en-US" w:eastAsia="zh-CN"/>
                      <w14:textFill>
                        <w14:solidFill>
                          <w14:schemeClr w14:val="tx1"/>
                        </w14:solidFill>
                      </w14:textFill>
                    </w:rPr>
                    <w:t>4#</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544.54m</w:t>
                  </w:r>
                  <w:r>
                    <w:rPr>
                      <w:rFonts w:hint="default" w:ascii="Times New Roman" w:hAnsi="Times New Roman" w:eastAsia="宋体" w:cs="Times New Roman"/>
                      <w:color w:val="000000" w:themeColor="text1"/>
                      <w:sz w:val="21"/>
                      <w:szCs w:val="21"/>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r>
                    <w:rPr>
                      <w:rFonts w:hint="eastAsia" w:ascii="Times New Roman" w:hAnsi="Times New Roman" w:cs="Times New Roman"/>
                      <w:color w:val="000000" w:themeColor="text1"/>
                      <w:sz w:val="21"/>
                      <w:szCs w:val="21"/>
                      <w:lang w:val="en-US" w:eastAsia="zh-CN"/>
                      <w14:textFill>
                        <w14:solidFill>
                          <w14:schemeClr w14:val="tx1"/>
                        </w14:solidFill>
                      </w14:textFill>
                    </w:rPr>
                    <w:t>5#</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125.14m</w:t>
                  </w:r>
                  <w:r>
                    <w:rPr>
                      <w:rFonts w:hint="default" w:ascii="Times New Roman" w:hAnsi="Times New Roman" w:eastAsia="宋体" w:cs="Times New Roman"/>
                      <w:color w:val="000000" w:themeColor="text1"/>
                      <w:sz w:val="21"/>
                      <w:szCs w:val="21"/>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r>
                    <w:rPr>
                      <w:rFonts w:hint="eastAsia" w:ascii="Times New Roman" w:hAnsi="Times New Roman" w:cs="Times New Roman"/>
                      <w:color w:val="000000" w:themeColor="text1"/>
                      <w:sz w:val="21"/>
                      <w:szCs w:val="21"/>
                      <w:lang w:val="en-US" w:eastAsia="zh-CN"/>
                      <w14:textFill>
                        <w14:solidFill>
                          <w14:schemeClr w14:val="tx1"/>
                        </w14:solidFill>
                      </w14:textFill>
                    </w:rPr>
                    <w:t>6#</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396.02m</w:t>
                  </w:r>
                  <w:r>
                    <w:rPr>
                      <w:rFonts w:hint="default" w:ascii="Times New Roman" w:hAnsi="Times New Roman" w:eastAsia="宋体" w:cs="Times New Roman"/>
                      <w:color w:val="000000" w:themeColor="text1"/>
                      <w:sz w:val="21"/>
                      <w:szCs w:val="21"/>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r>
                    <w:rPr>
                      <w:rFonts w:hint="eastAsia" w:ascii="Times New Roman" w:hAnsi="Times New Roman" w:cs="Times New Roman"/>
                      <w:color w:val="000000" w:themeColor="text1"/>
                      <w:sz w:val="21"/>
                      <w:szCs w:val="21"/>
                      <w:lang w:val="en-US" w:eastAsia="zh-CN"/>
                      <w14:textFill>
                        <w14:solidFill>
                          <w14:schemeClr w14:val="tx1"/>
                        </w14:solidFill>
                      </w14:textFill>
                    </w:rPr>
                    <w:t>7#</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589.55m</w:t>
                  </w:r>
                  <w:r>
                    <w:rPr>
                      <w:rFonts w:hint="default" w:ascii="Times New Roman" w:hAnsi="Times New Roman" w:eastAsia="宋体" w:cs="Times New Roman"/>
                      <w:color w:val="000000" w:themeColor="text1"/>
                      <w:sz w:val="21"/>
                      <w:szCs w:val="21"/>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。总占地面积3726.03m</w:t>
                  </w:r>
                  <w:r>
                    <w:rPr>
                      <w:rFonts w:hint="default" w:ascii="Times New Roman" w:hAnsi="Times New Roman" w:eastAsia="宋体" w:cs="Times New Roman"/>
                      <w:color w:val="000000" w:themeColor="text1"/>
                      <w:sz w:val="21"/>
                      <w:szCs w:val="21"/>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p>
              </w:tc>
            </w:tr>
            <w:tr w14:paraId="419D5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9" w:type="pct"/>
                  <w:vMerge w:val="continue"/>
                  <w:vAlign w:val="center"/>
                </w:tcPr>
                <w:p w14:paraId="5F3B59DE">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both"/>
                    <w:textAlignment w:val="auto"/>
                    <w:rPr>
                      <w:rFonts w:hint="default" w:ascii="宋体" w:hAnsi="宋体" w:eastAsia="宋体"/>
                      <w:color w:val="000000" w:themeColor="text1"/>
                      <w:sz w:val="21"/>
                      <w:szCs w:val="21"/>
                      <w:lang w:val="en-US" w:eastAsia="zh-CN"/>
                      <w14:textFill>
                        <w14:solidFill>
                          <w14:schemeClr w14:val="tx1"/>
                        </w14:solidFill>
                      </w14:textFill>
                    </w:rPr>
                  </w:pPr>
                </w:p>
              </w:tc>
              <w:tc>
                <w:tcPr>
                  <w:tcW w:w="728" w:type="pct"/>
                  <w:vAlign w:val="center"/>
                </w:tcPr>
                <w:p w14:paraId="6E14891D">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both"/>
                    <w:textAlignment w:val="auto"/>
                    <w:rPr>
                      <w:rFonts w:hint="default" w:ascii="宋体" w:hAnsi="宋体" w:eastAsia="宋体"/>
                      <w:color w:val="000000" w:themeColor="text1"/>
                      <w:sz w:val="21"/>
                      <w:szCs w:val="21"/>
                      <w:lang w:val="en-US" w:eastAsia="zh-CN"/>
                      <w14:textFill>
                        <w14:solidFill>
                          <w14:schemeClr w14:val="tx1"/>
                        </w14:solidFill>
                      </w14:textFill>
                    </w:rPr>
                  </w:pPr>
                  <w:r>
                    <w:rPr>
                      <w:rFonts w:hint="default" w:ascii="宋体" w:hAnsi="宋体" w:eastAsia="宋体"/>
                      <w:color w:val="000000" w:themeColor="text1"/>
                      <w:sz w:val="21"/>
                      <w:szCs w:val="21"/>
                      <w:lang w:val="en-US" w:eastAsia="zh-CN"/>
                      <w14:textFill>
                        <w14:solidFill>
                          <w14:schemeClr w14:val="tx1"/>
                        </w14:solidFill>
                      </w14:textFill>
                    </w:rPr>
                    <w:t>分拣房</w:t>
                  </w:r>
                </w:p>
              </w:tc>
              <w:tc>
                <w:tcPr>
                  <w:tcW w:w="3811" w:type="pct"/>
                  <w:gridSpan w:val="2"/>
                  <w:vAlign w:val="center"/>
                </w:tcPr>
                <w:p w14:paraId="43C1E0CB">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二片区设分拣房2间，占地面积分别为1128.31m</w:t>
                  </w:r>
                  <w:r>
                    <w:rPr>
                      <w:rFonts w:hint="default" w:ascii="Times New Roman" w:hAnsi="Times New Roman" w:eastAsia="宋体" w:cs="Times New Roman"/>
                      <w:color w:val="000000" w:themeColor="text1"/>
                      <w:sz w:val="21"/>
                      <w:szCs w:val="21"/>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、1264m</w:t>
                  </w:r>
                  <w:r>
                    <w:rPr>
                      <w:rFonts w:hint="default" w:ascii="Times New Roman" w:hAnsi="Times New Roman" w:eastAsia="宋体" w:cs="Times New Roman"/>
                      <w:color w:val="000000" w:themeColor="text1"/>
                      <w:sz w:val="21"/>
                      <w:szCs w:val="21"/>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。总占地面积为2392.31m</w:t>
                  </w:r>
                  <w:r>
                    <w:rPr>
                      <w:rFonts w:hint="default" w:ascii="Times New Roman" w:hAnsi="Times New Roman" w:eastAsia="宋体" w:cs="Times New Roman"/>
                      <w:color w:val="000000" w:themeColor="text1"/>
                      <w:sz w:val="21"/>
                      <w:szCs w:val="21"/>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p>
              </w:tc>
            </w:tr>
            <w:tr w14:paraId="1B159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9" w:type="pct"/>
                  <w:vMerge w:val="continue"/>
                  <w:vAlign w:val="center"/>
                </w:tcPr>
                <w:p w14:paraId="0A571B60">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both"/>
                    <w:textAlignment w:val="auto"/>
                    <w:rPr>
                      <w:rFonts w:hint="default" w:ascii="宋体" w:hAnsi="宋体" w:eastAsia="宋体"/>
                      <w:color w:val="000000" w:themeColor="text1"/>
                      <w:sz w:val="21"/>
                      <w:szCs w:val="21"/>
                      <w:lang w:val="en-US" w:eastAsia="zh-CN"/>
                      <w14:textFill>
                        <w14:solidFill>
                          <w14:schemeClr w14:val="tx1"/>
                        </w14:solidFill>
                      </w14:textFill>
                    </w:rPr>
                  </w:pPr>
                </w:p>
              </w:tc>
              <w:tc>
                <w:tcPr>
                  <w:tcW w:w="728" w:type="pct"/>
                  <w:vAlign w:val="center"/>
                </w:tcPr>
                <w:p w14:paraId="2F223F2E">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both"/>
                    <w:textAlignment w:val="auto"/>
                    <w:rPr>
                      <w:rFonts w:hint="default" w:ascii="宋体" w:hAnsi="宋体" w:eastAsia="宋体"/>
                      <w:color w:val="000000" w:themeColor="text1"/>
                      <w:sz w:val="21"/>
                      <w:szCs w:val="21"/>
                      <w:lang w:val="en-US" w:eastAsia="zh-CN"/>
                      <w14:textFill>
                        <w14:solidFill>
                          <w14:schemeClr w14:val="tx1"/>
                        </w14:solidFill>
                      </w14:textFill>
                    </w:rPr>
                  </w:pPr>
                  <w:r>
                    <w:rPr>
                      <w:rFonts w:hint="default" w:ascii="宋体" w:hAnsi="宋体" w:eastAsia="宋体"/>
                      <w:color w:val="000000" w:themeColor="text1"/>
                      <w:sz w:val="21"/>
                      <w:szCs w:val="21"/>
                      <w:lang w:val="en-US" w:eastAsia="zh-CN"/>
                      <w14:textFill>
                        <w14:solidFill>
                          <w14:schemeClr w14:val="tx1"/>
                        </w14:solidFill>
                      </w14:textFill>
                    </w:rPr>
                    <w:t>工具房</w:t>
                  </w:r>
                </w:p>
              </w:tc>
              <w:tc>
                <w:tcPr>
                  <w:tcW w:w="3811" w:type="pct"/>
                  <w:gridSpan w:val="2"/>
                  <w:vAlign w:val="center"/>
                </w:tcPr>
                <w:p w14:paraId="3800B120">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二片区设工具房2间，占地面积分别为463.69m</w:t>
                  </w:r>
                  <w:r>
                    <w:rPr>
                      <w:rFonts w:hint="default" w:ascii="Times New Roman" w:hAnsi="Times New Roman" w:eastAsia="宋体" w:cs="Times New Roman"/>
                      <w:color w:val="000000" w:themeColor="text1"/>
                      <w:sz w:val="21"/>
                      <w:szCs w:val="21"/>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、323.38m</w:t>
                  </w:r>
                  <w:r>
                    <w:rPr>
                      <w:rFonts w:hint="default" w:ascii="Times New Roman" w:hAnsi="Times New Roman" w:eastAsia="宋体" w:cs="Times New Roman"/>
                      <w:color w:val="000000" w:themeColor="text1"/>
                      <w:sz w:val="21"/>
                      <w:szCs w:val="21"/>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。总占地面积为787.07m</w:t>
                  </w:r>
                  <w:r>
                    <w:rPr>
                      <w:rFonts w:hint="default" w:ascii="Times New Roman" w:hAnsi="Times New Roman" w:eastAsia="宋体" w:cs="Times New Roman"/>
                      <w:color w:val="000000" w:themeColor="text1"/>
                      <w:sz w:val="21"/>
                      <w:szCs w:val="21"/>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p>
              </w:tc>
            </w:tr>
            <w:tr w14:paraId="11D38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9" w:type="pct"/>
                  <w:vMerge w:val="continue"/>
                  <w:vAlign w:val="center"/>
                </w:tcPr>
                <w:p w14:paraId="5C79074A">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both"/>
                    <w:textAlignment w:val="auto"/>
                    <w:rPr>
                      <w:rFonts w:hint="default" w:ascii="宋体" w:hAnsi="宋体" w:eastAsia="宋体"/>
                      <w:color w:val="000000" w:themeColor="text1"/>
                      <w:sz w:val="21"/>
                      <w:szCs w:val="21"/>
                      <w:lang w:val="en-US" w:eastAsia="zh-CN"/>
                      <w14:textFill>
                        <w14:solidFill>
                          <w14:schemeClr w14:val="tx1"/>
                        </w14:solidFill>
                      </w14:textFill>
                    </w:rPr>
                  </w:pPr>
                </w:p>
              </w:tc>
              <w:tc>
                <w:tcPr>
                  <w:tcW w:w="728" w:type="pct"/>
                  <w:vMerge w:val="restart"/>
                  <w:vAlign w:val="center"/>
                </w:tcPr>
                <w:p w14:paraId="45AFAF72">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both"/>
                    <w:textAlignment w:val="auto"/>
                    <w:rPr>
                      <w:rFonts w:hint="default" w:ascii="宋体" w:hAnsi="宋体" w:eastAsia="宋体"/>
                      <w:color w:val="000000" w:themeColor="text1"/>
                      <w:sz w:val="21"/>
                      <w:szCs w:val="21"/>
                      <w:lang w:val="en-US" w:eastAsia="zh-CN"/>
                      <w14:textFill>
                        <w14:solidFill>
                          <w14:schemeClr w14:val="tx1"/>
                        </w14:solidFill>
                      </w14:textFill>
                    </w:rPr>
                  </w:pPr>
                  <w:r>
                    <w:rPr>
                      <w:rFonts w:hint="default" w:ascii="宋体" w:hAnsi="宋体" w:eastAsia="宋体"/>
                      <w:color w:val="000000" w:themeColor="text1"/>
                      <w:sz w:val="21"/>
                      <w:szCs w:val="21"/>
                      <w:lang w:val="en-US" w:eastAsia="zh-CN"/>
                      <w14:textFill>
                        <w14:solidFill>
                          <w14:schemeClr w14:val="tx1"/>
                        </w14:solidFill>
                      </w14:textFill>
                    </w:rPr>
                    <w:t>水池</w:t>
                  </w:r>
                </w:p>
              </w:tc>
              <w:tc>
                <w:tcPr>
                  <w:tcW w:w="3811" w:type="pct"/>
                  <w:gridSpan w:val="2"/>
                  <w:vAlign w:val="center"/>
                </w:tcPr>
                <w:p w14:paraId="627D52F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一片区设水池3个，单个容积分别为</w:t>
                  </w:r>
                  <w:r>
                    <w:rPr>
                      <w:rFonts w:hint="eastAsia" w:ascii="Times New Roman" w:hAnsi="Times New Roman" w:cs="Times New Roman"/>
                      <w:color w:val="000000" w:themeColor="text1"/>
                      <w:sz w:val="21"/>
                      <w:szCs w:val="21"/>
                      <w:lang w:val="en-US" w:eastAsia="zh-CN"/>
                      <w14:textFill>
                        <w14:solidFill>
                          <w14:schemeClr w14:val="tx1"/>
                        </w14:solidFill>
                      </w14:textFill>
                    </w:rPr>
                    <w:t>1#1136.16m</w:t>
                  </w:r>
                  <w:r>
                    <w:rPr>
                      <w:rFonts w:hint="eastAsia" w:ascii="Times New Roman" w:hAnsi="Times New Roman" w:cs="Times New Roman"/>
                      <w:color w:val="000000" w:themeColor="text1"/>
                      <w:sz w:val="21"/>
                      <w:szCs w:val="21"/>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r>
                    <w:rPr>
                      <w:rFonts w:hint="eastAsia" w:ascii="Times New Roman" w:hAnsi="Times New Roman" w:cs="Times New Roman"/>
                      <w:color w:val="000000" w:themeColor="text1"/>
                      <w:sz w:val="21"/>
                      <w:szCs w:val="21"/>
                      <w:lang w:val="en-US" w:eastAsia="zh-CN"/>
                      <w14:textFill>
                        <w14:solidFill>
                          <w14:schemeClr w14:val="tx1"/>
                        </w14:solidFill>
                      </w14:textFill>
                    </w:rPr>
                    <w:t>2#1600m</w:t>
                  </w:r>
                  <w:r>
                    <w:rPr>
                      <w:rFonts w:hint="eastAsia" w:ascii="Times New Roman" w:hAnsi="Times New Roman" w:cs="Times New Roman"/>
                      <w:color w:val="000000" w:themeColor="text1"/>
                      <w:sz w:val="21"/>
                      <w:szCs w:val="21"/>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r>
                    <w:rPr>
                      <w:rFonts w:hint="eastAsia" w:ascii="Times New Roman" w:hAnsi="Times New Roman" w:cs="Times New Roman"/>
                      <w:color w:val="000000" w:themeColor="text1"/>
                      <w:sz w:val="21"/>
                      <w:szCs w:val="21"/>
                      <w:lang w:val="en-US" w:eastAsia="zh-CN"/>
                      <w14:textFill>
                        <w14:solidFill>
                          <w14:schemeClr w14:val="tx1"/>
                        </w14:solidFill>
                      </w14:textFill>
                    </w:rPr>
                    <w:t>3#3400m</w:t>
                  </w:r>
                  <w:r>
                    <w:rPr>
                      <w:rFonts w:hint="eastAsia" w:ascii="Times New Roman" w:hAnsi="Times New Roman" w:cs="Times New Roman"/>
                      <w:color w:val="000000" w:themeColor="text1"/>
                      <w:sz w:val="21"/>
                      <w:szCs w:val="21"/>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。总容积为</w:t>
                  </w:r>
                  <w:r>
                    <w:rPr>
                      <w:rFonts w:hint="eastAsia" w:ascii="Times New Roman" w:hAnsi="Times New Roman" w:cs="Times New Roman"/>
                      <w:color w:val="000000" w:themeColor="text1"/>
                      <w:sz w:val="21"/>
                      <w:szCs w:val="21"/>
                      <w:lang w:val="en-US" w:eastAsia="zh-CN"/>
                      <w14:textFill>
                        <w14:solidFill>
                          <w14:schemeClr w14:val="tx1"/>
                        </w14:solidFill>
                      </w14:textFill>
                    </w:rPr>
                    <w:t>6136.16</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m³。</w:t>
                  </w:r>
                  <w:r>
                    <w:rPr>
                      <w:rFonts w:hint="eastAsia" w:ascii="Times New Roman" w:hAnsi="Times New Roman" w:cs="Times New Roman"/>
                      <w:color w:val="000000" w:themeColor="text1"/>
                      <w:sz w:val="21"/>
                      <w:szCs w:val="21"/>
                      <w:lang w:val="en-US" w:eastAsia="zh-CN"/>
                      <w14:textFill>
                        <w14:solidFill>
                          <w14:schemeClr w14:val="tx1"/>
                        </w14:solidFill>
                      </w14:textFill>
                    </w:rPr>
                    <w:t>主要用于储存灌溉用水及处理达标的生活污水</w:t>
                  </w:r>
                  <w:r>
                    <w:rPr>
                      <w:rFonts w:hint="eastAsia" w:ascii="Times New Roman" w:hAnsi="Times New Roman" w:cs="Times New Roman"/>
                      <w:color w:val="000000" w:themeColor="text1"/>
                      <w:sz w:val="21"/>
                      <w:szCs w:val="21"/>
                      <w:lang w:val="en-US" w:eastAsia="zh-CN"/>
                      <w14:textFill>
                        <w14:solidFill>
                          <w14:schemeClr w14:val="tx1"/>
                        </w14:solidFill>
                      </w14:textFill>
                    </w:rPr>
                    <w:t>（1#水池）</w:t>
                  </w:r>
                  <w:r>
                    <w:rPr>
                      <w:rFonts w:hint="eastAsia" w:ascii="Times New Roman" w:hAnsi="Times New Roman" w:cs="Times New Roman"/>
                      <w:color w:val="000000" w:themeColor="text1"/>
                      <w:sz w:val="21"/>
                      <w:szCs w:val="21"/>
                      <w:lang w:val="en-US" w:eastAsia="zh-CN"/>
                      <w14:textFill>
                        <w14:solidFill>
                          <w14:schemeClr w14:val="tx1"/>
                        </w14:solidFill>
                      </w14:textFill>
                    </w:rPr>
                    <w:t>，并分配至各个种植区域。</w:t>
                  </w:r>
                </w:p>
              </w:tc>
            </w:tr>
            <w:tr w14:paraId="0A03E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9" w:type="pct"/>
                  <w:vMerge w:val="continue"/>
                  <w:vAlign w:val="center"/>
                </w:tcPr>
                <w:p w14:paraId="65978B51">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both"/>
                    <w:textAlignment w:val="auto"/>
                    <w:rPr>
                      <w:rFonts w:hint="default" w:ascii="宋体" w:hAnsi="宋体" w:eastAsia="宋体"/>
                      <w:color w:val="000000" w:themeColor="text1"/>
                      <w:sz w:val="21"/>
                      <w:szCs w:val="21"/>
                      <w:lang w:val="en-US" w:eastAsia="zh-CN"/>
                      <w14:textFill>
                        <w14:solidFill>
                          <w14:schemeClr w14:val="tx1"/>
                        </w14:solidFill>
                      </w14:textFill>
                    </w:rPr>
                  </w:pPr>
                </w:p>
              </w:tc>
              <w:tc>
                <w:tcPr>
                  <w:tcW w:w="728" w:type="pct"/>
                  <w:vMerge w:val="continue"/>
                  <w:vAlign w:val="center"/>
                </w:tcPr>
                <w:p w14:paraId="7CC4FEE2">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both"/>
                    <w:textAlignment w:val="auto"/>
                    <w:rPr>
                      <w:rFonts w:hint="default" w:ascii="宋体" w:hAnsi="宋体" w:eastAsia="宋体"/>
                      <w:color w:val="000000" w:themeColor="text1"/>
                      <w:sz w:val="21"/>
                      <w:szCs w:val="21"/>
                      <w:lang w:val="en-US" w:eastAsia="zh-CN"/>
                      <w14:textFill>
                        <w14:solidFill>
                          <w14:schemeClr w14:val="tx1"/>
                        </w14:solidFill>
                      </w14:textFill>
                    </w:rPr>
                  </w:pPr>
                </w:p>
              </w:tc>
              <w:tc>
                <w:tcPr>
                  <w:tcW w:w="3811" w:type="pct"/>
                  <w:gridSpan w:val="2"/>
                  <w:vAlign w:val="center"/>
                </w:tcPr>
                <w:p w14:paraId="3F4C3BA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二片区设水池12个，</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单个容积分别为</w:t>
                  </w:r>
                  <w:r>
                    <w:rPr>
                      <w:rFonts w:hint="eastAsia" w:ascii="Times New Roman" w:hAnsi="Times New Roman" w:cs="Times New Roman"/>
                      <w:color w:val="000000" w:themeColor="text1"/>
                      <w:sz w:val="21"/>
                      <w:szCs w:val="21"/>
                      <w:lang w:val="en-US" w:eastAsia="zh-CN"/>
                      <w14:textFill>
                        <w14:solidFill>
                          <w14:schemeClr w14:val="tx1"/>
                        </w14:solidFill>
                      </w14:textFill>
                    </w:rPr>
                    <w:t>1#1310.64m</w:t>
                  </w:r>
                  <w:r>
                    <w:rPr>
                      <w:rFonts w:hint="eastAsia" w:ascii="Times New Roman" w:hAnsi="Times New Roman" w:cs="Times New Roman"/>
                      <w:color w:val="000000" w:themeColor="text1"/>
                      <w:sz w:val="21"/>
                      <w:szCs w:val="21"/>
                      <w:vertAlign w:val="superscript"/>
                      <w:lang w:val="en-US" w:eastAsia="zh-CN"/>
                      <w14:textFill>
                        <w14:solidFill>
                          <w14:schemeClr w14:val="tx1"/>
                        </w14:solidFill>
                      </w14:textFill>
                    </w:rPr>
                    <w:t>3</w:t>
                  </w:r>
                  <w:r>
                    <w:rPr>
                      <w:rFonts w:hint="eastAsia" w:ascii="Times New Roman" w:hAnsi="Times New Roman" w:cs="Times New Roman"/>
                      <w:color w:val="000000" w:themeColor="text1"/>
                      <w:sz w:val="21"/>
                      <w:szCs w:val="21"/>
                      <w:lang w:val="en-US" w:eastAsia="zh-CN"/>
                      <w14:textFill>
                        <w14:solidFill>
                          <w14:schemeClr w14:val="tx1"/>
                        </w14:solidFill>
                      </w14:textFill>
                    </w:rPr>
                    <w:t>、</w:t>
                  </w:r>
                  <w:r>
                    <w:rPr>
                      <w:rFonts w:hint="eastAsia" w:ascii="Times New Roman" w:hAnsi="Times New Roman" w:cs="Times New Roman"/>
                      <w:color w:val="000000" w:themeColor="text1"/>
                      <w:sz w:val="21"/>
                      <w:szCs w:val="21"/>
                      <w:lang w:val="en-US" w:eastAsia="zh-CN"/>
                      <w14:textFill>
                        <w14:solidFill>
                          <w14:schemeClr w14:val="tx1"/>
                        </w14:solidFill>
                      </w14:textFill>
                    </w:rPr>
                    <w:t>2#33885.52m</w:t>
                  </w:r>
                  <w:r>
                    <w:rPr>
                      <w:rFonts w:hint="eastAsia" w:ascii="Times New Roman" w:hAnsi="Times New Roman" w:cs="Times New Roman"/>
                      <w:color w:val="000000" w:themeColor="text1"/>
                      <w:sz w:val="21"/>
                      <w:szCs w:val="21"/>
                      <w:vertAlign w:val="superscript"/>
                      <w:lang w:val="en-US" w:eastAsia="zh-CN"/>
                      <w14:textFill>
                        <w14:solidFill>
                          <w14:schemeClr w14:val="tx1"/>
                        </w14:solidFill>
                      </w14:textFill>
                    </w:rPr>
                    <w:t>3</w:t>
                  </w:r>
                  <w:r>
                    <w:rPr>
                      <w:rFonts w:hint="eastAsia" w:ascii="Times New Roman" w:hAnsi="Times New Roman" w:cs="Times New Roman"/>
                      <w:color w:val="000000" w:themeColor="text1"/>
                      <w:sz w:val="21"/>
                      <w:szCs w:val="21"/>
                      <w:lang w:val="en-US" w:eastAsia="zh-CN"/>
                      <w14:textFill>
                        <w14:solidFill>
                          <w14:schemeClr w14:val="tx1"/>
                        </w14:solidFill>
                      </w14:textFill>
                    </w:rPr>
                    <w:t>、3#</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97</w:t>
                  </w:r>
                  <w:r>
                    <w:rPr>
                      <w:rFonts w:hint="eastAsia" w:ascii="Times New Roman" w:hAnsi="Times New Roman" w:cs="Times New Roman"/>
                      <w:color w:val="000000" w:themeColor="text1"/>
                      <w:sz w:val="21"/>
                      <w:szCs w:val="21"/>
                      <w:lang w:val="en-US" w:eastAsia="zh-CN"/>
                      <w14:textFill>
                        <w14:solidFill>
                          <w14:schemeClr w14:val="tx1"/>
                        </w14:solidFill>
                      </w14:textFill>
                    </w:rPr>
                    <w:t>3.02m</w:t>
                  </w:r>
                  <w:r>
                    <w:rPr>
                      <w:rFonts w:hint="eastAsia" w:ascii="Times New Roman" w:hAnsi="Times New Roman" w:cs="Times New Roman"/>
                      <w:color w:val="000000" w:themeColor="text1"/>
                      <w:sz w:val="21"/>
                      <w:szCs w:val="21"/>
                      <w:vertAlign w:val="superscript"/>
                      <w:lang w:val="en-US" w:eastAsia="zh-CN"/>
                      <w14:textFill>
                        <w14:solidFill>
                          <w14:schemeClr w14:val="tx1"/>
                        </w14:solidFill>
                      </w14:textFill>
                    </w:rPr>
                    <w:t>3</w:t>
                  </w:r>
                  <w:r>
                    <w:rPr>
                      <w:rFonts w:hint="eastAsia" w:ascii="Times New Roman" w:hAnsi="Times New Roman" w:cs="Times New Roman"/>
                      <w:color w:val="000000" w:themeColor="text1"/>
                      <w:sz w:val="21"/>
                      <w:szCs w:val="21"/>
                      <w:lang w:val="en-US" w:eastAsia="zh-CN"/>
                      <w14:textFill>
                        <w14:solidFill>
                          <w14:schemeClr w14:val="tx1"/>
                        </w14:solidFill>
                      </w14:textFill>
                    </w:rPr>
                    <w:t>、4#1323.74m</w:t>
                  </w:r>
                  <w:r>
                    <w:rPr>
                      <w:rFonts w:hint="eastAsia" w:ascii="Times New Roman" w:hAnsi="Times New Roman" w:cs="Times New Roman"/>
                      <w:color w:val="000000" w:themeColor="text1"/>
                      <w:sz w:val="21"/>
                      <w:szCs w:val="21"/>
                      <w:vertAlign w:val="superscript"/>
                      <w:lang w:val="en-US" w:eastAsia="zh-CN"/>
                      <w14:textFill>
                        <w14:solidFill>
                          <w14:schemeClr w14:val="tx1"/>
                        </w14:solidFill>
                      </w14:textFill>
                    </w:rPr>
                    <w:t>3</w:t>
                  </w:r>
                  <w:r>
                    <w:rPr>
                      <w:rFonts w:hint="eastAsia" w:ascii="Times New Roman" w:hAnsi="Times New Roman" w:cs="Times New Roman"/>
                      <w:color w:val="000000" w:themeColor="text1"/>
                      <w:sz w:val="21"/>
                      <w:szCs w:val="21"/>
                      <w:lang w:val="en-US" w:eastAsia="zh-CN"/>
                      <w14:textFill>
                        <w14:solidFill>
                          <w14:schemeClr w14:val="tx1"/>
                        </w14:solidFill>
                      </w14:textFill>
                    </w:rPr>
                    <w:t>、5#</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99</w:t>
                  </w:r>
                  <w:r>
                    <w:rPr>
                      <w:rFonts w:hint="eastAsia" w:ascii="Times New Roman" w:hAnsi="Times New Roman" w:cs="Times New Roman"/>
                      <w:color w:val="000000" w:themeColor="text1"/>
                      <w:sz w:val="21"/>
                      <w:szCs w:val="21"/>
                      <w:lang w:val="en-US" w:eastAsia="zh-CN"/>
                      <w14:textFill>
                        <w14:solidFill>
                          <w14:schemeClr w14:val="tx1"/>
                        </w14:solidFill>
                      </w14:textFill>
                    </w:rPr>
                    <w:t>4.68m</w:t>
                  </w:r>
                  <w:r>
                    <w:rPr>
                      <w:rFonts w:hint="eastAsia" w:ascii="Times New Roman" w:hAnsi="Times New Roman" w:cs="Times New Roman"/>
                      <w:color w:val="000000" w:themeColor="text1"/>
                      <w:sz w:val="21"/>
                      <w:szCs w:val="21"/>
                      <w:vertAlign w:val="superscript"/>
                      <w:lang w:val="en-US" w:eastAsia="zh-CN"/>
                      <w14:textFill>
                        <w14:solidFill>
                          <w14:schemeClr w14:val="tx1"/>
                        </w14:solidFill>
                      </w14:textFill>
                    </w:rPr>
                    <w:t>3</w:t>
                  </w:r>
                  <w:r>
                    <w:rPr>
                      <w:rFonts w:hint="eastAsia" w:ascii="Times New Roman" w:hAnsi="Times New Roman" w:cs="Times New Roman"/>
                      <w:color w:val="000000" w:themeColor="text1"/>
                      <w:sz w:val="21"/>
                      <w:szCs w:val="21"/>
                      <w:lang w:val="en-US" w:eastAsia="zh-CN"/>
                      <w14:textFill>
                        <w14:solidFill>
                          <w14:schemeClr w14:val="tx1"/>
                        </w14:solidFill>
                      </w14:textFill>
                    </w:rPr>
                    <w:t>、6#1074.9m</w:t>
                  </w:r>
                  <w:r>
                    <w:rPr>
                      <w:rFonts w:hint="eastAsia" w:ascii="Times New Roman" w:hAnsi="Times New Roman" w:cs="Times New Roman"/>
                      <w:color w:val="000000" w:themeColor="text1"/>
                      <w:sz w:val="21"/>
                      <w:szCs w:val="21"/>
                      <w:vertAlign w:val="superscript"/>
                      <w:lang w:val="en-US" w:eastAsia="zh-CN"/>
                      <w14:textFill>
                        <w14:solidFill>
                          <w14:schemeClr w14:val="tx1"/>
                        </w14:solidFill>
                      </w14:textFill>
                    </w:rPr>
                    <w:t>3</w:t>
                  </w:r>
                  <w:r>
                    <w:rPr>
                      <w:rFonts w:hint="eastAsia" w:ascii="Times New Roman" w:hAnsi="Times New Roman" w:cs="Times New Roman"/>
                      <w:color w:val="000000" w:themeColor="text1"/>
                      <w:sz w:val="21"/>
                      <w:szCs w:val="21"/>
                      <w:lang w:val="en-US" w:eastAsia="zh-CN"/>
                      <w14:textFill>
                        <w14:solidFill>
                          <w14:schemeClr w14:val="tx1"/>
                        </w14:solidFill>
                      </w14:textFill>
                    </w:rPr>
                    <w:t>、7#1585.2m</w:t>
                  </w:r>
                  <w:r>
                    <w:rPr>
                      <w:rFonts w:hint="eastAsia" w:ascii="Times New Roman" w:hAnsi="Times New Roman" w:cs="Times New Roman"/>
                      <w:color w:val="000000" w:themeColor="text1"/>
                      <w:sz w:val="21"/>
                      <w:szCs w:val="21"/>
                      <w:vertAlign w:val="superscript"/>
                      <w:lang w:val="en-US" w:eastAsia="zh-CN"/>
                      <w14:textFill>
                        <w14:solidFill>
                          <w14:schemeClr w14:val="tx1"/>
                        </w14:solidFill>
                      </w14:textFill>
                    </w:rPr>
                    <w:t>3</w:t>
                  </w:r>
                  <w:r>
                    <w:rPr>
                      <w:rFonts w:hint="eastAsia" w:ascii="Times New Roman" w:hAnsi="Times New Roman" w:cs="Times New Roman"/>
                      <w:color w:val="000000" w:themeColor="text1"/>
                      <w:sz w:val="21"/>
                      <w:szCs w:val="21"/>
                      <w:lang w:val="en-US" w:eastAsia="zh-CN"/>
                      <w14:textFill>
                        <w14:solidFill>
                          <w14:schemeClr w14:val="tx1"/>
                        </w14:solidFill>
                      </w14:textFill>
                    </w:rPr>
                    <w:t>、8#291.82m</w:t>
                  </w:r>
                  <w:r>
                    <w:rPr>
                      <w:rFonts w:hint="eastAsia" w:ascii="Times New Roman" w:hAnsi="Times New Roman" w:cs="Times New Roman"/>
                      <w:color w:val="000000" w:themeColor="text1"/>
                      <w:sz w:val="21"/>
                      <w:szCs w:val="21"/>
                      <w:vertAlign w:val="superscript"/>
                      <w:lang w:val="en-US" w:eastAsia="zh-CN"/>
                      <w14:textFill>
                        <w14:solidFill>
                          <w14:schemeClr w14:val="tx1"/>
                        </w14:solidFill>
                      </w14:textFill>
                    </w:rPr>
                    <w:t>3</w:t>
                  </w:r>
                  <w:r>
                    <w:rPr>
                      <w:rFonts w:hint="eastAsia" w:ascii="Times New Roman" w:hAnsi="Times New Roman" w:cs="Times New Roman"/>
                      <w:color w:val="000000" w:themeColor="text1"/>
                      <w:sz w:val="21"/>
                      <w:szCs w:val="21"/>
                      <w:lang w:val="en-US" w:eastAsia="zh-CN"/>
                      <w14:textFill>
                        <w14:solidFill>
                          <w14:schemeClr w14:val="tx1"/>
                        </w14:solidFill>
                      </w14:textFill>
                    </w:rPr>
                    <w:t>、9#332.42m</w:t>
                  </w:r>
                  <w:r>
                    <w:rPr>
                      <w:rFonts w:hint="eastAsia" w:ascii="Times New Roman" w:hAnsi="Times New Roman" w:cs="Times New Roman"/>
                      <w:color w:val="000000" w:themeColor="text1"/>
                      <w:sz w:val="21"/>
                      <w:szCs w:val="21"/>
                      <w:vertAlign w:val="superscript"/>
                      <w:lang w:val="en-US" w:eastAsia="zh-CN"/>
                      <w14:textFill>
                        <w14:solidFill>
                          <w14:schemeClr w14:val="tx1"/>
                        </w14:solidFill>
                      </w14:textFill>
                    </w:rPr>
                    <w:t>3</w:t>
                  </w:r>
                  <w:r>
                    <w:rPr>
                      <w:rFonts w:hint="eastAsia" w:ascii="Times New Roman" w:hAnsi="Times New Roman" w:cs="Times New Roman"/>
                      <w:color w:val="000000" w:themeColor="text1"/>
                      <w:sz w:val="21"/>
                      <w:szCs w:val="21"/>
                      <w:lang w:val="en-US" w:eastAsia="zh-CN"/>
                      <w14:textFill>
                        <w14:solidFill>
                          <w14:schemeClr w14:val="tx1"/>
                        </w14:solidFill>
                      </w14:textFill>
                    </w:rPr>
                    <w:t>、10#1084.28m</w:t>
                  </w:r>
                  <w:r>
                    <w:rPr>
                      <w:rFonts w:hint="eastAsia" w:ascii="Times New Roman" w:hAnsi="Times New Roman" w:cs="Times New Roman"/>
                      <w:color w:val="000000" w:themeColor="text1"/>
                      <w:sz w:val="21"/>
                      <w:szCs w:val="21"/>
                      <w:vertAlign w:val="superscript"/>
                      <w:lang w:val="en-US" w:eastAsia="zh-CN"/>
                      <w14:textFill>
                        <w14:solidFill>
                          <w14:schemeClr w14:val="tx1"/>
                        </w14:solidFill>
                      </w14:textFill>
                    </w:rPr>
                    <w:t>3</w:t>
                  </w:r>
                  <w:r>
                    <w:rPr>
                      <w:rFonts w:hint="eastAsia" w:ascii="Times New Roman" w:hAnsi="Times New Roman" w:cs="Times New Roman"/>
                      <w:color w:val="000000" w:themeColor="text1"/>
                      <w:sz w:val="21"/>
                      <w:szCs w:val="21"/>
                      <w:lang w:val="en-US" w:eastAsia="zh-CN"/>
                      <w14:textFill>
                        <w14:solidFill>
                          <w14:schemeClr w14:val="tx1"/>
                        </w14:solidFill>
                      </w14:textFill>
                    </w:rPr>
                    <w:t>、11#400.54m</w:t>
                  </w:r>
                  <w:r>
                    <w:rPr>
                      <w:rFonts w:hint="eastAsia" w:ascii="Times New Roman" w:hAnsi="Times New Roman" w:cs="Times New Roman"/>
                      <w:color w:val="000000" w:themeColor="text1"/>
                      <w:sz w:val="21"/>
                      <w:szCs w:val="21"/>
                      <w:vertAlign w:val="superscript"/>
                      <w:lang w:val="en-US" w:eastAsia="zh-CN"/>
                      <w14:textFill>
                        <w14:solidFill>
                          <w14:schemeClr w14:val="tx1"/>
                        </w14:solidFill>
                      </w14:textFill>
                    </w:rPr>
                    <w:t>3</w:t>
                  </w:r>
                  <w:r>
                    <w:rPr>
                      <w:rFonts w:hint="eastAsia" w:ascii="Times New Roman" w:hAnsi="Times New Roman" w:cs="Times New Roman"/>
                      <w:color w:val="000000" w:themeColor="text1"/>
                      <w:sz w:val="21"/>
                      <w:szCs w:val="21"/>
                      <w:lang w:val="en-US" w:eastAsia="zh-CN"/>
                      <w14:textFill>
                        <w14:solidFill>
                          <w14:schemeClr w14:val="tx1"/>
                        </w14:solidFill>
                      </w14:textFill>
                    </w:rPr>
                    <w:t>、12#707.48</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m</w:t>
                  </w:r>
                  <w:r>
                    <w:rPr>
                      <w:rFonts w:hint="eastAsia" w:ascii="Times New Roman" w:hAnsi="Times New Roman" w:cs="Times New Roman"/>
                      <w:color w:val="000000" w:themeColor="text1"/>
                      <w:sz w:val="21"/>
                      <w:szCs w:val="21"/>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总容积为</w:t>
                  </w:r>
                  <w:r>
                    <w:rPr>
                      <w:rFonts w:hint="eastAsia" w:ascii="Times New Roman" w:hAnsi="Times New Roman" w:cs="Times New Roman"/>
                      <w:color w:val="000000" w:themeColor="text1"/>
                      <w:sz w:val="21"/>
                      <w:szCs w:val="21"/>
                      <w:lang w:val="en-US" w:eastAsia="zh-CN"/>
                      <w14:textFill>
                        <w14:solidFill>
                          <w14:schemeClr w14:val="tx1"/>
                        </w14:solidFill>
                      </w14:textFill>
                    </w:rPr>
                    <w:t>43964.24m</w:t>
                  </w:r>
                  <w:r>
                    <w:rPr>
                      <w:rFonts w:hint="eastAsia" w:ascii="Times New Roman" w:hAnsi="Times New Roman" w:cs="Times New Roman"/>
                      <w:color w:val="000000" w:themeColor="text1"/>
                      <w:sz w:val="21"/>
                      <w:szCs w:val="21"/>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r>
                    <w:rPr>
                      <w:rFonts w:hint="eastAsia" w:ascii="Times New Roman" w:hAnsi="Times New Roman" w:cs="Times New Roman"/>
                      <w:color w:val="000000" w:themeColor="text1"/>
                      <w:sz w:val="21"/>
                      <w:szCs w:val="21"/>
                      <w:lang w:val="en-US" w:eastAsia="zh-CN"/>
                      <w14:textFill>
                        <w14:solidFill>
                          <w14:schemeClr w14:val="tx1"/>
                        </w14:solidFill>
                      </w14:textFill>
                    </w:rPr>
                    <w:t>主要用于储存灌溉用水及处理达标的生活污水（6#水池），并分配至各个种植区域</w:t>
                  </w:r>
                </w:p>
              </w:tc>
            </w:tr>
            <w:tr w14:paraId="03907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9" w:type="pct"/>
                  <w:vMerge w:val="continue"/>
                  <w:vAlign w:val="center"/>
                </w:tcPr>
                <w:p w14:paraId="5576B8AC">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both"/>
                    <w:textAlignment w:val="auto"/>
                    <w:rPr>
                      <w:rFonts w:hint="default" w:ascii="宋体" w:hAnsi="宋体" w:eastAsia="宋体"/>
                      <w:color w:val="000000" w:themeColor="text1"/>
                      <w:sz w:val="21"/>
                      <w:szCs w:val="21"/>
                      <w:lang w:val="en-US" w:eastAsia="zh-CN"/>
                      <w14:textFill>
                        <w14:solidFill>
                          <w14:schemeClr w14:val="tx1"/>
                        </w14:solidFill>
                      </w14:textFill>
                    </w:rPr>
                  </w:pPr>
                </w:p>
              </w:tc>
              <w:tc>
                <w:tcPr>
                  <w:tcW w:w="728" w:type="pct"/>
                  <w:vAlign w:val="center"/>
                </w:tcPr>
                <w:p w14:paraId="51030C7B">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both"/>
                    <w:textAlignment w:val="auto"/>
                    <w:rPr>
                      <w:rFonts w:hint="default" w:ascii="宋体" w:hAnsi="宋体" w:eastAsia="宋体"/>
                      <w:color w:val="000000" w:themeColor="text1"/>
                      <w:sz w:val="21"/>
                      <w:szCs w:val="21"/>
                      <w:lang w:val="en-US" w:eastAsia="zh-CN"/>
                      <w14:textFill>
                        <w14:solidFill>
                          <w14:schemeClr w14:val="tx1"/>
                        </w14:solidFill>
                      </w14:textFill>
                    </w:rPr>
                  </w:pPr>
                  <w:r>
                    <w:rPr>
                      <w:rFonts w:hint="default" w:ascii="宋体" w:hAnsi="宋体" w:eastAsia="宋体"/>
                      <w:color w:val="000000" w:themeColor="text1"/>
                      <w:sz w:val="21"/>
                      <w:szCs w:val="21"/>
                      <w:lang w:val="en-US" w:eastAsia="zh-CN"/>
                      <w14:textFill>
                        <w14:solidFill>
                          <w14:schemeClr w14:val="tx1"/>
                        </w14:solidFill>
                      </w14:textFill>
                    </w:rPr>
                    <w:t>供水</w:t>
                  </w:r>
                </w:p>
              </w:tc>
              <w:tc>
                <w:tcPr>
                  <w:tcW w:w="3811" w:type="pct"/>
                  <w:gridSpan w:val="2"/>
                  <w:vAlign w:val="center"/>
                </w:tcPr>
                <w:p w14:paraId="612A8B8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项目</w:t>
                  </w:r>
                  <w:r>
                    <w:rPr>
                      <w:rFonts w:hint="eastAsia" w:ascii="Times New Roman" w:hAnsi="Times New Roman" w:cs="Times New Roman"/>
                      <w:color w:val="000000" w:themeColor="text1"/>
                      <w:sz w:val="21"/>
                      <w:szCs w:val="21"/>
                      <w:lang w:val="en-US" w:eastAsia="zh-CN"/>
                      <w14:textFill>
                        <w14:solidFill>
                          <w14:schemeClr w14:val="tx1"/>
                        </w14:solidFill>
                      </w14:textFill>
                    </w:rPr>
                    <w:t>一片区灌溉用水依托大西村委会于项目区周边已建供水灌溉管网取水，项目自建一段取水管网，接入项目区内水池；</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二片区从项目基地自建的水池取水</w:t>
                  </w:r>
                  <w:r>
                    <w:rPr>
                      <w:rFonts w:hint="eastAsia" w:ascii="Times New Roman" w:hAnsi="Times New Roman" w:cs="Times New Roman"/>
                      <w:color w:val="000000" w:themeColor="text1"/>
                      <w:sz w:val="21"/>
                      <w:szCs w:val="21"/>
                      <w:lang w:val="en-US" w:eastAsia="zh-CN"/>
                      <w14:textFill>
                        <w14:solidFill>
                          <w14:schemeClr w14:val="tx1"/>
                        </w14:solidFill>
                      </w14:textFill>
                    </w:rPr>
                    <w:t>，水池内主要是为截排水沟收集雨天的雨水，各种植区雨天不灌溉，晴天根据需求取水。</w:t>
                  </w:r>
                </w:p>
              </w:tc>
            </w:tr>
            <w:tr w14:paraId="0984F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9" w:type="pct"/>
                  <w:vMerge w:val="continue"/>
                  <w:vAlign w:val="center"/>
                </w:tcPr>
                <w:p w14:paraId="3C40A432">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both"/>
                    <w:textAlignment w:val="auto"/>
                    <w:rPr>
                      <w:rFonts w:hint="default" w:ascii="宋体" w:hAnsi="宋体" w:eastAsia="宋体"/>
                      <w:color w:val="000000" w:themeColor="text1"/>
                      <w:sz w:val="21"/>
                      <w:szCs w:val="21"/>
                      <w:lang w:val="en-US" w:eastAsia="zh-CN"/>
                      <w14:textFill>
                        <w14:solidFill>
                          <w14:schemeClr w14:val="tx1"/>
                        </w14:solidFill>
                      </w14:textFill>
                    </w:rPr>
                  </w:pPr>
                </w:p>
              </w:tc>
              <w:tc>
                <w:tcPr>
                  <w:tcW w:w="728" w:type="pct"/>
                  <w:vAlign w:val="center"/>
                </w:tcPr>
                <w:p w14:paraId="48AABADA">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both"/>
                    <w:textAlignment w:val="auto"/>
                    <w:rPr>
                      <w:rFonts w:hint="default" w:ascii="宋体" w:hAnsi="宋体" w:eastAsia="宋体"/>
                      <w:color w:val="000000" w:themeColor="text1"/>
                      <w:sz w:val="21"/>
                      <w:szCs w:val="21"/>
                      <w:lang w:val="en-US" w:eastAsia="zh-CN"/>
                      <w14:textFill>
                        <w14:solidFill>
                          <w14:schemeClr w14:val="tx1"/>
                        </w14:solidFill>
                      </w14:textFill>
                    </w:rPr>
                  </w:pPr>
                  <w:r>
                    <w:rPr>
                      <w:rFonts w:hint="default" w:ascii="宋体" w:hAnsi="宋体" w:eastAsia="宋体"/>
                      <w:color w:val="000000" w:themeColor="text1"/>
                      <w:sz w:val="21"/>
                      <w:szCs w:val="21"/>
                      <w:lang w:val="en-US" w:eastAsia="zh-CN"/>
                      <w14:textFill>
                        <w14:solidFill>
                          <w14:schemeClr w14:val="tx1"/>
                        </w14:solidFill>
                      </w14:textFill>
                    </w:rPr>
                    <w:t>供电</w:t>
                  </w:r>
                </w:p>
              </w:tc>
              <w:tc>
                <w:tcPr>
                  <w:tcW w:w="3811" w:type="pct"/>
                  <w:gridSpan w:val="2"/>
                  <w:vAlign w:val="center"/>
                </w:tcPr>
                <w:p w14:paraId="5209037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本工程用电电源引自项目周边现有的电力供电线路</w:t>
                  </w:r>
                  <w:r>
                    <w:rPr>
                      <w:rFonts w:hint="eastAsia" w:ascii="Times New Roman" w:hAnsi="Times New Roman" w:cs="Times New Roman"/>
                      <w:color w:val="000000" w:themeColor="text1"/>
                      <w:sz w:val="21"/>
                      <w:szCs w:val="21"/>
                      <w:lang w:val="en-US" w:eastAsia="zh-CN"/>
                      <w14:textFill>
                        <w14:solidFill>
                          <w14:schemeClr w14:val="tx1"/>
                        </w14:solidFill>
                      </w14:textFill>
                    </w:rPr>
                    <w:t>，引至项目内设置的变压器再分配至各用电环节</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p>
              </w:tc>
            </w:tr>
            <w:tr w14:paraId="7E6DE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9" w:type="pct"/>
                  <w:vMerge w:val="restart"/>
                  <w:vAlign w:val="center"/>
                </w:tcPr>
                <w:p w14:paraId="13C53BDA">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both"/>
                    <w:textAlignment w:val="auto"/>
                    <w:rPr>
                      <w:rFonts w:hint="default" w:ascii="宋体" w:hAnsi="宋体" w:eastAsia="宋体"/>
                      <w:color w:val="000000" w:themeColor="text1"/>
                      <w:sz w:val="21"/>
                      <w:szCs w:val="21"/>
                      <w:lang w:val="en-US" w:eastAsia="zh-CN"/>
                      <w14:textFill>
                        <w14:solidFill>
                          <w14:schemeClr w14:val="tx1"/>
                        </w14:solidFill>
                      </w14:textFill>
                    </w:rPr>
                  </w:pPr>
                  <w:r>
                    <w:rPr>
                      <w:rFonts w:hint="default" w:ascii="宋体" w:hAnsi="宋体" w:eastAsia="宋体"/>
                      <w:color w:val="000000" w:themeColor="text1"/>
                      <w:sz w:val="21"/>
                      <w:szCs w:val="21"/>
                      <w:lang w:val="en-US" w:eastAsia="zh-CN"/>
                      <w14:textFill>
                        <w14:solidFill>
                          <w14:schemeClr w14:val="tx1"/>
                        </w14:solidFill>
                      </w14:textFill>
                    </w:rPr>
                    <w:t>环保工程</w:t>
                  </w:r>
                </w:p>
              </w:tc>
              <w:tc>
                <w:tcPr>
                  <w:tcW w:w="728" w:type="pct"/>
                  <w:vMerge w:val="restart"/>
                  <w:vAlign w:val="center"/>
                </w:tcPr>
                <w:p w14:paraId="3BC698A6">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both"/>
                    <w:textAlignment w:val="auto"/>
                    <w:rPr>
                      <w:rFonts w:hint="default" w:ascii="宋体" w:hAnsi="宋体" w:eastAsia="宋体"/>
                      <w:color w:val="000000" w:themeColor="text1"/>
                      <w:sz w:val="21"/>
                      <w:szCs w:val="21"/>
                      <w:lang w:val="en-US" w:eastAsia="zh-CN"/>
                      <w14:textFill>
                        <w14:solidFill>
                          <w14:schemeClr w14:val="tx1"/>
                        </w14:solidFill>
                      </w14:textFill>
                    </w:rPr>
                  </w:pPr>
                  <w:r>
                    <w:rPr>
                      <w:rFonts w:hint="default" w:ascii="宋体" w:hAnsi="宋体" w:eastAsia="宋体"/>
                      <w:color w:val="000000" w:themeColor="text1"/>
                      <w:sz w:val="21"/>
                      <w:szCs w:val="21"/>
                      <w:lang w:val="en-US" w:eastAsia="zh-CN"/>
                      <w14:textFill>
                        <w14:solidFill>
                          <w14:schemeClr w14:val="tx1"/>
                        </w14:solidFill>
                      </w14:textFill>
                    </w:rPr>
                    <w:t>施工期废气污染防治</w:t>
                  </w:r>
                </w:p>
              </w:tc>
              <w:tc>
                <w:tcPr>
                  <w:tcW w:w="3811" w:type="pct"/>
                  <w:gridSpan w:val="2"/>
                  <w:vAlign w:val="center"/>
                </w:tcPr>
                <w:p w14:paraId="7F58A5CB">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施工扬尘污染防治：</w:t>
                  </w:r>
                </w:p>
                <w:p w14:paraId="4BC72C7A">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①合理控制施工周期，从源头削减施工扬尘的产生时长，施工活动结束后及时采取压实处理；</w:t>
                  </w:r>
                </w:p>
                <w:p w14:paraId="17EA747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②对易产生扬尘的裸露施工面及土石方临时堆存区，施工单位对其表面进行苫盖处理，加强洒水降尘频率</w:t>
                  </w:r>
                </w:p>
                <w:p w14:paraId="6BA6532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③施工区域内挖填土石方及时调运整地，尽量减少施工区域内土石方松散堆存，减少无组织粉尘起尘源头</w:t>
                  </w:r>
                </w:p>
                <w:p w14:paraId="696D74F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④施工运输车辆控制车速，由于项目施工区不具备车辆出场冲洗条件，因此施工运输道路沿线主要采取适时洒水降尘等措施有效降低施工运输粉尘；</w:t>
                  </w:r>
                </w:p>
                <w:p w14:paraId="46AAB08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⑤遇气象预报5级以上大风或空气质量预报重度污染天气时，严禁土石方挖填及土石方调运等其他易产生扬尘污染的施工活动。</w:t>
                  </w:r>
                </w:p>
              </w:tc>
            </w:tr>
            <w:tr w14:paraId="263A4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9" w:type="pct"/>
                  <w:vMerge w:val="continue"/>
                  <w:vAlign w:val="center"/>
                </w:tcPr>
                <w:p w14:paraId="00ED032D">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both"/>
                    <w:textAlignment w:val="auto"/>
                    <w:rPr>
                      <w:rFonts w:hint="default" w:ascii="宋体" w:hAnsi="宋体" w:eastAsia="宋体"/>
                      <w:color w:val="000000" w:themeColor="text1"/>
                      <w:sz w:val="21"/>
                      <w:szCs w:val="21"/>
                      <w:lang w:val="en-US" w:eastAsia="zh-CN"/>
                      <w14:textFill>
                        <w14:solidFill>
                          <w14:schemeClr w14:val="tx1"/>
                        </w14:solidFill>
                      </w14:textFill>
                    </w:rPr>
                  </w:pPr>
                </w:p>
              </w:tc>
              <w:tc>
                <w:tcPr>
                  <w:tcW w:w="728" w:type="pct"/>
                  <w:vMerge w:val="continue"/>
                  <w:vAlign w:val="center"/>
                </w:tcPr>
                <w:p w14:paraId="1A29AF87">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both"/>
                    <w:textAlignment w:val="auto"/>
                    <w:rPr>
                      <w:rFonts w:hint="default" w:ascii="宋体" w:hAnsi="宋体" w:eastAsia="宋体"/>
                      <w:color w:val="000000" w:themeColor="text1"/>
                      <w:sz w:val="21"/>
                      <w:szCs w:val="21"/>
                      <w:lang w:val="en-US" w:eastAsia="zh-CN"/>
                      <w14:textFill>
                        <w14:solidFill>
                          <w14:schemeClr w14:val="tx1"/>
                        </w14:solidFill>
                      </w14:textFill>
                    </w:rPr>
                  </w:pPr>
                </w:p>
              </w:tc>
              <w:tc>
                <w:tcPr>
                  <w:tcW w:w="3811" w:type="pct"/>
                  <w:gridSpan w:val="2"/>
                  <w:vAlign w:val="center"/>
                </w:tcPr>
                <w:p w14:paraId="14AD0AD3">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尾气污染防治：</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使用合格燃料，严禁使用劣质燃油；注重维护保养，保持机械车辆处于正常良好的工作状态；施工活动结</w:t>
                  </w:r>
                  <w:r>
                    <w:rPr>
                      <w:rFonts w:hint="eastAsia" w:ascii="Times New Roman" w:hAnsi="Times New Roman" w:cs="Times New Roman"/>
                      <w:color w:val="000000" w:themeColor="text1"/>
                      <w:sz w:val="21"/>
                      <w:szCs w:val="21"/>
                      <w:lang w:val="en-US" w:eastAsia="zh-CN"/>
                      <w14:textFill>
                        <w14:solidFill>
                          <w14:schemeClr w14:val="tx1"/>
                        </w14:solidFill>
                      </w14:textFill>
                    </w:rPr>
                    <w:t>束后</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及时关闭燃油机械；保证施工车辆行驶速度，减少怠速运行时间。</w:t>
                  </w:r>
                </w:p>
              </w:tc>
            </w:tr>
            <w:tr w14:paraId="773BB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4" w:hRule="atLeast"/>
                <w:jc w:val="center"/>
              </w:trPr>
              <w:tc>
                <w:tcPr>
                  <w:tcW w:w="459" w:type="pct"/>
                  <w:vMerge w:val="continue"/>
                  <w:vAlign w:val="center"/>
                </w:tcPr>
                <w:p w14:paraId="7EF4FE78">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both"/>
                    <w:textAlignment w:val="auto"/>
                    <w:rPr>
                      <w:rFonts w:hint="default" w:ascii="宋体" w:hAnsi="宋体" w:eastAsia="宋体"/>
                      <w:color w:val="000000" w:themeColor="text1"/>
                      <w:sz w:val="21"/>
                      <w:szCs w:val="21"/>
                      <w:lang w:val="en-US" w:eastAsia="zh-CN"/>
                      <w14:textFill>
                        <w14:solidFill>
                          <w14:schemeClr w14:val="tx1"/>
                        </w14:solidFill>
                      </w14:textFill>
                    </w:rPr>
                  </w:pPr>
                </w:p>
              </w:tc>
              <w:tc>
                <w:tcPr>
                  <w:tcW w:w="728" w:type="pct"/>
                  <w:vMerge w:val="restart"/>
                  <w:vAlign w:val="center"/>
                </w:tcPr>
                <w:p w14:paraId="5648BBDF">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both"/>
                    <w:textAlignment w:val="auto"/>
                    <w:rPr>
                      <w:rFonts w:hint="default" w:ascii="宋体" w:hAnsi="宋体" w:eastAsia="宋体"/>
                      <w:color w:val="000000" w:themeColor="text1"/>
                      <w:sz w:val="21"/>
                      <w:szCs w:val="21"/>
                      <w:lang w:val="en-US" w:eastAsia="zh-CN"/>
                      <w14:textFill>
                        <w14:solidFill>
                          <w14:schemeClr w14:val="tx1"/>
                        </w14:solidFill>
                      </w14:textFill>
                    </w:rPr>
                  </w:pPr>
                  <w:r>
                    <w:rPr>
                      <w:rFonts w:hint="default" w:ascii="宋体" w:hAnsi="宋体" w:eastAsia="宋体"/>
                      <w:color w:val="000000" w:themeColor="text1"/>
                      <w:sz w:val="21"/>
                      <w:szCs w:val="21"/>
                      <w:lang w:val="en-US" w:eastAsia="zh-CN"/>
                      <w14:textFill>
                        <w14:solidFill>
                          <w14:schemeClr w14:val="tx1"/>
                        </w14:solidFill>
                      </w14:textFill>
                    </w:rPr>
                    <w:t>施工期废水污染防治</w:t>
                  </w:r>
                </w:p>
              </w:tc>
              <w:tc>
                <w:tcPr>
                  <w:tcW w:w="3811" w:type="pct"/>
                  <w:gridSpan w:val="2"/>
                  <w:vAlign w:val="center"/>
                </w:tcPr>
                <w:p w14:paraId="01AF4EF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①</w:t>
                  </w: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生活污水</w:t>
                  </w:r>
                  <w:r>
                    <w:rPr>
                      <w:rFonts w:hint="eastAsia" w:ascii="Times New Roman" w:hAnsi="Times New Roman" w:cs="Times New Roman"/>
                      <w:b/>
                      <w:bCs/>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项目区内施工人员日常产生的洗手废水经</w:t>
                  </w:r>
                  <w:r>
                    <w:rPr>
                      <w:rFonts w:hint="eastAsia" w:ascii="Times New Roman" w:hAnsi="Times New Roman" w:cs="Times New Roman"/>
                      <w:color w:val="000000" w:themeColor="text1"/>
                      <w:sz w:val="21"/>
                      <w:szCs w:val="21"/>
                      <w:lang w:val="en-US" w:eastAsia="zh-CN"/>
                      <w14:textFill>
                        <w14:solidFill>
                          <w14:schemeClr w14:val="tx1"/>
                        </w14:solidFill>
                      </w14:textFill>
                    </w:rPr>
                    <w:t>收集后就近进入沉淀池或水池</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，回用于施工区域内降尘。</w:t>
                  </w:r>
                </w:p>
                <w:p w14:paraId="314BACA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②</w:t>
                  </w:r>
                  <w:r>
                    <w:rPr>
                      <w:rFonts w:hint="eastAsia" w:ascii="Times New Roman" w:hAnsi="Times New Roman" w:cs="Times New Roman"/>
                      <w:b/>
                      <w:bCs/>
                      <w:color w:val="000000" w:themeColor="text1"/>
                      <w:sz w:val="21"/>
                      <w:szCs w:val="21"/>
                      <w:lang w:val="en-US" w:eastAsia="zh-CN"/>
                      <w14:textFill>
                        <w14:solidFill>
                          <w14:schemeClr w14:val="tx1"/>
                        </w14:solidFill>
                      </w14:textFill>
                    </w:rPr>
                    <w:t>雨季径流</w:t>
                  </w:r>
                  <w:r>
                    <w:rPr>
                      <w:rFonts w:hint="eastAsia" w:ascii="Times New Roman" w:hAnsi="Times New Roman" w:cs="Times New Roman"/>
                      <w:color w:val="000000" w:themeColor="text1"/>
                      <w:sz w:val="21"/>
                      <w:szCs w:val="21"/>
                      <w:lang w:val="en-US" w:eastAsia="zh-CN"/>
                      <w14:textFill>
                        <w14:solidFill>
                          <w14:schemeClr w14:val="tx1"/>
                        </w14:solidFill>
                      </w14:textFill>
                    </w:rPr>
                    <w:t>：</w:t>
                  </w:r>
                  <w:r>
                    <w:rPr>
                      <w:rFonts w:hint="eastAsia" w:ascii="Times New Roman" w:hAnsi="Times New Roman" w:cs="Times New Roman"/>
                      <w:color w:val="000000" w:themeColor="text1"/>
                      <w:sz w:val="21"/>
                      <w:szCs w:val="21"/>
                      <w:lang w:val="en-US" w:eastAsia="zh-CN"/>
                      <w14:textFill>
                        <w14:solidFill>
                          <w14:schemeClr w14:val="tx1"/>
                        </w14:solidFill>
                      </w14:textFill>
                    </w:rPr>
                    <w:t>一片区雨水经设置的截排水沟收集后排入水池内（根据片区排入最近水池，共3个水池），沉淀后回用于项目区内洒水降尘，废水不外排；二片区雨水经设置的截排水沟收集后排入水池内（根据片区排入最近水池，共12个水池），沉淀后回用于项目区内洒水降尘，不外排。</w:t>
                  </w:r>
                </w:p>
              </w:tc>
            </w:tr>
            <w:tr w14:paraId="3A6B8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459" w:type="pct"/>
                  <w:vMerge w:val="continue"/>
                  <w:vAlign w:val="center"/>
                </w:tcPr>
                <w:p w14:paraId="1634EAD4">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both"/>
                    <w:textAlignment w:val="auto"/>
                    <w:rPr>
                      <w:rFonts w:hint="default" w:ascii="宋体" w:hAnsi="宋体" w:eastAsia="宋体"/>
                      <w:color w:val="000000" w:themeColor="text1"/>
                      <w:sz w:val="21"/>
                      <w:szCs w:val="21"/>
                      <w:lang w:val="en-US" w:eastAsia="zh-CN"/>
                      <w14:textFill>
                        <w14:solidFill>
                          <w14:schemeClr w14:val="tx1"/>
                        </w14:solidFill>
                      </w14:textFill>
                    </w:rPr>
                  </w:pPr>
                </w:p>
              </w:tc>
              <w:tc>
                <w:tcPr>
                  <w:tcW w:w="728" w:type="pct"/>
                  <w:vMerge w:val="restart"/>
                  <w:vAlign w:val="center"/>
                </w:tcPr>
                <w:p w14:paraId="6F32B989">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both"/>
                    <w:textAlignment w:val="auto"/>
                    <w:rPr>
                      <w:rFonts w:hint="default" w:ascii="宋体" w:hAnsi="宋体" w:eastAsia="宋体"/>
                      <w:color w:val="000000" w:themeColor="text1"/>
                      <w:sz w:val="21"/>
                      <w:szCs w:val="21"/>
                      <w:lang w:val="en-US" w:eastAsia="zh-CN"/>
                      <w14:textFill>
                        <w14:solidFill>
                          <w14:schemeClr w14:val="tx1"/>
                        </w14:solidFill>
                      </w14:textFill>
                    </w:rPr>
                  </w:pPr>
                  <w:r>
                    <w:rPr>
                      <w:rFonts w:hint="default" w:ascii="宋体" w:hAnsi="宋体" w:eastAsia="宋体"/>
                      <w:color w:val="000000" w:themeColor="text1"/>
                      <w:sz w:val="21"/>
                      <w:szCs w:val="21"/>
                      <w:lang w:val="en-US" w:eastAsia="zh-CN"/>
                      <w14:textFill>
                        <w14:solidFill>
                          <w14:schemeClr w14:val="tx1"/>
                        </w14:solidFill>
                      </w14:textFill>
                    </w:rPr>
                    <w:t>施工期噪声污染防治</w:t>
                  </w:r>
                </w:p>
              </w:tc>
              <w:tc>
                <w:tcPr>
                  <w:tcW w:w="3811" w:type="pct"/>
                  <w:gridSpan w:val="2"/>
                  <w:vAlign w:val="center"/>
                </w:tcPr>
                <w:p w14:paraId="4ED3F3DD">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eastAsia"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①</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对强噪声设备进行一定的隔声及减振处理，在不影响施工情况下将噪声设备尽量不集中安排，固定的机械设备尽量入棚操作</w:t>
                  </w:r>
                </w:p>
                <w:p w14:paraId="640F6E5D">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②</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使用低噪声机械设备，同时施工单位应设专人对设备进行定期保养和维护。</w:t>
                  </w:r>
                </w:p>
                <w:p w14:paraId="0A8E58E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在进行物料运输时，应合理安排运输时间，经过敏感点时应低速、禁鸣。</w:t>
                  </w:r>
                </w:p>
                <w:p w14:paraId="30A6121B">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③</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施工期间建设单位应与施工方签订环境管理责任书，具体落实施工期噪声防治措施，</w:t>
                  </w:r>
                  <w:r>
                    <w:rPr>
                      <w:rFonts w:hint="eastAsia" w:ascii="Times New Roman" w:hAnsi="Times New Roman" w:cs="Times New Roman"/>
                      <w:color w:val="000000" w:themeColor="text1"/>
                      <w:sz w:val="21"/>
                      <w:szCs w:val="21"/>
                      <w:lang w:val="en-US" w:eastAsia="zh-CN"/>
                      <w14:textFill>
                        <w14:solidFill>
                          <w14:schemeClr w14:val="tx1"/>
                        </w14:solidFill>
                      </w14:textFill>
                    </w:rPr>
                    <w:t>并</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加强与周围可能受影响单位的沟通，减轻对声环境的不利影响</w:t>
                  </w:r>
                </w:p>
              </w:tc>
            </w:tr>
            <w:tr w14:paraId="64B9B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4" w:hRule="atLeast"/>
                <w:jc w:val="center"/>
              </w:trPr>
              <w:tc>
                <w:tcPr>
                  <w:tcW w:w="459" w:type="pct"/>
                  <w:vMerge w:val="continue"/>
                  <w:vAlign w:val="center"/>
                </w:tcPr>
                <w:p w14:paraId="1629D5D0">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both"/>
                    <w:textAlignment w:val="auto"/>
                    <w:rPr>
                      <w:rFonts w:hint="default" w:ascii="宋体" w:hAnsi="宋体" w:eastAsia="宋体"/>
                      <w:color w:val="000000" w:themeColor="text1"/>
                      <w:sz w:val="21"/>
                      <w:szCs w:val="21"/>
                      <w:lang w:val="en-US" w:eastAsia="zh-CN"/>
                      <w14:textFill>
                        <w14:solidFill>
                          <w14:schemeClr w14:val="tx1"/>
                        </w14:solidFill>
                      </w14:textFill>
                    </w:rPr>
                  </w:pPr>
                </w:p>
              </w:tc>
              <w:tc>
                <w:tcPr>
                  <w:tcW w:w="728" w:type="pct"/>
                  <w:vMerge w:val="restart"/>
                  <w:vAlign w:val="center"/>
                </w:tcPr>
                <w:p w14:paraId="0AB6C011">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both"/>
                    <w:textAlignment w:val="auto"/>
                    <w:rPr>
                      <w:rFonts w:hint="default" w:ascii="宋体" w:hAnsi="宋体" w:eastAsia="宋体"/>
                      <w:color w:val="000000" w:themeColor="text1"/>
                      <w:sz w:val="21"/>
                      <w:szCs w:val="21"/>
                      <w:lang w:val="en-US" w:eastAsia="zh-CN"/>
                      <w14:textFill>
                        <w14:solidFill>
                          <w14:schemeClr w14:val="tx1"/>
                        </w14:solidFill>
                      </w14:textFill>
                    </w:rPr>
                  </w:pPr>
                  <w:r>
                    <w:rPr>
                      <w:rFonts w:hint="default" w:ascii="宋体" w:hAnsi="宋体" w:eastAsia="宋体"/>
                      <w:color w:val="000000" w:themeColor="text1"/>
                      <w:sz w:val="21"/>
                      <w:szCs w:val="21"/>
                      <w:lang w:val="en-US" w:eastAsia="zh-CN"/>
                      <w14:textFill>
                        <w14:solidFill>
                          <w14:schemeClr w14:val="tx1"/>
                        </w14:solidFill>
                      </w14:textFill>
                    </w:rPr>
                    <w:t>施工期固体废物污染防治</w:t>
                  </w:r>
                </w:p>
              </w:tc>
              <w:tc>
                <w:tcPr>
                  <w:tcW w:w="3811" w:type="pct"/>
                  <w:gridSpan w:val="2"/>
                  <w:vAlign w:val="center"/>
                </w:tcPr>
                <w:p w14:paraId="1C8858E0">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①</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施工区域原有地表挖除的灌木杂草直径≥5cm的统一收集后外售木炭加工和生物质燃料企业，作为木炭和生物质燃料加工原料。</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直径＜5c</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m的木材及杂草可就地切碎后埋入土壤内通过发酵腐熟后作为肥料</w:t>
                  </w:r>
                  <w:r>
                    <w:rPr>
                      <w:rFonts w:hint="eastAsia" w:ascii="Times New Roman" w:hAnsi="Times New Roman" w:cs="Times New Roman"/>
                      <w:color w:val="000000" w:themeColor="text1"/>
                      <w:sz w:val="21"/>
                      <w:szCs w:val="21"/>
                      <w:lang w:val="en-US" w:eastAsia="zh-CN"/>
                      <w14:textFill>
                        <w14:solidFill>
                          <w14:schemeClr w14:val="tx1"/>
                        </w14:solidFill>
                      </w14:textFill>
                    </w:rPr>
                    <w:t>，禁止在项目区内进行焚烧处置。</w:t>
                  </w:r>
                </w:p>
                <w:p w14:paraId="5602974B">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②</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大棚建设产生的废弃材料大棚结构及顶棚覆盖过程中会产生少量的废弃材料，集中收集运至就近生活垃圾中转站，委托环卫部门处置。</w:t>
                  </w:r>
                </w:p>
                <w:p w14:paraId="3380257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③</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施工人员生活垃圾在施工区域内集中收集后并入附近村庄，由当地环卫部门</w:t>
                  </w:r>
                  <w:r>
                    <w:rPr>
                      <w:rFonts w:hint="eastAsia" w:ascii="Times New Roman" w:hAnsi="Times New Roman" w:cs="Times New Roman"/>
                      <w:color w:val="000000" w:themeColor="text1"/>
                      <w:sz w:val="21"/>
                      <w:szCs w:val="21"/>
                      <w:lang w:val="en-US" w:eastAsia="zh-CN"/>
                      <w14:textFill>
                        <w14:solidFill>
                          <w14:schemeClr w14:val="tx1"/>
                        </w14:solidFill>
                      </w14:textFill>
                    </w:rPr>
                    <w:t>统一</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清运处置，做到日产日清。</w:t>
                  </w:r>
                </w:p>
                <w:p w14:paraId="1236843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④</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项目区整地过程中产生的土石方可全部就近调配用于项目区内低洼处土地平整，项目施工阶段</w:t>
                  </w:r>
                  <w:r>
                    <w:rPr>
                      <w:rFonts w:hint="eastAsia" w:ascii="Times New Roman" w:hAnsi="Times New Roman" w:cs="Times New Roman"/>
                      <w:color w:val="000000" w:themeColor="text1"/>
                      <w:sz w:val="21"/>
                      <w:szCs w:val="21"/>
                      <w:lang w:val="en-US" w:eastAsia="zh-CN"/>
                      <w14:textFill>
                        <w14:solidFill>
                          <w14:schemeClr w14:val="tx1"/>
                        </w14:solidFill>
                      </w14:textFill>
                    </w:rPr>
                    <w:t>无废弃土石方</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产生。</w:t>
                  </w:r>
                </w:p>
              </w:tc>
            </w:tr>
            <w:tr w14:paraId="3F87C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9" w:type="pct"/>
                  <w:vMerge w:val="continue"/>
                  <w:vAlign w:val="center"/>
                </w:tcPr>
                <w:p w14:paraId="468AFBE9">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both"/>
                    <w:textAlignment w:val="auto"/>
                    <w:rPr>
                      <w:rFonts w:hint="default" w:ascii="宋体" w:hAnsi="宋体" w:eastAsia="宋体"/>
                      <w:color w:val="000000" w:themeColor="text1"/>
                      <w:sz w:val="21"/>
                      <w:szCs w:val="21"/>
                      <w:lang w:val="en-US" w:eastAsia="zh-CN"/>
                      <w14:textFill>
                        <w14:solidFill>
                          <w14:schemeClr w14:val="tx1"/>
                        </w14:solidFill>
                      </w14:textFill>
                    </w:rPr>
                  </w:pPr>
                </w:p>
              </w:tc>
              <w:tc>
                <w:tcPr>
                  <w:tcW w:w="728" w:type="pct"/>
                  <w:vMerge w:val="restart"/>
                  <w:vAlign w:val="center"/>
                </w:tcPr>
                <w:p w14:paraId="3A6ED7EE">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both"/>
                    <w:textAlignment w:val="auto"/>
                    <w:rPr>
                      <w:rFonts w:hint="default" w:ascii="宋体" w:hAnsi="宋体" w:eastAsia="宋体"/>
                      <w:color w:val="000000" w:themeColor="text1"/>
                      <w:sz w:val="21"/>
                      <w:szCs w:val="21"/>
                      <w:lang w:val="en-US" w:eastAsia="zh-CN"/>
                      <w14:textFill>
                        <w14:solidFill>
                          <w14:schemeClr w14:val="tx1"/>
                        </w14:solidFill>
                      </w14:textFill>
                    </w:rPr>
                  </w:pPr>
                  <w:r>
                    <w:rPr>
                      <w:rFonts w:hint="default" w:ascii="宋体" w:hAnsi="宋体" w:eastAsia="宋体"/>
                      <w:color w:val="000000" w:themeColor="text1"/>
                      <w:sz w:val="21"/>
                      <w:szCs w:val="21"/>
                      <w:lang w:val="en-US" w:eastAsia="zh-CN"/>
                      <w14:textFill>
                        <w14:solidFill>
                          <w14:schemeClr w14:val="tx1"/>
                        </w14:solidFill>
                      </w14:textFill>
                    </w:rPr>
                    <w:t>施工期生态保护</w:t>
                  </w:r>
                </w:p>
              </w:tc>
              <w:tc>
                <w:tcPr>
                  <w:tcW w:w="3811" w:type="pct"/>
                  <w:gridSpan w:val="2"/>
                  <w:vAlign w:val="center"/>
                </w:tcPr>
                <w:p w14:paraId="5DFD568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施工期减缓措施：</w:t>
                  </w:r>
                </w:p>
                <w:p w14:paraId="1B09A37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①施工期临时用地应永临结合，优先利用荒地、劣地；</w:t>
                  </w:r>
                </w:p>
                <w:p w14:paraId="23A64F0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采取隔离保护措施（如铺设草垫或棕垫），施工结束</w:t>
                  </w:r>
                  <w:r>
                    <w:rPr>
                      <w:rFonts w:hint="eastAsia" w:ascii="Times New Roman" w:hAnsi="Times New Roman" w:cs="Times New Roman"/>
                      <w:color w:val="000000" w:themeColor="text1"/>
                      <w:sz w:val="21"/>
                      <w:szCs w:val="21"/>
                      <w:lang w:val="en-US" w:eastAsia="zh-CN"/>
                      <w14:textFill>
                        <w14:solidFill>
                          <w14:schemeClr w14:val="tx1"/>
                        </w14:solidFill>
                      </w14:textFill>
                    </w:rPr>
                    <w:t>后</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将多余砂石料、混凝土残渣等及时清除，做到“工完、料尽、场地清”；</w:t>
                  </w:r>
                </w:p>
                <w:p w14:paraId="33BE9A9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②土石方开挖工程尽量避开雨季施工，土石方及时回填、夯实、平整，就地利用，不外弃；</w:t>
                  </w:r>
                </w:p>
                <w:p w14:paraId="401065BB">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③加强对施工人员的管理和生态环境保护宣传教育，严禁猎杀兽类，严禁捕蛇、打鸟、捉蛙、捉野鸡野兔等捕杀野生动物行为，严禁食用野生动物（野味）。增强工作人员环保意识，不购买、不食用野生动物及制品；</w:t>
                  </w:r>
                </w:p>
                <w:p w14:paraId="1DCFFFD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④在鸟类繁殖期（每年6</w:t>
                  </w:r>
                  <w:r>
                    <w:rPr>
                      <w:rFonts w:hint="eastAsia" w:ascii="Times New Roman" w:hAnsi="Times New Roman"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8月），应尽量减少因施工噪声所引起的干扰鸟类繁殖的情况发生；</w:t>
                  </w:r>
                </w:p>
                <w:p w14:paraId="440F993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施工过程中注意保护好表层土壤，用于施工结束后施工迹地的恢复。工程结束后应督促施工单位及时拆除临时建筑，清理和平整场地，恢复土层</w:t>
                  </w:r>
                </w:p>
              </w:tc>
            </w:tr>
            <w:tr w14:paraId="307D9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9" w:type="pct"/>
                  <w:vMerge w:val="continue"/>
                  <w:vAlign w:val="center"/>
                </w:tcPr>
                <w:p w14:paraId="7B749D0B">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both"/>
                    <w:textAlignment w:val="auto"/>
                    <w:rPr>
                      <w:rFonts w:hint="default" w:ascii="宋体" w:hAnsi="宋体" w:eastAsia="宋体"/>
                      <w:color w:val="000000" w:themeColor="text1"/>
                      <w:sz w:val="21"/>
                      <w:szCs w:val="21"/>
                      <w:lang w:val="en-US" w:eastAsia="zh-CN"/>
                      <w14:textFill>
                        <w14:solidFill>
                          <w14:schemeClr w14:val="tx1"/>
                        </w14:solidFill>
                      </w14:textFill>
                    </w:rPr>
                  </w:pPr>
                </w:p>
              </w:tc>
              <w:tc>
                <w:tcPr>
                  <w:tcW w:w="728" w:type="pct"/>
                  <w:vMerge w:val="continue"/>
                  <w:vAlign w:val="center"/>
                </w:tcPr>
                <w:p w14:paraId="54633436">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both"/>
                    <w:textAlignment w:val="auto"/>
                    <w:rPr>
                      <w:rFonts w:hint="default" w:ascii="宋体" w:hAnsi="宋体" w:eastAsia="宋体"/>
                      <w:color w:val="000000" w:themeColor="text1"/>
                      <w:sz w:val="21"/>
                      <w:szCs w:val="21"/>
                      <w:lang w:val="en-US" w:eastAsia="zh-CN"/>
                      <w14:textFill>
                        <w14:solidFill>
                          <w14:schemeClr w14:val="tx1"/>
                        </w14:solidFill>
                      </w14:textFill>
                    </w:rPr>
                  </w:pPr>
                </w:p>
              </w:tc>
              <w:tc>
                <w:tcPr>
                  <w:tcW w:w="3811" w:type="pct"/>
                  <w:gridSpan w:val="2"/>
                  <w:vAlign w:val="center"/>
                </w:tcPr>
                <w:p w14:paraId="4A1C7333">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施工期管理措施：</w:t>
                  </w:r>
                </w:p>
                <w:p w14:paraId="639AF58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严格按照租地范围进行施工，划定最小施工范围，严格划定施工界限，禁止超范围占地，避免超计划占用林地、林木，严禁随意扩大占地范围，严禁施工人员砍伐、破坏工程占地区外的植被，严禁在征地范围外堆渣等作业，减小植被受影响面积。</w:t>
                  </w:r>
                </w:p>
              </w:tc>
            </w:tr>
            <w:tr w14:paraId="05D2E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9" w:type="pct"/>
                  <w:vMerge w:val="continue"/>
                  <w:vAlign w:val="center"/>
                </w:tcPr>
                <w:p w14:paraId="1112B5C6">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both"/>
                    <w:textAlignment w:val="auto"/>
                    <w:rPr>
                      <w:rFonts w:hint="default" w:ascii="宋体" w:hAnsi="宋体" w:eastAsia="宋体"/>
                      <w:color w:val="000000" w:themeColor="text1"/>
                      <w:sz w:val="21"/>
                      <w:szCs w:val="21"/>
                      <w:lang w:val="en-US" w:eastAsia="zh-CN"/>
                      <w14:textFill>
                        <w14:solidFill>
                          <w14:schemeClr w14:val="tx1"/>
                        </w14:solidFill>
                      </w14:textFill>
                    </w:rPr>
                  </w:pPr>
                </w:p>
              </w:tc>
              <w:tc>
                <w:tcPr>
                  <w:tcW w:w="728" w:type="pct"/>
                  <w:vMerge w:val="continue"/>
                  <w:vAlign w:val="center"/>
                </w:tcPr>
                <w:p w14:paraId="192A75C7">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both"/>
                    <w:textAlignment w:val="auto"/>
                    <w:rPr>
                      <w:rFonts w:hint="default" w:ascii="宋体" w:hAnsi="宋体" w:eastAsia="宋体"/>
                      <w:color w:val="000000" w:themeColor="text1"/>
                      <w:sz w:val="21"/>
                      <w:szCs w:val="21"/>
                      <w:lang w:val="en-US" w:eastAsia="zh-CN"/>
                      <w14:textFill>
                        <w14:solidFill>
                          <w14:schemeClr w14:val="tx1"/>
                        </w14:solidFill>
                      </w14:textFill>
                    </w:rPr>
                  </w:pPr>
                </w:p>
              </w:tc>
              <w:tc>
                <w:tcPr>
                  <w:tcW w:w="3811" w:type="pct"/>
                  <w:gridSpan w:val="2"/>
                  <w:vAlign w:val="center"/>
                </w:tcPr>
                <w:p w14:paraId="0BDD900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工程临时道路、临时堆场占地范围生态环境保护措施：</w:t>
                  </w:r>
                </w:p>
                <w:p w14:paraId="2F41EDAB">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施工场区布设应结合当地条件，因地制宜，合理规划堆料场。施工结束时，及时恢复临时占地范围的土地使用功能。从严控制管理用地，在施工结束后对临时设施进行恢复，是道路的恢复道路，并在道路两侧加固，是绿地的恢复绿地，是耕地的恢复耕种。具体如下：</w:t>
                  </w:r>
                </w:p>
                <w:p w14:paraId="748D4510">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①在工程的建设中施工单位应注意识别工程沿线保护动植物资源，加强保护动植物的保护和宣传工作，一旦在施工中遇到需要保护的动植物，应当立即向当地林业部门汇报，协商采取妥善的保护措施后才能进行下一步施工。</w:t>
                  </w:r>
                </w:p>
                <w:p w14:paraId="7BE495DA">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②管理措施</w:t>
                  </w:r>
                </w:p>
                <w:p w14:paraId="1C06BD0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从生态和环境的角度出发，建议项目开工建设前，应尽量做好相应的前期宣传和准备工作</w:t>
                  </w:r>
                  <w:r>
                    <w:rPr>
                      <w:rFonts w:hint="eastAsia" w:ascii="Times New Roman" w:hAnsi="Times New Roman" w:cs="Times New Roman"/>
                      <w:color w:val="000000" w:themeColor="text1"/>
                      <w:sz w:val="21"/>
                      <w:szCs w:val="21"/>
                      <w:lang w:val="en-US" w:eastAsia="zh-CN"/>
                      <w14:textFill>
                        <w14:solidFill>
                          <w14:schemeClr w14:val="tx1"/>
                        </w14:solidFill>
                      </w14:textFill>
                    </w:rPr>
                    <w:t>，在</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施工期严格落实水土保持措施，加强施工管理，尽量减少因植被破坏、水土流失、水质污染等对动植物带来的不利影响。</w:t>
                  </w:r>
                </w:p>
              </w:tc>
            </w:tr>
            <w:tr w14:paraId="7FD32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9" w:type="pct"/>
                  <w:vMerge w:val="continue"/>
                  <w:vAlign w:val="center"/>
                </w:tcPr>
                <w:p w14:paraId="16052E80">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both"/>
                    <w:textAlignment w:val="auto"/>
                    <w:rPr>
                      <w:rFonts w:hint="default" w:ascii="宋体" w:hAnsi="宋体" w:eastAsia="宋体"/>
                      <w:color w:val="000000" w:themeColor="text1"/>
                      <w:sz w:val="21"/>
                      <w:szCs w:val="21"/>
                      <w:lang w:val="en-US" w:eastAsia="zh-CN"/>
                      <w14:textFill>
                        <w14:solidFill>
                          <w14:schemeClr w14:val="tx1"/>
                        </w14:solidFill>
                      </w14:textFill>
                    </w:rPr>
                  </w:pPr>
                </w:p>
              </w:tc>
              <w:tc>
                <w:tcPr>
                  <w:tcW w:w="728" w:type="pct"/>
                  <w:vMerge w:val="continue"/>
                  <w:vAlign w:val="center"/>
                </w:tcPr>
                <w:p w14:paraId="3C296B2F">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both"/>
                    <w:textAlignment w:val="auto"/>
                    <w:rPr>
                      <w:rFonts w:hint="default" w:ascii="宋体" w:hAnsi="宋体" w:eastAsia="宋体"/>
                      <w:color w:val="000000" w:themeColor="text1"/>
                      <w:sz w:val="21"/>
                      <w:szCs w:val="21"/>
                      <w:lang w:val="en-US" w:eastAsia="zh-CN"/>
                      <w14:textFill>
                        <w14:solidFill>
                          <w14:schemeClr w14:val="tx1"/>
                        </w14:solidFill>
                      </w14:textFill>
                    </w:rPr>
                  </w:pPr>
                </w:p>
              </w:tc>
              <w:tc>
                <w:tcPr>
                  <w:tcW w:w="3811" w:type="pct"/>
                  <w:gridSpan w:val="2"/>
                  <w:vAlign w:val="center"/>
                </w:tcPr>
                <w:p w14:paraId="1286F793">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水土流失防治：①进行封闭性施工，严格控制施工范围；</w:t>
                  </w:r>
                </w:p>
                <w:p w14:paraId="557DA6F0">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②在施工期，对工程进行合理设计，场区预先修建截排水沟，地表开挖尽量避开暴雨季节，做到分期分区开挖，使工程施工引起的难以避免的水土流失降至最低程度；</w:t>
                  </w:r>
                </w:p>
                <w:p w14:paraId="35B5C41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③合理选择施工工序。回填土方应分层碾压夯实；合理堆放建筑材料以及临时土方，及时拦挡以控制渣量流失；对需要防护的边坡覆土后及时进行绿化施工，减少地表裸露时间；</w:t>
                  </w:r>
                </w:p>
                <w:p w14:paraId="0929ECB3">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④合理选择施工工期。尽量避免在雨季进行各种基础开挖，在雨天施工时，为防止临时堆料及开挖裸露土质边坡坡面等被雨水冲刷，选用彩条布、塑料薄膜等进行覆盖；施工中应注意开挖后立即进行施工，暂时不施工的应进行表土覆盖；在施工过程中，如遇干燥天气，应对地表进行洒水，以免产生扬尘；</w:t>
                  </w:r>
                </w:p>
                <w:p w14:paraId="33488DC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⑤严格控制运输流失。对出入场区的工程车辆要严格管理，严禁超载，防止因车辆超载而将物料洒落在运输途中；运输</w:t>
                  </w:r>
                  <w:r>
                    <w:rPr>
                      <w:rFonts w:hint="eastAsia" w:ascii="Times New Roman" w:hAnsi="Times New Roman" w:cs="Times New Roman"/>
                      <w:color w:val="000000" w:themeColor="text1"/>
                      <w:sz w:val="21"/>
                      <w:szCs w:val="21"/>
                      <w:lang w:val="en-US" w:eastAsia="zh-CN"/>
                      <w14:textFill>
                        <w14:solidFill>
                          <w14:schemeClr w14:val="tx1"/>
                        </w14:solidFill>
                      </w14:textFill>
                    </w:rPr>
                    <w:t>车辆</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必须加盖防护，不能超载；在工程区出口处设置洗车设施，工程车辆在驶出工程区时必须进行清洗，以防泥土带出工程区而造成区外水土流失和环境污染，严格控制运输流失；</w:t>
                  </w:r>
                </w:p>
                <w:p w14:paraId="3320891A">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⑥开挖时剥离的表层土采取临时覆盖等防护措施，周边拟采用填土编织袋挡土墙进行临时拦挡，顶端采用塑料彩条布覆盖，挡土墙外侧设置临时排水沟；</w:t>
                  </w:r>
                </w:p>
                <w:p w14:paraId="40AB62D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⑦施工期可通过多方面措施减轻水土流失对大西水库和尼去本水库的影响，首先应合理选择施工时间，避开降雨天气；其次采取工程措施，如在道路坡脚修筑挡土墙增强土体稳定性，同时修建截水沟与排水沟并设置沉砂池，以引导水流并沉淀泥沙；还可运用临时措施，在裸地覆盖防尘网减少雨水冲击，以及堆砌土袋作为小型施工或临时排水关键部位的临时挡墙。</w:t>
                  </w:r>
                </w:p>
              </w:tc>
            </w:tr>
            <w:tr w14:paraId="3A287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1" w:hRule="atLeast"/>
                <w:jc w:val="center"/>
              </w:trPr>
              <w:tc>
                <w:tcPr>
                  <w:tcW w:w="459" w:type="pct"/>
                  <w:vMerge w:val="continue"/>
                  <w:vAlign w:val="center"/>
                </w:tcPr>
                <w:p w14:paraId="2C3D2625">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both"/>
                    <w:textAlignment w:val="auto"/>
                    <w:rPr>
                      <w:rFonts w:hint="default" w:ascii="宋体" w:hAnsi="宋体" w:eastAsia="宋体"/>
                      <w:color w:val="000000" w:themeColor="text1"/>
                      <w:sz w:val="21"/>
                      <w:szCs w:val="21"/>
                      <w:lang w:val="en-US" w:eastAsia="zh-CN"/>
                      <w14:textFill>
                        <w14:solidFill>
                          <w14:schemeClr w14:val="tx1"/>
                        </w14:solidFill>
                      </w14:textFill>
                    </w:rPr>
                  </w:pPr>
                </w:p>
              </w:tc>
              <w:tc>
                <w:tcPr>
                  <w:tcW w:w="728" w:type="pct"/>
                  <w:vAlign w:val="center"/>
                </w:tcPr>
                <w:p w14:paraId="29C509C4">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both"/>
                    <w:textAlignment w:val="auto"/>
                    <w:rPr>
                      <w:rFonts w:hint="default" w:ascii="宋体" w:hAnsi="宋体" w:eastAsia="宋体"/>
                      <w:color w:val="000000" w:themeColor="text1"/>
                      <w:sz w:val="21"/>
                      <w:szCs w:val="21"/>
                      <w:lang w:val="en-US" w:eastAsia="zh-CN"/>
                      <w14:textFill>
                        <w14:solidFill>
                          <w14:schemeClr w14:val="tx1"/>
                        </w14:solidFill>
                      </w14:textFill>
                    </w:rPr>
                  </w:pPr>
                  <w:r>
                    <w:rPr>
                      <w:rFonts w:hint="default" w:ascii="宋体" w:hAnsi="宋体" w:eastAsia="宋体"/>
                      <w:color w:val="000000" w:themeColor="text1"/>
                      <w:sz w:val="21"/>
                      <w:szCs w:val="21"/>
                      <w:lang w:val="en-US" w:eastAsia="zh-CN"/>
                      <w14:textFill>
                        <w14:solidFill>
                          <w14:schemeClr w14:val="tx1"/>
                        </w14:solidFill>
                      </w14:textFill>
                    </w:rPr>
                    <w:t>运行期大气污染防治</w:t>
                  </w:r>
                </w:p>
              </w:tc>
              <w:tc>
                <w:tcPr>
                  <w:tcW w:w="3811" w:type="pct"/>
                  <w:gridSpan w:val="2"/>
                  <w:vAlign w:val="center"/>
                </w:tcPr>
                <w:p w14:paraId="671B26F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①农药喷洒异味防治：优先选择生物技术进行病虫害防治，选取低毒低残留农药。蓝莓、羊肚菌、三七种植方式为大棚种植，大棚可以有效阻挡一部分异味。</w:t>
                  </w:r>
                </w:p>
                <w:p w14:paraId="72B3105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②土地翻整、播种、管理过程中粉尘，产生量较小，呈无组织间断式排放，影响不大。种植、翻土施肥避免在大风天气进行，最大限度减少扬尘产生。</w:t>
                  </w:r>
                </w:p>
                <w:p w14:paraId="787D05D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③运输车辆保养良好和使用高品质燃料情况下，尾气中污染物排放量较少，呈无组织排放，项目所在区域通风良好，汽车尾气对周围环境影响较小。</w:t>
                  </w:r>
                </w:p>
              </w:tc>
            </w:tr>
            <w:tr w14:paraId="1E2E8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2" w:hRule="atLeast"/>
                <w:jc w:val="center"/>
              </w:trPr>
              <w:tc>
                <w:tcPr>
                  <w:tcW w:w="459" w:type="pct"/>
                  <w:vMerge w:val="continue"/>
                  <w:vAlign w:val="center"/>
                </w:tcPr>
                <w:p w14:paraId="023C9C60">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both"/>
                    <w:textAlignment w:val="auto"/>
                    <w:rPr>
                      <w:rFonts w:hint="default" w:ascii="宋体" w:hAnsi="宋体" w:eastAsia="宋体"/>
                      <w:color w:val="000000" w:themeColor="text1"/>
                      <w:sz w:val="21"/>
                      <w:szCs w:val="21"/>
                      <w:lang w:val="en-US" w:eastAsia="zh-CN"/>
                      <w14:textFill>
                        <w14:solidFill>
                          <w14:schemeClr w14:val="tx1"/>
                        </w14:solidFill>
                      </w14:textFill>
                    </w:rPr>
                  </w:pPr>
                </w:p>
              </w:tc>
              <w:tc>
                <w:tcPr>
                  <w:tcW w:w="728" w:type="pct"/>
                  <w:vAlign w:val="center"/>
                </w:tcPr>
                <w:p w14:paraId="5DB3578F">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both"/>
                    <w:textAlignment w:val="auto"/>
                    <w:rPr>
                      <w:rFonts w:hint="default" w:ascii="宋体" w:hAnsi="宋体" w:eastAsia="宋体"/>
                      <w:color w:val="000000" w:themeColor="text1"/>
                      <w:sz w:val="21"/>
                      <w:szCs w:val="21"/>
                      <w:lang w:val="en-US" w:eastAsia="zh-CN"/>
                      <w14:textFill>
                        <w14:solidFill>
                          <w14:schemeClr w14:val="tx1"/>
                        </w14:solidFill>
                      </w14:textFill>
                    </w:rPr>
                  </w:pPr>
                  <w:r>
                    <w:rPr>
                      <w:rFonts w:hint="default" w:ascii="宋体" w:hAnsi="宋体" w:eastAsia="宋体"/>
                      <w:color w:val="000000" w:themeColor="text1"/>
                      <w:sz w:val="21"/>
                      <w:szCs w:val="21"/>
                      <w:lang w:val="en-US" w:eastAsia="zh-CN"/>
                      <w14:textFill>
                        <w14:solidFill>
                          <w14:schemeClr w14:val="tx1"/>
                        </w14:solidFill>
                      </w14:textFill>
                    </w:rPr>
                    <w:t>运行期废水污染防治措</w:t>
                  </w:r>
                </w:p>
              </w:tc>
              <w:tc>
                <w:tcPr>
                  <w:tcW w:w="3811" w:type="pct"/>
                  <w:gridSpan w:val="2"/>
                  <w:vAlign w:val="center"/>
                </w:tcPr>
                <w:p w14:paraId="046DD84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①项目生活污水经隔油池，化粪池预处理后排入一体化污水处理设备处理，处理达到《农田灌溉水质标准》（GB 5084—2021）中的“旱地作物”标准后的废水排入水池，回用于项目区内灌溉，不外排。</w:t>
                  </w:r>
                </w:p>
                <w:p w14:paraId="74C63F03">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②项目种植均采用喷灌或滴灌的</w:t>
                  </w:r>
                  <w:r>
                    <w:rPr>
                      <w:rFonts w:hint="eastAsia" w:ascii="Times New Roman" w:hAnsi="Times New Roman" w:cs="Times New Roman"/>
                      <w:color w:val="000000" w:themeColor="text1"/>
                      <w:sz w:val="21"/>
                      <w:szCs w:val="21"/>
                      <w:lang w:val="en-US" w:eastAsia="zh-CN"/>
                      <w14:textFill>
                        <w14:solidFill>
                          <w14:schemeClr w14:val="tx1"/>
                        </w14:solidFill>
                      </w14:textFill>
                    </w:rPr>
                    <w:t>节水</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灌溉方式，能精准控制水量，有效避免径流。</w:t>
                  </w:r>
                </w:p>
                <w:p w14:paraId="3D708BB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③雨水进入施工期已建设截排水沟，经截排水沟汇入水池，回用于项目区灌溉。</w:t>
                  </w:r>
                  <w:r>
                    <w:rPr>
                      <w:rFonts w:hint="eastAsia" w:ascii="Times New Roman" w:hAnsi="Times New Roman" w:cs="Times New Roman"/>
                      <w:color w:val="000000" w:themeColor="text1"/>
                      <w:sz w:val="21"/>
                      <w:szCs w:val="21"/>
                      <w:lang w:val="en-US" w:eastAsia="zh-CN"/>
                      <w14:textFill>
                        <w14:solidFill>
                          <w14:schemeClr w14:val="tx1"/>
                        </w14:solidFill>
                      </w14:textFill>
                    </w:rPr>
                    <w:t>一片区</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雨水收集</w:t>
                  </w:r>
                  <w:r>
                    <w:rPr>
                      <w:rFonts w:hint="eastAsia" w:ascii="Times New Roman" w:hAnsi="Times New Roman" w:cs="Times New Roman"/>
                      <w:color w:val="000000" w:themeColor="text1"/>
                      <w:sz w:val="21"/>
                      <w:szCs w:val="21"/>
                      <w:lang w:val="en-US" w:eastAsia="zh-CN"/>
                      <w14:textFill>
                        <w14:solidFill>
                          <w14:schemeClr w14:val="tx1"/>
                        </w14:solidFill>
                      </w14:textFill>
                    </w:rPr>
                    <w:t>主要进入2#和3#水池，再通过管道抽回至其他水池后</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回用于项目区灌溉</w:t>
                  </w:r>
                  <w:r>
                    <w:rPr>
                      <w:rFonts w:hint="eastAsia" w:ascii="Times New Roman" w:hAnsi="Times New Roman" w:cs="Times New Roman"/>
                      <w:color w:val="000000" w:themeColor="text1"/>
                      <w:sz w:val="21"/>
                      <w:szCs w:val="21"/>
                      <w:lang w:val="en-US" w:eastAsia="zh-CN"/>
                      <w14:textFill>
                        <w14:solidFill>
                          <w14:schemeClr w14:val="tx1"/>
                        </w14:solidFill>
                      </w14:textFill>
                    </w:rPr>
                    <w:t>；</w:t>
                  </w:r>
                  <w:r>
                    <w:rPr>
                      <w:rFonts w:hint="eastAsia" w:ascii="Times New Roman" w:hAnsi="Times New Roman" w:cs="Times New Roman"/>
                      <w:color w:val="000000" w:themeColor="text1"/>
                      <w:sz w:val="21"/>
                      <w:szCs w:val="21"/>
                      <w:lang w:val="en-US" w:eastAsia="zh-CN"/>
                      <w14:textFill>
                        <w14:solidFill>
                          <w14:schemeClr w14:val="tx1"/>
                        </w14:solidFill>
                      </w14:textFill>
                    </w:rPr>
                    <w:t>二片区在</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种植区和道路区在地势低处设置截排水沟，</w:t>
                  </w:r>
                  <w:r>
                    <w:rPr>
                      <w:rFonts w:hint="eastAsia" w:ascii="Times New Roman" w:hAnsi="Times New Roman" w:cs="Times New Roman"/>
                      <w:color w:val="000000" w:themeColor="text1"/>
                      <w:sz w:val="21"/>
                      <w:szCs w:val="21"/>
                      <w:lang w:val="en-US" w:eastAsia="zh-CN"/>
                      <w14:textFill>
                        <w14:solidFill>
                          <w14:schemeClr w14:val="tx1"/>
                        </w14:solidFill>
                      </w14:textFill>
                    </w:rPr>
                    <w:t>靠近2#水池部分</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雨水流入截排水沟，经截排水沟汇入</w:t>
                  </w:r>
                  <w:r>
                    <w:rPr>
                      <w:rFonts w:hint="eastAsia" w:ascii="Times New Roman" w:hAnsi="Times New Roman" w:cs="Times New Roman"/>
                      <w:color w:val="000000" w:themeColor="text1"/>
                      <w:sz w:val="21"/>
                      <w:szCs w:val="21"/>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水池，</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其余部分收集进入</w:t>
                  </w:r>
                  <w:r>
                    <w:rPr>
                      <w:rFonts w:hint="eastAsia" w:ascii="Times New Roman" w:hAnsi="Times New Roman" w:cs="Times New Roman"/>
                      <w:color w:val="000000" w:themeColor="text1"/>
                      <w:sz w:val="21"/>
                      <w:szCs w:val="21"/>
                      <w:lang w:val="en-US" w:eastAsia="zh-CN"/>
                      <w14:textFill>
                        <w14:solidFill>
                          <w14:schemeClr w14:val="tx1"/>
                        </w14:solidFill>
                      </w14:textFill>
                    </w:rPr>
                    <w:t>6#、10#</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水池</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，沉淀后</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回用于项目区灌溉。</w:t>
                  </w:r>
                </w:p>
              </w:tc>
            </w:tr>
            <w:tr w14:paraId="2EE01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9" w:type="pct"/>
                  <w:vMerge w:val="continue"/>
                  <w:vAlign w:val="center"/>
                </w:tcPr>
                <w:p w14:paraId="48EA8AEA">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both"/>
                    <w:textAlignment w:val="auto"/>
                    <w:rPr>
                      <w:rFonts w:hint="default" w:ascii="宋体" w:hAnsi="宋体" w:eastAsia="宋体"/>
                      <w:color w:val="000000" w:themeColor="text1"/>
                      <w:sz w:val="21"/>
                      <w:szCs w:val="21"/>
                      <w:lang w:val="en-US" w:eastAsia="zh-CN"/>
                      <w14:textFill>
                        <w14:solidFill>
                          <w14:schemeClr w14:val="tx1"/>
                        </w14:solidFill>
                      </w14:textFill>
                    </w:rPr>
                  </w:pPr>
                </w:p>
              </w:tc>
              <w:tc>
                <w:tcPr>
                  <w:tcW w:w="728" w:type="pct"/>
                  <w:vAlign w:val="center"/>
                </w:tcPr>
                <w:p w14:paraId="239F6C56">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both"/>
                    <w:textAlignment w:val="auto"/>
                    <w:rPr>
                      <w:rFonts w:hint="default" w:ascii="宋体" w:hAnsi="宋体" w:eastAsia="宋体"/>
                      <w:color w:val="000000" w:themeColor="text1"/>
                      <w:sz w:val="21"/>
                      <w:szCs w:val="21"/>
                      <w:lang w:val="en-US" w:eastAsia="zh-CN"/>
                      <w14:textFill>
                        <w14:solidFill>
                          <w14:schemeClr w14:val="tx1"/>
                        </w14:solidFill>
                      </w14:textFill>
                    </w:rPr>
                  </w:pPr>
                  <w:r>
                    <w:rPr>
                      <w:rFonts w:hint="default" w:ascii="宋体" w:hAnsi="宋体" w:eastAsia="宋体"/>
                      <w:color w:val="000000" w:themeColor="text1"/>
                      <w:sz w:val="21"/>
                      <w:szCs w:val="21"/>
                      <w:lang w:val="en-US" w:eastAsia="zh-CN"/>
                      <w14:textFill>
                        <w14:solidFill>
                          <w14:schemeClr w14:val="tx1"/>
                        </w14:solidFill>
                      </w14:textFill>
                    </w:rPr>
                    <w:t>运行期噪声污染防治措施</w:t>
                  </w:r>
                </w:p>
              </w:tc>
              <w:tc>
                <w:tcPr>
                  <w:tcW w:w="3811" w:type="pct"/>
                  <w:gridSpan w:val="2"/>
                  <w:vAlign w:val="center"/>
                </w:tcPr>
                <w:p w14:paraId="72B36DDD">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项目运营期产生的噪声主要是苗木修剪设备、水肥中心配置肥料</w:t>
                  </w:r>
                  <w:r>
                    <w:rPr>
                      <w:rFonts w:hint="eastAsia" w:ascii="Times New Roman" w:hAnsi="Times New Roman" w:cs="Times New Roman"/>
                      <w:color w:val="000000" w:themeColor="text1"/>
                      <w:sz w:val="21"/>
                      <w:szCs w:val="21"/>
                      <w:lang w:val="en-US" w:eastAsia="zh-CN"/>
                      <w14:textFill>
                        <w14:solidFill>
                          <w14:schemeClr w14:val="tx1"/>
                        </w14:solidFill>
                      </w14:textFill>
                    </w:rPr>
                    <w:t>及</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灌溉系统水泵噪声</w:t>
                  </w:r>
                  <w:r>
                    <w:rPr>
                      <w:rFonts w:hint="eastAsia" w:ascii="Times New Roman" w:hAnsi="Times New Roman" w:cs="Times New Roman"/>
                      <w:color w:val="000000" w:themeColor="text1"/>
                      <w:sz w:val="21"/>
                      <w:szCs w:val="21"/>
                      <w:lang w:val="en-US" w:eastAsia="zh-CN"/>
                      <w14:textFill>
                        <w14:solidFill>
                          <w14:schemeClr w14:val="tx1"/>
                        </w14:solidFill>
                      </w14:textFill>
                    </w:rPr>
                    <w:t>、机动车交通噪声</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。苗木修剪设备是间歇性运作，</w:t>
                  </w:r>
                  <w:r>
                    <w:rPr>
                      <w:rFonts w:hint="eastAsia" w:ascii="Times New Roman" w:hAnsi="Times New Roman" w:cs="Times New Roman"/>
                      <w:color w:val="000000" w:themeColor="text1"/>
                      <w:sz w:val="21"/>
                      <w:szCs w:val="21"/>
                      <w:lang w:val="en-US" w:eastAsia="zh-CN"/>
                      <w14:textFill>
                        <w14:solidFill>
                          <w14:schemeClr w14:val="tx1"/>
                        </w14:solidFill>
                      </w14:textFill>
                    </w:rPr>
                    <w:t>通过</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距离衰减后对周边环境影响较小；水肥中心配置肥料及灌溉系统水泵</w:t>
                  </w:r>
                  <w:r>
                    <w:rPr>
                      <w:rFonts w:hint="eastAsia" w:ascii="Times New Roman" w:hAnsi="Times New Roman" w:cs="Times New Roman"/>
                      <w:color w:val="000000" w:themeColor="text1"/>
                      <w:sz w:val="21"/>
                      <w:szCs w:val="21"/>
                      <w:lang w:val="en-US" w:eastAsia="zh-CN"/>
                      <w14:textFill>
                        <w14:solidFill>
                          <w14:schemeClr w14:val="tx1"/>
                        </w14:solidFill>
                      </w14:textFill>
                    </w:rPr>
                    <w:t>采取</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基础减振措施，通过距离衰减后对周边环境影响较小。机动车交通噪声</w:t>
                  </w:r>
                  <w:r>
                    <w:rPr>
                      <w:rFonts w:hint="eastAsia" w:ascii="Times New Roman" w:hAnsi="Times New Roman" w:cs="Times New Roman"/>
                      <w:color w:val="000000" w:themeColor="text1"/>
                      <w:sz w:val="21"/>
                      <w:szCs w:val="21"/>
                      <w:lang w:val="en-US" w:eastAsia="zh-CN"/>
                      <w14:textFill>
                        <w14:solidFill>
                          <w14:schemeClr w14:val="tx1"/>
                        </w14:solidFill>
                      </w14:textFill>
                    </w:rPr>
                    <w:t>通过采取低速行驶，减少鸣笛等措施后，再</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通过距离衰减后对周边环境影响较小。</w:t>
                  </w:r>
                </w:p>
              </w:tc>
            </w:tr>
            <w:tr w14:paraId="11665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3" w:hRule="atLeast"/>
                <w:jc w:val="center"/>
              </w:trPr>
              <w:tc>
                <w:tcPr>
                  <w:tcW w:w="459" w:type="pct"/>
                  <w:vMerge w:val="continue"/>
                  <w:vAlign w:val="center"/>
                </w:tcPr>
                <w:p w14:paraId="3AF1AC8F">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both"/>
                    <w:textAlignment w:val="auto"/>
                    <w:rPr>
                      <w:rFonts w:hint="default" w:ascii="宋体" w:hAnsi="宋体" w:eastAsia="宋体"/>
                      <w:color w:val="000000" w:themeColor="text1"/>
                      <w:sz w:val="21"/>
                      <w:szCs w:val="21"/>
                      <w:lang w:val="en-US" w:eastAsia="zh-CN"/>
                      <w14:textFill>
                        <w14:solidFill>
                          <w14:schemeClr w14:val="tx1"/>
                        </w14:solidFill>
                      </w14:textFill>
                    </w:rPr>
                  </w:pPr>
                </w:p>
              </w:tc>
              <w:tc>
                <w:tcPr>
                  <w:tcW w:w="728" w:type="pct"/>
                  <w:vAlign w:val="center"/>
                </w:tcPr>
                <w:p w14:paraId="6C0A4B42">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both"/>
                    <w:textAlignment w:val="auto"/>
                    <w:rPr>
                      <w:rFonts w:hint="default" w:ascii="宋体" w:hAnsi="宋体" w:eastAsia="宋体"/>
                      <w:color w:val="000000" w:themeColor="text1"/>
                      <w:sz w:val="21"/>
                      <w:szCs w:val="21"/>
                      <w:lang w:val="en-US" w:eastAsia="zh-CN"/>
                      <w14:textFill>
                        <w14:solidFill>
                          <w14:schemeClr w14:val="tx1"/>
                        </w14:solidFill>
                      </w14:textFill>
                    </w:rPr>
                  </w:pPr>
                  <w:r>
                    <w:rPr>
                      <w:rFonts w:hint="default" w:ascii="宋体" w:hAnsi="宋体" w:eastAsia="宋体"/>
                      <w:color w:val="000000" w:themeColor="text1"/>
                      <w:sz w:val="21"/>
                      <w:szCs w:val="21"/>
                      <w:lang w:val="en-US" w:eastAsia="zh-CN"/>
                      <w14:textFill>
                        <w14:solidFill>
                          <w14:schemeClr w14:val="tx1"/>
                        </w14:solidFill>
                      </w14:textFill>
                    </w:rPr>
                    <w:t>运行期固体废物污染防治</w:t>
                  </w:r>
                </w:p>
              </w:tc>
              <w:tc>
                <w:tcPr>
                  <w:tcW w:w="3811" w:type="pct"/>
                  <w:gridSpan w:val="2"/>
                  <w:vAlign w:val="center"/>
                </w:tcPr>
                <w:p w14:paraId="2143CD8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①果木林修剪产生的残枝败叶，直径≥5cm的外售给木炭加工和生物质燃料企业；直径＜5cm的就地切碎埋入土壤做肥料</w:t>
                  </w:r>
                  <w:r>
                    <w:rPr>
                      <w:rFonts w:hint="eastAsia" w:ascii="Times New Roman" w:hAnsi="Times New Roman" w:cs="Times New Roman"/>
                      <w:color w:val="000000" w:themeColor="text1"/>
                      <w:sz w:val="21"/>
                      <w:szCs w:val="21"/>
                      <w:lang w:val="en-US" w:eastAsia="zh-CN"/>
                      <w14:textFill>
                        <w14:solidFill>
                          <w14:schemeClr w14:val="tx1"/>
                        </w14:solidFill>
                      </w14:textFill>
                    </w:rPr>
                    <w:t>，禁止在项目区内进行焚烧处置</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p>
                <w:p w14:paraId="22B17FA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②苗木栽植前拆除的废包装材料，在施工区域内集中收集，委托环卫部门清运处置。</w:t>
                  </w:r>
                </w:p>
                <w:p w14:paraId="7808EF1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③补植区挖除的未成活苗木和杂草，就地切碎埋入土壤中发酵成肥料。</w:t>
                  </w:r>
                </w:p>
                <w:p w14:paraId="465C18E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④大棚主体及薄膜废弃物：项目种植过程中蓝莓、三七、羊肚菌种植使用大棚技术，因雨淋、日晒等自然因素和人为因素操作不当会造成大棚损坏，且大棚使用中容易老化，在这部分废弃物中，钢架等材料售卖给废旧资源回收单位；薄膜等塑料废弃物集中能回收利用的回收利用，不能回收利用的</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并入附近村庄生活垃圾收集点</w:t>
                  </w:r>
                  <w:r>
                    <w:rPr>
                      <w:rFonts w:hint="eastAsia" w:ascii="Times New Roman" w:hAnsi="Times New Roman" w:cs="Times New Roman"/>
                      <w:color w:val="000000" w:themeColor="text1"/>
                      <w:sz w:val="21"/>
                      <w:szCs w:val="21"/>
                      <w:lang w:val="en-US" w:eastAsia="zh-CN"/>
                      <w14:textFill>
                        <w14:solidFill>
                          <w14:schemeClr w14:val="tx1"/>
                        </w14:solidFill>
                      </w14:textFill>
                    </w:rPr>
                    <w:t>，</w:t>
                  </w:r>
                  <w:r>
                    <w:rPr>
                      <w:rFonts w:hint="eastAsia" w:ascii="Times New Roman" w:hAnsi="Times New Roman" w:cs="Times New Roman"/>
                      <w:b w:val="0"/>
                      <w:bCs/>
                      <w:color w:val="000000" w:themeColor="text1"/>
                      <w:sz w:val="21"/>
                      <w:szCs w:val="21"/>
                      <w:lang w:val="en-US" w:eastAsia="zh-CN"/>
                      <w14:textFill>
                        <w14:solidFill>
                          <w14:schemeClr w14:val="tx1"/>
                        </w14:solidFill>
                      </w14:textFill>
                    </w:rPr>
                    <w:t>由当地环卫部门统一清运处置</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p>
                <w:p w14:paraId="28133D9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⑤水肥原料包装袋：收集后暂存于水肥中心，定期外售给废品回收站。</w:t>
                  </w:r>
                </w:p>
                <w:p w14:paraId="2843943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⑥农药包装袋：农药废包装容器在收集、运输、处置阶段应依据《农药包装废弃物回收处理管理办法》中</w:t>
                  </w:r>
                  <w:r>
                    <w:rPr>
                      <w:rFonts w:hint="eastAsia" w:ascii="Times New Roman" w:hAnsi="Times New Roman" w:cs="Times New Roman"/>
                      <w:color w:val="000000" w:themeColor="text1"/>
                      <w:sz w:val="21"/>
                      <w:szCs w:val="21"/>
                      <w:lang w:val="en-US" w:eastAsia="zh-CN"/>
                      <w14:textFill>
                        <w14:solidFill>
                          <w14:schemeClr w14:val="tx1"/>
                        </w14:solidFill>
                      </w14:textFill>
                    </w:rPr>
                    <w:t>的</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相关要求进行收集、运输、处置，</w:t>
                  </w:r>
                  <w:r>
                    <w:rPr>
                      <w:rFonts w:hint="eastAsia" w:ascii="Times New Roman" w:hAnsi="Times New Roman" w:cs="Times New Roman"/>
                      <w:color w:val="000000" w:themeColor="text1"/>
                      <w:sz w:val="21"/>
                      <w:szCs w:val="21"/>
                      <w:lang w:val="en-US" w:eastAsia="zh-CN"/>
                      <w14:textFill>
                        <w14:solidFill>
                          <w14:schemeClr w14:val="tx1"/>
                        </w14:solidFill>
                      </w14:textFill>
                    </w:rPr>
                    <w:t>项目农药配制过程中，农药瓶身反复冲洗配置，收集装入防渗密闭的塑料桶内后</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定期委托农药经营部回收处置。</w:t>
                  </w:r>
                </w:p>
                <w:p w14:paraId="7185E61D">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⑦生活垃圾分类收集后暂存于垃圾收集点，并入附近村庄生活垃圾收集点统一处置。</w:t>
                  </w:r>
                </w:p>
              </w:tc>
            </w:tr>
            <w:tr w14:paraId="2218D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9" w:type="pct"/>
                  <w:vMerge w:val="continue"/>
                  <w:vAlign w:val="center"/>
                </w:tcPr>
                <w:p w14:paraId="1EB3BFE5">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both"/>
                    <w:textAlignment w:val="auto"/>
                    <w:rPr>
                      <w:rFonts w:hint="default" w:ascii="宋体" w:hAnsi="宋体" w:eastAsia="宋体"/>
                      <w:color w:val="000000" w:themeColor="text1"/>
                      <w:sz w:val="21"/>
                      <w:szCs w:val="21"/>
                      <w:lang w:val="en-US" w:eastAsia="zh-CN"/>
                      <w14:textFill>
                        <w14:solidFill>
                          <w14:schemeClr w14:val="tx1"/>
                        </w14:solidFill>
                      </w14:textFill>
                    </w:rPr>
                  </w:pPr>
                </w:p>
              </w:tc>
              <w:tc>
                <w:tcPr>
                  <w:tcW w:w="728" w:type="pct"/>
                  <w:shd w:val="clear" w:color="auto" w:fill="auto"/>
                  <w:vAlign w:val="center"/>
                </w:tcPr>
                <w:p w14:paraId="2A82F3E2">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both"/>
                    <w:textAlignment w:val="auto"/>
                    <w:rPr>
                      <w:rFonts w:hint="default" w:ascii="宋体" w:hAnsi="宋体" w:eastAsia="宋体"/>
                      <w:color w:val="000000" w:themeColor="text1"/>
                      <w:sz w:val="21"/>
                      <w:szCs w:val="21"/>
                      <w:lang w:val="en-US" w:eastAsia="zh-CN"/>
                      <w14:textFill>
                        <w14:solidFill>
                          <w14:schemeClr w14:val="tx1"/>
                        </w14:solidFill>
                      </w14:textFill>
                    </w:rPr>
                  </w:pPr>
                  <w:r>
                    <w:rPr>
                      <w:rFonts w:hint="default" w:ascii="宋体" w:hAnsi="宋体" w:eastAsia="宋体"/>
                      <w:color w:val="000000" w:themeColor="text1"/>
                      <w:sz w:val="21"/>
                      <w:szCs w:val="21"/>
                      <w:lang w:val="en-US" w:eastAsia="zh-CN"/>
                      <w14:textFill>
                        <w14:solidFill>
                          <w14:schemeClr w14:val="tx1"/>
                        </w14:solidFill>
                      </w14:textFill>
                    </w:rPr>
                    <w:t>运营期生态环境保护措施</w:t>
                  </w:r>
                </w:p>
              </w:tc>
              <w:tc>
                <w:tcPr>
                  <w:tcW w:w="3811" w:type="pct"/>
                  <w:gridSpan w:val="2"/>
                  <w:shd w:val="clear" w:color="auto" w:fill="auto"/>
                  <w:vAlign w:val="center"/>
                </w:tcPr>
                <w:p w14:paraId="3B2F195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①</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项目建设应严格控制项目占地范围，按照项目规划布局进行建设，对评价区的硬叶常绿阔叶林进行严格保护、严禁对硬叶常绿阔叶林</w:t>
                  </w:r>
                  <w:r>
                    <w:rPr>
                      <w:rFonts w:hint="eastAsia" w:ascii="Times New Roman" w:hAnsi="Times New Roman" w:cs="Times New Roman"/>
                      <w:color w:val="000000" w:themeColor="text1"/>
                      <w:sz w:val="21"/>
                      <w:szCs w:val="21"/>
                      <w:lang w:val="en-US" w:eastAsia="zh-CN"/>
                      <w14:textFill>
                        <w14:solidFill>
                          <w14:schemeClr w14:val="tx1"/>
                        </w14:solidFill>
                      </w14:textFill>
                    </w:rPr>
                    <w:t>进行</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破坏。</w:t>
                  </w:r>
                </w:p>
                <w:p w14:paraId="29EFC81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②</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注意种植整地的方式。根据种植技术要求，采用沿地势坡向林下整地做床，相隔一定距离沿等高线开挖截排水沟，带状整地中间保留一定的原生植被，并采用减少地表径流的汇集，减少水土流失，也可以保水保肥。</w:t>
                  </w:r>
                </w:p>
                <w:p w14:paraId="177353D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③</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在运营</w:t>
                  </w:r>
                  <w:r>
                    <w:rPr>
                      <w:rFonts w:hint="eastAsia" w:ascii="Times New Roman" w:hAnsi="Times New Roman" w:cs="Times New Roman"/>
                      <w:color w:val="000000" w:themeColor="text1"/>
                      <w:sz w:val="21"/>
                      <w:szCs w:val="21"/>
                      <w:lang w:val="en-US" w:eastAsia="zh-CN"/>
                      <w14:textFill>
                        <w14:solidFill>
                          <w14:schemeClr w14:val="tx1"/>
                        </w14:solidFill>
                      </w14:textFill>
                    </w:rPr>
                    <w:t>期间</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减少对动物栖息地生态环境的破坏行为，</w:t>
                  </w:r>
                  <w:r>
                    <w:rPr>
                      <w:rFonts w:hint="eastAsia" w:ascii="Times New Roman" w:hAnsi="Times New Roman" w:cs="Times New Roman"/>
                      <w:color w:val="000000" w:themeColor="text1"/>
                      <w:sz w:val="21"/>
                      <w:szCs w:val="21"/>
                      <w:lang w:val="en-US" w:eastAsia="zh-CN"/>
                      <w14:textFill>
                        <w14:solidFill>
                          <w14:schemeClr w14:val="tx1"/>
                        </w14:solidFill>
                      </w14:textFill>
                    </w:rPr>
                    <w:t>加强</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人员管理，杜绝工作人员私自制造狩猎工具和捕杀野生动物</w:t>
                  </w:r>
                  <w:r>
                    <w:rPr>
                      <w:rFonts w:hint="eastAsia" w:ascii="Times New Roman" w:hAnsi="Times New Roman" w:cs="Times New Roman"/>
                      <w:color w:val="000000" w:themeColor="text1"/>
                      <w:sz w:val="21"/>
                      <w:szCs w:val="21"/>
                      <w:lang w:val="en-US" w:eastAsia="zh-CN"/>
                      <w14:textFill>
                        <w14:solidFill>
                          <w14:schemeClr w14:val="tx1"/>
                        </w14:solidFill>
                      </w14:textFill>
                    </w:rPr>
                    <w:t>。</w:t>
                  </w:r>
                </w:p>
                <w:p w14:paraId="0B57211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④</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严格运营期项目场区烟火管理，防止森林火灾的发生。</w:t>
                  </w:r>
                </w:p>
                <w:p w14:paraId="7E59D6C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⑤</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加强工作人员对野生动物和生态环境的保护意识教育，若</w:t>
                  </w:r>
                  <w:r>
                    <w:rPr>
                      <w:rFonts w:hint="eastAsia" w:ascii="Times New Roman" w:hAnsi="Times New Roman" w:cs="Times New Roman"/>
                      <w:color w:val="000000" w:themeColor="text1"/>
                      <w:sz w:val="21"/>
                      <w:szCs w:val="21"/>
                      <w:lang w:val="en-US" w:eastAsia="zh-CN"/>
                      <w14:textFill>
                        <w14:solidFill>
                          <w14:schemeClr w14:val="tx1"/>
                        </w14:solidFill>
                      </w14:textFill>
                    </w:rPr>
                    <w:t>遇到</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幼兽或受伤的兽类，应交给林草局的专业人员，不得擅自处理；设置保护动物的警示牌。</w:t>
                  </w:r>
                </w:p>
              </w:tc>
            </w:tr>
            <w:tr w14:paraId="20A5E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9" w:type="pct"/>
                  <w:vMerge w:val="continue"/>
                  <w:vAlign w:val="center"/>
                </w:tcPr>
                <w:p w14:paraId="168F9528">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both"/>
                    <w:textAlignment w:val="auto"/>
                    <w:rPr>
                      <w:rFonts w:hint="default" w:ascii="宋体" w:hAnsi="宋体" w:eastAsia="宋体"/>
                      <w:color w:val="000000" w:themeColor="text1"/>
                      <w:sz w:val="21"/>
                      <w:szCs w:val="21"/>
                      <w:lang w:val="en-US" w:eastAsia="zh-CN"/>
                      <w14:textFill>
                        <w14:solidFill>
                          <w14:schemeClr w14:val="tx1"/>
                        </w14:solidFill>
                      </w14:textFill>
                    </w:rPr>
                  </w:pPr>
                </w:p>
              </w:tc>
              <w:tc>
                <w:tcPr>
                  <w:tcW w:w="728" w:type="pct"/>
                  <w:shd w:val="clear" w:color="auto" w:fill="auto"/>
                  <w:vAlign w:val="center"/>
                </w:tcPr>
                <w:p w14:paraId="776315DF">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both"/>
                    <w:textAlignment w:val="auto"/>
                    <w:rPr>
                      <w:rFonts w:hint="default" w:ascii="宋体" w:hAnsi="宋体" w:eastAsia="宋体"/>
                      <w:color w:val="000000" w:themeColor="text1"/>
                      <w:sz w:val="21"/>
                      <w:szCs w:val="21"/>
                      <w:lang w:val="en-US" w:eastAsia="zh-CN"/>
                      <w14:textFill>
                        <w14:solidFill>
                          <w14:schemeClr w14:val="tx1"/>
                        </w14:solidFill>
                      </w14:textFill>
                    </w:rPr>
                  </w:pPr>
                  <w:r>
                    <w:rPr>
                      <w:rFonts w:hint="default" w:ascii="宋体" w:hAnsi="宋体" w:eastAsia="宋体"/>
                      <w:color w:val="000000" w:themeColor="text1"/>
                      <w:sz w:val="21"/>
                      <w:szCs w:val="21"/>
                      <w:lang w:val="en-US" w:eastAsia="zh-CN"/>
                      <w14:textFill>
                        <w14:solidFill>
                          <w14:schemeClr w14:val="tx1"/>
                        </w14:solidFill>
                      </w14:textFill>
                    </w:rPr>
                    <w:t>其他环境保护措施</w:t>
                  </w:r>
                </w:p>
              </w:tc>
              <w:tc>
                <w:tcPr>
                  <w:tcW w:w="3811" w:type="pct"/>
                  <w:gridSpan w:val="2"/>
                  <w:shd w:val="clear" w:color="auto" w:fill="auto"/>
                  <w:vAlign w:val="center"/>
                </w:tcPr>
                <w:p w14:paraId="208F786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蓝莓、三七、羊肚菌、桃树、苹果树日常维护应做到以下措施：</w:t>
                  </w:r>
                </w:p>
                <w:p w14:paraId="0EDFC51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①</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科学施肥</w:t>
                  </w:r>
                </w:p>
                <w:p w14:paraId="308F9350">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合理选肥：依据水果生长需求和土壤肥力，优先</w:t>
                  </w:r>
                  <w:r>
                    <w:rPr>
                      <w:rFonts w:hint="eastAsia" w:ascii="Times New Roman" w:hAnsi="Times New Roman" w:cs="Times New Roman"/>
                      <w:color w:val="000000" w:themeColor="text1"/>
                      <w:sz w:val="21"/>
                      <w:szCs w:val="21"/>
                      <w:lang w:val="en-US" w:eastAsia="zh-CN"/>
                      <w14:textFill>
                        <w14:solidFill>
                          <w14:schemeClr w14:val="tx1"/>
                        </w14:solidFill>
                      </w14:textFill>
                    </w:rPr>
                    <w:t>选用</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有机肥、生物肥等绿色肥料，减少化肥用量。</w:t>
                  </w:r>
                </w:p>
                <w:p w14:paraId="6DCED75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精准施肥：运用测土配方施肥技术，根据土壤测试结果和养分需求确定合理施肥量与时间，避免过量和盲目施肥。</w:t>
                  </w:r>
                </w:p>
                <w:p w14:paraId="3A08EE1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改进方法：采用深施、分层施肥等提高肥料利用率，减少流失浪费。</w:t>
                  </w:r>
                </w:p>
                <w:p w14:paraId="3B5448E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②</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合理使用农药</w:t>
                  </w:r>
                </w:p>
                <w:p w14:paraId="2EABE93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综合防治：采用农业、物理、生物防治等措施减少农药用量，如轮作、间作、套种改善土壤生态，黄板、蓝板、性诱剂诱杀害虫，利用天敌、生物农药控制病虫害。</w:t>
                  </w:r>
                </w:p>
                <w:p w14:paraId="0D89C3E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精准施药：根据病虫害发生情况和农药特性确定合理施药剂量与时间，避免过量和盲目施药。</w:t>
                  </w:r>
                </w:p>
                <w:p w14:paraId="391516C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选低毒低残留农药：优先选择低毒、低残留品种，减少对环境和人体健康危害。</w:t>
                  </w:r>
                </w:p>
              </w:tc>
            </w:tr>
          </w:tbl>
          <w:p w14:paraId="5DDABC47">
            <w:pPr>
              <w:pStyle w:val="37"/>
              <w:keepNext w:val="0"/>
              <w:keepLines w:val="0"/>
              <w:pageBreakBefore w:val="0"/>
              <w:widowControl w:val="0"/>
              <w:kinsoku/>
              <w:wordWrap/>
              <w:overflowPunct/>
              <w:topLinePunct w:val="0"/>
              <w:autoSpaceDE/>
              <w:autoSpaceDN/>
              <w:bidi w:val="0"/>
              <w:adjustRightInd w:val="0"/>
              <w:snapToGrid w:val="0"/>
              <w:jc w:val="both"/>
              <w:textAlignment w:val="auto"/>
              <w:rPr>
                <w:rFonts w:hint="default"/>
                <w:color w:val="000000" w:themeColor="text1"/>
                <w14:textFill>
                  <w14:solidFill>
                    <w14:schemeClr w14:val="tx1"/>
                  </w14:solidFill>
                </w14:textFill>
              </w:rPr>
            </w:pPr>
          </w:p>
          <w:p w14:paraId="516CDAC8">
            <w:pPr>
              <w:keepNext w:val="0"/>
              <w:keepLines w:val="0"/>
              <w:pageBreakBefore w:val="0"/>
              <w:widowControl w:val="0"/>
              <w:kinsoku/>
              <w:wordWrap/>
              <w:overflowPunct/>
              <w:topLinePunct w:val="0"/>
              <w:autoSpaceDE/>
              <w:autoSpaceDN/>
              <w:bidi w:val="0"/>
              <w:adjustRightInd w:val="0"/>
              <w:snapToGrid w:val="0"/>
              <w:ind w:left="0" w:leftChars="0" w:firstLine="0" w:firstLineChars="0"/>
              <w:jc w:val="both"/>
              <w:textAlignment w:val="auto"/>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三</w:t>
            </w:r>
            <w:r>
              <w:rPr>
                <w:rFonts w:hint="default" w:ascii="Times New Roman" w:hAnsi="Times New Roman" w:eastAsia="宋体" w:cs="Times New Roman"/>
                <w:b/>
                <w:bCs/>
                <w:color w:val="000000" w:themeColor="text1"/>
                <w:lang w:val="en-US" w:eastAsia="zh-CN"/>
                <w14:textFill>
                  <w14:solidFill>
                    <w14:schemeClr w14:val="tx1"/>
                  </w14:solidFill>
                </w14:textFill>
              </w:rPr>
              <w:t>、本项目主要工程参数</w:t>
            </w:r>
          </w:p>
          <w:p w14:paraId="292B04AB">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本项目</w:t>
            </w:r>
            <w:bookmarkStart w:id="5" w:name="OLE_LINK2"/>
            <w:r>
              <w:rPr>
                <w:rFonts w:hint="default" w:ascii="Times New Roman" w:hAnsi="Times New Roman" w:eastAsia="宋体" w:cs="Times New Roman"/>
                <w:color w:val="000000" w:themeColor="text1"/>
                <w:sz w:val="24"/>
                <w:szCs w:val="24"/>
                <w:lang w:val="en-US" w:eastAsia="zh-CN"/>
                <w14:textFill>
                  <w14:solidFill>
                    <w14:schemeClr w14:val="tx1"/>
                  </w14:solidFill>
                </w14:textFill>
              </w:rPr>
              <w:t>主要工程参数</w:t>
            </w:r>
            <w:bookmarkEnd w:id="5"/>
            <w:r>
              <w:rPr>
                <w:rFonts w:hint="default" w:ascii="Times New Roman" w:hAnsi="Times New Roman" w:eastAsia="宋体" w:cs="Times New Roman"/>
                <w:color w:val="000000" w:themeColor="text1"/>
                <w:sz w:val="24"/>
                <w:szCs w:val="24"/>
                <w:lang w:val="en-US" w:eastAsia="zh-CN"/>
                <w14:textFill>
                  <w14:solidFill>
                    <w14:schemeClr w14:val="tx1"/>
                  </w14:solidFill>
                </w14:textFill>
              </w:rPr>
              <w:t>见下表。</w:t>
            </w:r>
          </w:p>
          <w:p w14:paraId="246FC621">
            <w:pPr>
              <w:keepNext w:val="0"/>
              <w:keepLines w:val="0"/>
              <w:pageBreakBefore w:val="0"/>
              <w:widowControl w:val="0"/>
              <w:tabs>
                <w:tab w:val="left" w:pos="4830"/>
              </w:tabs>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000000" w:themeColor="text1"/>
                <w:sz w:val="21"/>
                <w:szCs w:val="21"/>
                <w:lang w:eastAsia="zh-CN"/>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表</w:t>
            </w: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2-</w:t>
            </w:r>
            <w:r>
              <w:rPr>
                <w:rFonts w:hint="eastAsia" w:ascii="Times New Roman" w:hAnsi="Times New Roman" w:cs="Times New Roman"/>
                <w:b/>
                <w:bCs/>
                <w:color w:val="000000" w:themeColor="text1"/>
                <w:sz w:val="21"/>
                <w:szCs w:val="21"/>
                <w:lang w:val="en-US" w:eastAsia="zh-CN"/>
                <w14:textFill>
                  <w14:solidFill>
                    <w14:schemeClr w14:val="tx1"/>
                  </w14:solidFill>
                </w14:textFill>
              </w:rPr>
              <w:t xml:space="preserve">4    </w:t>
            </w:r>
            <w:r>
              <w:rPr>
                <w:rFonts w:hint="default" w:ascii="Times New Roman" w:hAnsi="Times New Roman" w:eastAsia="宋体" w:cs="Times New Roman"/>
                <w:b/>
                <w:bCs/>
                <w:color w:val="000000" w:themeColor="text1"/>
                <w:sz w:val="21"/>
                <w:szCs w:val="21"/>
                <w14:textFill>
                  <w14:solidFill>
                    <w14:schemeClr w14:val="tx1"/>
                  </w14:solidFill>
                </w14:textFill>
              </w:rPr>
              <w:t>项目主要工程参数</w:t>
            </w:r>
            <w:r>
              <w:rPr>
                <w:rFonts w:hint="default" w:ascii="Times New Roman" w:hAnsi="Times New Roman" w:eastAsia="宋体" w:cs="Times New Roman"/>
                <w:b/>
                <w:bCs/>
                <w:color w:val="000000" w:themeColor="text1"/>
                <w:sz w:val="21"/>
                <w:szCs w:val="21"/>
                <w:lang w:eastAsia="zh-CN"/>
                <w14:textFill>
                  <w14:solidFill>
                    <w14:schemeClr w14:val="tx1"/>
                  </w14:solidFill>
                </w14:textFill>
              </w:rPr>
              <w:t>表</w:t>
            </w:r>
          </w:p>
          <w:tbl>
            <w:tblPr>
              <w:tblStyle w:val="26"/>
              <w:tblW w:w="491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07"/>
              <w:gridCol w:w="1847"/>
              <w:gridCol w:w="1841"/>
              <w:gridCol w:w="3503"/>
            </w:tblGrid>
            <w:tr w14:paraId="23F6F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389" w:type="pct"/>
                  <w:shd w:val="clear" w:color="auto" w:fill="auto"/>
                  <w:vAlign w:val="center"/>
                </w:tcPr>
                <w:p w14:paraId="1DF3DACA">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序号</w:t>
                  </w:r>
                </w:p>
              </w:tc>
              <w:tc>
                <w:tcPr>
                  <w:tcW w:w="1184" w:type="pct"/>
                  <w:shd w:val="clear" w:color="auto" w:fill="auto"/>
                  <w:vAlign w:val="center"/>
                </w:tcPr>
                <w:p w14:paraId="5FEE1824">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名称</w:t>
                  </w:r>
                </w:p>
              </w:tc>
              <w:tc>
                <w:tcPr>
                  <w:tcW w:w="1180" w:type="pct"/>
                  <w:shd w:val="clear" w:color="auto" w:fill="auto"/>
                  <w:vAlign w:val="center"/>
                </w:tcPr>
                <w:p w14:paraId="1F018031">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数量</w:t>
                  </w:r>
                </w:p>
              </w:tc>
              <w:tc>
                <w:tcPr>
                  <w:tcW w:w="2246" w:type="pct"/>
                  <w:shd w:val="clear" w:color="auto" w:fill="auto"/>
                  <w:vAlign w:val="center"/>
                </w:tcPr>
                <w:p w14:paraId="414612EA">
                  <w:pPr>
                    <w:keepNext w:val="0"/>
                    <w:keepLines w:val="0"/>
                    <w:pageBreakBefore w:val="0"/>
                    <w:widowControl w:val="0"/>
                    <w:kinsoku/>
                    <w:wordWrap/>
                    <w:overflowPunct/>
                    <w:topLinePunct w:val="0"/>
                    <w:autoSpaceDE/>
                    <w:autoSpaceDN/>
                    <w:bidi w:val="0"/>
                    <w:adjustRightInd w:val="0"/>
                    <w:snapToGrid/>
                    <w:spacing w:line="240" w:lineRule="auto"/>
                    <w:ind w:left="0" w:leftChars="0" w:firstLine="0" w:firstLineChars="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备注</w:t>
                  </w:r>
                </w:p>
              </w:tc>
            </w:tr>
            <w:tr w14:paraId="698CD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389" w:type="pct"/>
                  <w:vMerge w:val="restart"/>
                  <w:shd w:val="clear" w:color="auto" w:fill="auto"/>
                  <w:vAlign w:val="center"/>
                </w:tcPr>
                <w:p w14:paraId="3778F46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一</w:t>
                  </w:r>
                </w:p>
              </w:tc>
              <w:tc>
                <w:tcPr>
                  <w:tcW w:w="1184" w:type="pct"/>
                  <w:vMerge w:val="restart"/>
                  <w:shd w:val="clear" w:color="auto" w:fill="auto"/>
                  <w:vAlign w:val="center"/>
                </w:tcPr>
                <w:p w14:paraId="5B11037A">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种植面积</w:t>
                  </w:r>
                </w:p>
              </w:tc>
              <w:tc>
                <w:tcPr>
                  <w:tcW w:w="1180" w:type="pct"/>
                  <w:vMerge w:val="restart"/>
                  <w:shd w:val="clear" w:color="auto" w:fill="auto"/>
                  <w:vAlign w:val="center"/>
                </w:tcPr>
                <w:p w14:paraId="209158D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1283.88亩（一片区262.51亩，二片区1021.37亩）</w:t>
                  </w:r>
                </w:p>
              </w:tc>
              <w:tc>
                <w:tcPr>
                  <w:tcW w:w="2246" w:type="pct"/>
                  <w:shd w:val="clear" w:color="auto" w:fill="auto"/>
                  <w:noWrap/>
                  <w:vAlign w:val="center"/>
                </w:tcPr>
                <w:p w14:paraId="6661018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蓝莓380.28亩（一片区：135.68亩；二片区：244.6亩）</w:t>
                  </w:r>
                </w:p>
              </w:tc>
            </w:tr>
            <w:tr w14:paraId="351C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89" w:type="pct"/>
                  <w:vMerge w:val="continue"/>
                  <w:shd w:val="clear" w:color="auto" w:fill="auto"/>
                  <w:vAlign w:val="center"/>
                </w:tcPr>
                <w:p w14:paraId="2AB220D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1184" w:type="pct"/>
                  <w:vMerge w:val="continue"/>
                  <w:shd w:val="clear" w:color="auto" w:fill="auto"/>
                  <w:vAlign w:val="center"/>
                </w:tcPr>
                <w:p w14:paraId="647628D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1180" w:type="pct"/>
                  <w:vMerge w:val="continue"/>
                  <w:shd w:val="clear" w:color="auto" w:fill="auto"/>
                  <w:vAlign w:val="center"/>
                </w:tcPr>
                <w:p w14:paraId="3F50C0E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2246" w:type="pct"/>
                  <w:shd w:val="clear" w:color="auto" w:fill="auto"/>
                  <w:noWrap/>
                  <w:vAlign w:val="center"/>
                </w:tcPr>
                <w:p w14:paraId="78AADE9B">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羊肚菌465.29亩（一片区：74.11亩；二片区：391.18亩）</w:t>
                  </w:r>
                </w:p>
              </w:tc>
            </w:tr>
            <w:tr w14:paraId="7F408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89" w:type="pct"/>
                  <w:vMerge w:val="continue"/>
                  <w:shd w:val="clear" w:color="auto" w:fill="auto"/>
                  <w:vAlign w:val="center"/>
                </w:tcPr>
                <w:p w14:paraId="3E91DDC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1184" w:type="pct"/>
                  <w:vMerge w:val="continue"/>
                  <w:shd w:val="clear" w:color="auto" w:fill="auto"/>
                  <w:vAlign w:val="center"/>
                </w:tcPr>
                <w:p w14:paraId="65C2C9A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1180" w:type="pct"/>
                  <w:vMerge w:val="continue"/>
                  <w:shd w:val="clear" w:color="auto" w:fill="auto"/>
                  <w:vAlign w:val="center"/>
                </w:tcPr>
                <w:p w14:paraId="282D506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2246" w:type="pct"/>
                  <w:shd w:val="clear" w:color="auto" w:fill="auto"/>
                  <w:noWrap/>
                  <w:vAlign w:val="center"/>
                </w:tcPr>
                <w:p w14:paraId="67C2FAF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三七385.59亩（二片区：385.59亩）</w:t>
                  </w:r>
                </w:p>
              </w:tc>
            </w:tr>
            <w:tr w14:paraId="492C8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389" w:type="pct"/>
                  <w:vMerge w:val="continue"/>
                  <w:shd w:val="clear" w:color="auto" w:fill="auto"/>
                  <w:vAlign w:val="center"/>
                </w:tcPr>
                <w:p w14:paraId="6F25DB4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1184" w:type="pct"/>
                  <w:vMerge w:val="continue"/>
                  <w:shd w:val="clear" w:color="auto" w:fill="auto"/>
                  <w:vAlign w:val="center"/>
                </w:tcPr>
                <w:p w14:paraId="5BFD9C7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1180" w:type="pct"/>
                  <w:vMerge w:val="continue"/>
                  <w:shd w:val="clear" w:color="auto" w:fill="auto"/>
                  <w:vAlign w:val="center"/>
                </w:tcPr>
                <w:p w14:paraId="4F8D892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2246" w:type="pct"/>
                  <w:shd w:val="clear" w:color="auto" w:fill="auto"/>
                  <w:noWrap/>
                  <w:vAlign w:val="center"/>
                </w:tcPr>
                <w:p w14:paraId="4E17205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桃树27.24亩（一片区：27.24亩）</w:t>
                  </w:r>
                </w:p>
              </w:tc>
            </w:tr>
            <w:tr w14:paraId="0ED33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389" w:type="pct"/>
                  <w:vMerge w:val="continue"/>
                  <w:shd w:val="clear" w:color="auto" w:fill="auto"/>
                  <w:vAlign w:val="center"/>
                </w:tcPr>
                <w:p w14:paraId="1C323E6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1184" w:type="pct"/>
                  <w:vMerge w:val="continue"/>
                  <w:shd w:val="clear" w:color="auto" w:fill="auto"/>
                  <w:vAlign w:val="center"/>
                </w:tcPr>
                <w:p w14:paraId="76B09AE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1180" w:type="pct"/>
                  <w:vMerge w:val="continue"/>
                  <w:shd w:val="clear" w:color="auto" w:fill="auto"/>
                  <w:vAlign w:val="center"/>
                </w:tcPr>
                <w:p w14:paraId="0077587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2246" w:type="pct"/>
                  <w:shd w:val="clear" w:color="auto" w:fill="auto"/>
                  <w:noWrap/>
                  <w:vAlign w:val="center"/>
                </w:tcPr>
                <w:p w14:paraId="501599BB">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苹果树25.48亩（一片区：25.48亩）</w:t>
                  </w:r>
                </w:p>
              </w:tc>
            </w:tr>
            <w:tr w14:paraId="56036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389" w:type="pct"/>
                  <w:shd w:val="clear" w:color="auto" w:fill="auto"/>
                  <w:vAlign w:val="center"/>
                </w:tcPr>
                <w:p w14:paraId="6CFC50C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二</w:t>
                  </w:r>
                </w:p>
              </w:tc>
              <w:tc>
                <w:tcPr>
                  <w:tcW w:w="4610" w:type="pct"/>
                  <w:gridSpan w:val="3"/>
                  <w:shd w:val="clear" w:color="auto" w:fill="auto"/>
                  <w:vAlign w:val="center"/>
                </w:tcPr>
                <w:p w14:paraId="483B97A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基础设施和支撑体系</w:t>
                  </w:r>
                </w:p>
              </w:tc>
            </w:tr>
            <w:tr w14:paraId="099AE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389" w:type="pct"/>
                  <w:shd w:val="clear" w:color="auto" w:fill="auto"/>
                  <w:vAlign w:val="center"/>
                </w:tcPr>
                <w:p w14:paraId="7D503A40">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2.1</w:t>
                  </w:r>
                </w:p>
              </w:tc>
              <w:tc>
                <w:tcPr>
                  <w:tcW w:w="1184" w:type="pct"/>
                  <w:shd w:val="clear" w:color="auto" w:fill="auto"/>
                  <w:vAlign w:val="center"/>
                </w:tcPr>
                <w:p w14:paraId="1704798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管护用房</w:t>
                  </w:r>
                </w:p>
              </w:tc>
              <w:tc>
                <w:tcPr>
                  <w:tcW w:w="1180" w:type="pct"/>
                  <w:shd w:val="clear" w:color="auto" w:fill="auto"/>
                  <w:vAlign w:val="center"/>
                </w:tcPr>
                <w:p w14:paraId="29FBD7A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6</w:t>
                  </w:r>
                  <w:r>
                    <w:rPr>
                      <w:rFonts w:hint="eastAsia" w:ascii="Times New Roman" w:hAnsi="Times New Roman" w:cs="Times New Roman"/>
                      <w:color w:val="000000" w:themeColor="text1"/>
                      <w:sz w:val="21"/>
                      <w:szCs w:val="21"/>
                      <w:lang w:val="en-US" w:eastAsia="zh-CN"/>
                      <w14:textFill>
                        <w14:solidFill>
                          <w14:schemeClr w14:val="tx1"/>
                        </w14:solidFill>
                      </w14:textFill>
                    </w:rPr>
                    <w:t>775.9</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m</w:t>
                  </w:r>
                  <w:r>
                    <w:rPr>
                      <w:rFonts w:hint="default" w:ascii="Times New Roman" w:hAnsi="Times New Roman" w:eastAsia="宋体" w:cs="Times New Roman"/>
                      <w:color w:val="000000" w:themeColor="text1"/>
                      <w:sz w:val="21"/>
                      <w:szCs w:val="21"/>
                      <w:vertAlign w:val="superscript"/>
                      <w:lang w:val="en-US" w:eastAsia="zh-CN"/>
                      <w14:textFill>
                        <w14:solidFill>
                          <w14:schemeClr w14:val="tx1"/>
                        </w14:solidFill>
                      </w14:textFill>
                    </w:rPr>
                    <w:t>2</w:t>
                  </w:r>
                </w:p>
              </w:tc>
              <w:tc>
                <w:tcPr>
                  <w:tcW w:w="2246" w:type="pct"/>
                  <w:shd w:val="clear" w:color="auto" w:fill="auto"/>
                  <w:noWrap/>
                  <w:vAlign w:val="center"/>
                </w:tcPr>
                <w:p w14:paraId="4620189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一片区设管护用房</w:t>
                  </w:r>
                  <w:r>
                    <w:rPr>
                      <w:rFonts w:hint="eastAsia" w:ascii="Times New Roman" w:hAnsi="Times New Roman" w:cs="Times New Roman"/>
                      <w:color w:val="000000" w:themeColor="text1"/>
                      <w:sz w:val="21"/>
                      <w:szCs w:val="21"/>
                      <w:lang w:val="en-US" w:eastAsia="zh-CN"/>
                      <w14:textFill>
                        <w14:solidFill>
                          <w14:schemeClr w14:val="tx1"/>
                        </w14:solidFill>
                      </w14:textFill>
                    </w:rPr>
                    <w:t>5</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间，</w:t>
                  </w:r>
                  <w:r>
                    <w:rPr>
                      <w:rFonts w:hint="eastAsia" w:ascii="Times New Roman" w:hAnsi="Times New Roman" w:cs="Times New Roman"/>
                      <w:color w:val="000000" w:themeColor="text1"/>
                      <w:sz w:val="21"/>
                      <w:szCs w:val="21"/>
                      <w:lang w:val="en-US" w:eastAsia="zh-CN"/>
                      <w14:textFill>
                        <w14:solidFill>
                          <w14:schemeClr w14:val="tx1"/>
                        </w14:solidFill>
                      </w14:textFill>
                    </w:rPr>
                    <w:t>总</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占地面积为</w:t>
                  </w:r>
                  <w:r>
                    <w:rPr>
                      <w:rFonts w:hint="eastAsia" w:ascii="Times New Roman" w:hAnsi="Times New Roman" w:cs="Times New Roman"/>
                      <w:color w:val="000000" w:themeColor="text1"/>
                      <w:sz w:val="21"/>
                      <w:szCs w:val="21"/>
                      <w:lang w:val="en-US" w:eastAsia="zh-CN"/>
                      <w14:textFill>
                        <w14:solidFill>
                          <w14:schemeClr w14:val="tx1"/>
                        </w14:solidFill>
                      </w14:textFill>
                    </w:rPr>
                    <w:t>2324.18</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m</w:t>
                  </w:r>
                  <w:r>
                    <w:rPr>
                      <w:rFonts w:hint="default" w:ascii="Times New Roman" w:hAnsi="Times New Roman" w:eastAsia="宋体" w:cs="Times New Roman"/>
                      <w:color w:val="000000" w:themeColor="text1"/>
                      <w:sz w:val="21"/>
                      <w:szCs w:val="21"/>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二片区设管护用房7间，</w:t>
                  </w:r>
                  <w:r>
                    <w:rPr>
                      <w:rFonts w:hint="eastAsia" w:ascii="Times New Roman" w:hAnsi="Times New Roman" w:cs="Times New Roman"/>
                      <w:color w:val="000000" w:themeColor="text1"/>
                      <w:sz w:val="21"/>
                      <w:szCs w:val="21"/>
                      <w:lang w:val="en-US" w:eastAsia="zh-CN"/>
                      <w14:textFill>
                        <w14:solidFill>
                          <w14:schemeClr w14:val="tx1"/>
                        </w14:solidFill>
                      </w14:textFill>
                    </w:rPr>
                    <w:t>总</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占地面积为3726.03m</w:t>
                  </w:r>
                  <w:r>
                    <w:rPr>
                      <w:rFonts w:hint="default" w:ascii="Times New Roman" w:hAnsi="Times New Roman" w:eastAsia="宋体" w:cs="Times New Roman"/>
                      <w:color w:val="000000" w:themeColor="text1"/>
                      <w:sz w:val="21"/>
                      <w:szCs w:val="21"/>
                      <w:vertAlign w:val="superscript"/>
                      <w:lang w:val="en-US" w:eastAsia="zh-CN"/>
                      <w14:textFill>
                        <w14:solidFill>
                          <w14:schemeClr w14:val="tx1"/>
                        </w14:solidFill>
                      </w14:textFill>
                    </w:rPr>
                    <w:t>2</w:t>
                  </w: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w:t>
                  </w:r>
                </w:p>
              </w:tc>
            </w:tr>
            <w:tr w14:paraId="0F80E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89" w:type="pct"/>
                  <w:shd w:val="clear" w:color="auto" w:fill="auto"/>
                  <w:vAlign w:val="center"/>
                </w:tcPr>
                <w:p w14:paraId="13773E83">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2.2</w:t>
                  </w:r>
                </w:p>
              </w:tc>
              <w:tc>
                <w:tcPr>
                  <w:tcW w:w="1184" w:type="pct"/>
                  <w:shd w:val="clear" w:color="auto" w:fill="auto"/>
                  <w:vAlign w:val="center"/>
                </w:tcPr>
                <w:p w14:paraId="3CEA358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分拣房</w:t>
                  </w:r>
                </w:p>
              </w:tc>
              <w:tc>
                <w:tcPr>
                  <w:tcW w:w="1180" w:type="pct"/>
                  <w:shd w:val="clear" w:color="auto" w:fill="auto"/>
                  <w:vAlign w:val="center"/>
                </w:tcPr>
                <w:p w14:paraId="340CEB80">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2392.31m</w:t>
                  </w:r>
                  <w:r>
                    <w:rPr>
                      <w:rFonts w:hint="default" w:ascii="Times New Roman" w:hAnsi="Times New Roman" w:eastAsia="宋体" w:cs="Times New Roman"/>
                      <w:color w:val="000000" w:themeColor="text1"/>
                      <w:sz w:val="21"/>
                      <w:szCs w:val="21"/>
                      <w:vertAlign w:val="superscript"/>
                      <w:lang w:val="en-US" w:eastAsia="zh-CN"/>
                      <w14:textFill>
                        <w14:solidFill>
                          <w14:schemeClr w14:val="tx1"/>
                        </w14:solidFill>
                      </w14:textFill>
                    </w:rPr>
                    <w:t>2</w:t>
                  </w:r>
                </w:p>
              </w:tc>
              <w:tc>
                <w:tcPr>
                  <w:tcW w:w="2246" w:type="pct"/>
                  <w:shd w:val="clear" w:color="auto" w:fill="auto"/>
                  <w:noWrap/>
                  <w:vAlign w:val="center"/>
                </w:tcPr>
                <w:p w14:paraId="2D1AD21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二片区设分拣房2间，占地面积分别为1128.31m</w:t>
                  </w:r>
                  <w:r>
                    <w:rPr>
                      <w:rFonts w:hint="default" w:ascii="Times New Roman" w:hAnsi="Times New Roman" w:eastAsia="宋体" w:cs="Times New Roman"/>
                      <w:color w:val="000000" w:themeColor="text1"/>
                      <w:sz w:val="21"/>
                      <w:szCs w:val="21"/>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、1264m</w:t>
                  </w:r>
                  <w:r>
                    <w:rPr>
                      <w:rFonts w:hint="default" w:ascii="Times New Roman" w:hAnsi="Times New Roman" w:eastAsia="宋体" w:cs="Times New Roman"/>
                      <w:color w:val="000000" w:themeColor="text1"/>
                      <w:sz w:val="21"/>
                      <w:szCs w:val="21"/>
                      <w:vertAlign w:val="superscript"/>
                      <w:lang w:val="en-US" w:eastAsia="zh-CN"/>
                      <w14:textFill>
                        <w14:solidFill>
                          <w14:schemeClr w14:val="tx1"/>
                        </w14:solidFill>
                      </w14:textFill>
                    </w:rPr>
                    <w:t>2</w:t>
                  </w: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w:t>
                  </w:r>
                </w:p>
              </w:tc>
            </w:tr>
            <w:tr w14:paraId="58451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389" w:type="pct"/>
                  <w:shd w:val="clear" w:color="auto" w:fill="auto"/>
                  <w:vAlign w:val="center"/>
                </w:tcPr>
                <w:p w14:paraId="1982D42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2.3</w:t>
                  </w:r>
                </w:p>
              </w:tc>
              <w:tc>
                <w:tcPr>
                  <w:tcW w:w="1184" w:type="pct"/>
                  <w:shd w:val="clear" w:color="auto" w:fill="auto"/>
                  <w:vAlign w:val="center"/>
                </w:tcPr>
                <w:p w14:paraId="424425FB">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工具房</w:t>
                  </w:r>
                </w:p>
              </w:tc>
              <w:tc>
                <w:tcPr>
                  <w:tcW w:w="1180" w:type="pct"/>
                  <w:shd w:val="clear" w:color="auto" w:fill="auto"/>
                  <w:vAlign w:val="center"/>
                </w:tcPr>
                <w:p w14:paraId="59A3A3C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787.07m</w:t>
                  </w:r>
                  <w:r>
                    <w:rPr>
                      <w:rFonts w:hint="default" w:ascii="Times New Roman" w:hAnsi="Times New Roman" w:eastAsia="宋体" w:cs="Times New Roman"/>
                      <w:color w:val="000000" w:themeColor="text1"/>
                      <w:sz w:val="21"/>
                      <w:szCs w:val="21"/>
                      <w:vertAlign w:val="superscript"/>
                      <w:lang w:val="en-US" w:eastAsia="zh-CN"/>
                      <w14:textFill>
                        <w14:solidFill>
                          <w14:schemeClr w14:val="tx1"/>
                        </w14:solidFill>
                      </w14:textFill>
                    </w:rPr>
                    <w:t>2</w:t>
                  </w:r>
                </w:p>
              </w:tc>
              <w:tc>
                <w:tcPr>
                  <w:tcW w:w="2246" w:type="pct"/>
                  <w:shd w:val="clear" w:color="auto" w:fill="auto"/>
                  <w:noWrap/>
                  <w:vAlign w:val="center"/>
                </w:tcPr>
                <w:p w14:paraId="441601B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二片区设工具房2间，占地面积分别为463.69m</w:t>
                  </w:r>
                  <w:r>
                    <w:rPr>
                      <w:rFonts w:hint="default" w:ascii="Times New Roman" w:hAnsi="Times New Roman" w:eastAsia="宋体" w:cs="Times New Roman"/>
                      <w:color w:val="000000" w:themeColor="text1"/>
                      <w:sz w:val="21"/>
                      <w:szCs w:val="21"/>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、323.38m</w:t>
                  </w:r>
                  <w:r>
                    <w:rPr>
                      <w:rFonts w:hint="default" w:ascii="Times New Roman" w:hAnsi="Times New Roman" w:eastAsia="宋体" w:cs="Times New Roman"/>
                      <w:color w:val="000000" w:themeColor="text1"/>
                      <w:sz w:val="21"/>
                      <w:szCs w:val="21"/>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p>
              </w:tc>
            </w:tr>
            <w:tr w14:paraId="46FB3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389" w:type="pct"/>
                  <w:shd w:val="clear" w:color="auto" w:fill="auto"/>
                  <w:vAlign w:val="center"/>
                </w:tcPr>
                <w:p w14:paraId="4BCCC06A">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2.4</w:t>
                  </w:r>
                </w:p>
              </w:tc>
              <w:tc>
                <w:tcPr>
                  <w:tcW w:w="1184" w:type="pct"/>
                  <w:shd w:val="clear" w:color="auto" w:fill="auto"/>
                  <w:vAlign w:val="center"/>
                </w:tcPr>
                <w:p w14:paraId="381C9D5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水肥中心</w:t>
                  </w:r>
                </w:p>
              </w:tc>
              <w:tc>
                <w:tcPr>
                  <w:tcW w:w="1180" w:type="pct"/>
                  <w:shd w:val="clear" w:color="auto" w:fill="auto"/>
                  <w:vAlign w:val="center"/>
                </w:tcPr>
                <w:p w14:paraId="0C6A986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3071m</w:t>
                  </w:r>
                  <w:r>
                    <w:rPr>
                      <w:rFonts w:hint="default" w:ascii="Times New Roman" w:hAnsi="Times New Roman" w:eastAsia="宋体" w:cs="Times New Roman"/>
                      <w:color w:val="000000" w:themeColor="text1"/>
                      <w:sz w:val="21"/>
                      <w:szCs w:val="21"/>
                      <w:vertAlign w:val="superscript"/>
                      <w:lang w:val="en-US" w:eastAsia="zh-CN"/>
                      <w14:textFill>
                        <w14:solidFill>
                          <w14:schemeClr w14:val="tx1"/>
                        </w14:solidFill>
                      </w14:textFill>
                    </w:rPr>
                    <w:t>2</w:t>
                  </w:r>
                </w:p>
              </w:tc>
              <w:tc>
                <w:tcPr>
                  <w:tcW w:w="2246" w:type="pct"/>
                  <w:shd w:val="clear" w:color="auto" w:fill="auto"/>
                  <w:noWrap/>
                  <w:vAlign w:val="center"/>
                </w:tcPr>
                <w:p w14:paraId="5012F65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一片区设水肥中心1间，总占地面积1000m</w:t>
                  </w:r>
                  <w:r>
                    <w:rPr>
                      <w:rFonts w:hint="default" w:ascii="Times New Roman" w:hAnsi="Times New Roman" w:eastAsia="宋体" w:cs="Times New Roman"/>
                      <w:color w:val="000000" w:themeColor="text1"/>
                      <w:sz w:val="21"/>
                      <w:szCs w:val="21"/>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；二片区设水肥中心2间，占地面积分别为928m</w:t>
                  </w:r>
                  <w:r>
                    <w:rPr>
                      <w:rFonts w:hint="default" w:ascii="Times New Roman" w:hAnsi="Times New Roman" w:eastAsia="宋体" w:cs="Times New Roman"/>
                      <w:color w:val="000000" w:themeColor="text1"/>
                      <w:sz w:val="21"/>
                      <w:szCs w:val="21"/>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、1143m</w:t>
                  </w:r>
                  <w:r>
                    <w:rPr>
                      <w:rFonts w:hint="default" w:ascii="Times New Roman" w:hAnsi="Times New Roman" w:eastAsia="宋体" w:cs="Times New Roman"/>
                      <w:color w:val="000000" w:themeColor="text1"/>
                      <w:sz w:val="21"/>
                      <w:szCs w:val="21"/>
                      <w:vertAlign w:val="superscript"/>
                      <w:lang w:val="en-US" w:eastAsia="zh-CN"/>
                      <w14:textFill>
                        <w14:solidFill>
                          <w14:schemeClr w14:val="tx1"/>
                        </w14:solidFill>
                      </w14:textFill>
                    </w:rPr>
                    <w:t>2</w:t>
                  </w:r>
                </w:p>
              </w:tc>
            </w:tr>
            <w:tr w14:paraId="3F46A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389" w:type="pct"/>
                  <w:shd w:val="clear" w:color="auto" w:fill="auto"/>
                  <w:vAlign w:val="center"/>
                </w:tcPr>
                <w:p w14:paraId="004648A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2.5</w:t>
                  </w:r>
                </w:p>
              </w:tc>
              <w:tc>
                <w:tcPr>
                  <w:tcW w:w="1184" w:type="pct"/>
                  <w:shd w:val="clear" w:color="auto" w:fill="auto"/>
                  <w:vAlign w:val="center"/>
                </w:tcPr>
                <w:p w14:paraId="6D3AE10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道路设施</w:t>
                  </w:r>
                </w:p>
              </w:tc>
              <w:tc>
                <w:tcPr>
                  <w:tcW w:w="1180" w:type="pct"/>
                  <w:shd w:val="clear" w:color="auto" w:fill="auto"/>
                  <w:vAlign w:val="center"/>
                </w:tcPr>
                <w:p w14:paraId="2C38700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39901m</w:t>
                  </w:r>
                  <w:r>
                    <w:rPr>
                      <w:rFonts w:hint="default" w:ascii="Times New Roman" w:hAnsi="Times New Roman" w:eastAsia="宋体" w:cs="Times New Roman"/>
                      <w:color w:val="000000" w:themeColor="text1"/>
                      <w:sz w:val="21"/>
                      <w:szCs w:val="21"/>
                      <w:vertAlign w:val="superscript"/>
                      <w:lang w:val="en-US" w:eastAsia="zh-CN"/>
                      <w14:textFill>
                        <w14:solidFill>
                          <w14:schemeClr w14:val="tx1"/>
                        </w14:solidFill>
                      </w14:textFill>
                    </w:rPr>
                    <w:t>2</w:t>
                  </w:r>
                </w:p>
              </w:tc>
              <w:tc>
                <w:tcPr>
                  <w:tcW w:w="2246" w:type="pct"/>
                  <w:shd w:val="clear" w:color="auto" w:fill="auto"/>
                  <w:noWrap/>
                  <w:vAlign w:val="center"/>
                </w:tcPr>
                <w:p w14:paraId="44773EF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一片区规划道路8674</w:t>
                  </w:r>
                  <w:r>
                    <w:rPr>
                      <w:rFonts w:hint="eastAsia" w:ascii="Times New Roman" w:hAnsi="Times New Roman" w:cs="Times New Roman"/>
                      <w:color w:val="000000" w:themeColor="text1"/>
                      <w:sz w:val="21"/>
                      <w:szCs w:val="21"/>
                      <w:lang w:val="en-US" w:eastAsia="zh-CN"/>
                      <w14:textFill>
                        <w14:solidFill>
                          <w14:schemeClr w14:val="tx1"/>
                        </w14:solidFill>
                      </w14:textFill>
                    </w:rPr>
                    <w:t>m</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；二片区规划道路31227</w:t>
                  </w:r>
                  <w:r>
                    <w:rPr>
                      <w:rFonts w:hint="eastAsia" w:ascii="Times New Roman" w:hAnsi="Times New Roman" w:cs="Times New Roman"/>
                      <w:color w:val="000000" w:themeColor="text1"/>
                      <w:sz w:val="21"/>
                      <w:szCs w:val="21"/>
                      <w:lang w:val="en-US" w:eastAsia="zh-CN"/>
                      <w14:textFill>
                        <w14:solidFill>
                          <w14:schemeClr w14:val="tx1"/>
                        </w14:solidFill>
                      </w14:textFill>
                    </w:rPr>
                    <w:t>m</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p>
              </w:tc>
            </w:tr>
            <w:tr w14:paraId="6CC27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89" w:type="pct"/>
                  <w:shd w:val="clear" w:color="auto" w:fill="auto"/>
                  <w:vAlign w:val="center"/>
                </w:tcPr>
                <w:p w14:paraId="063C628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2.6</w:t>
                  </w:r>
                </w:p>
              </w:tc>
              <w:tc>
                <w:tcPr>
                  <w:tcW w:w="1184" w:type="pct"/>
                  <w:shd w:val="clear" w:color="auto" w:fill="auto"/>
                  <w:vAlign w:val="center"/>
                </w:tcPr>
                <w:p w14:paraId="623C2013">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沉淀池</w:t>
                  </w:r>
                </w:p>
              </w:tc>
              <w:tc>
                <w:tcPr>
                  <w:tcW w:w="1180" w:type="pct"/>
                  <w:shd w:val="clear" w:color="auto" w:fill="auto"/>
                  <w:vAlign w:val="center"/>
                </w:tcPr>
                <w:p w14:paraId="7788E23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3个</w:t>
                  </w:r>
                </w:p>
              </w:tc>
              <w:tc>
                <w:tcPr>
                  <w:tcW w:w="2246" w:type="pct"/>
                  <w:shd w:val="clear" w:color="auto" w:fill="auto"/>
                  <w:noWrap/>
                  <w:vAlign w:val="center"/>
                </w:tcPr>
                <w:p w14:paraId="2D539FE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一片区1个，容积为</w:t>
                  </w:r>
                  <w:r>
                    <w:rPr>
                      <w:rFonts w:hint="eastAsia" w:ascii="Times New Roman" w:hAnsi="Times New Roman" w:cs="Times New Roman"/>
                      <w:color w:val="000000" w:themeColor="text1"/>
                      <w:sz w:val="21"/>
                      <w:szCs w:val="21"/>
                      <w:lang w:val="en-US" w:eastAsia="zh-CN"/>
                      <w14:textFill>
                        <w14:solidFill>
                          <w14:schemeClr w14:val="tx1"/>
                        </w14:solidFill>
                      </w14:textFill>
                    </w:rPr>
                    <w:t>160.45</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m</w:t>
                  </w:r>
                  <w:r>
                    <w:rPr>
                      <w:rFonts w:hint="eastAsia" w:ascii="Times New Roman" w:hAnsi="Times New Roman" w:cs="Times New Roman"/>
                      <w:color w:val="000000" w:themeColor="text1"/>
                      <w:sz w:val="21"/>
                      <w:szCs w:val="21"/>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p>
                <w:p w14:paraId="46A7C4CB">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二片区2个，单个容积为</w:t>
                  </w:r>
                  <w:r>
                    <w:rPr>
                      <w:rFonts w:hint="eastAsia" w:ascii="Times New Roman" w:hAnsi="Times New Roman" w:cs="Times New Roman"/>
                      <w:color w:val="000000" w:themeColor="text1"/>
                      <w:sz w:val="21"/>
                      <w:szCs w:val="21"/>
                      <w:lang w:val="en-US" w:eastAsia="zh-CN"/>
                      <w14:textFill>
                        <w14:solidFill>
                          <w14:schemeClr w14:val="tx1"/>
                        </w14:solidFill>
                      </w14:textFill>
                    </w:rPr>
                    <w:t>250.28m</w:t>
                  </w:r>
                  <w:r>
                    <w:rPr>
                      <w:rFonts w:hint="eastAsia" w:ascii="Times New Roman" w:hAnsi="Times New Roman" w:cs="Times New Roman"/>
                      <w:color w:val="000000" w:themeColor="text1"/>
                      <w:sz w:val="21"/>
                      <w:szCs w:val="21"/>
                      <w:vertAlign w:val="superscript"/>
                      <w:lang w:val="en-US" w:eastAsia="zh-CN"/>
                      <w14:textFill>
                        <w14:solidFill>
                          <w14:schemeClr w14:val="tx1"/>
                        </w14:solidFill>
                      </w14:textFill>
                    </w:rPr>
                    <w:t>3</w:t>
                  </w:r>
                  <w:r>
                    <w:rPr>
                      <w:rFonts w:hint="eastAsia" w:ascii="Times New Roman" w:hAnsi="Times New Roman" w:cs="Times New Roman"/>
                      <w:color w:val="000000" w:themeColor="text1"/>
                      <w:sz w:val="21"/>
                      <w:szCs w:val="21"/>
                      <w:lang w:val="en-US" w:eastAsia="zh-CN"/>
                      <w14:textFill>
                        <w14:solidFill>
                          <w14:schemeClr w14:val="tx1"/>
                        </w14:solidFill>
                      </w14:textFill>
                    </w:rPr>
                    <w:t>、243.75</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m</w:t>
                  </w:r>
                  <w:r>
                    <w:rPr>
                      <w:rFonts w:hint="eastAsia" w:ascii="Times New Roman" w:hAnsi="Times New Roman" w:cs="Times New Roman"/>
                      <w:color w:val="000000" w:themeColor="text1"/>
                      <w:sz w:val="21"/>
                      <w:szCs w:val="21"/>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，总容积为</w:t>
                  </w:r>
                  <w:r>
                    <w:rPr>
                      <w:rFonts w:hint="eastAsia" w:ascii="Times New Roman" w:hAnsi="Times New Roman" w:cs="Times New Roman"/>
                      <w:color w:val="000000" w:themeColor="text1"/>
                      <w:sz w:val="21"/>
                      <w:szCs w:val="21"/>
                      <w:lang w:val="en-US" w:eastAsia="zh-CN"/>
                      <w14:textFill>
                        <w14:solidFill>
                          <w14:schemeClr w14:val="tx1"/>
                        </w14:solidFill>
                      </w14:textFill>
                    </w:rPr>
                    <w:t>494.03</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m</w:t>
                  </w:r>
                  <w:r>
                    <w:rPr>
                      <w:rFonts w:hint="eastAsia" w:ascii="Times New Roman" w:hAnsi="Times New Roman" w:cs="Times New Roman"/>
                      <w:color w:val="000000" w:themeColor="text1"/>
                      <w:sz w:val="21"/>
                      <w:szCs w:val="21"/>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p>
              </w:tc>
            </w:tr>
            <w:tr w14:paraId="2787C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89" w:type="pct"/>
                  <w:shd w:val="clear" w:color="auto" w:fill="auto"/>
                  <w:vAlign w:val="center"/>
                </w:tcPr>
                <w:p w14:paraId="14D0875B">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2.7</w:t>
                  </w:r>
                </w:p>
              </w:tc>
              <w:tc>
                <w:tcPr>
                  <w:tcW w:w="1184" w:type="pct"/>
                  <w:shd w:val="clear" w:color="auto" w:fill="auto"/>
                  <w:vAlign w:val="center"/>
                </w:tcPr>
                <w:p w14:paraId="3C41A7F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200KVA变压器及配套设施</w:t>
                  </w:r>
                </w:p>
              </w:tc>
              <w:tc>
                <w:tcPr>
                  <w:tcW w:w="1180" w:type="pct"/>
                  <w:shd w:val="clear" w:color="auto" w:fill="auto"/>
                  <w:vAlign w:val="center"/>
                </w:tcPr>
                <w:p w14:paraId="61AB315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1套</w:t>
                  </w:r>
                </w:p>
              </w:tc>
              <w:tc>
                <w:tcPr>
                  <w:tcW w:w="2246" w:type="pct"/>
                  <w:shd w:val="clear" w:color="auto" w:fill="auto"/>
                  <w:noWrap/>
                  <w:vAlign w:val="center"/>
                </w:tcPr>
                <w:p w14:paraId="72FBE46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二片区</w:t>
                  </w:r>
                </w:p>
              </w:tc>
            </w:tr>
            <w:tr w14:paraId="4CDAE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89" w:type="pct"/>
                  <w:shd w:val="clear" w:color="auto" w:fill="auto"/>
                  <w:vAlign w:val="center"/>
                </w:tcPr>
                <w:p w14:paraId="75556BF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2.8</w:t>
                  </w:r>
                </w:p>
              </w:tc>
              <w:tc>
                <w:tcPr>
                  <w:tcW w:w="1184" w:type="pct"/>
                  <w:shd w:val="clear" w:color="auto" w:fill="auto"/>
                  <w:vAlign w:val="center"/>
                </w:tcPr>
                <w:p w14:paraId="0330FE2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250KVA变压器及配套设施</w:t>
                  </w:r>
                </w:p>
              </w:tc>
              <w:tc>
                <w:tcPr>
                  <w:tcW w:w="1180" w:type="pct"/>
                  <w:shd w:val="clear" w:color="auto" w:fill="auto"/>
                  <w:vAlign w:val="center"/>
                </w:tcPr>
                <w:p w14:paraId="155E35E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1套</w:t>
                  </w:r>
                </w:p>
              </w:tc>
              <w:tc>
                <w:tcPr>
                  <w:tcW w:w="2246" w:type="pct"/>
                  <w:shd w:val="clear" w:color="auto" w:fill="auto"/>
                  <w:noWrap/>
                  <w:vAlign w:val="center"/>
                </w:tcPr>
                <w:p w14:paraId="7B99722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二片区</w:t>
                  </w:r>
                </w:p>
              </w:tc>
            </w:tr>
            <w:tr w14:paraId="02455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89" w:type="pct"/>
                  <w:shd w:val="clear" w:color="auto" w:fill="auto"/>
                  <w:vAlign w:val="center"/>
                </w:tcPr>
                <w:p w14:paraId="2A54A6C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2.9</w:t>
                  </w:r>
                </w:p>
              </w:tc>
              <w:tc>
                <w:tcPr>
                  <w:tcW w:w="1184" w:type="pct"/>
                  <w:shd w:val="clear" w:color="auto" w:fill="auto"/>
                  <w:vAlign w:val="center"/>
                </w:tcPr>
                <w:p w14:paraId="7E3D9B9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自动灌溉系统</w:t>
                  </w:r>
                </w:p>
              </w:tc>
              <w:tc>
                <w:tcPr>
                  <w:tcW w:w="1180" w:type="pct"/>
                  <w:shd w:val="clear" w:color="auto" w:fill="auto"/>
                  <w:vAlign w:val="center"/>
                </w:tcPr>
                <w:p w14:paraId="14A19E4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21套</w:t>
                  </w:r>
                </w:p>
              </w:tc>
              <w:tc>
                <w:tcPr>
                  <w:tcW w:w="2246" w:type="pct"/>
                  <w:shd w:val="clear" w:color="auto" w:fill="auto"/>
                  <w:noWrap/>
                  <w:vAlign w:val="center"/>
                </w:tcPr>
                <w:p w14:paraId="7C07092A">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一片区7套、二片区14套</w:t>
                  </w:r>
                </w:p>
              </w:tc>
            </w:tr>
            <w:tr w14:paraId="64E29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389" w:type="pct"/>
                  <w:shd w:val="clear" w:color="auto" w:fill="auto"/>
                  <w:vAlign w:val="center"/>
                </w:tcPr>
                <w:p w14:paraId="1D3A6E1A">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2.10</w:t>
                  </w:r>
                </w:p>
              </w:tc>
              <w:tc>
                <w:tcPr>
                  <w:tcW w:w="1184" w:type="pct"/>
                  <w:shd w:val="clear" w:color="auto" w:fill="auto"/>
                  <w:vAlign w:val="center"/>
                </w:tcPr>
                <w:p w14:paraId="4ABFFEB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自动肥一体机</w:t>
                  </w:r>
                </w:p>
              </w:tc>
              <w:tc>
                <w:tcPr>
                  <w:tcW w:w="1180" w:type="pct"/>
                  <w:shd w:val="clear" w:color="auto" w:fill="auto"/>
                  <w:vAlign w:val="center"/>
                </w:tcPr>
                <w:p w14:paraId="6F46DCC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3套</w:t>
                  </w:r>
                </w:p>
              </w:tc>
              <w:tc>
                <w:tcPr>
                  <w:tcW w:w="2246" w:type="pct"/>
                  <w:shd w:val="clear" w:color="auto" w:fill="auto"/>
                  <w:noWrap/>
                  <w:vAlign w:val="center"/>
                </w:tcPr>
                <w:p w14:paraId="109785DD">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一片区1套、二片区2套</w:t>
                  </w:r>
                </w:p>
              </w:tc>
            </w:tr>
            <w:tr w14:paraId="47A5C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389" w:type="pct"/>
                  <w:shd w:val="clear" w:color="auto" w:fill="auto"/>
                  <w:vAlign w:val="center"/>
                </w:tcPr>
                <w:p w14:paraId="3F3DD683">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2.11</w:t>
                  </w:r>
                </w:p>
              </w:tc>
              <w:tc>
                <w:tcPr>
                  <w:tcW w:w="1184" w:type="pct"/>
                  <w:shd w:val="clear" w:color="auto" w:fill="auto"/>
                  <w:vAlign w:val="center"/>
                </w:tcPr>
                <w:p w14:paraId="1619148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水肥一体化喷灌管网系统</w:t>
                  </w:r>
                </w:p>
              </w:tc>
              <w:tc>
                <w:tcPr>
                  <w:tcW w:w="1180" w:type="pct"/>
                  <w:shd w:val="clear" w:color="auto" w:fill="auto"/>
                  <w:vAlign w:val="center"/>
                </w:tcPr>
                <w:p w14:paraId="336C1640">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3套</w:t>
                  </w:r>
                </w:p>
              </w:tc>
              <w:tc>
                <w:tcPr>
                  <w:tcW w:w="2246" w:type="pct"/>
                  <w:shd w:val="clear" w:color="auto" w:fill="auto"/>
                  <w:noWrap/>
                  <w:vAlign w:val="center"/>
                </w:tcPr>
                <w:p w14:paraId="21C6A15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一片区1套、二片区2套</w:t>
                  </w:r>
                </w:p>
              </w:tc>
            </w:tr>
            <w:tr w14:paraId="2BDAB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389" w:type="pct"/>
                  <w:shd w:val="clear" w:color="auto" w:fill="auto"/>
                  <w:vAlign w:val="center"/>
                </w:tcPr>
                <w:p w14:paraId="67184B73">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2.12</w:t>
                  </w:r>
                </w:p>
              </w:tc>
              <w:tc>
                <w:tcPr>
                  <w:tcW w:w="1184" w:type="pct"/>
                  <w:shd w:val="clear" w:color="auto" w:fill="auto"/>
                  <w:vAlign w:val="center"/>
                </w:tcPr>
                <w:p w14:paraId="01D6BAB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小雨智控系统</w:t>
                  </w:r>
                </w:p>
              </w:tc>
              <w:tc>
                <w:tcPr>
                  <w:tcW w:w="1180" w:type="pct"/>
                  <w:shd w:val="clear" w:color="auto" w:fill="auto"/>
                  <w:vAlign w:val="center"/>
                </w:tcPr>
                <w:p w14:paraId="11A2BACB">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2套</w:t>
                  </w:r>
                </w:p>
              </w:tc>
              <w:tc>
                <w:tcPr>
                  <w:tcW w:w="2246" w:type="pct"/>
                  <w:shd w:val="clear" w:color="auto" w:fill="auto"/>
                  <w:noWrap/>
                  <w:vAlign w:val="center"/>
                </w:tcPr>
                <w:p w14:paraId="55DA4B2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一片区1套、二片区1套</w:t>
                  </w:r>
                </w:p>
              </w:tc>
            </w:tr>
            <w:tr w14:paraId="29BF4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89" w:type="pct"/>
                  <w:shd w:val="clear" w:color="auto" w:fill="auto"/>
                  <w:vAlign w:val="center"/>
                </w:tcPr>
                <w:p w14:paraId="075CC72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2.13</w:t>
                  </w:r>
                </w:p>
              </w:tc>
              <w:tc>
                <w:tcPr>
                  <w:tcW w:w="1184" w:type="pct"/>
                  <w:shd w:val="clear" w:color="auto" w:fill="auto"/>
                  <w:vAlign w:val="center"/>
                </w:tcPr>
                <w:p w14:paraId="1912BE3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大棚</w:t>
                  </w:r>
                </w:p>
              </w:tc>
              <w:tc>
                <w:tcPr>
                  <w:tcW w:w="1180" w:type="pct"/>
                  <w:shd w:val="clear" w:color="auto" w:fill="auto"/>
                  <w:vAlign w:val="center"/>
                </w:tcPr>
                <w:p w14:paraId="732CCEA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1231.16亩</w:t>
                  </w:r>
                </w:p>
              </w:tc>
              <w:tc>
                <w:tcPr>
                  <w:tcW w:w="2246" w:type="pct"/>
                  <w:shd w:val="clear" w:color="auto" w:fill="auto"/>
                  <w:noWrap/>
                  <w:vAlign w:val="center"/>
                </w:tcPr>
                <w:p w14:paraId="52A207F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一片区209.79亩、二片区1021.37亩</w:t>
                  </w:r>
                </w:p>
              </w:tc>
            </w:tr>
            <w:tr w14:paraId="20265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389" w:type="pct"/>
                  <w:shd w:val="clear" w:color="auto" w:fill="auto"/>
                  <w:vAlign w:val="center"/>
                </w:tcPr>
                <w:p w14:paraId="66BED0A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bookmarkStart w:id="6" w:name="OLE_LINK3"/>
                  <w:r>
                    <w:rPr>
                      <w:rFonts w:hint="default" w:ascii="Times New Roman" w:hAnsi="Times New Roman" w:eastAsia="宋体" w:cs="Times New Roman"/>
                      <w:color w:val="000000" w:themeColor="text1"/>
                      <w:sz w:val="21"/>
                      <w:szCs w:val="21"/>
                      <w:lang w:val="en-US" w:eastAsia="zh-CN"/>
                      <w14:textFill>
                        <w14:solidFill>
                          <w14:schemeClr w14:val="tx1"/>
                        </w14:solidFill>
                      </w14:textFill>
                    </w:rPr>
                    <w:t>2.14</w:t>
                  </w:r>
                </w:p>
              </w:tc>
              <w:tc>
                <w:tcPr>
                  <w:tcW w:w="1184" w:type="pct"/>
                  <w:shd w:val="clear" w:color="auto" w:fill="auto"/>
                  <w:vAlign w:val="center"/>
                </w:tcPr>
                <w:p w14:paraId="0947BCD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250m</w:t>
                  </w:r>
                  <w:r>
                    <w:rPr>
                      <w:rFonts w:hint="default" w:ascii="Times New Roman" w:hAnsi="Times New Roman" w:eastAsia="宋体" w:cs="Times New Roman"/>
                      <w:color w:val="000000" w:themeColor="text1"/>
                      <w:sz w:val="21"/>
                      <w:szCs w:val="21"/>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钢制水坦克</w:t>
                  </w:r>
                </w:p>
              </w:tc>
              <w:tc>
                <w:tcPr>
                  <w:tcW w:w="1180" w:type="pct"/>
                  <w:shd w:val="clear" w:color="auto" w:fill="auto"/>
                  <w:vAlign w:val="center"/>
                </w:tcPr>
                <w:p w14:paraId="44F019E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3个</w:t>
                  </w:r>
                </w:p>
              </w:tc>
              <w:tc>
                <w:tcPr>
                  <w:tcW w:w="2246" w:type="pct"/>
                  <w:shd w:val="clear" w:color="auto" w:fill="auto"/>
                  <w:noWrap/>
                  <w:vAlign w:val="center"/>
                </w:tcPr>
                <w:p w14:paraId="7F8437A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一片区1个、二片区2个</w:t>
                  </w:r>
                </w:p>
              </w:tc>
            </w:tr>
            <w:tr w14:paraId="44C72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389" w:type="pct"/>
                  <w:shd w:val="clear" w:color="auto" w:fill="auto"/>
                  <w:vAlign w:val="center"/>
                </w:tcPr>
                <w:p w14:paraId="6C73205B">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2.15</w:t>
                  </w:r>
                </w:p>
              </w:tc>
              <w:tc>
                <w:tcPr>
                  <w:tcW w:w="1184" w:type="pct"/>
                  <w:shd w:val="clear" w:color="auto" w:fill="auto"/>
                  <w:vAlign w:val="center"/>
                </w:tcPr>
                <w:p w14:paraId="4DD840D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315</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K</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VA变压器及配套设施</w:t>
                  </w:r>
                </w:p>
              </w:tc>
              <w:tc>
                <w:tcPr>
                  <w:tcW w:w="1180" w:type="pct"/>
                  <w:shd w:val="clear" w:color="auto" w:fill="auto"/>
                  <w:vAlign w:val="center"/>
                </w:tcPr>
                <w:p w14:paraId="4205BC9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1套</w:t>
                  </w:r>
                </w:p>
              </w:tc>
              <w:tc>
                <w:tcPr>
                  <w:tcW w:w="2246" w:type="pct"/>
                  <w:shd w:val="clear" w:color="auto" w:fill="auto"/>
                  <w:noWrap/>
                  <w:vAlign w:val="center"/>
                </w:tcPr>
                <w:p w14:paraId="5F077F0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一片区</w:t>
                  </w:r>
                </w:p>
              </w:tc>
            </w:tr>
            <w:tr w14:paraId="4B11C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389" w:type="pct"/>
                  <w:shd w:val="clear" w:color="auto" w:fill="auto"/>
                  <w:vAlign w:val="center"/>
                </w:tcPr>
                <w:p w14:paraId="447E825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2.16</w:t>
                  </w:r>
                </w:p>
              </w:tc>
              <w:tc>
                <w:tcPr>
                  <w:tcW w:w="1184" w:type="pct"/>
                  <w:shd w:val="clear" w:color="auto" w:fill="auto"/>
                  <w:vAlign w:val="center"/>
                </w:tcPr>
                <w:p w14:paraId="4315AC90">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80</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K</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VA变压器及配套设施</w:t>
                  </w:r>
                </w:p>
              </w:tc>
              <w:tc>
                <w:tcPr>
                  <w:tcW w:w="1180" w:type="pct"/>
                  <w:shd w:val="clear" w:color="auto" w:fill="auto"/>
                  <w:vAlign w:val="center"/>
                </w:tcPr>
                <w:p w14:paraId="474D319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1套</w:t>
                  </w:r>
                </w:p>
              </w:tc>
              <w:tc>
                <w:tcPr>
                  <w:tcW w:w="2246" w:type="pct"/>
                  <w:shd w:val="clear" w:color="auto" w:fill="auto"/>
                  <w:noWrap/>
                  <w:vAlign w:val="center"/>
                </w:tcPr>
                <w:p w14:paraId="727EE13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一片区</w:t>
                  </w:r>
                </w:p>
              </w:tc>
            </w:tr>
            <w:tr w14:paraId="304FB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389" w:type="pct"/>
                  <w:shd w:val="clear" w:color="auto" w:fill="auto"/>
                  <w:vAlign w:val="center"/>
                </w:tcPr>
                <w:p w14:paraId="679DC91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2.17</w:t>
                  </w:r>
                </w:p>
              </w:tc>
              <w:tc>
                <w:tcPr>
                  <w:tcW w:w="1184" w:type="pct"/>
                  <w:shd w:val="clear" w:color="auto" w:fill="auto"/>
                  <w:vAlign w:val="center"/>
                </w:tcPr>
                <w:p w14:paraId="66C23FF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自动监控系统</w:t>
                  </w:r>
                </w:p>
              </w:tc>
              <w:tc>
                <w:tcPr>
                  <w:tcW w:w="1180" w:type="pct"/>
                  <w:shd w:val="clear" w:color="auto" w:fill="auto"/>
                  <w:vAlign w:val="center"/>
                </w:tcPr>
                <w:p w14:paraId="610081E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3套</w:t>
                  </w:r>
                </w:p>
              </w:tc>
              <w:tc>
                <w:tcPr>
                  <w:tcW w:w="2246" w:type="pct"/>
                  <w:shd w:val="clear" w:color="auto" w:fill="auto"/>
                  <w:noWrap/>
                  <w:vAlign w:val="center"/>
                </w:tcPr>
                <w:p w14:paraId="5ADE6A2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一片区1套、二片区2套</w:t>
                  </w:r>
                </w:p>
              </w:tc>
            </w:tr>
            <w:tr w14:paraId="03370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389" w:type="pct"/>
                  <w:shd w:val="clear" w:color="auto" w:fill="auto"/>
                  <w:vAlign w:val="center"/>
                </w:tcPr>
                <w:p w14:paraId="4E4C19D0">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2.18</w:t>
                  </w:r>
                </w:p>
              </w:tc>
              <w:tc>
                <w:tcPr>
                  <w:tcW w:w="1184" w:type="pct"/>
                  <w:shd w:val="clear" w:color="auto" w:fill="auto"/>
                  <w:vAlign w:val="center"/>
                </w:tcPr>
                <w:p w14:paraId="13BFE5D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水池</w:t>
                  </w:r>
                </w:p>
              </w:tc>
              <w:tc>
                <w:tcPr>
                  <w:tcW w:w="1180" w:type="pct"/>
                  <w:shd w:val="clear" w:color="auto" w:fill="auto"/>
                  <w:vAlign w:val="center"/>
                </w:tcPr>
                <w:p w14:paraId="783509E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15个</w:t>
                  </w:r>
                </w:p>
              </w:tc>
              <w:tc>
                <w:tcPr>
                  <w:tcW w:w="2246" w:type="pct"/>
                  <w:shd w:val="clear" w:color="auto" w:fill="auto"/>
                  <w:noWrap/>
                  <w:vAlign w:val="center"/>
                </w:tcPr>
                <w:p w14:paraId="7CAFEEB0">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一片区3个、二片区12个</w:t>
                  </w:r>
                </w:p>
              </w:tc>
            </w:tr>
          </w:tbl>
          <w:p w14:paraId="633C3C20">
            <w:pPr>
              <w:keepNext w:val="0"/>
              <w:keepLines w:val="0"/>
              <w:pageBreakBefore w:val="0"/>
              <w:widowControl w:val="0"/>
              <w:kinsoku/>
              <w:wordWrap/>
              <w:overflowPunct/>
              <w:topLinePunct w:val="0"/>
              <w:autoSpaceDE/>
              <w:autoSpaceDN/>
              <w:bidi w:val="0"/>
              <w:adjustRightInd w:val="0"/>
              <w:snapToGrid w:val="0"/>
              <w:ind w:left="0" w:leftChars="0" w:firstLine="482" w:firstLineChars="200"/>
              <w:jc w:val="both"/>
              <w:textAlignment w:val="auto"/>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pPr>
          </w:p>
          <w:p w14:paraId="2F5B3C67">
            <w:pPr>
              <w:keepNext w:val="0"/>
              <w:keepLines w:val="0"/>
              <w:pageBreakBefore w:val="0"/>
              <w:widowControl w:val="0"/>
              <w:numPr>
                <w:ilvl w:val="0"/>
                <w:numId w:val="3"/>
              </w:numPr>
              <w:kinsoku/>
              <w:wordWrap/>
              <w:overflowPunct/>
              <w:topLinePunct w:val="0"/>
              <w:autoSpaceDE/>
              <w:autoSpaceDN/>
              <w:bidi w:val="0"/>
              <w:adjustRightInd w:val="0"/>
              <w:snapToGrid w:val="0"/>
              <w:ind w:left="0" w:leftChars="0" w:firstLine="482" w:firstLineChars="200"/>
              <w:jc w:val="both"/>
              <w:textAlignment w:val="auto"/>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主要原辅材料及养护管理重点</w:t>
            </w:r>
            <w:bookmarkEnd w:id="6"/>
          </w:p>
          <w:p w14:paraId="16417395">
            <w:pPr>
              <w:keepNext w:val="0"/>
              <w:keepLines w:val="0"/>
              <w:pageBreakBefore w:val="0"/>
              <w:widowControl w:val="0"/>
              <w:kinsoku/>
              <w:wordWrap/>
              <w:overflowPunct/>
              <w:topLinePunct w:val="0"/>
              <w:autoSpaceDE/>
              <w:autoSpaceDN/>
              <w:bidi w:val="0"/>
              <w:adjustRightInd w:val="0"/>
              <w:snapToGrid w:val="0"/>
              <w:ind w:left="0" w:leftChars="0" w:firstLine="480" w:firstLineChars="20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1、原辅材料用量</w:t>
            </w:r>
          </w:p>
          <w:tbl>
            <w:tblPr>
              <w:tblStyle w:val="27"/>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934"/>
            </w:tblGrid>
            <w:tr w14:paraId="5D2121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80" w:hRule="atLeast"/>
                <w:jc w:val="center"/>
              </w:trPr>
              <w:tc>
                <w:tcPr>
                  <w:tcW w:w="5000" w:type="pct"/>
                  <w:noWrap w:val="0"/>
                  <w:vAlign w:val="center"/>
                </w:tcPr>
                <w:p w14:paraId="6E7B6D6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表2-</w:t>
                  </w:r>
                  <w:r>
                    <w:rPr>
                      <w:rFonts w:hint="eastAsia" w:ascii="Times New Roman" w:hAnsi="Times New Roman" w:cs="Times New Roman"/>
                      <w:b/>
                      <w:bCs/>
                      <w:color w:val="000000" w:themeColor="text1"/>
                      <w:sz w:val="21"/>
                      <w:szCs w:val="21"/>
                      <w:lang w:val="en-US" w:eastAsia="zh-CN"/>
                      <w14:textFill>
                        <w14:solidFill>
                          <w14:schemeClr w14:val="tx1"/>
                        </w14:solidFill>
                      </w14:textFill>
                    </w:rPr>
                    <w:t xml:space="preserve">5    </w:t>
                  </w: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蓝莓种植原辅材料一览表</w:t>
                  </w:r>
                </w:p>
                <w:tbl>
                  <w:tblPr>
                    <w:tblStyle w:val="27"/>
                    <w:tblW w:w="504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4"/>
                    <w:gridCol w:w="1131"/>
                    <w:gridCol w:w="545"/>
                    <w:gridCol w:w="779"/>
                    <w:gridCol w:w="1239"/>
                    <w:gridCol w:w="833"/>
                    <w:gridCol w:w="927"/>
                    <w:gridCol w:w="1222"/>
                  </w:tblGrid>
                  <w:tr w14:paraId="06D29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pct"/>
                        <w:noWrap w:val="0"/>
                        <w:vAlign w:val="center"/>
                      </w:tcPr>
                      <w:p w14:paraId="623761F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名称</w:t>
                        </w:r>
                      </w:p>
                    </w:tc>
                    <w:tc>
                      <w:tcPr>
                        <w:tcW w:w="726" w:type="pct"/>
                        <w:noWrap w:val="0"/>
                        <w:vAlign w:val="center"/>
                      </w:tcPr>
                      <w:p w14:paraId="67030E4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规格型号</w:t>
                        </w:r>
                      </w:p>
                    </w:tc>
                    <w:tc>
                      <w:tcPr>
                        <w:tcW w:w="350" w:type="pct"/>
                        <w:noWrap w:val="0"/>
                        <w:vAlign w:val="center"/>
                      </w:tcPr>
                      <w:p w14:paraId="347EBD7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单位</w:t>
                        </w:r>
                      </w:p>
                    </w:tc>
                    <w:tc>
                      <w:tcPr>
                        <w:tcW w:w="500" w:type="pct"/>
                        <w:noWrap w:val="0"/>
                        <w:vAlign w:val="center"/>
                      </w:tcPr>
                      <w:p w14:paraId="1701CAC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来源</w:t>
                        </w:r>
                      </w:p>
                    </w:tc>
                    <w:tc>
                      <w:tcPr>
                        <w:tcW w:w="796" w:type="pct"/>
                        <w:noWrap w:val="0"/>
                        <w:vAlign w:val="center"/>
                      </w:tcPr>
                      <w:p w14:paraId="1504E67A">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年消耗量</w:t>
                        </w:r>
                      </w:p>
                    </w:tc>
                    <w:tc>
                      <w:tcPr>
                        <w:tcW w:w="535" w:type="pct"/>
                        <w:noWrap w:val="0"/>
                        <w:vAlign w:val="center"/>
                      </w:tcPr>
                      <w:p w14:paraId="00FB9EB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暂存量</w:t>
                        </w:r>
                      </w:p>
                    </w:tc>
                    <w:tc>
                      <w:tcPr>
                        <w:tcW w:w="595" w:type="pct"/>
                        <w:noWrap w:val="0"/>
                        <w:vAlign w:val="center"/>
                      </w:tcPr>
                      <w:p w14:paraId="2BB5C1E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暂存位置</w:t>
                        </w:r>
                      </w:p>
                    </w:tc>
                    <w:tc>
                      <w:tcPr>
                        <w:tcW w:w="785" w:type="pct"/>
                        <w:noWrap w:val="0"/>
                        <w:vAlign w:val="center"/>
                      </w:tcPr>
                      <w:p w14:paraId="789AA56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备注</w:t>
                        </w:r>
                      </w:p>
                    </w:tc>
                  </w:tr>
                  <w:tr w14:paraId="39A43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pct"/>
                        <w:noWrap w:val="0"/>
                        <w:vAlign w:val="center"/>
                      </w:tcPr>
                      <w:p w14:paraId="6C85A2C3">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中量元素水溶肥</w:t>
                        </w:r>
                      </w:p>
                    </w:tc>
                    <w:tc>
                      <w:tcPr>
                        <w:tcW w:w="726" w:type="pct"/>
                        <w:noWrap w:val="0"/>
                        <w:vAlign w:val="center"/>
                      </w:tcPr>
                      <w:p w14:paraId="27A23C8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1000*12/件</w:t>
                        </w:r>
                      </w:p>
                    </w:tc>
                    <w:tc>
                      <w:tcPr>
                        <w:tcW w:w="350" w:type="pct"/>
                        <w:noWrap w:val="0"/>
                        <w:vAlign w:val="center"/>
                      </w:tcPr>
                      <w:p w14:paraId="6EE6C52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件</w:t>
                        </w:r>
                      </w:p>
                    </w:tc>
                    <w:tc>
                      <w:tcPr>
                        <w:tcW w:w="500" w:type="pct"/>
                        <w:noWrap w:val="0"/>
                        <w:vAlign w:val="center"/>
                      </w:tcPr>
                      <w:p w14:paraId="2462D67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外购</w:t>
                        </w:r>
                      </w:p>
                    </w:tc>
                    <w:tc>
                      <w:tcPr>
                        <w:tcW w:w="796" w:type="pct"/>
                        <w:noWrap w:val="0"/>
                        <w:vAlign w:val="center"/>
                      </w:tcPr>
                      <w:p w14:paraId="00A8334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1000件</w:t>
                        </w:r>
                      </w:p>
                    </w:tc>
                    <w:tc>
                      <w:tcPr>
                        <w:tcW w:w="535" w:type="pct"/>
                        <w:noWrap w:val="0"/>
                        <w:vAlign w:val="center"/>
                      </w:tcPr>
                      <w:p w14:paraId="6635D86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600件</w:t>
                        </w:r>
                      </w:p>
                    </w:tc>
                    <w:tc>
                      <w:tcPr>
                        <w:tcW w:w="595" w:type="pct"/>
                        <w:noWrap w:val="0"/>
                        <w:vAlign w:val="center"/>
                      </w:tcPr>
                      <w:p w14:paraId="4C82D0C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水肥中心</w:t>
                        </w:r>
                      </w:p>
                    </w:tc>
                    <w:tc>
                      <w:tcPr>
                        <w:tcW w:w="785" w:type="pct"/>
                        <w:noWrap w:val="0"/>
                        <w:vAlign w:val="center"/>
                      </w:tcPr>
                      <w:p w14:paraId="1EABD563">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p>
                    </w:tc>
                  </w:tr>
                  <w:tr w14:paraId="70300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pct"/>
                        <w:noWrap w:val="0"/>
                        <w:vAlign w:val="center"/>
                      </w:tcPr>
                      <w:p w14:paraId="000E10C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硼砂</w:t>
                        </w:r>
                      </w:p>
                    </w:tc>
                    <w:tc>
                      <w:tcPr>
                        <w:tcW w:w="726" w:type="pct"/>
                        <w:noWrap w:val="0"/>
                        <w:vAlign w:val="center"/>
                      </w:tcPr>
                      <w:p w14:paraId="0067636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1kg/袋</w:t>
                        </w:r>
                      </w:p>
                    </w:tc>
                    <w:tc>
                      <w:tcPr>
                        <w:tcW w:w="350" w:type="pct"/>
                        <w:noWrap w:val="0"/>
                        <w:vAlign w:val="center"/>
                      </w:tcPr>
                      <w:p w14:paraId="3E75130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吨</w:t>
                        </w:r>
                      </w:p>
                    </w:tc>
                    <w:tc>
                      <w:tcPr>
                        <w:tcW w:w="500" w:type="pct"/>
                        <w:noWrap w:val="0"/>
                        <w:vAlign w:val="center"/>
                      </w:tcPr>
                      <w:p w14:paraId="1066FF6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外购</w:t>
                        </w:r>
                      </w:p>
                    </w:tc>
                    <w:tc>
                      <w:tcPr>
                        <w:tcW w:w="796" w:type="pct"/>
                        <w:noWrap w:val="0"/>
                        <w:vAlign w:val="center"/>
                      </w:tcPr>
                      <w:p w14:paraId="7EE7C64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0.6吨</w:t>
                        </w:r>
                      </w:p>
                    </w:tc>
                    <w:tc>
                      <w:tcPr>
                        <w:tcW w:w="535" w:type="pct"/>
                        <w:noWrap w:val="0"/>
                        <w:vAlign w:val="center"/>
                      </w:tcPr>
                      <w:p w14:paraId="75A1F56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0.25吨</w:t>
                        </w:r>
                      </w:p>
                    </w:tc>
                    <w:tc>
                      <w:tcPr>
                        <w:tcW w:w="595" w:type="pct"/>
                        <w:noWrap w:val="0"/>
                        <w:vAlign w:val="center"/>
                      </w:tcPr>
                      <w:p w14:paraId="7B2588F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水肥中心</w:t>
                        </w:r>
                      </w:p>
                    </w:tc>
                    <w:tc>
                      <w:tcPr>
                        <w:tcW w:w="785" w:type="pct"/>
                        <w:noWrap w:val="0"/>
                        <w:vAlign w:val="center"/>
                      </w:tcPr>
                      <w:p w14:paraId="7C136A7A">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p>
                    </w:tc>
                  </w:tr>
                  <w:tr w14:paraId="1A828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pct"/>
                        <w:noWrap w:val="0"/>
                        <w:vAlign w:val="center"/>
                      </w:tcPr>
                      <w:p w14:paraId="766DEF9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含氮基酸水溶肥</w:t>
                        </w:r>
                      </w:p>
                    </w:tc>
                    <w:tc>
                      <w:tcPr>
                        <w:tcW w:w="726" w:type="pct"/>
                        <w:noWrap w:val="0"/>
                        <w:vAlign w:val="center"/>
                      </w:tcPr>
                      <w:p w14:paraId="4BEA28A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1L*12/件</w:t>
                        </w:r>
                      </w:p>
                    </w:tc>
                    <w:tc>
                      <w:tcPr>
                        <w:tcW w:w="350" w:type="pct"/>
                        <w:noWrap w:val="0"/>
                        <w:vAlign w:val="center"/>
                      </w:tcPr>
                      <w:p w14:paraId="7A7E3A9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件</w:t>
                        </w:r>
                      </w:p>
                    </w:tc>
                    <w:tc>
                      <w:tcPr>
                        <w:tcW w:w="500" w:type="pct"/>
                        <w:noWrap w:val="0"/>
                        <w:vAlign w:val="center"/>
                      </w:tcPr>
                      <w:p w14:paraId="7739DDF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外购</w:t>
                        </w:r>
                      </w:p>
                    </w:tc>
                    <w:tc>
                      <w:tcPr>
                        <w:tcW w:w="796" w:type="pct"/>
                        <w:noWrap w:val="0"/>
                        <w:vAlign w:val="center"/>
                      </w:tcPr>
                      <w:p w14:paraId="601D1E6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1000件</w:t>
                        </w:r>
                      </w:p>
                    </w:tc>
                    <w:tc>
                      <w:tcPr>
                        <w:tcW w:w="535" w:type="pct"/>
                        <w:noWrap w:val="0"/>
                        <w:vAlign w:val="center"/>
                      </w:tcPr>
                      <w:p w14:paraId="2E62C1A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400件</w:t>
                        </w:r>
                      </w:p>
                    </w:tc>
                    <w:tc>
                      <w:tcPr>
                        <w:tcW w:w="595" w:type="pct"/>
                        <w:noWrap w:val="0"/>
                        <w:vAlign w:val="center"/>
                      </w:tcPr>
                      <w:p w14:paraId="25E62EA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水肥中心</w:t>
                        </w:r>
                      </w:p>
                    </w:tc>
                    <w:tc>
                      <w:tcPr>
                        <w:tcW w:w="785" w:type="pct"/>
                        <w:noWrap w:val="0"/>
                        <w:vAlign w:val="center"/>
                      </w:tcPr>
                      <w:p w14:paraId="2B2B742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p>
                    </w:tc>
                  </w:tr>
                  <w:tr w14:paraId="53AF7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pct"/>
                        <w:noWrap w:val="0"/>
                        <w:vAlign w:val="center"/>
                      </w:tcPr>
                      <w:p w14:paraId="05DF09D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氮基酸有机肥</w:t>
                        </w:r>
                      </w:p>
                    </w:tc>
                    <w:tc>
                      <w:tcPr>
                        <w:tcW w:w="726" w:type="pct"/>
                        <w:noWrap w:val="0"/>
                        <w:vAlign w:val="center"/>
                      </w:tcPr>
                      <w:p w14:paraId="78826B4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25kg/袋</w:t>
                        </w:r>
                      </w:p>
                    </w:tc>
                    <w:tc>
                      <w:tcPr>
                        <w:tcW w:w="350" w:type="pct"/>
                        <w:noWrap w:val="0"/>
                        <w:vAlign w:val="center"/>
                      </w:tcPr>
                      <w:p w14:paraId="6A149B6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吨</w:t>
                        </w:r>
                      </w:p>
                    </w:tc>
                    <w:tc>
                      <w:tcPr>
                        <w:tcW w:w="500" w:type="pct"/>
                        <w:noWrap w:val="0"/>
                        <w:vAlign w:val="center"/>
                      </w:tcPr>
                      <w:p w14:paraId="1A1AC8A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外购</w:t>
                        </w:r>
                      </w:p>
                    </w:tc>
                    <w:tc>
                      <w:tcPr>
                        <w:tcW w:w="796" w:type="pct"/>
                        <w:noWrap w:val="0"/>
                        <w:vAlign w:val="center"/>
                      </w:tcPr>
                      <w:p w14:paraId="5E7AE2F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1吨</w:t>
                        </w:r>
                      </w:p>
                    </w:tc>
                    <w:tc>
                      <w:tcPr>
                        <w:tcW w:w="535" w:type="pct"/>
                        <w:noWrap w:val="0"/>
                        <w:vAlign w:val="center"/>
                      </w:tcPr>
                      <w:p w14:paraId="4F135AE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0.5吨</w:t>
                        </w:r>
                      </w:p>
                    </w:tc>
                    <w:tc>
                      <w:tcPr>
                        <w:tcW w:w="595" w:type="pct"/>
                        <w:noWrap w:val="0"/>
                        <w:vAlign w:val="center"/>
                      </w:tcPr>
                      <w:p w14:paraId="3210F11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水肥中心</w:t>
                        </w:r>
                      </w:p>
                    </w:tc>
                    <w:tc>
                      <w:tcPr>
                        <w:tcW w:w="785" w:type="pct"/>
                        <w:noWrap w:val="0"/>
                        <w:vAlign w:val="center"/>
                      </w:tcPr>
                      <w:p w14:paraId="738CC59B">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p>
                    </w:tc>
                  </w:tr>
                  <w:tr w14:paraId="079F2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pct"/>
                        <w:noWrap w:val="0"/>
                        <w:vAlign w:val="center"/>
                      </w:tcPr>
                      <w:p w14:paraId="43E3FCF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肥益能</w:t>
                        </w:r>
                      </w:p>
                    </w:tc>
                    <w:tc>
                      <w:tcPr>
                        <w:tcW w:w="726" w:type="pct"/>
                        <w:noWrap w:val="0"/>
                        <w:vAlign w:val="center"/>
                      </w:tcPr>
                      <w:p w14:paraId="3486803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25kg/袋</w:t>
                        </w:r>
                      </w:p>
                    </w:tc>
                    <w:tc>
                      <w:tcPr>
                        <w:tcW w:w="350" w:type="pct"/>
                        <w:noWrap w:val="0"/>
                        <w:vAlign w:val="center"/>
                      </w:tcPr>
                      <w:p w14:paraId="1496E56D">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吨</w:t>
                        </w:r>
                      </w:p>
                    </w:tc>
                    <w:tc>
                      <w:tcPr>
                        <w:tcW w:w="500" w:type="pct"/>
                        <w:noWrap w:val="0"/>
                        <w:vAlign w:val="center"/>
                      </w:tcPr>
                      <w:p w14:paraId="3A68DEE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外购</w:t>
                        </w:r>
                      </w:p>
                    </w:tc>
                    <w:tc>
                      <w:tcPr>
                        <w:tcW w:w="796" w:type="pct"/>
                        <w:noWrap w:val="0"/>
                        <w:vAlign w:val="center"/>
                      </w:tcPr>
                      <w:p w14:paraId="0E061E7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0.4吨</w:t>
                        </w:r>
                      </w:p>
                    </w:tc>
                    <w:tc>
                      <w:tcPr>
                        <w:tcW w:w="535" w:type="pct"/>
                        <w:noWrap w:val="0"/>
                        <w:vAlign w:val="center"/>
                      </w:tcPr>
                      <w:p w14:paraId="540C306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0.2吨</w:t>
                        </w:r>
                      </w:p>
                    </w:tc>
                    <w:tc>
                      <w:tcPr>
                        <w:tcW w:w="595" w:type="pct"/>
                        <w:noWrap w:val="0"/>
                        <w:vAlign w:val="center"/>
                      </w:tcPr>
                      <w:p w14:paraId="279E45A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水肥中心</w:t>
                        </w:r>
                      </w:p>
                    </w:tc>
                    <w:tc>
                      <w:tcPr>
                        <w:tcW w:w="785" w:type="pct"/>
                        <w:noWrap w:val="0"/>
                        <w:vAlign w:val="center"/>
                      </w:tcPr>
                      <w:p w14:paraId="368DA90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p>
                    </w:tc>
                  </w:tr>
                  <w:tr w14:paraId="68170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pct"/>
                        <w:noWrap w:val="0"/>
                        <w:vAlign w:val="center"/>
                      </w:tcPr>
                      <w:p w14:paraId="478C002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海藻肥</w:t>
                        </w:r>
                      </w:p>
                    </w:tc>
                    <w:tc>
                      <w:tcPr>
                        <w:tcW w:w="726" w:type="pct"/>
                        <w:noWrap w:val="0"/>
                        <w:vAlign w:val="center"/>
                      </w:tcPr>
                      <w:p w14:paraId="7ABF2E5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1L/瓶</w:t>
                        </w:r>
                      </w:p>
                    </w:tc>
                    <w:tc>
                      <w:tcPr>
                        <w:tcW w:w="350" w:type="pct"/>
                        <w:noWrap w:val="0"/>
                        <w:vAlign w:val="center"/>
                      </w:tcPr>
                      <w:p w14:paraId="1F10F323">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吨</w:t>
                        </w:r>
                      </w:p>
                    </w:tc>
                    <w:tc>
                      <w:tcPr>
                        <w:tcW w:w="500" w:type="pct"/>
                        <w:noWrap w:val="0"/>
                        <w:vAlign w:val="center"/>
                      </w:tcPr>
                      <w:p w14:paraId="5BF9ED6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外购</w:t>
                        </w:r>
                      </w:p>
                    </w:tc>
                    <w:tc>
                      <w:tcPr>
                        <w:tcW w:w="796" w:type="pct"/>
                        <w:noWrap w:val="0"/>
                        <w:vAlign w:val="center"/>
                      </w:tcPr>
                      <w:p w14:paraId="5E74427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0.4吨</w:t>
                        </w:r>
                      </w:p>
                    </w:tc>
                    <w:tc>
                      <w:tcPr>
                        <w:tcW w:w="535" w:type="pct"/>
                        <w:noWrap w:val="0"/>
                        <w:vAlign w:val="center"/>
                      </w:tcPr>
                      <w:p w14:paraId="56BEF42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0.3吨</w:t>
                        </w:r>
                      </w:p>
                    </w:tc>
                    <w:tc>
                      <w:tcPr>
                        <w:tcW w:w="595" w:type="pct"/>
                        <w:noWrap w:val="0"/>
                        <w:vAlign w:val="center"/>
                      </w:tcPr>
                      <w:p w14:paraId="4B3F095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水肥中心</w:t>
                        </w:r>
                      </w:p>
                    </w:tc>
                    <w:tc>
                      <w:tcPr>
                        <w:tcW w:w="785" w:type="pct"/>
                        <w:noWrap w:val="0"/>
                        <w:vAlign w:val="center"/>
                      </w:tcPr>
                      <w:p w14:paraId="532A06A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p>
                    </w:tc>
                  </w:tr>
                  <w:tr w14:paraId="0DC89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pct"/>
                        <w:noWrap w:val="0"/>
                        <w:vAlign w:val="center"/>
                      </w:tcPr>
                      <w:p w14:paraId="1361592A">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美加富</w:t>
                        </w:r>
                      </w:p>
                    </w:tc>
                    <w:tc>
                      <w:tcPr>
                        <w:tcW w:w="726" w:type="pct"/>
                        <w:noWrap w:val="0"/>
                        <w:vAlign w:val="center"/>
                      </w:tcPr>
                      <w:p w14:paraId="5474052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20L/桶</w:t>
                        </w:r>
                      </w:p>
                    </w:tc>
                    <w:tc>
                      <w:tcPr>
                        <w:tcW w:w="350" w:type="pct"/>
                        <w:noWrap w:val="0"/>
                        <w:vAlign w:val="center"/>
                      </w:tcPr>
                      <w:p w14:paraId="2F59B35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吨</w:t>
                        </w:r>
                      </w:p>
                    </w:tc>
                    <w:tc>
                      <w:tcPr>
                        <w:tcW w:w="500" w:type="pct"/>
                        <w:noWrap w:val="0"/>
                        <w:vAlign w:val="center"/>
                      </w:tcPr>
                      <w:p w14:paraId="2848B1B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外购</w:t>
                        </w:r>
                      </w:p>
                    </w:tc>
                    <w:tc>
                      <w:tcPr>
                        <w:tcW w:w="796" w:type="pct"/>
                        <w:noWrap w:val="0"/>
                        <w:vAlign w:val="center"/>
                      </w:tcPr>
                      <w:p w14:paraId="4079360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1.6吨</w:t>
                        </w:r>
                      </w:p>
                    </w:tc>
                    <w:tc>
                      <w:tcPr>
                        <w:tcW w:w="535" w:type="pct"/>
                        <w:noWrap w:val="0"/>
                        <w:vAlign w:val="center"/>
                      </w:tcPr>
                      <w:p w14:paraId="67960DD3">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0.6吨</w:t>
                        </w:r>
                      </w:p>
                    </w:tc>
                    <w:tc>
                      <w:tcPr>
                        <w:tcW w:w="595" w:type="pct"/>
                        <w:noWrap w:val="0"/>
                        <w:vAlign w:val="center"/>
                      </w:tcPr>
                      <w:p w14:paraId="54DBBE6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水肥中心</w:t>
                        </w:r>
                      </w:p>
                    </w:tc>
                    <w:tc>
                      <w:tcPr>
                        <w:tcW w:w="785" w:type="pct"/>
                        <w:noWrap w:val="0"/>
                        <w:vAlign w:val="center"/>
                      </w:tcPr>
                      <w:p w14:paraId="682A051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p>
                    </w:tc>
                  </w:tr>
                  <w:tr w14:paraId="14536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pct"/>
                        <w:noWrap w:val="0"/>
                        <w:vAlign w:val="center"/>
                      </w:tcPr>
                      <w:p w14:paraId="0DC1724B">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钙镁磷肥</w:t>
                        </w:r>
                      </w:p>
                    </w:tc>
                    <w:tc>
                      <w:tcPr>
                        <w:tcW w:w="726" w:type="pct"/>
                        <w:noWrap w:val="0"/>
                        <w:vAlign w:val="center"/>
                      </w:tcPr>
                      <w:p w14:paraId="7156E25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40kg/袋</w:t>
                        </w:r>
                      </w:p>
                    </w:tc>
                    <w:tc>
                      <w:tcPr>
                        <w:tcW w:w="350" w:type="pct"/>
                        <w:noWrap w:val="0"/>
                        <w:vAlign w:val="center"/>
                      </w:tcPr>
                      <w:p w14:paraId="0B1F3E2B">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吨</w:t>
                        </w:r>
                      </w:p>
                    </w:tc>
                    <w:tc>
                      <w:tcPr>
                        <w:tcW w:w="500" w:type="pct"/>
                        <w:noWrap w:val="0"/>
                        <w:vAlign w:val="center"/>
                      </w:tcPr>
                      <w:p w14:paraId="054AF8C3">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外购</w:t>
                        </w:r>
                      </w:p>
                    </w:tc>
                    <w:tc>
                      <w:tcPr>
                        <w:tcW w:w="796" w:type="pct"/>
                        <w:noWrap w:val="0"/>
                        <w:vAlign w:val="center"/>
                      </w:tcPr>
                      <w:p w14:paraId="1C9C91E0">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3吨</w:t>
                        </w:r>
                      </w:p>
                    </w:tc>
                    <w:tc>
                      <w:tcPr>
                        <w:tcW w:w="535" w:type="pct"/>
                        <w:noWrap w:val="0"/>
                        <w:vAlign w:val="center"/>
                      </w:tcPr>
                      <w:p w14:paraId="1502E1D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1吨</w:t>
                        </w:r>
                      </w:p>
                    </w:tc>
                    <w:tc>
                      <w:tcPr>
                        <w:tcW w:w="595" w:type="pct"/>
                        <w:noWrap w:val="0"/>
                        <w:vAlign w:val="center"/>
                      </w:tcPr>
                      <w:p w14:paraId="116E05A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水肥中心</w:t>
                        </w:r>
                      </w:p>
                    </w:tc>
                    <w:tc>
                      <w:tcPr>
                        <w:tcW w:w="785" w:type="pct"/>
                        <w:noWrap w:val="0"/>
                        <w:vAlign w:val="center"/>
                      </w:tcPr>
                      <w:p w14:paraId="6DBA2E7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p>
                    </w:tc>
                  </w:tr>
                  <w:tr w14:paraId="16062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pct"/>
                        <w:noWrap w:val="0"/>
                        <w:vAlign w:val="center"/>
                      </w:tcPr>
                      <w:p w14:paraId="3466D4CB">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腐殖酸水溶肥</w:t>
                        </w:r>
                      </w:p>
                    </w:tc>
                    <w:tc>
                      <w:tcPr>
                        <w:tcW w:w="726" w:type="pct"/>
                        <w:noWrap w:val="0"/>
                        <w:vAlign w:val="center"/>
                      </w:tcPr>
                      <w:p w14:paraId="2D3481B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20kg/桶</w:t>
                        </w:r>
                      </w:p>
                    </w:tc>
                    <w:tc>
                      <w:tcPr>
                        <w:tcW w:w="350" w:type="pct"/>
                        <w:noWrap w:val="0"/>
                        <w:vAlign w:val="center"/>
                      </w:tcPr>
                      <w:p w14:paraId="02352A6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吨</w:t>
                        </w:r>
                      </w:p>
                    </w:tc>
                    <w:tc>
                      <w:tcPr>
                        <w:tcW w:w="500" w:type="pct"/>
                        <w:noWrap w:val="0"/>
                        <w:vAlign w:val="center"/>
                      </w:tcPr>
                      <w:p w14:paraId="26143E9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外购</w:t>
                        </w:r>
                      </w:p>
                    </w:tc>
                    <w:tc>
                      <w:tcPr>
                        <w:tcW w:w="796" w:type="pct"/>
                        <w:noWrap w:val="0"/>
                        <w:vAlign w:val="center"/>
                      </w:tcPr>
                      <w:p w14:paraId="2FEEB83B">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1吨</w:t>
                        </w:r>
                      </w:p>
                    </w:tc>
                    <w:tc>
                      <w:tcPr>
                        <w:tcW w:w="535" w:type="pct"/>
                        <w:noWrap w:val="0"/>
                        <w:vAlign w:val="center"/>
                      </w:tcPr>
                      <w:p w14:paraId="57B48B3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1吨</w:t>
                        </w:r>
                      </w:p>
                    </w:tc>
                    <w:tc>
                      <w:tcPr>
                        <w:tcW w:w="595" w:type="pct"/>
                        <w:noWrap w:val="0"/>
                        <w:vAlign w:val="center"/>
                      </w:tcPr>
                      <w:p w14:paraId="238C5A9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水肥中心</w:t>
                        </w:r>
                      </w:p>
                    </w:tc>
                    <w:tc>
                      <w:tcPr>
                        <w:tcW w:w="785" w:type="pct"/>
                        <w:noWrap w:val="0"/>
                        <w:vAlign w:val="center"/>
                      </w:tcPr>
                      <w:p w14:paraId="13633943">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p>
                    </w:tc>
                  </w:tr>
                  <w:tr w14:paraId="63946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pct"/>
                        <w:noWrap w:val="0"/>
                        <w:vAlign w:val="center"/>
                      </w:tcPr>
                      <w:p w14:paraId="186E0FB3">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植物源有机肥</w:t>
                        </w:r>
                      </w:p>
                    </w:tc>
                    <w:tc>
                      <w:tcPr>
                        <w:tcW w:w="726" w:type="pct"/>
                        <w:noWrap w:val="0"/>
                        <w:vAlign w:val="center"/>
                      </w:tcPr>
                      <w:p w14:paraId="7A6041E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40kg/袋</w:t>
                        </w:r>
                      </w:p>
                    </w:tc>
                    <w:tc>
                      <w:tcPr>
                        <w:tcW w:w="350" w:type="pct"/>
                        <w:noWrap w:val="0"/>
                        <w:vAlign w:val="center"/>
                      </w:tcPr>
                      <w:p w14:paraId="779B38D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吨</w:t>
                        </w:r>
                      </w:p>
                    </w:tc>
                    <w:tc>
                      <w:tcPr>
                        <w:tcW w:w="500" w:type="pct"/>
                        <w:noWrap w:val="0"/>
                        <w:vAlign w:val="center"/>
                      </w:tcPr>
                      <w:p w14:paraId="03BC88F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外购</w:t>
                        </w:r>
                      </w:p>
                    </w:tc>
                    <w:tc>
                      <w:tcPr>
                        <w:tcW w:w="796" w:type="pct"/>
                        <w:noWrap w:val="0"/>
                        <w:vAlign w:val="center"/>
                      </w:tcPr>
                      <w:p w14:paraId="72F7A18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7吨</w:t>
                        </w:r>
                      </w:p>
                    </w:tc>
                    <w:tc>
                      <w:tcPr>
                        <w:tcW w:w="535" w:type="pct"/>
                        <w:noWrap w:val="0"/>
                        <w:vAlign w:val="center"/>
                      </w:tcPr>
                      <w:p w14:paraId="66BDDD0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2吨</w:t>
                        </w:r>
                      </w:p>
                    </w:tc>
                    <w:tc>
                      <w:tcPr>
                        <w:tcW w:w="595" w:type="pct"/>
                        <w:noWrap w:val="0"/>
                        <w:vAlign w:val="center"/>
                      </w:tcPr>
                      <w:p w14:paraId="4C831D0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水肥中心</w:t>
                        </w:r>
                      </w:p>
                    </w:tc>
                    <w:tc>
                      <w:tcPr>
                        <w:tcW w:w="785" w:type="pct"/>
                        <w:noWrap w:val="0"/>
                        <w:vAlign w:val="center"/>
                      </w:tcPr>
                      <w:p w14:paraId="78A87B5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p>
                    </w:tc>
                  </w:tr>
                  <w:tr w14:paraId="1100C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pct"/>
                        <w:noWrap w:val="0"/>
                        <w:vAlign w:val="center"/>
                      </w:tcPr>
                      <w:p w14:paraId="5AE87A3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蓝莓配方基质土</w:t>
                        </w:r>
                      </w:p>
                    </w:tc>
                    <w:tc>
                      <w:tcPr>
                        <w:tcW w:w="726" w:type="pct"/>
                        <w:noWrap w:val="0"/>
                        <w:vAlign w:val="center"/>
                      </w:tcPr>
                      <w:p w14:paraId="6D3ADE9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p>
                    </w:tc>
                    <w:tc>
                      <w:tcPr>
                        <w:tcW w:w="350" w:type="pct"/>
                        <w:noWrap w:val="0"/>
                        <w:vAlign w:val="center"/>
                      </w:tcPr>
                      <w:p w14:paraId="698183C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p>
                    </w:tc>
                    <w:tc>
                      <w:tcPr>
                        <w:tcW w:w="500" w:type="pct"/>
                        <w:noWrap w:val="0"/>
                        <w:vAlign w:val="center"/>
                      </w:tcPr>
                      <w:p w14:paraId="13BB036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外购</w:t>
                        </w:r>
                      </w:p>
                    </w:tc>
                    <w:tc>
                      <w:tcPr>
                        <w:tcW w:w="796" w:type="pct"/>
                        <w:noWrap w:val="0"/>
                        <w:vAlign w:val="center"/>
                      </w:tcPr>
                      <w:p w14:paraId="4A1E83C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100吨</w:t>
                        </w:r>
                      </w:p>
                    </w:tc>
                    <w:tc>
                      <w:tcPr>
                        <w:tcW w:w="535" w:type="pct"/>
                        <w:noWrap w:val="0"/>
                        <w:vAlign w:val="center"/>
                      </w:tcPr>
                      <w:p w14:paraId="49AF33F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10吨</w:t>
                        </w:r>
                      </w:p>
                    </w:tc>
                    <w:tc>
                      <w:tcPr>
                        <w:tcW w:w="595" w:type="pct"/>
                        <w:noWrap w:val="0"/>
                        <w:vAlign w:val="center"/>
                      </w:tcPr>
                      <w:p w14:paraId="61A0545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水肥中心</w:t>
                        </w:r>
                      </w:p>
                    </w:tc>
                    <w:tc>
                      <w:tcPr>
                        <w:tcW w:w="785" w:type="pct"/>
                        <w:noWrap w:val="0"/>
                        <w:vAlign w:val="center"/>
                      </w:tcPr>
                      <w:p w14:paraId="62C3B4BA">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p>
                    </w:tc>
                  </w:tr>
                  <w:tr w14:paraId="36C19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pct"/>
                        <w:noWrap w:val="0"/>
                        <w:vAlign w:val="center"/>
                      </w:tcPr>
                      <w:p w14:paraId="0F567AE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椰糠</w:t>
                        </w:r>
                      </w:p>
                    </w:tc>
                    <w:tc>
                      <w:tcPr>
                        <w:tcW w:w="726" w:type="pct"/>
                        <w:noWrap w:val="0"/>
                        <w:vAlign w:val="center"/>
                      </w:tcPr>
                      <w:p w14:paraId="0C74C4BD">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6</w:t>
                        </w:r>
                        <w:r>
                          <w:rPr>
                            <w:rFonts w:hint="eastAsia" w:ascii="Times New Roman" w:hAnsi="Times New Roman"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8mm</w:t>
                        </w:r>
                      </w:p>
                    </w:tc>
                    <w:tc>
                      <w:tcPr>
                        <w:tcW w:w="350" w:type="pct"/>
                        <w:noWrap w:val="0"/>
                        <w:vAlign w:val="center"/>
                      </w:tcPr>
                      <w:p w14:paraId="70A3E41D">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吨</w:t>
                        </w:r>
                      </w:p>
                    </w:tc>
                    <w:tc>
                      <w:tcPr>
                        <w:tcW w:w="500" w:type="pct"/>
                        <w:noWrap w:val="0"/>
                        <w:vAlign w:val="center"/>
                      </w:tcPr>
                      <w:p w14:paraId="625F4AE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外购</w:t>
                        </w:r>
                      </w:p>
                    </w:tc>
                    <w:tc>
                      <w:tcPr>
                        <w:tcW w:w="796" w:type="pct"/>
                        <w:noWrap w:val="0"/>
                        <w:vAlign w:val="center"/>
                      </w:tcPr>
                      <w:p w14:paraId="4A79C64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30吨</w:t>
                        </w:r>
                      </w:p>
                    </w:tc>
                    <w:tc>
                      <w:tcPr>
                        <w:tcW w:w="535" w:type="pct"/>
                        <w:noWrap w:val="0"/>
                        <w:vAlign w:val="center"/>
                      </w:tcPr>
                      <w:p w14:paraId="483E3100">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2吨</w:t>
                        </w:r>
                      </w:p>
                    </w:tc>
                    <w:tc>
                      <w:tcPr>
                        <w:tcW w:w="595" w:type="pct"/>
                        <w:noWrap w:val="0"/>
                        <w:vAlign w:val="center"/>
                      </w:tcPr>
                      <w:p w14:paraId="1845431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水肥中心</w:t>
                        </w:r>
                      </w:p>
                    </w:tc>
                    <w:tc>
                      <w:tcPr>
                        <w:tcW w:w="785" w:type="pct"/>
                        <w:noWrap w:val="0"/>
                        <w:vAlign w:val="center"/>
                      </w:tcPr>
                      <w:p w14:paraId="323C5B2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p>
                    </w:tc>
                  </w:tr>
                  <w:tr w14:paraId="32161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pct"/>
                        <w:noWrap w:val="0"/>
                        <w:vAlign w:val="center"/>
                      </w:tcPr>
                      <w:p w14:paraId="703A0CB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30L种植圆盘</w:t>
                        </w:r>
                      </w:p>
                    </w:tc>
                    <w:tc>
                      <w:tcPr>
                        <w:tcW w:w="726" w:type="pct"/>
                        <w:noWrap w:val="0"/>
                        <w:vAlign w:val="center"/>
                      </w:tcPr>
                      <w:p w14:paraId="2661CFF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带水管卡槽</w:t>
                        </w:r>
                      </w:p>
                    </w:tc>
                    <w:tc>
                      <w:tcPr>
                        <w:tcW w:w="350" w:type="pct"/>
                        <w:noWrap w:val="0"/>
                        <w:vAlign w:val="center"/>
                      </w:tcPr>
                      <w:p w14:paraId="3745CB1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个</w:t>
                        </w:r>
                      </w:p>
                    </w:tc>
                    <w:tc>
                      <w:tcPr>
                        <w:tcW w:w="500" w:type="pct"/>
                        <w:noWrap w:val="0"/>
                        <w:vAlign w:val="center"/>
                      </w:tcPr>
                      <w:p w14:paraId="4360C93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外购</w:t>
                        </w:r>
                      </w:p>
                    </w:tc>
                    <w:tc>
                      <w:tcPr>
                        <w:tcW w:w="796" w:type="pct"/>
                        <w:noWrap w:val="0"/>
                        <w:vAlign w:val="center"/>
                      </w:tcPr>
                      <w:p w14:paraId="141252BD">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w:t>
                        </w:r>
                        <w:r>
                          <w:rPr>
                            <w:rFonts w:hint="eastAsia" w:ascii="Times New Roman" w:hAnsi="Times New Roman" w:cs="Times New Roman"/>
                            <w:color w:val="000000" w:themeColor="text1"/>
                            <w:sz w:val="21"/>
                            <w:szCs w:val="21"/>
                            <w:lang w:val="en-US" w:eastAsia="zh-CN"/>
                            <w14:textFill>
                              <w14:solidFill>
                                <w14:schemeClr w14:val="tx1"/>
                              </w14:solidFill>
                            </w14:textFill>
                          </w:rPr>
                          <w:t>52112</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个（首年投入）</w:t>
                        </w:r>
                      </w:p>
                    </w:tc>
                    <w:tc>
                      <w:tcPr>
                        <w:tcW w:w="535" w:type="pct"/>
                        <w:noWrap w:val="0"/>
                        <w:vAlign w:val="center"/>
                      </w:tcPr>
                      <w:p w14:paraId="7D1B7CC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2000个</w:t>
                        </w:r>
                      </w:p>
                    </w:tc>
                    <w:tc>
                      <w:tcPr>
                        <w:tcW w:w="595" w:type="pct"/>
                        <w:noWrap w:val="0"/>
                        <w:vAlign w:val="center"/>
                      </w:tcPr>
                      <w:p w14:paraId="62DDD08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管护用房</w:t>
                        </w:r>
                      </w:p>
                    </w:tc>
                    <w:tc>
                      <w:tcPr>
                        <w:tcW w:w="785" w:type="pct"/>
                        <w:noWrap w:val="0"/>
                        <w:vAlign w:val="center"/>
                      </w:tcPr>
                      <w:p w14:paraId="4F0044F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1000</w:t>
                        </w:r>
                        <w:r>
                          <w:rPr>
                            <w:rFonts w:hint="eastAsia" w:ascii="Times New Roman" w:hAnsi="Times New Roman" w:cs="Times New Roman"/>
                            <w:color w:val="000000" w:themeColor="text1"/>
                            <w:sz w:val="21"/>
                            <w:szCs w:val="21"/>
                            <w:lang w:val="en-US" w:eastAsia="zh-CN"/>
                            <w14:textFill>
                              <w14:solidFill>
                                <w14:schemeClr w14:val="tx1"/>
                              </w14:solidFill>
                            </w14:textFill>
                          </w:rPr>
                          <w:t>0</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个（损耗补充量）</w:t>
                        </w:r>
                      </w:p>
                    </w:tc>
                  </w:tr>
                  <w:tr w14:paraId="2FBBD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pct"/>
                        <w:noWrap w:val="0"/>
                        <w:vAlign w:val="center"/>
                      </w:tcPr>
                      <w:p w14:paraId="4CF91CE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穴盘</w:t>
                        </w:r>
                      </w:p>
                    </w:tc>
                    <w:tc>
                      <w:tcPr>
                        <w:tcW w:w="726" w:type="pct"/>
                        <w:noWrap w:val="0"/>
                        <w:vAlign w:val="center"/>
                      </w:tcPr>
                      <w:p w14:paraId="72A6460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6*12孔</w:t>
                        </w:r>
                      </w:p>
                    </w:tc>
                    <w:tc>
                      <w:tcPr>
                        <w:tcW w:w="350" w:type="pct"/>
                        <w:noWrap w:val="0"/>
                        <w:vAlign w:val="center"/>
                      </w:tcPr>
                      <w:p w14:paraId="2E2FDF3B">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张</w:t>
                        </w:r>
                      </w:p>
                    </w:tc>
                    <w:tc>
                      <w:tcPr>
                        <w:tcW w:w="500" w:type="pct"/>
                        <w:noWrap w:val="0"/>
                        <w:vAlign w:val="center"/>
                      </w:tcPr>
                      <w:p w14:paraId="40D7515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外购</w:t>
                        </w:r>
                      </w:p>
                    </w:tc>
                    <w:tc>
                      <w:tcPr>
                        <w:tcW w:w="796" w:type="pct"/>
                        <w:noWrap w:val="0"/>
                        <w:vAlign w:val="center"/>
                      </w:tcPr>
                      <w:p w14:paraId="690C8DD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1400张（首年投入）</w:t>
                        </w:r>
                      </w:p>
                    </w:tc>
                    <w:tc>
                      <w:tcPr>
                        <w:tcW w:w="535" w:type="pct"/>
                        <w:noWrap w:val="0"/>
                        <w:vAlign w:val="center"/>
                      </w:tcPr>
                      <w:p w14:paraId="45BC7790">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600张</w:t>
                        </w:r>
                      </w:p>
                    </w:tc>
                    <w:tc>
                      <w:tcPr>
                        <w:tcW w:w="595" w:type="pct"/>
                        <w:noWrap w:val="0"/>
                        <w:vAlign w:val="center"/>
                      </w:tcPr>
                      <w:p w14:paraId="48EE764D">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管护用房</w:t>
                        </w:r>
                      </w:p>
                    </w:tc>
                    <w:tc>
                      <w:tcPr>
                        <w:tcW w:w="785" w:type="pct"/>
                        <w:noWrap w:val="0"/>
                        <w:vAlign w:val="center"/>
                      </w:tcPr>
                      <w:p w14:paraId="0E2104A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300张（损耗补量）</w:t>
                        </w:r>
                      </w:p>
                    </w:tc>
                  </w:tr>
                  <w:tr w14:paraId="63E3D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pct"/>
                        <w:noWrap w:val="0"/>
                        <w:vAlign w:val="center"/>
                      </w:tcPr>
                      <w:p w14:paraId="728C079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穴盘</w:t>
                        </w:r>
                      </w:p>
                    </w:tc>
                    <w:tc>
                      <w:tcPr>
                        <w:tcW w:w="726" w:type="pct"/>
                        <w:noWrap w:val="0"/>
                        <w:vAlign w:val="center"/>
                      </w:tcPr>
                      <w:p w14:paraId="553500ED">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5*10孔</w:t>
                        </w:r>
                      </w:p>
                    </w:tc>
                    <w:tc>
                      <w:tcPr>
                        <w:tcW w:w="350" w:type="pct"/>
                        <w:noWrap w:val="0"/>
                        <w:vAlign w:val="center"/>
                      </w:tcPr>
                      <w:p w14:paraId="75450BA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张</w:t>
                        </w:r>
                      </w:p>
                    </w:tc>
                    <w:tc>
                      <w:tcPr>
                        <w:tcW w:w="500" w:type="pct"/>
                        <w:noWrap w:val="0"/>
                        <w:vAlign w:val="center"/>
                      </w:tcPr>
                      <w:p w14:paraId="27CB92D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外购</w:t>
                        </w:r>
                      </w:p>
                    </w:tc>
                    <w:tc>
                      <w:tcPr>
                        <w:tcW w:w="796" w:type="pct"/>
                        <w:noWrap w:val="0"/>
                        <w:vAlign w:val="center"/>
                      </w:tcPr>
                      <w:p w14:paraId="360BE4E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1400张（首年投入）</w:t>
                        </w:r>
                      </w:p>
                    </w:tc>
                    <w:tc>
                      <w:tcPr>
                        <w:tcW w:w="535" w:type="pct"/>
                        <w:noWrap w:val="0"/>
                        <w:vAlign w:val="center"/>
                      </w:tcPr>
                      <w:p w14:paraId="694D5ED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600张</w:t>
                        </w:r>
                      </w:p>
                    </w:tc>
                    <w:tc>
                      <w:tcPr>
                        <w:tcW w:w="595" w:type="pct"/>
                        <w:noWrap w:val="0"/>
                        <w:vAlign w:val="center"/>
                      </w:tcPr>
                      <w:p w14:paraId="218AB3B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管护用房</w:t>
                        </w:r>
                      </w:p>
                    </w:tc>
                    <w:tc>
                      <w:tcPr>
                        <w:tcW w:w="785" w:type="pct"/>
                        <w:noWrap w:val="0"/>
                        <w:vAlign w:val="center"/>
                      </w:tcPr>
                      <w:p w14:paraId="49A7245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300张（损耗补量）</w:t>
                        </w:r>
                      </w:p>
                    </w:tc>
                  </w:tr>
                  <w:tr w14:paraId="6D3C4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pct"/>
                        <w:noWrap w:val="0"/>
                        <w:vAlign w:val="center"/>
                      </w:tcPr>
                      <w:p w14:paraId="16A19EC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杀虫剂</w:t>
                        </w:r>
                      </w:p>
                    </w:tc>
                    <w:tc>
                      <w:tcPr>
                        <w:tcW w:w="726" w:type="pct"/>
                        <w:noWrap w:val="0"/>
                        <w:vAlign w:val="center"/>
                      </w:tcPr>
                      <w:p w14:paraId="2A8DDAF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p>
                    </w:tc>
                    <w:tc>
                      <w:tcPr>
                        <w:tcW w:w="350" w:type="pct"/>
                        <w:noWrap w:val="0"/>
                        <w:vAlign w:val="center"/>
                      </w:tcPr>
                      <w:p w14:paraId="2139B75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吨</w:t>
                        </w:r>
                      </w:p>
                    </w:tc>
                    <w:tc>
                      <w:tcPr>
                        <w:tcW w:w="500" w:type="pct"/>
                        <w:noWrap w:val="0"/>
                        <w:vAlign w:val="center"/>
                      </w:tcPr>
                      <w:p w14:paraId="72F6869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外购</w:t>
                        </w:r>
                      </w:p>
                    </w:tc>
                    <w:tc>
                      <w:tcPr>
                        <w:tcW w:w="796" w:type="pct"/>
                        <w:noWrap w:val="0"/>
                        <w:vAlign w:val="center"/>
                      </w:tcPr>
                      <w:p w14:paraId="00EF8D60">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0.4吨</w:t>
                        </w:r>
                      </w:p>
                    </w:tc>
                    <w:tc>
                      <w:tcPr>
                        <w:tcW w:w="535" w:type="pct"/>
                        <w:noWrap w:val="0"/>
                        <w:vAlign w:val="center"/>
                      </w:tcPr>
                      <w:p w14:paraId="4C9F8E0B">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0.1吨</w:t>
                        </w:r>
                      </w:p>
                    </w:tc>
                    <w:tc>
                      <w:tcPr>
                        <w:tcW w:w="595" w:type="pct"/>
                        <w:noWrap w:val="0"/>
                        <w:vAlign w:val="center"/>
                      </w:tcPr>
                      <w:p w14:paraId="1E0FDA1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水肥中心</w:t>
                        </w:r>
                      </w:p>
                    </w:tc>
                    <w:tc>
                      <w:tcPr>
                        <w:tcW w:w="785" w:type="pct"/>
                        <w:noWrap w:val="0"/>
                        <w:vAlign w:val="center"/>
                      </w:tcPr>
                      <w:p w14:paraId="2053F24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p>
                    </w:tc>
                  </w:tr>
                  <w:tr w14:paraId="4AE64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pct"/>
                        <w:noWrap w:val="0"/>
                        <w:vAlign w:val="center"/>
                      </w:tcPr>
                      <w:p w14:paraId="4E1515C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杀菌剂</w:t>
                        </w:r>
                      </w:p>
                    </w:tc>
                    <w:tc>
                      <w:tcPr>
                        <w:tcW w:w="726" w:type="pct"/>
                        <w:noWrap w:val="0"/>
                        <w:vAlign w:val="center"/>
                      </w:tcPr>
                      <w:p w14:paraId="463AA5AA">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p>
                    </w:tc>
                    <w:tc>
                      <w:tcPr>
                        <w:tcW w:w="350" w:type="pct"/>
                        <w:noWrap w:val="0"/>
                        <w:vAlign w:val="center"/>
                      </w:tcPr>
                      <w:p w14:paraId="56E6385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吨</w:t>
                        </w:r>
                      </w:p>
                    </w:tc>
                    <w:tc>
                      <w:tcPr>
                        <w:tcW w:w="500" w:type="pct"/>
                        <w:noWrap w:val="0"/>
                        <w:vAlign w:val="center"/>
                      </w:tcPr>
                      <w:p w14:paraId="1E6D071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外购</w:t>
                        </w:r>
                      </w:p>
                    </w:tc>
                    <w:tc>
                      <w:tcPr>
                        <w:tcW w:w="796" w:type="pct"/>
                        <w:noWrap w:val="0"/>
                        <w:vAlign w:val="center"/>
                      </w:tcPr>
                      <w:p w14:paraId="44F9392A">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0.6吨</w:t>
                        </w:r>
                      </w:p>
                    </w:tc>
                    <w:tc>
                      <w:tcPr>
                        <w:tcW w:w="535" w:type="pct"/>
                        <w:noWrap w:val="0"/>
                        <w:vAlign w:val="center"/>
                      </w:tcPr>
                      <w:p w14:paraId="5357482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0.2吨</w:t>
                        </w:r>
                      </w:p>
                    </w:tc>
                    <w:tc>
                      <w:tcPr>
                        <w:tcW w:w="595" w:type="pct"/>
                        <w:noWrap w:val="0"/>
                        <w:vAlign w:val="center"/>
                      </w:tcPr>
                      <w:p w14:paraId="70DAA9B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水肥中心</w:t>
                        </w:r>
                      </w:p>
                    </w:tc>
                    <w:tc>
                      <w:tcPr>
                        <w:tcW w:w="785" w:type="pct"/>
                        <w:noWrap w:val="0"/>
                        <w:vAlign w:val="center"/>
                      </w:tcPr>
                      <w:p w14:paraId="5426A8DA">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p>
                    </w:tc>
                  </w:tr>
                  <w:tr w14:paraId="5B36B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pct"/>
                        <w:noWrap w:val="0"/>
                        <w:vAlign w:val="center"/>
                      </w:tcPr>
                      <w:p w14:paraId="3623F1AA">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叶面肥</w:t>
                        </w:r>
                      </w:p>
                    </w:tc>
                    <w:tc>
                      <w:tcPr>
                        <w:tcW w:w="726" w:type="pct"/>
                        <w:noWrap w:val="0"/>
                        <w:vAlign w:val="center"/>
                      </w:tcPr>
                      <w:p w14:paraId="13B451D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p>
                    </w:tc>
                    <w:tc>
                      <w:tcPr>
                        <w:tcW w:w="350" w:type="pct"/>
                        <w:noWrap w:val="0"/>
                        <w:vAlign w:val="center"/>
                      </w:tcPr>
                      <w:p w14:paraId="215CC1B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吨</w:t>
                        </w:r>
                      </w:p>
                    </w:tc>
                    <w:tc>
                      <w:tcPr>
                        <w:tcW w:w="500" w:type="pct"/>
                        <w:noWrap w:val="0"/>
                        <w:vAlign w:val="center"/>
                      </w:tcPr>
                      <w:p w14:paraId="4477433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外购</w:t>
                        </w:r>
                      </w:p>
                    </w:tc>
                    <w:tc>
                      <w:tcPr>
                        <w:tcW w:w="796" w:type="pct"/>
                        <w:noWrap w:val="0"/>
                        <w:vAlign w:val="center"/>
                      </w:tcPr>
                      <w:p w14:paraId="1BDCD75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0.4吨</w:t>
                        </w:r>
                      </w:p>
                    </w:tc>
                    <w:tc>
                      <w:tcPr>
                        <w:tcW w:w="535" w:type="pct"/>
                        <w:noWrap w:val="0"/>
                        <w:vAlign w:val="center"/>
                      </w:tcPr>
                      <w:p w14:paraId="6ECFB6B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0.2吨</w:t>
                        </w:r>
                      </w:p>
                    </w:tc>
                    <w:tc>
                      <w:tcPr>
                        <w:tcW w:w="595" w:type="pct"/>
                        <w:noWrap w:val="0"/>
                        <w:vAlign w:val="center"/>
                      </w:tcPr>
                      <w:p w14:paraId="2C389FDA">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水肥中心</w:t>
                        </w:r>
                      </w:p>
                    </w:tc>
                    <w:tc>
                      <w:tcPr>
                        <w:tcW w:w="785" w:type="pct"/>
                        <w:noWrap w:val="0"/>
                        <w:vAlign w:val="center"/>
                      </w:tcPr>
                      <w:p w14:paraId="175FA6E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p>
                    </w:tc>
                  </w:tr>
                  <w:tr w14:paraId="77606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9" w:type="pct"/>
                        <w:noWrap w:val="0"/>
                        <w:vAlign w:val="center"/>
                      </w:tcPr>
                      <w:p w14:paraId="7CF2FEA0">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植物生长调节剂</w:t>
                        </w:r>
                      </w:p>
                    </w:tc>
                    <w:tc>
                      <w:tcPr>
                        <w:tcW w:w="726" w:type="pct"/>
                        <w:noWrap w:val="0"/>
                        <w:vAlign w:val="center"/>
                      </w:tcPr>
                      <w:p w14:paraId="119B408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p>
                    </w:tc>
                    <w:tc>
                      <w:tcPr>
                        <w:tcW w:w="350" w:type="pct"/>
                        <w:noWrap w:val="0"/>
                        <w:vAlign w:val="center"/>
                      </w:tcPr>
                      <w:p w14:paraId="75F8FED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吨</w:t>
                        </w:r>
                      </w:p>
                    </w:tc>
                    <w:tc>
                      <w:tcPr>
                        <w:tcW w:w="500" w:type="pct"/>
                        <w:noWrap w:val="0"/>
                        <w:vAlign w:val="center"/>
                      </w:tcPr>
                      <w:p w14:paraId="2042433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外购</w:t>
                        </w:r>
                      </w:p>
                    </w:tc>
                    <w:tc>
                      <w:tcPr>
                        <w:tcW w:w="796" w:type="pct"/>
                        <w:noWrap w:val="0"/>
                        <w:vAlign w:val="center"/>
                      </w:tcPr>
                      <w:p w14:paraId="081A650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0.6吨</w:t>
                        </w:r>
                      </w:p>
                    </w:tc>
                    <w:tc>
                      <w:tcPr>
                        <w:tcW w:w="535" w:type="pct"/>
                        <w:noWrap w:val="0"/>
                        <w:vAlign w:val="center"/>
                      </w:tcPr>
                      <w:p w14:paraId="1D93C333">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0.3吨</w:t>
                        </w:r>
                      </w:p>
                    </w:tc>
                    <w:tc>
                      <w:tcPr>
                        <w:tcW w:w="595" w:type="pct"/>
                        <w:noWrap w:val="0"/>
                        <w:vAlign w:val="center"/>
                      </w:tcPr>
                      <w:p w14:paraId="77744C7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水肥中心</w:t>
                        </w:r>
                      </w:p>
                    </w:tc>
                    <w:tc>
                      <w:tcPr>
                        <w:tcW w:w="785" w:type="pct"/>
                        <w:noWrap w:val="0"/>
                        <w:vAlign w:val="center"/>
                      </w:tcPr>
                      <w:p w14:paraId="67AFA76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p>
                    </w:tc>
                  </w:tr>
                </w:tbl>
                <w:p w14:paraId="02A1C4E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r>
          </w:tbl>
          <w:p w14:paraId="56662660">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p>
          <w:p w14:paraId="3BC554C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表2-</w:t>
            </w:r>
            <w:r>
              <w:rPr>
                <w:rFonts w:hint="eastAsia" w:ascii="Times New Roman" w:hAnsi="Times New Roman" w:eastAsia="宋体" w:cs="Times New Roman"/>
                <w:b/>
                <w:bCs/>
                <w:color w:val="000000" w:themeColor="text1"/>
                <w:sz w:val="21"/>
                <w:szCs w:val="21"/>
                <w:lang w:val="en-US" w:eastAsia="zh-CN"/>
                <w14:textFill>
                  <w14:solidFill>
                    <w14:schemeClr w14:val="tx1"/>
                  </w14:solidFill>
                </w14:textFill>
              </w:rPr>
              <w:t xml:space="preserve">6    </w:t>
            </w: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三七种植原辅料一览表</w:t>
            </w:r>
          </w:p>
          <w:tbl>
            <w:tblPr>
              <w:tblStyle w:val="26"/>
              <w:tblW w:w="4822" w:type="pct"/>
              <w:jc w:val="center"/>
              <w:tblBorders>
                <w:top w:val="single" w:color="DEE0E3" w:sz="6" w:space="0"/>
                <w:left w:val="single" w:color="DEE0E3" w:sz="6" w:space="0"/>
                <w:bottom w:val="single" w:color="DEE0E3" w:sz="6" w:space="0"/>
                <w:right w:val="single" w:color="DEE0E3"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1020"/>
              <w:gridCol w:w="1790"/>
              <w:gridCol w:w="711"/>
              <w:gridCol w:w="772"/>
              <w:gridCol w:w="787"/>
              <w:gridCol w:w="794"/>
              <w:gridCol w:w="1765"/>
            </w:tblGrid>
            <w:tr w14:paraId="2B95370E">
              <w:tblPrEx>
                <w:tblBorders>
                  <w:top w:val="single" w:color="DEE0E3" w:sz="6" w:space="0"/>
                  <w:left w:val="single" w:color="DEE0E3" w:sz="6" w:space="0"/>
                  <w:bottom w:val="single" w:color="DEE0E3" w:sz="6" w:space="0"/>
                  <w:right w:val="single" w:color="DEE0E3"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54" w:hRule="atLeast"/>
                <w:jc w:val="center"/>
              </w:trPr>
              <w:tc>
                <w:tcPr>
                  <w:tcW w:w="667"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0C361813">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名称</w:t>
                  </w:r>
                </w:p>
              </w:tc>
              <w:tc>
                <w:tcPr>
                  <w:tcW w:w="1171"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252AB58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规格型号</w:t>
                  </w:r>
                </w:p>
              </w:tc>
              <w:tc>
                <w:tcPr>
                  <w:tcW w:w="465"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53F7AAB3">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来源</w:t>
                  </w:r>
                </w:p>
              </w:tc>
              <w:tc>
                <w:tcPr>
                  <w:tcW w:w="505"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1EA5B45D">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年消耗量</w:t>
                  </w:r>
                </w:p>
              </w:tc>
              <w:tc>
                <w:tcPr>
                  <w:tcW w:w="515"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6143FC8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暂存量</w:t>
                  </w:r>
                </w:p>
              </w:tc>
              <w:tc>
                <w:tcPr>
                  <w:tcW w:w="519"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2F63FAA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暂存位置</w:t>
                  </w:r>
                </w:p>
              </w:tc>
              <w:tc>
                <w:tcPr>
                  <w:tcW w:w="1154"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0862F57A">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备注</w:t>
                  </w:r>
                </w:p>
              </w:tc>
            </w:tr>
            <w:tr w14:paraId="3E8AE7E5">
              <w:tblPrEx>
                <w:tblBorders>
                  <w:top w:val="single" w:color="DEE0E3" w:sz="6" w:space="0"/>
                  <w:left w:val="single" w:color="DEE0E3" w:sz="6" w:space="0"/>
                  <w:bottom w:val="single" w:color="DEE0E3" w:sz="6" w:space="0"/>
                  <w:right w:val="single" w:color="DEE0E3" w:sz="6" w:space="0"/>
                  <w:insideH w:val="outset" w:color="auto" w:sz="6" w:space="0"/>
                  <w:insideV w:val="outset" w:color="auto" w:sz="6" w:space="0"/>
                </w:tblBorders>
                <w:tblCellMar>
                  <w:top w:w="15" w:type="dxa"/>
                  <w:left w:w="15" w:type="dxa"/>
                  <w:bottom w:w="15" w:type="dxa"/>
                  <w:right w:w="15" w:type="dxa"/>
                </w:tblCellMar>
              </w:tblPrEx>
              <w:trPr>
                <w:trHeight w:val="454" w:hRule="atLeast"/>
                <w:jc w:val="center"/>
              </w:trPr>
              <w:tc>
                <w:tcPr>
                  <w:tcW w:w="667"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6C03EE2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三七种子</w:t>
                  </w:r>
                </w:p>
              </w:tc>
              <w:tc>
                <w:tcPr>
                  <w:tcW w:w="1171"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56AE283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颗粒饱满、无病虫害，纯度≥95%，发芽率≥80%</w:t>
                  </w:r>
                </w:p>
              </w:tc>
              <w:tc>
                <w:tcPr>
                  <w:tcW w:w="465"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774B50B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外购</w:t>
                  </w:r>
                </w:p>
              </w:tc>
              <w:tc>
                <w:tcPr>
                  <w:tcW w:w="505"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0C4DBDBD">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1.16t</w:t>
                  </w:r>
                </w:p>
              </w:tc>
              <w:tc>
                <w:tcPr>
                  <w:tcW w:w="515"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4C2525F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0.7t</w:t>
                  </w:r>
                </w:p>
              </w:tc>
              <w:tc>
                <w:tcPr>
                  <w:tcW w:w="519"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5A748A1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水肥中心</w:t>
                  </w:r>
                </w:p>
              </w:tc>
              <w:tc>
                <w:tcPr>
                  <w:tcW w:w="1154"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141FC64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每亩约2</w:t>
                  </w:r>
                  <w:r>
                    <w:rPr>
                      <w:rFonts w:hint="eastAsia" w:ascii="Times New Roman" w:hAnsi="Times New Roman"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3kg，按种植面积计算</w:t>
                  </w:r>
                </w:p>
              </w:tc>
            </w:tr>
            <w:tr w14:paraId="43DA170E">
              <w:tblPrEx>
                <w:tblBorders>
                  <w:top w:val="single" w:color="DEE0E3" w:sz="6" w:space="0"/>
                  <w:left w:val="single" w:color="DEE0E3" w:sz="6" w:space="0"/>
                  <w:bottom w:val="single" w:color="DEE0E3" w:sz="6" w:space="0"/>
                  <w:right w:val="single" w:color="DEE0E3"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97" w:hRule="atLeast"/>
                <w:jc w:val="center"/>
              </w:trPr>
              <w:tc>
                <w:tcPr>
                  <w:tcW w:w="667"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64CCFF9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腐殖土</w:t>
                  </w:r>
                </w:p>
              </w:tc>
              <w:tc>
                <w:tcPr>
                  <w:tcW w:w="1171"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54E552FB">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有机质含量≥30%，pH值5.5-6.5，无重金属污染</w:t>
                  </w:r>
                </w:p>
              </w:tc>
              <w:tc>
                <w:tcPr>
                  <w:tcW w:w="465"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283876B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外购</w:t>
                  </w:r>
                </w:p>
              </w:tc>
              <w:tc>
                <w:tcPr>
                  <w:tcW w:w="505"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4D3039A3">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5783.85m3</w:t>
                  </w:r>
                </w:p>
              </w:tc>
              <w:tc>
                <w:tcPr>
                  <w:tcW w:w="515"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37F959D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1000m3</w:t>
                  </w:r>
                </w:p>
              </w:tc>
              <w:tc>
                <w:tcPr>
                  <w:tcW w:w="519"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171B390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水肥中心</w:t>
                  </w:r>
                </w:p>
              </w:tc>
              <w:tc>
                <w:tcPr>
                  <w:tcW w:w="1154"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2370641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每亩约10-15m</w:t>
                  </w:r>
                  <w:r>
                    <w:rPr>
                      <w:rFonts w:hint="default" w:ascii="Times New Roman" w:hAnsi="Times New Roman" w:eastAsia="宋体" w:cs="Times New Roman"/>
                      <w:color w:val="000000" w:themeColor="text1"/>
                      <w:sz w:val="21"/>
                      <w:szCs w:val="21"/>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，根据土壤情况调整</w:t>
                  </w:r>
                </w:p>
              </w:tc>
            </w:tr>
            <w:tr w14:paraId="66BAFF6D">
              <w:tblPrEx>
                <w:tblBorders>
                  <w:top w:val="single" w:color="DEE0E3" w:sz="6" w:space="0"/>
                  <w:left w:val="single" w:color="DEE0E3" w:sz="6" w:space="0"/>
                  <w:bottom w:val="single" w:color="DEE0E3" w:sz="6" w:space="0"/>
                  <w:right w:val="single" w:color="DEE0E3" w:sz="6" w:space="0"/>
                  <w:insideH w:val="outset" w:color="auto" w:sz="6" w:space="0"/>
                  <w:insideV w:val="outset" w:color="auto" w:sz="6" w:space="0"/>
                </w:tblBorders>
                <w:tblCellMar>
                  <w:top w:w="15" w:type="dxa"/>
                  <w:left w:w="15" w:type="dxa"/>
                  <w:bottom w:w="15" w:type="dxa"/>
                  <w:right w:w="15" w:type="dxa"/>
                </w:tblCellMar>
              </w:tblPrEx>
              <w:trPr>
                <w:trHeight w:val="454" w:hRule="atLeast"/>
                <w:jc w:val="center"/>
              </w:trPr>
              <w:tc>
                <w:tcPr>
                  <w:tcW w:w="667"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0B33AC6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腐熟农家肥</w:t>
                  </w:r>
                </w:p>
              </w:tc>
              <w:tc>
                <w:tcPr>
                  <w:tcW w:w="1171"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676C23B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充分腐熟的牛羊粪、猪粪等，无害化处理达标</w:t>
                  </w:r>
                </w:p>
              </w:tc>
              <w:tc>
                <w:tcPr>
                  <w:tcW w:w="465"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701D6CC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外购</w:t>
                  </w:r>
                </w:p>
              </w:tc>
              <w:tc>
                <w:tcPr>
                  <w:tcW w:w="505"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117FB060">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578.39t</w:t>
                  </w:r>
                </w:p>
              </w:tc>
              <w:tc>
                <w:tcPr>
                  <w:tcW w:w="515"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1C15458B">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50t</w:t>
                  </w:r>
                </w:p>
              </w:tc>
              <w:tc>
                <w:tcPr>
                  <w:tcW w:w="519"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3737083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水肥中心</w:t>
                  </w:r>
                </w:p>
              </w:tc>
              <w:tc>
                <w:tcPr>
                  <w:tcW w:w="1154"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4A16C28D">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每亩约1000</w:t>
                  </w:r>
                  <w:r>
                    <w:rPr>
                      <w:rFonts w:hint="eastAsia" w:ascii="Times New Roman" w:hAnsi="Times New Roman"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1500kg，作为基肥使用</w:t>
                  </w:r>
                </w:p>
              </w:tc>
            </w:tr>
            <w:tr w14:paraId="4ACAEAF6">
              <w:tblPrEx>
                <w:tblBorders>
                  <w:top w:val="single" w:color="DEE0E3" w:sz="6" w:space="0"/>
                  <w:left w:val="single" w:color="DEE0E3" w:sz="6" w:space="0"/>
                  <w:bottom w:val="single" w:color="DEE0E3" w:sz="6" w:space="0"/>
                  <w:right w:val="single" w:color="DEE0E3"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54" w:hRule="atLeast"/>
                <w:jc w:val="center"/>
              </w:trPr>
              <w:tc>
                <w:tcPr>
                  <w:tcW w:w="667"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4E212610">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复合肥（氮磷钾1:1:1）</w:t>
                  </w:r>
                </w:p>
              </w:tc>
              <w:tc>
                <w:tcPr>
                  <w:tcW w:w="1171"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3C3A7C9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总养分含量≥45%，颗粒状</w:t>
                  </w:r>
                </w:p>
              </w:tc>
              <w:tc>
                <w:tcPr>
                  <w:tcW w:w="465"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5F5118A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外购</w:t>
                  </w:r>
                </w:p>
              </w:tc>
              <w:tc>
                <w:tcPr>
                  <w:tcW w:w="505"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19E450A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30.85t</w:t>
                  </w:r>
                </w:p>
              </w:tc>
              <w:tc>
                <w:tcPr>
                  <w:tcW w:w="515"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363F40AB">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10t</w:t>
                  </w:r>
                </w:p>
              </w:tc>
              <w:tc>
                <w:tcPr>
                  <w:tcW w:w="519"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4052933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水肥中心</w:t>
                  </w:r>
                </w:p>
              </w:tc>
              <w:tc>
                <w:tcPr>
                  <w:tcW w:w="1154"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245C853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每亩约50</w:t>
                  </w:r>
                  <w:r>
                    <w:rPr>
                      <w:rFonts w:hint="eastAsia" w:ascii="Times New Roman" w:hAnsi="Times New Roman"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80kg，分阶段追肥使用</w:t>
                  </w:r>
                </w:p>
              </w:tc>
            </w:tr>
            <w:tr w14:paraId="7763D506">
              <w:tblPrEx>
                <w:tblBorders>
                  <w:top w:val="single" w:color="DEE0E3" w:sz="6" w:space="0"/>
                  <w:left w:val="single" w:color="DEE0E3" w:sz="6" w:space="0"/>
                  <w:bottom w:val="single" w:color="DEE0E3" w:sz="6" w:space="0"/>
                  <w:right w:val="single" w:color="DEE0E3"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54" w:hRule="atLeast"/>
                <w:jc w:val="center"/>
              </w:trPr>
              <w:tc>
                <w:tcPr>
                  <w:tcW w:w="667"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4BC2094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磷酸二氢钾</w:t>
                  </w:r>
                </w:p>
              </w:tc>
              <w:tc>
                <w:tcPr>
                  <w:tcW w:w="1171"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1DACCEB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含量≥98%，水溶性好</w:t>
                  </w:r>
                </w:p>
              </w:tc>
              <w:tc>
                <w:tcPr>
                  <w:tcW w:w="465"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0115758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外购</w:t>
                  </w:r>
                </w:p>
              </w:tc>
              <w:tc>
                <w:tcPr>
                  <w:tcW w:w="505"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34DE0C0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3.08t</w:t>
                  </w:r>
                </w:p>
              </w:tc>
              <w:tc>
                <w:tcPr>
                  <w:tcW w:w="515"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206EC66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1t</w:t>
                  </w:r>
                </w:p>
              </w:tc>
              <w:tc>
                <w:tcPr>
                  <w:tcW w:w="519"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15C233D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水肥中心</w:t>
                  </w:r>
                </w:p>
              </w:tc>
              <w:tc>
                <w:tcPr>
                  <w:tcW w:w="1154"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1349A67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每亩约5</w:t>
                  </w:r>
                  <w:r>
                    <w:rPr>
                      <w:rFonts w:hint="eastAsia" w:ascii="Times New Roman" w:hAnsi="Times New Roman"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8kg，用于叶面喷施</w:t>
                  </w:r>
                </w:p>
              </w:tc>
            </w:tr>
            <w:tr w14:paraId="6CA48AC1">
              <w:tblPrEx>
                <w:tblBorders>
                  <w:top w:val="single" w:color="DEE0E3" w:sz="6" w:space="0"/>
                  <w:left w:val="single" w:color="DEE0E3" w:sz="6" w:space="0"/>
                  <w:bottom w:val="single" w:color="DEE0E3" w:sz="6" w:space="0"/>
                  <w:right w:val="single" w:color="DEE0E3"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54" w:hRule="atLeast"/>
                <w:jc w:val="center"/>
              </w:trPr>
              <w:tc>
                <w:tcPr>
                  <w:tcW w:w="667"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056B6AB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多菌灵</w:t>
                  </w:r>
                </w:p>
              </w:tc>
              <w:tc>
                <w:tcPr>
                  <w:tcW w:w="1171"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443E469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50%可湿性粉剂</w:t>
                  </w:r>
                </w:p>
              </w:tc>
              <w:tc>
                <w:tcPr>
                  <w:tcW w:w="465"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116541C3">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外购</w:t>
                  </w:r>
                </w:p>
              </w:tc>
              <w:tc>
                <w:tcPr>
                  <w:tcW w:w="505"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3FCDBD6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771袋</w:t>
                  </w:r>
                </w:p>
              </w:tc>
              <w:tc>
                <w:tcPr>
                  <w:tcW w:w="515"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5096E3F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300袋</w:t>
                  </w:r>
                </w:p>
              </w:tc>
              <w:tc>
                <w:tcPr>
                  <w:tcW w:w="519"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103AF2D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水肥中心</w:t>
                  </w:r>
                </w:p>
              </w:tc>
              <w:tc>
                <w:tcPr>
                  <w:tcW w:w="1154"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08DF747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每亩约1</w:t>
                  </w:r>
                  <w:r>
                    <w:rPr>
                      <w:rFonts w:hint="eastAsia" w:ascii="Times New Roman" w:hAnsi="Times New Roman"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2袋，根据病害发生情况调整</w:t>
                  </w:r>
                </w:p>
              </w:tc>
            </w:tr>
            <w:tr w14:paraId="60470323">
              <w:tblPrEx>
                <w:tblBorders>
                  <w:top w:val="single" w:color="DEE0E3" w:sz="6" w:space="0"/>
                  <w:left w:val="single" w:color="DEE0E3" w:sz="6" w:space="0"/>
                  <w:bottom w:val="single" w:color="DEE0E3" w:sz="6" w:space="0"/>
                  <w:right w:val="single" w:color="DEE0E3"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54" w:hRule="atLeast"/>
                <w:jc w:val="center"/>
              </w:trPr>
              <w:tc>
                <w:tcPr>
                  <w:tcW w:w="667"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0E49B54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代森锰锌</w:t>
                  </w:r>
                </w:p>
              </w:tc>
              <w:tc>
                <w:tcPr>
                  <w:tcW w:w="1171"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12168D23">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80%可湿性粉剂</w:t>
                  </w:r>
                </w:p>
              </w:tc>
              <w:tc>
                <w:tcPr>
                  <w:tcW w:w="465"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46DFF82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外购</w:t>
                  </w:r>
                </w:p>
              </w:tc>
              <w:tc>
                <w:tcPr>
                  <w:tcW w:w="505"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59F5511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386袋</w:t>
                  </w:r>
                </w:p>
              </w:tc>
              <w:tc>
                <w:tcPr>
                  <w:tcW w:w="515"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143C95A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100袋</w:t>
                  </w:r>
                </w:p>
              </w:tc>
              <w:tc>
                <w:tcPr>
                  <w:tcW w:w="519"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2AAF913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水肥中心</w:t>
                  </w:r>
                </w:p>
              </w:tc>
              <w:tc>
                <w:tcPr>
                  <w:tcW w:w="1154"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63E5FAD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每亩约1</w:t>
                  </w:r>
                  <w:r>
                    <w:rPr>
                      <w:rFonts w:hint="eastAsia" w:ascii="Times New Roman" w:hAnsi="Times New Roman"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1.5袋，用于预防真菌病害</w:t>
                  </w:r>
                </w:p>
              </w:tc>
            </w:tr>
            <w:tr w14:paraId="24060CAD">
              <w:tblPrEx>
                <w:tblBorders>
                  <w:top w:val="single" w:color="DEE0E3" w:sz="6" w:space="0"/>
                  <w:left w:val="single" w:color="DEE0E3" w:sz="6" w:space="0"/>
                  <w:bottom w:val="single" w:color="DEE0E3" w:sz="6" w:space="0"/>
                  <w:right w:val="single" w:color="DEE0E3"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54" w:hRule="atLeast"/>
                <w:jc w:val="center"/>
              </w:trPr>
              <w:tc>
                <w:tcPr>
                  <w:tcW w:w="667"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626CA6B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敌敌畏</w:t>
                  </w:r>
                </w:p>
              </w:tc>
              <w:tc>
                <w:tcPr>
                  <w:tcW w:w="1171"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459B019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80%乳油</w:t>
                  </w:r>
                </w:p>
              </w:tc>
              <w:tc>
                <w:tcPr>
                  <w:tcW w:w="465"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0829915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外购</w:t>
                  </w:r>
                </w:p>
              </w:tc>
              <w:tc>
                <w:tcPr>
                  <w:tcW w:w="505"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6195735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386L</w:t>
                  </w:r>
                </w:p>
              </w:tc>
              <w:tc>
                <w:tcPr>
                  <w:tcW w:w="515"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7523462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100L</w:t>
                  </w:r>
                </w:p>
              </w:tc>
              <w:tc>
                <w:tcPr>
                  <w:tcW w:w="519"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4F4F6F2A">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水肥中心</w:t>
                  </w:r>
                </w:p>
              </w:tc>
              <w:tc>
                <w:tcPr>
                  <w:tcW w:w="1154"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5B425FED">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每亩0.5</w:t>
                  </w:r>
                  <w:r>
                    <w:rPr>
                      <w:rFonts w:hint="eastAsia" w:ascii="Times New Roman" w:hAnsi="Times New Roman"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1L，防治虫害时使用</w:t>
                  </w:r>
                </w:p>
              </w:tc>
            </w:tr>
            <w:tr w14:paraId="7D0E0684">
              <w:tblPrEx>
                <w:tblBorders>
                  <w:top w:val="single" w:color="DEE0E3" w:sz="6" w:space="0"/>
                  <w:left w:val="single" w:color="DEE0E3" w:sz="6" w:space="0"/>
                  <w:bottom w:val="single" w:color="DEE0E3" w:sz="6" w:space="0"/>
                  <w:right w:val="single" w:color="DEE0E3"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54" w:hRule="atLeast"/>
                <w:jc w:val="center"/>
              </w:trPr>
              <w:tc>
                <w:tcPr>
                  <w:tcW w:w="667"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5EE41C5A">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遮荫网</w:t>
                  </w:r>
                </w:p>
              </w:tc>
              <w:tc>
                <w:tcPr>
                  <w:tcW w:w="1171"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5DA4465D">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遮光率</w:t>
                  </w:r>
                  <w:r>
                    <w:rPr>
                      <w:rFonts w:hint="eastAsia" w:ascii="Times New Roman" w:hAnsi="Times New Roman" w:cs="Times New Roman"/>
                      <w:color w:val="000000" w:themeColor="text1"/>
                      <w:sz w:val="21"/>
                      <w:szCs w:val="21"/>
                      <w:lang w:val="en-US" w:eastAsia="zh-CN"/>
                      <w14:textFill>
                        <w14:solidFill>
                          <w14:schemeClr w14:val="tx1"/>
                        </w14:solidFill>
                      </w14:textFill>
                    </w:rPr>
                    <w:t>70%—80%</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，宽度2</w:t>
                  </w:r>
                  <w:r>
                    <w:rPr>
                      <w:rFonts w:hint="eastAsia" w:ascii="Times New Roman" w:hAnsi="Times New Roman"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4米</w:t>
                  </w:r>
                </w:p>
              </w:tc>
              <w:tc>
                <w:tcPr>
                  <w:tcW w:w="465"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395F9C9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外购</w:t>
                  </w:r>
                </w:p>
              </w:tc>
              <w:tc>
                <w:tcPr>
                  <w:tcW w:w="505"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43031DD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46270.80m2</w:t>
                  </w:r>
                </w:p>
              </w:tc>
              <w:tc>
                <w:tcPr>
                  <w:tcW w:w="515"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6684E08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20000m2</w:t>
                  </w:r>
                </w:p>
              </w:tc>
              <w:tc>
                <w:tcPr>
                  <w:tcW w:w="519"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0F7E836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水肥中心</w:t>
                  </w:r>
                </w:p>
              </w:tc>
              <w:tc>
                <w:tcPr>
                  <w:tcW w:w="1154"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03964523">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每亩约100</w:t>
                  </w:r>
                  <w:r>
                    <w:rPr>
                      <w:rFonts w:hint="eastAsia" w:ascii="Times New Roman" w:hAnsi="Times New Roman"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120m</w:t>
                  </w:r>
                  <w:r>
                    <w:rPr>
                      <w:rFonts w:hint="default" w:ascii="Times New Roman" w:hAnsi="Times New Roman" w:eastAsia="宋体" w:cs="Times New Roman"/>
                      <w:color w:val="000000" w:themeColor="text1"/>
                      <w:sz w:val="21"/>
                      <w:szCs w:val="21"/>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，覆盖种植区域</w:t>
                  </w:r>
                </w:p>
              </w:tc>
            </w:tr>
            <w:tr w14:paraId="49776F9F">
              <w:tblPrEx>
                <w:tblBorders>
                  <w:top w:val="single" w:color="DEE0E3" w:sz="6" w:space="0"/>
                  <w:left w:val="single" w:color="DEE0E3" w:sz="6" w:space="0"/>
                  <w:bottom w:val="single" w:color="DEE0E3" w:sz="6" w:space="0"/>
                  <w:right w:val="single" w:color="DEE0E3"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54" w:hRule="atLeast"/>
                <w:jc w:val="center"/>
              </w:trPr>
              <w:tc>
                <w:tcPr>
                  <w:tcW w:w="667"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0DBD820A">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地膜</w:t>
                  </w:r>
                </w:p>
              </w:tc>
              <w:tc>
                <w:tcPr>
                  <w:tcW w:w="1171"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75BE1D53">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厚度0.01</w:t>
                  </w:r>
                  <w:r>
                    <w:rPr>
                      <w:rFonts w:hint="eastAsia" w:ascii="Times New Roman" w:hAnsi="Times New Roman"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0.015毫米，宽度1</w:t>
                  </w:r>
                  <w:r>
                    <w:rPr>
                      <w:rFonts w:hint="eastAsia" w:ascii="Times New Roman" w:hAnsi="Times New Roman"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2米，耐老化</w:t>
                  </w:r>
                </w:p>
              </w:tc>
              <w:tc>
                <w:tcPr>
                  <w:tcW w:w="465"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75667863">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外购</w:t>
                  </w:r>
                </w:p>
              </w:tc>
              <w:tc>
                <w:tcPr>
                  <w:tcW w:w="505"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21E1FB8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3.08t</w:t>
                  </w:r>
                </w:p>
              </w:tc>
              <w:tc>
                <w:tcPr>
                  <w:tcW w:w="515"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359DA54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1t</w:t>
                  </w:r>
                </w:p>
              </w:tc>
              <w:tc>
                <w:tcPr>
                  <w:tcW w:w="519"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6ECE585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管护用房</w:t>
                  </w:r>
                </w:p>
              </w:tc>
              <w:tc>
                <w:tcPr>
                  <w:tcW w:w="1154"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61385E3A">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每亩约5</w:t>
                  </w:r>
                  <w:r>
                    <w:rPr>
                      <w:rFonts w:hint="eastAsia" w:ascii="Times New Roman" w:hAnsi="Times New Roman"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8kg，用于保湿、防杂草</w:t>
                  </w:r>
                </w:p>
              </w:tc>
            </w:tr>
            <w:tr w14:paraId="7D3254A9">
              <w:tblPrEx>
                <w:tblBorders>
                  <w:top w:val="single" w:color="DEE0E3" w:sz="6" w:space="0"/>
                  <w:left w:val="single" w:color="DEE0E3" w:sz="6" w:space="0"/>
                  <w:bottom w:val="single" w:color="DEE0E3" w:sz="6" w:space="0"/>
                  <w:right w:val="single" w:color="DEE0E3"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54" w:hRule="atLeast"/>
                <w:jc w:val="center"/>
              </w:trPr>
              <w:tc>
                <w:tcPr>
                  <w:tcW w:w="667"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3119DA1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生石灰</w:t>
                  </w:r>
                </w:p>
              </w:tc>
              <w:tc>
                <w:tcPr>
                  <w:tcW w:w="1171"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1A840DC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有效钙含量≥80%</w:t>
                  </w:r>
                </w:p>
              </w:tc>
              <w:tc>
                <w:tcPr>
                  <w:tcW w:w="465"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2F992B53">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外购</w:t>
                  </w:r>
                </w:p>
              </w:tc>
              <w:tc>
                <w:tcPr>
                  <w:tcW w:w="505"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017BE55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38.56吨</w:t>
                  </w:r>
                </w:p>
              </w:tc>
              <w:tc>
                <w:tcPr>
                  <w:tcW w:w="515"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282201A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18吨</w:t>
                  </w:r>
                </w:p>
              </w:tc>
              <w:tc>
                <w:tcPr>
                  <w:tcW w:w="519"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5474F9D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水肥中心</w:t>
                  </w:r>
                </w:p>
              </w:tc>
              <w:tc>
                <w:tcPr>
                  <w:tcW w:w="1154"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69C93A6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每亩约50</w:t>
                  </w:r>
                  <w:r>
                    <w:rPr>
                      <w:rFonts w:hint="eastAsia" w:ascii="Times New Roman" w:hAnsi="Times New Roman"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100kg，用于土壤消毒</w:t>
                  </w:r>
                </w:p>
              </w:tc>
            </w:tr>
            <w:tr w14:paraId="133B6D31">
              <w:tblPrEx>
                <w:tblBorders>
                  <w:top w:val="single" w:color="DEE0E3" w:sz="6" w:space="0"/>
                  <w:left w:val="single" w:color="DEE0E3" w:sz="6" w:space="0"/>
                  <w:bottom w:val="single" w:color="DEE0E3" w:sz="6" w:space="0"/>
                  <w:right w:val="single" w:color="DEE0E3"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54" w:hRule="atLeast"/>
                <w:jc w:val="center"/>
              </w:trPr>
              <w:tc>
                <w:tcPr>
                  <w:tcW w:w="667"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55E7F91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硫磺粉</w:t>
                  </w:r>
                </w:p>
              </w:tc>
              <w:tc>
                <w:tcPr>
                  <w:tcW w:w="1171"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426E0EE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细度≥200目，纯度≥95%</w:t>
                  </w:r>
                </w:p>
              </w:tc>
              <w:tc>
                <w:tcPr>
                  <w:tcW w:w="465"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7D4CB67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外购</w:t>
                  </w:r>
                </w:p>
              </w:tc>
              <w:tc>
                <w:tcPr>
                  <w:tcW w:w="505"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43822D4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3.86吨</w:t>
                  </w:r>
                </w:p>
              </w:tc>
              <w:tc>
                <w:tcPr>
                  <w:tcW w:w="515"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54B7554D">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1吨</w:t>
                  </w:r>
                </w:p>
              </w:tc>
              <w:tc>
                <w:tcPr>
                  <w:tcW w:w="519"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501E4BAD">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水肥中心</w:t>
                  </w:r>
                </w:p>
              </w:tc>
              <w:tc>
                <w:tcPr>
                  <w:tcW w:w="1154"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603CB61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每亩约5</w:t>
                  </w:r>
                  <w:r>
                    <w:rPr>
                      <w:rFonts w:hint="eastAsia" w:ascii="Times New Roman" w:hAnsi="Times New Roman"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10kg，调节土壤酸碱度</w:t>
                  </w:r>
                </w:p>
              </w:tc>
            </w:tr>
            <w:tr w14:paraId="6CB9EDB2">
              <w:tblPrEx>
                <w:tblBorders>
                  <w:top w:val="single" w:color="DEE0E3" w:sz="6" w:space="0"/>
                  <w:left w:val="single" w:color="DEE0E3" w:sz="6" w:space="0"/>
                  <w:bottom w:val="single" w:color="DEE0E3" w:sz="6" w:space="0"/>
                  <w:right w:val="single" w:color="DEE0E3"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54" w:hRule="atLeast"/>
                <w:jc w:val="center"/>
              </w:trPr>
              <w:tc>
                <w:tcPr>
                  <w:tcW w:w="667"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7A39165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竹竿</w:t>
                  </w:r>
                </w:p>
              </w:tc>
              <w:tc>
                <w:tcPr>
                  <w:tcW w:w="1171"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3ADBB4A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长度2</w:t>
                  </w:r>
                  <w:r>
                    <w:rPr>
                      <w:rFonts w:hint="eastAsia" w:ascii="Times New Roman" w:hAnsi="Times New Roman"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2.5米，直径3</w:t>
                  </w:r>
                  <w:r>
                    <w:rPr>
                      <w:rFonts w:hint="eastAsia" w:ascii="Times New Roman" w:hAnsi="Times New Roman"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5厘米，无霉变</w:t>
                  </w:r>
                </w:p>
              </w:tc>
              <w:tc>
                <w:tcPr>
                  <w:tcW w:w="465"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2539B4B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外购</w:t>
                  </w:r>
                </w:p>
              </w:tc>
              <w:tc>
                <w:tcPr>
                  <w:tcW w:w="505"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40DA624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115677根</w:t>
                  </w:r>
                </w:p>
              </w:tc>
              <w:tc>
                <w:tcPr>
                  <w:tcW w:w="515"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384AB58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110000根</w:t>
                  </w:r>
                </w:p>
              </w:tc>
              <w:tc>
                <w:tcPr>
                  <w:tcW w:w="519"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1008AEC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管护用房</w:t>
                  </w:r>
                </w:p>
              </w:tc>
              <w:tc>
                <w:tcPr>
                  <w:tcW w:w="1154"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6B38C9A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每亩约200</w:t>
                  </w:r>
                  <w:r>
                    <w:rPr>
                      <w:rFonts w:hint="eastAsia" w:ascii="Times New Roman" w:hAnsi="Times New Roman"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300根，搭建遮阳棚支架</w:t>
                  </w:r>
                </w:p>
              </w:tc>
            </w:tr>
            <w:tr w14:paraId="51F0002D">
              <w:tblPrEx>
                <w:tblBorders>
                  <w:top w:val="single" w:color="DEE0E3" w:sz="6" w:space="0"/>
                  <w:left w:val="single" w:color="DEE0E3" w:sz="6" w:space="0"/>
                  <w:bottom w:val="single" w:color="DEE0E3" w:sz="6" w:space="0"/>
                  <w:right w:val="single" w:color="DEE0E3" w:sz="6" w:space="0"/>
                  <w:insideH w:val="outset" w:color="auto" w:sz="6" w:space="0"/>
                  <w:insideV w:val="outset" w:color="auto" w:sz="6" w:space="0"/>
                </w:tblBorders>
                <w:tblCellMar>
                  <w:top w:w="15" w:type="dxa"/>
                  <w:left w:w="15" w:type="dxa"/>
                  <w:bottom w:w="15" w:type="dxa"/>
                  <w:right w:w="15" w:type="dxa"/>
                </w:tblCellMar>
              </w:tblPrEx>
              <w:trPr>
                <w:trHeight w:val="454" w:hRule="atLeast"/>
                <w:jc w:val="center"/>
              </w:trPr>
              <w:tc>
                <w:tcPr>
                  <w:tcW w:w="667"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1D59C2E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尼龙绳</w:t>
                  </w:r>
                </w:p>
              </w:tc>
              <w:tc>
                <w:tcPr>
                  <w:tcW w:w="1171"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043A28F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直径1</w:t>
                  </w:r>
                  <w:r>
                    <w:rPr>
                      <w:rFonts w:hint="eastAsia" w:ascii="Times New Roman" w:hAnsi="Times New Roman"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2毫米，抗拉力强</w:t>
                  </w:r>
                </w:p>
              </w:tc>
              <w:tc>
                <w:tcPr>
                  <w:tcW w:w="465"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6D71020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外购</w:t>
                  </w:r>
                </w:p>
              </w:tc>
              <w:tc>
                <w:tcPr>
                  <w:tcW w:w="505"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407DD27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1.93吨</w:t>
                  </w:r>
                </w:p>
              </w:tc>
              <w:tc>
                <w:tcPr>
                  <w:tcW w:w="515"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0C401C6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1吨</w:t>
                  </w:r>
                </w:p>
              </w:tc>
              <w:tc>
                <w:tcPr>
                  <w:tcW w:w="519"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4D116C7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管护用房</w:t>
                  </w:r>
                </w:p>
              </w:tc>
              <w:tc>
                <w:tcPr>
                  <w:tcW w:w="1154" w:type="pct"/>
                  <w:tcBorders>
                    <w:top w:val="single" w:color="auto" w:sz="4" w:space="0"/>
                    <w:left w:val="single" w:color="auto" w:sz="4" w:space="0"/>
                    <w:bottom w:val="single" w:color="auto" w:sz="4" w:space="0"/>
                    <w:right w:val="single" w:color="auto" w:sz="4" w:space="0"/>
                  </w:tcBorders>
                  <w:shd w:val="clear" w:color="auto" w:fill="auto"/>
                  <w:tcMar>
                    <w:top w:w="135" w:type="dxa"/>
                    <w:left w:w="120" w:type="dxa"/>
                    <w:bottom w:w="135" w:type="dxa"/>
                    <w:right w:w="120" w:type="dxa"/>
                  </w:tcMar>
                  <w:vAlign w:val="center"/>
                </w:tcPr>
                <w:p w14:paraId="26F979E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每亩约3</w:t>
                  </w:r>
                  <w:r>
                    <w:rPr>
                      <w:rFonts w:hint="eastAsia" w:ascii="Times New Roman" w:hAnsi="Times New Roman"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5kg，固定遮荫网和藤蔓</w:t>
                  </w:r>
                </w:p>
              </w:tc>
            </w:tr>
          </w:tbl>
          <w:p w14:paraId="6C6F8531">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000000" w:themeColor="text1"/>
                <w14:textFill>
                  <w14:solidFill>
                    <w14:schemeClr w14:val="tx1"/>
                  </w14:solidFill>
                </w14:textFill>
              </w:rPr>
            </w:pPr>
          </w:p>
          <w:p w14:paraId="2936C33A">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b/>
                <w:color w:val="000000" w:themeColor="text1"/>
                <w:sz w:val="21"/>
                <w:szCs w:val="21"/>
                <w:highlight w:val="none"/>
                <w14:textFill>
                  <w14:solidFill>
                    <w14:schemeClr w14:val="tx1"/>
                  </w14:solidFill>
                </w14:textFill>
              </w:rPr>
            </w:pPr>
            <w:r>
              <w:rPr>
                <w:rFonts w:hint="default" w:ascii="Times New Roman" w:hAnsi="Times New Roman" w:eastAsia="宋体" w:cs="Times New Roman"/>
                <w:b/>
                <w:color w:val="000000" w:themeColor="text1"/>
                <w:sz w:val="21"/>
                <w:szCs w:val="21"/>
                <w:highlight w:val="none"/>
                <w14:textFill>
                  <w14:solidFill>
                    <w14:schemeClr w14:val="tx1"/>
                  </w14:solidFill>
                </w14:textFill>
              </w:rPr>
              <w:t>表</w:t>
            </w:r>
            <w:r>
              <w:rPr>
                <w:rFonts w:hint="default" w:ascii="Times New Roman" w:hAnsi="Times New Roman" w:eastAsia="宋体" w:cs="Times New Roman"/>
                <w:b/>
                <w:color w:val="000000" w:themeColor="text1"/>
                <w:sz w:val="21"/>
                <w:szCs w:val="21"/>
                <w:highlight w:val="none"/>
                <w:lang w:val="en-US" w:eastAsia="zh-CN"/>
                <w14:textFill>
                  <w14:solidFill>
                    <w14:schemeClr w14:val="tx1"/>
                  </w14:solidFill>
                </w14:textFill>
              </w:rPr>
              <w:t>2</w:t>
            </w:r>
            <w:r>
              <w:rPr>
                <w:rFonts w:hint="default" w:ascii="Times New Roman" w:hAnsi="Times New Roman" w:eastAsia="宋体" w:cs="Times New Roman"/>
                <w:b/>
                <w:color w:val="000000" w:themeColor="text1"/>
                <w:sz w:val="21"/>
                <w:szCs w:val="21"/>
                <w:highlight w:val="none"/>
                <w14:textFill>
                  <w14:solidFill>
                    <w14:schemeClr w14:val="tx1"/>
                  </w14:solidFill>
                </w14:textFill>
              </w:rPr>
              <w:t>-</w:t>
            </w:r>
            <w:r>
              <w:rPr>
                <w:rFonts w:hint="eastAsia" w:ascii="Times New Roman" w:hAnsi="Times New Roman" w:cs="Times New Roman"/>
                <w:b/>
                <w:color w:val="000000" w:themeColor="text1"/>
                <w:sz w:val="21"/>
                <w:szCs w:val="21"/>
                <w:highlight w:val="none"/>
                <w:lang w:val="en-US" w:eastAsia="zh-CN"/>
                <w14:textFill>
                  <w14:solidFill>
                    <w14:schemeClr w14:val="tx1"/>
                  </w14:solidFill>
                </w14:textFill>
              </w:rPr>
              <w:t xml:space="preserve">7    </w:t>
            </w:r>
            <w:r>
              <w:rPr>
                <w:rFonts w:hint="default" w:ascii="Times New Roman" w:hAnsi="Times New Roman" w:eastAsia="宋体" w:cs="Times New Roman"/>
                <w:b/>
                <w:color w:val="000000" w:themeColor="text1"/>
                <w:sz w:val="21"/>
                <w:szCs w:val="21"/>
                <w:highlight w:val="none"/>
                <w:lang w:val="en-US" w:eastAsia="zh-CN"/>
                <w14:textFill>
                  <w14:solidFill>
                    <w14:schemeClr w14:val="tx1"/>
                  </w14:solidFill>
                </w14:textFill>
              </w:rPr>
              <w:t>羊肚菌种植</w:t>
            </w:r>
            <w:r>
              <w:rPr>
                <w:rFonts w:hint="default" w:ascii="Times New Roman" w:hAnsi="Times New Roman" w:eastAsia="宋体" w:cs="Times New Roman"/>
                <w:b/>
                <w:color w:val="000000" w:themeColor="text1"/>
                <w:sz w:val="21"/>
                <w:szCs w:val="21"/>
                <w:highlight w:val="none"/>
                <w14:textFill>
                  <w14:solidFill>
                    <w14:schemeClr w14:val="tx1"/>
                  </w14:solidFill>
                </w14:textFill>
              </w:rPr>
              <w:t>原辅料一览表</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1041"/>
              <w:gridCol w:w="1718"/>
              <w:gridCol w:w="782"/>
              <w:gridCol w:w="971"/>
              <w:gridCol w:w="911"/>
              <w:gridCol w:w="863"/>
              <w:gridCol w:w="1526"/>
            </w:tblGrid>
            <w:tr w14:paraId="155C2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397" w:hRule="atLeast"/>
                <w:jc w:val="center"/>
              </w:trPr>
              <w:tc>
                <w:tcPr>
                  <w:tcW w:w="1041" w:type="dxa"/>
                  <w:shd w:val="clear" w:color="auto" w:fill="auto"/>
                  <w:tcMar>
                    <w:top w:w="135" w:type="dxa"/>
                    <w:left w:w="120" w:type="dxa"/>
                    <w:bottom w:w="135" w:type="dxa"/>
                    <w:right w:w="120" w:type="dxa"/>
                  </w:tcMar>
                  <w:vAlign w:val="center"/>
                </w:tcPr>
                <w:p w14:paraId="4274A55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名称</w:t>
                  </w:r>
                </w:p>
              </w:tc>
              <w:tc>
                <w:tcPr>
                  <w:tcW w:w="1718" w:type="dxa"/>
                  <w:shd w:val="clear" w:color="auto" w:fill="auto"/>
                  <w:tcMar>
                    <w:top w:w="135" w:type="dxa"/>
                    <w:left w:w="120" w:type="dxa"/>
                    <w:bottom w:w="135" w:type="dxa"/>
                    <w:right w:w="120" w:type="dxa"/>
                  </w:tcMar>
                  <w:vAlign w:val="center"/>
                </w:tcPr>
                <w:p w14:paraId="4E637D5B">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规格型号</w:t>
                  </w:r>
                </w:p>
              </w:tc>
              <w:tc>
                <w:tcPr>
                  <w:tcW w:w="782" w:type="dxa"/>
                  <w:shd w:val="clear" w:color="auto" w:fill="auto"/>
                  <w:tcMar>
                    <w:top w:w="135" w:type="dxa"/>
                    <w:left w:w="120" w:type="dxa"/>
                    <w:bottom w:w="135" w:type="dxa"/>
                    <w:right w:w="120" w:type="dxa"/>
                  </w:tcMar>
                  <w:vAlign w:val="center"/>
                </w:tcPr>
                <w:p w14:paraId="4E25B04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来源</w:t>
                  </w:r>
                </w:p>
              </w:tc>
              <w:tc>
                <w:tcPr>
                  <w:tcW w:w="971" w:type="dxa"/>
                  <w:shd w:val="clear" w:color="auto" w:fill="auto"/>
                  <w:tcMar>
                    <w:top w:w="135" w:type="dxa"/>
                    <w:left w:w="120" w:type="dxa"/>
                    <w:bottom w:w="135" w:type="dxa"/>
                    <w:right w:w="120" w:type="dxa"/>
                  </w:tcMar>
                  <w:vAlign w:val="center"/>
                </w:tcPr>
                <w:p w14:paraId="168A5B9B">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年消耗量</w:t>
                  </w:r>
                </w:p>
              </w:tc>
              <w:tc>
                <w:tcPr>
                  <w:tcW w:w="911" w:type="dxa"/>
                  <w:shd w:val="clear" w:color="auto" w:fill="auto"/>
                  <w:tcMar>
                    <w:top w:w="135" w:type="dxa"/>
                    <w:left w:w="120" w:type="dxa"/>
                    <w:bottom w:w="135" w:type="dxa"/>
                    <w:right w:w="120" w:type="dxa"/>
                  </w:tcMar>
                  <w:vAlign w:val="center"/>
                </w:tcPr>
                <w:p w14:paraId="12318A9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暂存量</w:t>
                  </w:r>
                </w:p>
              </w:tc>
              <w:tc>
                <w:tcPr>
                  <w:tcW w:w="863" w:type="dxa"/>
                  <w:shd w:val="clear" w:color="auto" w:fill="auto"/>
                  <w:tcMar>
                    <w:top w:w="135" w:type="dxa"/>
                    <w:left w:w="120" w:type="dxa"/>
                    <w:bottom w:w="135" w:type="dxa"/>
                    <w:right w:w="120" w:type="dxa"/>
                  </w:tcMar>
                  <w:vAlign w:val="center"/>
                </w:tcPr>
                <w:p w14:paraId="5B8C8E8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暂存位置</w:t>
                  </w:r>
                </w:p>
              </w:tc>
              <w:tc>
                <w:tcPr>
                  <w:tcW w:w="1526" w:type="dxa"/>
                  <w:shd w:val="clear" w:color="auto" w:fill="auto"/>
                  <w:tcMar>
                    <w:top w:w="135" w:type="dxa"/>
                    <w:left w:w="120" w:type="dxa"/>
                    <w:bottom w:w="135" w:type="dxa"/>
                    <w:right w:w="120" w:type="dxa"/>
                  </w:tcMar>
                  <w:vAlign w:val="center"/>
                </w:tcPr>
                <w:p w14:paraId="420A210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备注</w:t>
                  </w:r>
                </w:p>
              </w:tc>
            </w:tr>
            <w:tr w14:paraId="30804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397" w:hRule="atLeast"/>
                <w:jc w:val="center"/>
              </w:trPr>
              <w:tc>
                <w:tcPr>
                  <w:tcW w:w="1041" w:type="dxa"/>
                  <w:shd w:val="clear" w:color="auto" w:fill="auto"/>
                  <w:tcMar>
                    <w:top w:w="135" w:type="dxa"/>
                    <w:left w:w="120" w:type="dxa"/>
                    <w:bottom w:w="135" w:type="dxa"/>
                    <w:right w:w="120" w:type="dxa"/>
                  </w:tcMar>
                  <w:vAlign w:val="center"/>
                </w:tcPr>
                <w:p w14:paraId="479394E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羊肚菌菌种</w:t>
                  </w:r>
                </w:p>
              </w:tc>
              <w:tc>
                <w:tcPr>
                  <w:tcW w:w="1718" w:type="dxa"/>
                  <w:shd w:val="clear" w:color="auto" w:fill="auto"/>
                  <w:tcMar>
                    <w:top w:w="135" w:type="dxa"/>
                    <w:left w:w="120" w:type="dxa"/>
                    <w:bottom w:w="135" w:type="dxa"/>
                    <w:right w:w="120" w:type="dxa"/>
                  </w:tcMar>
                  <w:vAlign w:val="center"/>
                </w:tcPr>
                <w:p w14:paraId="140B204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一级种（试管）、二级种（瓶/袋）、三级种（袋）</w:t>
                  </w:r>
                </w:p>
              </w:tc>
              <w:tc>
                <w:tcPr>
                  <w:tcW w:w="782" w:type="dxa"/>
                  <w:shd w:val="clear" w:color="auto" w:fill="auto"/>
                  <w:tcMar>
                    <w:top w:w="135" w:type="dxa"/>
                    <w:left w:w="120" w:type="dxa"/>
                    <w:bottom w:w="135" w:type="dxa"/>
                    <w:right w:w="120" w:type="dxa"/>
                  </w:tcMar>
                  <w:vAlign w:val="center"/>
                </w:tcPr>
                <w:p w14:paraId="3DDBECDA">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外购</w:t>
                  </w:r>
                </w:p>
              </w:tc>
              <w:tc>
                <w:tcPr>
                  <w:tcW w:w="971" w:type="dxa"/>
                  <w:shd w:val="clear" w:color="auto" w:fill="auto"/>
                  <w:tcMar>
                    <w:top w:w="135" w:type="dxa"/>
                    <w:left w:w="120" w:type="dxa"/>
                    <w:bottom w:w="135" w:type="dxa"/>
                    <w:right w:w="120" w:type="dxa"/>
                  </w:tcMar>
                  <w:vAlign w:val="center"/>
                </w:tcPr>
                <w:p w14:paraId="6CCA56D3">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一级种645支</w:t>
                  </w:r>
                </w:p>
              </w:tc>
              <w:tc>
                <w:tcPr>
                  <w:tcW w:w="911" w:type="dxa"/>
                  <w:shd w:val="clear" w:color="auto" w:fill="auto"/>
                  <w:tcMar>
                    <w:top w:w="135" w:type="dxa"/>
                    <w:left w:w="120" w:type="dxa"/>
                    <w:bottom w:w="135" w:type="dxa"/>
                    <w:right w:w="120" w:type="dxa"/>
                  </w:tcMar>
                  <w:vAlign w:val="center"/>
                </w:tcPr>
                <w:p w14:paraId="1542C1F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一级种200000支</w:t>
                  </w:r>
                </w:p>
              </w:tc>
              <w:tc>
                <w:tcPr>
                  <w:tcW w:w="863" w:type="dxa"/>
                  <w:shd w:val="clear" w:color="auto" w:fill="auto"/>
                  <w:tcMar>
                    <w:top w:w="135" w:type="dxa"/>
                    <w:left w:w="120" w:type="dxa"/>
                    <w:bottom w:w="135" w:type="dxa"/>
                    <w:right w:w="120" w:type="dxa"/>
                  </w:tcMar>
                  <w:vAlign w:val="center"/>
                </w:tcPr>
                <w:p w14:paraId="7EA7D4B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水肥中心</w:t>
                  </w:r>
                </w:p>
              </w:tc>
              <w:tc>
                <w:tcPr>
                  <w:tcW w:w="1526" w:type="dxa"/>
                  <w:shd w:val="clear" w:color="auto" w:fill="auto"/>
                  <w:tcMar>
                    <w:top w:w="135" w:type="dxa"/>
                    <w:left w:w="120" w:type="dxa"/>
                    <w:bottom w:w="135" w:type="dxa"/>
                    <w:right w:w="120" w:type="dxa"/>
                  </w:tcMar>
                  <w:vAlign w:val="center"/>
                </w:tcPr>
                <w:p w14:paraId="009BC05A">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一般每亩需三级种300-500袋</w:t>
                  </w:r>
                </w:p>
              </w:tc>
            </w:tr>
            <w:tr w14:paraId="16367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397" w:hRule="atLeast"/>
                <w:jc w:val="center"/>
              </w:trPr>
              <w:tc>
                <w:tcPr>
                  <w:tcW w:w="1041" w:type="dxa"/>
                  <w:shd w:val="clear" w:color="auto" w:fill="auto"/>
                  <w:tcMar>
                    <w:top w:w="135" w:type="dxa"/>
                    <w:left w:w="120" w:type="dxa"/>
                    <w:bottom w:w="135" w:type="dxa"/>
                    <w:right w:w="120" w:type="dxa"/>
                  </w:tcMar>
                  <w:vAlign w:val="center"/>
                </w:tcPr>
                <w:p w14:paraId="6490E03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培养基原料-木屑</w:t>
                  </w:r>
                </w:p>
              </w:tc>
              <w:tc>
                <w:tcPr>
                  <w:tcW w:w="1718" w:type="dxa"/>
                  <w:shd w:val="clear" w:color="auto" w:fill="auto"/>
                  <w:tcMar>
                    <w:top w:w="135" w:type="dxa"/>
                    <w:left w:w="120" w:type="dxa"/>
                    <w:bottom w:w="135" w:type="dxa"/>
                    <w:right w:w="120" w:type="dxa"/>
                  </w:tcMar>
                  <w:vAlign w:val="center"/>
                </w:tcPr>
                <w:p w14:paraId="0C79C3CA">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阔叶树木屑，粒度2</w:t>
                  </w:r>
                  <w:r>
                    <w:rPr>
                      <w:rFonts w:hint="eastAsia" w:ascii="Times New Roman" w:hAnsi="Times New Roman"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5mm</w:t>
                  </w:r>
                </w:p>
              </w:tc>
              <w:tc>
                <w:tcPr>
                  <w:tcW w:w="782" w:type="dxa"/>
                  <w:shd w:val="clear" w:color="auto" w:fill="auto"/>
                  <w:tcMar>
                    <w:top w:w="135" w:type="dxa"/>
                    <w:left w:w="120" w:type="dxa"/>
                    <w:bottom w:w="135" w:type="dxa"/>
                    <w:right w:w="120" w:type="dxa"/>
                  </w:tcMar>
                  <w:vAlign w:val="center"/>
                </w:tcPr>
                <w:p w14:paraId="5511A60B">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外购</w:t>
                  </w:r>
                </w:p>
              </w:tc>
              <w:tc>
                <w:tcPr>
                  <w:tcW w:w="971" w:type="dxa"/>
                  <w:shd w:val="clear" w:color="auto" w:fill="auto"/>
                  <w:tcMar>
                    <w:top w:w="135" w:type="dxa"/>
                    <w:left w:w="120" w:type="dxa"/>
                    <w:bottom w:w="135" w:type="dxa"/>
                    <w:right w:w="120" w:type="dxa"/>
                  </w:tcMar>
                  <w:vAlign w:val="center"/>
                </w:tcPr>
                <w:p w14:paraId="1950981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465.29吨</w:t>
                  </w:r>
                </w:p>
              </w:tc>
              <w:tc>
                <w:tcPr>
                  <w:tcW w:w="911" w:type="dxa"/>
                  <w:shd w:val="clear" w:color="auto" w:fill="auto"/>
                  <w:tcMar>
                    <w:top w:w="135" w:type="dxa"/>
                    <w:left w:w="120" w:type="dxa"/>
                    <w:bottom w:w="135" w:type="dxa"/>
                    <w:right w:w="120" w:type="dxa"/>
                  </w:tcMar>
                  <w:vAlign w:val="center"/>
                </w:tcPr>
                <w:p w14:paraId="09D5C0F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100吨</w:t>
                  </w:r>
                </w:p>
              </w:tc>
              <w:tc>
                <w:tcPr>
                  <w:tcW w:w="863" w:type="dxa"/>
                  <w:shd w:val="clear" w:color="auto" w:fill="auto"/>
                  <w:tcMar>
                    <w:top w:w="135" w:type="dxa"/>
                    <w:left w:w="120" w:type="dxa"/>
                    <w:bottom w:w="135" w:type="dxa"/>
                    <w:right w:w="120" w:type="dxa"/>
                  </w:tcMar>
                  <w:vAlign w:val="center"/>
                </w:tcPr>
                <w:p w14:paraId="07D1CB10">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水肥中心</w:t>
                  </w:r>
                </w:p>
              </w:tc>
              <w:tc>
                <w:tcPr>
                  <w:tcW w:w="1526" w:type="dxa"/>
                  <w:shd w:val="clear" w:color="auto" w:fill="auto"/>
                  <w:tcMar>
                    <w:top w:w="135" w:type="dxa"/>
                    <w:left w:w="120" w:type="dxa"/>
                    <w:bottom w:w="135" w:type="dxa"/>
                    <w:right w:w="120" w:type="dxa"/>
                  </w:tcMar>
                  <w:vAlign w:val="center"/>
                </w:tcPr>
                <w:p w14:paraId="5791C01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每亩约1000</w:t>
                  </w:r>
                  <w:r>
                    <w:rPr>
                      <w:rFonts w:hint="eastAsia" w:ascii="Times New Roman" w:hAnsi="Times New Roman"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1500公斤</w:t>
                  </w:r>
                </w:p>
              </w:tc>
            </w:tr>
            <w:tr w14:paraId="2CE18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397" w:hRule="atLeast"/>
                <w:jc w:val="center"/>
              </w:trPr>
              <w:tc>
                <w:tcPr>
                  <w:tcW w:w="1041" w:type="dxa"/>
                  <w:shd w:val="clear" w:color="auto" w:fill="auto"/>
                  <w:tcMar>
                    <w:top w:w="135" w:type="dxa"/>
                    <w:left w:w="120" w:type="dxa"/>
                    <w:bottom w:w="135" w:type="dxa"/>
                    <w:right w:w="120" w:type="dxa"/>
                  </w:tcMar>
                  <w:vAlign w:val="center"/>
                </w:tcPr>
                <w:p w14:paraId="473FAB9B">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培养基原料-棉籽壳</w:t>
                  </w:r>
                </w:p>
              </w:tc>
              <w:tc>
                <w:tcPr>
                  <w:tcW w:w="1718" w:type="dxa"/>
                  <w:shd w:val="clear" w:color="auto" w:fill="auto"/>
                  <w:tcMar>
                    <w:top w:w="135" w:type="dxa"/>
                    <w:left w:w="120" w:type="dxa"/>
                    <w:bottom w:w="135" w:type="dxa"/>
                    <w:right w:w="120" w:type="dxa"/>
                  </w:tcMar>
                  <w:vAlign w:val="center"/>
                </w:tcPr>
                <w:p w14:paraId="02D9E9D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无霉变，杂质少</w:t>
                  </w:r>
                </w:p>
              </w:tc>
              <w:tc>
                <w:tcPr>
                  <w:tcW w:w="782" w:type="dxa"/>
                  <w:shd w:val="clear" w:color="auto" w:fill="auto"/>
                  <w:tcMar>
                    <w:top w:w="135" w:type="dxa"/>
                    <w:left w:w="120" w:type="dxa"/>
                    <w:bottom w:w="135" w:type="dxa"/>
                    <w:right w:w="120" w:type="dxa"/>
                  </w:tcMar>
                  <w:vAlign w:val="center"/>
                </w:tcPr>
                <w:p w14:paraId="19A77B4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外购</w:t>
                  </w:r>
                </w:p>
              </w:tc>
              <w:tc>
                <w:tcPr>
                  <w:tcW w:w="971" w:type="dxa"/>
                  <w:shd w:val="clear" w:color="auto" w:fill="auto"/>
                  <w:tcMar>
                    <w:top w:w="135" w:type="dxa"/>
                    <w:left w:w="120" w:type="dxa"/>
                    <w:bottom w:w="135" w:type="dxa"/>
                    <w:right w:w="120" w:type="dxa"/>
                  </w:tcMar>
                  <w:vAlign w:val="center"/>
                </w:tcPr>
                <w:p w14:paraId="70A116B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232.65吨</w:t>
                  </w:r>
                </w:p>
              </w:tc>
              <w:tc>
                <w:tcPr>
                  <w:tcW w:w="911" w:type="dxa"/>
                  <w:shd w:val="clear" w:color="auto" w:fill="auto"/>
                  <w:tcMar>
                    <w:top w:w="135" w:type="dxa"/>
                    <w:left w:w="120" w:type="dxa"/>
                    <w:bottom w:w="135" w:type="dxa"/>
                    <w:right w:w="120" w:type="dxa"/>
                  </w:tcMar>
                  <w:vAlign w:val="center"/>
                </w:tcPr>
                <w:p w14:paraId="058BDF8D">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100吨</w:t>
                  </w:r>
                </w:p>
              </w:tc>
              <w:tc>
                <w:tcPr>
                  <w:tcW w:w="863" w:type="dxa"/>
                  <w:shd w:val="clear" w:color="auto" w:fill="auto"/>
                  <w:tcMar>
                    <w:top w:w="135" w:type="dxa"/>
                    <w:left w:w="120" w:type="dxa"/>
                    <w:bottom w:w="135" w:type="dxa"/>
                    <w:right w:w="120" w:type="dxa"/>
                  </w:tcMar>
                  <w:vAlign w:val="center"/>
                </w:tcPr>
                <w:p w14:paraId="20065B8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水肥中心</w:t>
                  </w:r>
                </w:p>
              </w:tc>
              <w:tc>
                <w:tcPr>
                  <w:tcW w:w="1526" w:type="dxa"/>
                  <w:shd w:val="clear" w:color="auto" w:fill="auto"/>
                  <w:tcMar>
                    <w:top w:w="135" w:type="dxa"/>
                    <w:left w:w="120" w:type="dxa"/>
                    <w:bottom w:w="135" w:type="dxa"/>
                    <w:right w:w="120" w:type="dxa"/>
                  </w:tcMar>
                  <w:vAlign w:val="center"/>
                </w:tcPr>
                <w:p w14:paraId="0BD3ED3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每亩约500</w:t>
                  </w:r>
                  <w:r>
                    <w:rPr>
                      <w:rFonts w:hint="eastAsia" w:ascii="Times New Roman" w:hAnsi="Times New Roman"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800公斤</w:t>
                  </w:r>
                </w:p>
              </w:tc>
            </w:tr>
            <w:tr w14:paraId="64518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397" w:hRule="atLeast"/>
                <w:jc w:val="center"/>
              </w:trPr>
              <w:tc>
                <w:tcPr>
                  <w:tcW w:w="1041" w:type="dxa"/>
                  <w:shd w:val="clear" w:color="auto" w:fill="auto"/>
                  <w:tcMar>
                    <w:top w:w="135" w:type="dxa"/>
                    <w:left w:w="120" w:type="dxa"/>
                    <w:bottom w:w="135" w:type="dxa"/>
                    <w:right w:w="120" w:type="dxa"/>
                  </w:tcMar>
                  <w:vAlign w:val="center"/>
                </w:tcPr>
                <w:p w14:paraId="22917CB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培养基原料</w:t>
                  </w:r>
                  <w:r>
                    <w:rPr>
                      <w:rFonts w:hint="eastAsia" w:ascii="Times New Roman" w:hAnsi="Times New Roman"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玉米芯</w:t>
                  </w:r>
                </w:p>
              </w:tc>
              <w:tc>
                <w:tcPr>
                  <w:tcW w:w="1718" w:type="dxa"/>
                  <w:shd w:val="clear" w:color="auto" w:fill="auto"/>
                  <w:tcMar>
                    <w:top w:w="135" w:type="dxa"/>
                    <w:left w:w="120" w:type="dxa"/>
                    <w:bottom w:w="135" w:type="dxa"/>
                    <w:right w:w="120" w:type="dxa"/>
                  </w:tcMar>
                  <w:vAlign w:val="center"/>
                </w:tcPr>
                <w:p w14:paraId="19F099A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粉碎后粒度1</w:t>
                  </w:r>
                  <w:r>
                    <w:rPr>
                      <w:rFonts w:hint="eastAsia" w:ascii="Times New Roman" w:hAnsi="Times New Roman"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3cm</w:t>
                  </w:r>
                </w:p>
              </w:tc>
              <w:tc>
                <w:tcPr>
                  <w:tcW w:w="782" w:type="dxa"/>
                  <w:shd w:val="clear" w:color="auto" w:fill="auto"/>
                  <w:tcMar>
                    <w:top w:w="135" w:type="dxa"/>
                    <w:left w:w="120" w:type="dxa"/>
                    <w:bottom w:w="135" w:type="dxa"/>
                    <w:right w:w="120" w:type="dxa"/>
                  </w:tcMar>
                  <w:vAlign w:val="center"/>
                </w:tcPr>
                <w:p w14:paraId="6C986D1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外购</w:t>
                  </w:r>
                </w:p>
              </w:tc>
              <w:tc>
                <w:tcPr>
                  <w:tcW w:w="971" w:type="dxa"/>
                  <w:shd w:val="clear" w:color="auto" w:fill="auto"/>
                  <w:tcMar>
                    <w:top w:w="135" w:type="dxa"/>
                    <w:left w:w="120" w:type="dxa"/>
                    <w:bottom w:w="135" w:type="dxa"/>
                    <w:right w:w="120" w:type="dxa"/>
                  </w:tcMar>
                  <w:vAlign w:val="center"/>
                </w:tcPr>
                <w:p w14:paraId="2FC8D8C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372.23吨</w:t>
                  </w:r>
                </w:p>
              </w:tc>
              <w:tc>
                <w:tcPr>
                  <w:tcW w:w="911" w:type="dxa"/>
                  <w:shd w:val="clear" w:color="auto" w:fill="auto"/>
                  <w:tcMar>
                    <w:top w:w="135" w:type="dxa"/>
                    <w:left w:w="120" w:type="dxa"/>
                    <w:bottom w:w="135" w:type="dxa"/>
                    <w:right w:w="120" w:type="dxa"/>
                  </w:tcMar>
                  <w:vAlign w:val="center"/>
                </w:tcPr>
                <w:p w14:paraId="6BDD5B3A">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150吨</w:t>
                  </w:r>
                </w:p>
              </w:tc>
              <w:tc>
                <w:tcPr>
                  <w:tcW w:w="863" w:type="dxa"/>
                  <w:shd w:val="clear" w:color="auto" w:fill="auto"/>
                  <w:tcMar>
                    <w:top w:w="135" w:type="dxa"/>
                    <w:left w:w="120" w:type="dxa"/>
                    <w:bottom w:w="135" w:type="dxa"/>
                    <w:right w:w="120" w:type="dxa"/>
                  </w:tcMar>
                  <w:vAlign w:val="center"/>
                </w:tcPr>
                <w:p w14:paraId="0E2A89D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水肥中心</w:t>
                  </w:r>
                </w:p>
              </w:tc>
              <w:tc>
                <w:tcPr>
                  <w:tcW w:w="1526" w:type="dxa"/>
                  <w:shd w:val="clear" w:color="auto" w:fill="auto"/>
                  <w:tcMar>
                    <w:top w:w="135" w:type="dxa"/>
                    <w:left w:w="120" w:type="dxa"/>
                    <w:bottom w:w="135" w:type="dxa"/>
                    <w:right w:w="120" w:type="dxa"/>
                  </w:tcMar>
                  <w:vAlign w:val="center"/>
                </w:tcPr>
                <w:p w14:paraId="16E72E2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每亩约800</w:t>
                  </w:r>
                  <w:r>
                    <w:rPr>
                      <w:rFonts w:hint="eastAsia" w:ascii="Times New Roman" w:hAnsi="Times New Roman"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1200公斤</w:t>
                  </w:r>
                </w:p>
              </w:tc>
            </w:tr>
            <w:tr w14:paraId="1F603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397" w:hRule="atLeast"/>
                <w:jc w:val="center"/>
              </w:trPr>
              <w:tc>
                <w:tcPr>
                  <w:tcW w:w="1041" w:type="dxa"/>
                  <w:shd w:val="clear" w:color="auto" w:fill="auto"/>
                  <w:tcMar>
                    <w:top w:w="135" w:type="dxa"/>
                    <w:left w:w="120" w:type="dxa"/>
                    <w:bottom w:w="135" w:type="dxa"/>
                    <w:right w:w="120" w:type="dxa"/>
                  </w:tcMar>
                  <w:vAlign w:val="center"/>
                </w:tcPr>
                <w:p w14:paraId="2D774E7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培养基原料-麸皮</w:t>
                  </w:r>
                </w:p>
              </w:tc>
              <w:tc>
                <w:tcPr>
                  <w:tcW w:w="1718" w:type="dxa"/>
                  <w:shd w:val="clear" w:color="auto" w:fill="auto"/>
                  <w:tcMar>
                    <w:top w:w="135" w:type="dxa"/>
                    <w:left w:w="120" w:type="dxa"/>
                    <w:bottom w:w="135" w:type="dxa"/>
                    <w:right w:w="120" w:type="dxa"/>
                  </w:tcMar>
                  <w:vAlign w:val="center"/>
                </w:tcPr>
                <w:p w14:paraId="443E10C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优质，无虫蛀</w:t>
                  </w:r>
                </w:p>
              </w:tc>
              <w:tc>
                <w:tcPr>
                  <w:tcW w:w="782" w:type="dxa"/>
                  <w:shd w:val="clear" w:color="auto" w:fill="auto"/>
                  <w:tcMar>
                    <w:top w:w="135" w:type="dxa"/>
                    <w:left w:w="120" w:type="dxa"/>
                    <w:bottom w:w="135" w:type="dxa"/>
                    <w:right w:w="120" w:type="dxa"/>
                  </w:tcMar>
                  <w:vAlign w:val="center"/>
                </w:tcPr>
                <w:p w14:paraId="08A3676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外购</w:t>
                  </w:r>
                </w:p>
              </w:tc>
              <w:tc>
                <w:tcPr>
                  <w:tcW w:w="971" w:type="dxa"/>
                  <w:shd w:val="clear" w:color="auto" w:fill="auto"/>
                  <w:tcMar>
                    <w:top w:w="135" w:type="dxa"/>
                    <w:left w:w="120" w:type="dxa"/>
                    <w:bottom w:w="135" w:type="dxa"/>
                    <w:right w:w="120" w:type="dxa"/>
                  </w:tcMar>
                  <w:vAlign w:val="center"/>
                </w:tcPr>
                <w:p w14:paraId="287F0B8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139.59吨</w:t>
                  </w:r>
                </w:p>
              </w:tc>
              <w:tc>
                <w:tcPr>
                  <w:tcW w:w="911" w:type="dxa"/>
                  <w:shd w:val="clear" w:color="auto" w:fill="auto"/>
                  <w:tcMar>
                    <w:top w:w="135" w:type="dxa"/>
                    <w:left w:w="120" w:type="dxa"/>
                    <w:bottom w:w="135" w:type="dxa"/>
                    <w:right w:w="120" w:type="dxa"/>
                  </w:tcMar>
                  <w:vAlign w:val="center"/>
                </w:tcPr>
                <w:p w14:paraId="68DA5FC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50吨</w:t>
                  </w:r>
                </w:p>
              </w:tc>
              <w:tc>
                <w:tcPr>
                  <w:tcW w:w="863" w:type="dxa"/>
                  <w:shd w:val="clear" w:color="auto" w:fill="auto"/>
                  <w:tcMar>
                    <w:top w:w="135" w:type="dxa"/>
                    <w:left w:w="120" w:type="dxa"/>
                    <w:bottom w:w="135" w:type="dxa"/>
                    <w:right w:w="120" w:type="dxa"/>
                  </w:tcMar>
                  <w:vAlign w:val="center"/>
                </w:tcPr>
                <w:p w14:paraId="3043F60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水肥中心</w:t>
                  </w:r>
                </w:p>
              </w:tc>
              <w:tc>
                <w:tcPr>
                  <w:tcW w:w="1526" w:type="dxa"/>
                  <w:shd w:val="clear" w:color="auto" w:fill="auto"/>
                  <w:tcMar>
                    <w:top w:w="135" w:type="dxa"/>
                    <w:left w:w="120" w:type="dxa"/>
                    <w:bottom w:w="135" w:type="dxa"/>
                    <w:right w:w="120" w:type="dxa"/>
                  </w:tcMar>
                  <w:vAlign w:val="center"/>
                </w:tcPr>
                <w:p w14:paraId="2FB0AD6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每亩约300</w:t>
                  </w:r>
                  <w:r>
                    <w:rPr>
                      <w:rFonts w:hint="eastAsia" w:ascii="Times New Roman" w:hAnsi="Times New Roman"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500公斤</w:t>
                  </w:r>
                </w:p>
              </w:tc>
            </w:tr>
            <w:tr w14:paraId="30963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397" w:hRule="atLeast"/>
                <w:jc w:val="center"/>
              </w:trPr>
              <w:tc>
                <w:tcPr>
                  <w:tcW w:w="1041" w:type="dxa"/>
                  <w:shd w:val="clear" w:color="auto" w:fill="auto"/>
                  <w:tcMar>
                    <w:top w:w="135" w:type="dxa"/>
                    <w:left w:w="120" w:type="dxa"/>
                    <w:bottom w:w="135" w:type="dxa"/>
                    <w:right w:w="120" w:type="dxa"/>
                  </w:tcMar>
                  <w:vAlign w:val="center"/>
                </w:tcPr>
                <w:p w14:paraId="58C1418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培养基原料</w:t>
                  </w:r>
                  <w:r>
                    <w:rPr>
                      <w:rFonts w:hint="eastAsia" w:ascii="Times New Roman" w:hAnsi="Times New Roman"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石膏</w:t>
                  </w:r>
                </w:p>
              </w:tc>
              <w:tc>
                <w:tcPr>
                  <w:tcW w:w="1718" w:type="dxa"/>
                  <w:shd w:val="clear" w:color="auto" w:fill="auto"/>
                  <w:tcMar>
                    <w:top w:w="135" w:type="dxa"/>
                    <w:left w:w="120" w:type="dxa"/>
                    <w:bottom w:w="135" w:type="dxa"/>
                    <w:right w:w="120" w:type="dxa"/>
                  </w:tcMar>
                  <w:vAlign w:val="center"/>
                </w:tcPr>
                <w:p w14:paraId="251E95E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工业级，纯度≥95%</w:t>
                  </w:r>
                </w:p>
              </w:tc>
              <w:tc>
                <w:tcPr>
                  <w:tcW w:w="782" w:type="dxa"/>
                  <w:shd w:val="clear" w:color="auto" w:fill="auto"/>
                  <w:tcMar>
                    <w:top w:w="135" w:type="dxa"/>
                    <w:left w:w="120" w:type="dxa"/>
                    <w:bottom w:w="135" w:type="dxa"/>
                    <w:right w:w="120" w:type="dxa"/>
                  </w:tcMar>
                  <w:vAlign w:val="center"/>
                </w:tcPr>
                <w:p w14:paraId="2DBC270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外购</w:t>
                  </w:r>
                </w:p>
              </w:tc>
              <w:tc>
                <w:tcPr>
                  <w:tcW w:w="971" w:type="dxa"/>
                  <w:shd w:val="clear" w:color="auto" w:fill="auto"/>
                  <w:tcMar>
                    <w:top w:w="135" w:type="dxa"/>
                    <w:left w:w="120" w:type="dxa"/>
                    <w:bottom w:w="135" w:type="dxa"/>
                    <w:right w:w="120" w:type="dxa"/>
                  </w:tcMar>
                  <w:vAlign w:val="center"/>
                </w:tcPr>
                <w:p w14:paraId="69C14D4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13.96吨</w:t>
                  </w:r>
                </w:p>
              </w:tc>
              <w:tc>
                <w:tcPr>
                  <w:tcW w:w="911" w:type="dxa"/>
                  <w:shd w:val="clear" w:color="auto" w:fill="auto"/>
                  <w:tcMar>
                    <w:top w:w="135" w:type="dxa"/>
                    <w:left w:w="120" w:type="dxa"/>
                    <w:bottom w:w="135" w:type="dxa"/>
                    <w:right w:w="120" w:type="dxa"/>
                  </w:tcMar>
                  <w:vAlign w:val="center"/>
                </w:tcPr>
                <w:p w14:paraId="7829EBE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5吨</w:t>
                  </w:r>
                </w:p>
              </w:tc>
              <w:tc>
                <w:tcPr>
                  <w:tcW w:w="863" w:type="dxa"/>
                  <w:shd w:val="clear" w:color="auto" w:fill="auto"/>
                  <w:tcMar>
                    <w:top w:w="135" w:type="dxa"/>
                    <w:left w:w="120" w:type="dxa"/>
                    <w:bottom w:w="135" w:type="dxa"/>
                    <w:right w:w="120" w:type="dxa"/>
                  </w:tcMar>
                  <w:vAlign w:val="center"/>
                </w:tcPr>
                <w:p w14:paraId="37EF896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水肥中心</w:t>
                  </w:r>
                </w:p>
              </w:tc>
              <w:tc>
                <w:tcPr>
                  <w:tcW w:w="1526" w:type="dxa"/>
                  <w:shd w:val="clear" w:color="auto" w:fill="auto"/>
                  <w:tcMar>
                    <w:top w:w="135" w:type="dxa"/>
                    <w:left w:w="120" w:type="dxa"/>
                    <w:bottom w:w="135" w:type="dxa"/>
                    <w:right w:w="120" w:type="dxa"/>
                  </w:tcMar>
                  <w:vAlign w:val="center"/>
                </w:tcPr>
                <w:p w14:paraId="0A83B51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每亩约30</w:t>
                  </w:r>
                  <w:r>
                    <w:rPr>
                      <w:rFonts w:hint="eastAsia" w:ascii="Times New Roman" w:hAnsi="Times New Roman"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50公斤</w:t>
                  </w:r>
                </w:p>
              </w:tc>
            </w:tr>
            <w:tr w14:paraId="7BC26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397" w:hRule="atLeast"/>
                <w:jc w:val="center"/>
              </w:trPr>
              <w:tc>
                <w:tcPr>
                  <w:tcW w:w="1041" w:type="dxa"/>
                  <w:shd w:val="clear" w:color="auto" w:fill="auto"/>
                  <w:tcMar>
                    <w:top w:w="135" w:type="dxa"/>
                    <w:left w:w="120" w:type="dxa"/>
                    <w:bottom w:w="135" w:type="dxa"/>
                    <w:right w:w="120" w:type="dxa"/>
                  </w:tcMar>
                  <w:vAlign w:val="center"/>
                </w:tcPr>
                <w:p w14:paraId="18F59BD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培养基原料-蔗糖</w:t>
                  </w:r>
                </w:p>
              </w:tc>
              <w:tc>
                <w:tcPr>
                  <w:tcW w:w="1718" w:type="dxa"/>
                  <w:shd w:val="clear" w:color="auto" w:fill="auto"/>
                  <w:tcMar>
                    <w:top w:w="135" w:type="dxa"/>
                    <w:left w:w="120" w:type="dxa"/>
                    <w:bottom w:w="135" w:type="dxa"/>
                    <w:right w:w="120" w:type="dxa"/>
                  </w:tcMar>
                  <w:vAlign w:val="center"/>
                </w:tcPr>
                <w:p w14:paraId="70B2CCF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食用级</w:t>
                  </w:r>
                </w:p>
              </w:tc>
              <w:tc>
                <w:tcPr>
                  <w:tcW w:w="782" w:type="dxa"/>
                  <w:shd w:val="clear" w:color="auto" w:fill="auto"/>
                  <w:tcMar>
                    <w:top w:w="135" w:type="dxa"/>
                    <w:left w:w="120" w:type="dxa"/>
                    <w:bottom w:w="135" w:type="dxa"/>
                    <w:right w:w="120" w:type="dxa"/>
                  </w:tcMar>
                  <w:vAlign w:val="center"/>
                </w:tcPr>
                <w:p w14:paraId="03918B6B">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外购</w:t>
                  </w:r>
                </w:p>
              </w:tc>
              <w:tc>
                <w:tcPr>
                  <w:tcW w:w="971" w:type="dxa"/>
                  <w:shd w:val="clear" w:color="auto" w:fill="auto"/>
                  <w:tcMar>
                    <w:top w:w="135" w:type="dxa"/>
                    <w:left w:w="120" w:type="dxa"/>
                    <w:bottom w:w="135" w:type="dxa"/>
                    <w:right w:w="120" w:type="dxa"/>
                  </w:tcMar>
                  <w:vAlign w:val="center"/>
                </w:tcPr>
                <w:p w14:paraId="6482710B">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4.65吨</w:t>
                  </w:r>
                </w:p>
              </w:tc>
              <w:tc>
                <w:tcPr>
                  <w:tcW w:w="911" w:type="dxa"/>
                  <w:shd w:val="clear" w:color="auto" w:fill="auto"/>
                  <w:tcMar>
                    <w:top w:w="135" w:type="dxa"/>
                    <w:left w:w="120" w:type="dxa"/>
                    <w:bottom w:w="135" w:type="dxa"/>
                    <w:right w:w="120" w:type="dxa"/>
                  </w:tcMar>
                  <w:vAlign w:val="center"/>
                </w:tcPr>
                <w:p w14:paraId="4542F37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1.5吨</w:t>
                  </w:r>
                </w:p>
              </w:tc>
              <w:tc>
                <w:tcPr>
                  <w:tcW w:w="863" w:type="dxa"/>
                  <w:shd w:val="clear" w:color="auto" w:fill="auto"/>
                  <w:tcMar>
                    <w:top w:w="135" w:type="dxa"/>
                    <w:left w:w="120" w:type="dxa"/>
                    <w:bottom w:w="135" w:type="dxa"/>
                    <w:right w:w="120" w:type="dxa"/>
                  </w:tcMar>
                  <w:vAlign w:val="center"/>
                </w:tcPr>
                <w:p w14:paraId="011C711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水肥中心</w:t>
                  </w:r>
                </w:p>
              </w:tc>
              <w:tc>
                <w:tcPr>
                  <w:tcW w:w="1526" w:type="dxa"/>
                  <w:shd w:val="clear" w:color="auto" w:fill="auto"/>
                  <w:tcMar>
                    <w:top w:w="135" w:type="dxa"/>
                    <w:left w:w="120" w:type="dxa"/>
                    <w:bottom w:w="135" w:type="dxa"/>
                    <w:right w:w="120" w:type="dxa"/>
                  </w:tcMar>
                  <w:vAlign w:val="center"/>
                </w:tcPr>
                <w:p w14:paraId="4D02AD5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每亩约10</w:t>
                  </w:r>
                  <w:r>
                    <w:rPr>
                      <w:rFonts w:hint="eastAsia" w:ascii="Times New Roman" w:hAnsi="Times New Roman"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20公斤</w:t>
                  </w:r>
                </w:p>
              </w:tc>
            </w:tr>
            <w:tr w14:paraId="59ED2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397" w:hRule="atLeast"/>
                <w:jc w:val="center"/>
              </w:trPr>
              <w:tc>
                <w:tcPr>
                  <w:tcW w:w="1041" w:type="dxa"/>
                  <w:shd w:val="clear" w:color="auto" w:fill="auto"/>
                  <w:tcMar>
                    <w:top w:w="135" w:type="dxa"/>
                    <w:left w:w="120" w:type="dxa"/>
                    <w:bottom w:w="135" w:type="dxa"/>
                    <w:right w:w="120" w:type="dxa"/>
                  </w:tcMar>
                  <w:vAlign w:val="center"/>
                </w:tcPr>
                <w:p w14:paraId="587D3CA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覆土材料-腐殖土</w:t>
                  </w:r>
                </w:p>
              </w:tc>
              <w:tc>
                <w:tcPr>
                  <w:tcW w:w="1718" w:type="dxa"/>
                  <w:shd w:val="clear" w:color="auto" w:fill="auto"/>
                  <w:tcMar>
                    <w:top w:w="135" w:type="dxa"/>
                    <w:left w:w="120" w:type="dxa"/>
                    <w:bottom w:w="135" w:type="dxa"/>
                    <w:right w:w="120" w:type="dxa"/>
                  </w:tcMar>
                  <w:vAlign w:val="center"/>
                </w:tcPr>
                <w:p w14:paraId="1C86667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疏松肥沃，有机质含量高</w:t>
                  </w:r>
                </w:p>
              </w:tc>
              <w:tc>
                <w:tcPr>
                  <w:tcW w:w="782" w:type="dxa"/>
                  <w:shd w:val="clear" w:color="auto" w:fill="auto"/>
                  <w:tcMar>
                    <w:top w:w="135" w:type="dxa"/>
                    <w:left w:w="120" w:type="dxa"/>
                    <w:bottom w:w="135" w:type="dxa"/>
                    <w:right w:w="120" w:type="dxa"/>
                  </w:tcMar>
                  <w:vAlign w:val="center"/>
                </w:tcPr>
                <w:p w14:paraId="4B27399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外购</w:t>
                  </w:r>
                </w:p>
              </w:tc>
              <w:tc>
                <w:tcPr>
                  <w:tcW w:w="971" w:type="dxa"/>
                  <w:shd w:val="clear" w:color="auto" w:fill="auto"/>
                  <w:tcMar>
                    <w:top w:w="135" w:type="dxa"/>
                    <w:left w:w="120" w:type="dxa"/>
                    <w:bottom w:w="135" w:type="dxa"/>
                    <w:right w:w="120" w:type="dxa"/>
                  </w:tcMar>
                  <w:vAlign w:val="center"/>
                </w:tcPr>
                <w:p w14:paraId="4B36CFC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9305.80立方米</w:t>
                  </w:r>
                </w:p>
              </w:tc>
              <w:tc>
                <w:tcPr>
                  <w:tcW w:w="911" w:type="dxa"/>
                  <w:shd w:val="clear" w:color="auto" w:fill="auto"/>
                  <w:tcMar>
                    <w:top w:w="135" w:type="dxa"/>
                    <w:left w:w="120" w:type="dxa"/>
                    <w:bottom w:w="135" w:type="dxa"/>
                    <w:right w:w="120" w:type="dxa"/>
                  </w:tcMar>
                  <w:vAlign w:val="center"/>
                </w:tcPr>
                <w:p w14:paraId="53FAC58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2500立方米</w:t>
                  </w:r>
                </w:p>
              </w:tc>
              <w:tc>
                <w:tcPr>
                  <w:tcW w:w="863" w:type="dxa"/>
                  <w:shd w:val="clear" w:color="auto" w:fill="auto"/>
                  <w:tcMar>
                    <w:top w:w="135" w:type="dxa"/>
                    <w:left w:w="120" w:type="dxa"/>
                    <w:bottom w:w="135" w:type="dxa"/>
                    <w:right w:w="120" w:type="dxa"/>
                  </w:tcMar>
                  <w:vAlign w:val="center"/>
                </w:tcPr>
                <w:p w14:paraId="7CF0E6A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水肥中心</w:t>
                  </w:r>
                </w:p>
              </w:tc>
              <w:tc>
                <w:tcPr>
                  <w:tcW w:w="1526" w:type="dxa"/>
                  <w:shd w:val="clear" w:color="auto" w:fill="auto"/>
                  <w:tcMar>
                    <w:top w:w="135" w:type="dxa"/>
                    <w:left w:w="120" w:type="dxa"/>
                    <w:bottom w:w="135" w:type="dxa"/>
                    <w:right w:w="120" w:type="dxa"/>
                  </w:tcMar>
                  <w:vAlign w:val="center"/>
                </w:tcPr>
                <w:p w14:paraId="623710B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每亩约20-30立方米</w:t>
                  </w:r>
                </w:p>
              </w:tc>
            </w:tr>
            <w:tr w14:paraId="03C78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397" w:hRule="atLeast"/>
                <w:jc w:val="center"/>
              </w:trPr>
              <w:tc>
                <w:tcPr>
                  <w:tcW w:w="1041" w:type="dxa"/>
                  <w:shd w:val="clear" w:color="auto" w:fill="auto"/>
                  <w:tcMar>
                    <w:top w:w="135" w:type="dxa"/>
                    <w:left w:w="120" w:type="dxa"/>
                    <w:bottom w:w="135" w:type="dxa"/>
                    <w:right w:w="120" w:type="dxa"/>
                  </w:tcMar>
                  <w:vAlign w:val="center"/>
                </w:tcPr>
                <w:p w14:paraId="7B9175AA">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覆土材料-泥炭土</w:t>
                  </w:r>
                </w:p>
              </w:tc>
              <w:tc>
                <w:tcPr>
                  <w:tcW w:w="1718" w:type="dxa"/>
                  <w:shd w:val="clear" w:color="auto" w:fill="auto"/>
                  <w:tcMar>
                    <w:top w:w="135" w:type="dxa"/>
                    <w:left w:w="120" w:type="dxa"/>
                    <w:bottom w:w="135" w:type="dxa"/>
                    <w:right w:w="120" w:type="dxa"/>
                  </w:tcMar>
                  <w:vAlign w:val="center"/>
                </w:tcPr>
                <w:p w14:paraId="2AC1494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优质，保水透气性好</w:t>
                  </w:r>
                </w:p>
              </w:tc>
              <w:tc>
                <w:tcPr>
                  <w:tcW w:w="782" w:type="dxa"/>
                  <w:shd w:val="clear" w:color="auto" w:fill="auto"/>
                  <w:tcMar>
                    <w:top w:w="135" w:type="dxa"/>
                    <w:left w:w="120" w:type="dxa"/>
                    <w:bottom w:w="135" w:type="dxa"/>
                    <w:right w:w="120" w:type="dxa"/>
                  </w:tcMar>
                  <w:vAlign w:val="center"/>
                </w:tcPr>
                <w:p w14:paraId="02C963F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外购</w:t>
                  </w:r>
                </w:p>
              </w:tc>
              <w:tc>
                <w:tcPr>
                  <w:tcW w:w="971" w:type="dxa"/>
                  <w:shd w:val="clear" w:color="auto" w:fill="auto"/>
                  <w:tcMar>
                    <w:top w:w="135" w:type="dxa"/>
                    <w:left w:w="120" w:type="dxa"/>
                    <w:bottom w:w="135" w:type="dxa"/>
                    <w:right w:w="120" w:type="dxa"/>
                  </w:tcMar>
                  <w:vAlign w:val="center"/>
                </w:tcPr>
                <w:p w14:paraId="3343B2D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2326.45立方米</w:t>
                  </w:r>
                </w:p>
              </w:tc>
              <w:tc>
                <w:tcPr>
                  <w:tcW w:w="911" w:type="dxa"/>
                  <w:shd w:val="clear" w:color="auto" w:fill="auto"/>
                  <w:tcMar>
                    <w:top w:w="135" w:type="dxa"/>
                    <w:left w:w="120" w:type="dxa"/>
                    <w:bottom w:w="135" w:type="dxa"/>
                    <w:right w:w="120" w:type="dxa"/>
                  </w:tcMar>
                  <w:vAlign w:val="center"/>
                </w:tcPr>
                <w:p w14:paraId="1D9EA6C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1000立方米</w:t>
                  </w:r>
                </w:p>
              </w:tc>
              <w:tc>
                <w:tcPr>
                  <w:tcW w:w="863" w:type="dxa"/>
                  <w:shd w:val="clear" w:color="auto" w:fill="auto"/>
                  <w:tcMar>
                    <w:top w:w="135" w:type="dxa"/>
                    <w:left w:w="120" w:type="dxa"/>
                    <w:bottom w:w="135" w:type="dxa"/>
                    <w:right w:w="120" w:type="dxa"/>
                  </w:tcMar>
                  <w:vAlign w:val="center"/>
                </w:tcPr>
                <w:p w14:paraId="4929FF6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水肥中心</w:t>
                  </w:r>
                </w:p>
              </w:tc>
              <w:tc>
                <w:tcPr>
                  <w:tcW w:w="1526" w:type="dxa"/>
                  <w:shd w:val="clear" w:color="auto" w:fill="auto"/>
                  <w:tcMar>
                    <w:top w:w="135" w:type="dxa"/>
                    <w:left w:w="120" w:type="dxa"/>
                    <w:bottom w:w="135" w:type="dxa"/>
                    <w:right w:w="120" w:type="dxa"/>
                  </w:tcMar>
                  <w:vAlign w:val="center"/>
                </w:tcPr>
                <w:p w14:paraId="3040D8F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每亩约5-10立方米</w:t>
                  </w:r>
                </w:p>
              </w:tc>
            </w:tr>
            <w:tr w14:paraId="5B89E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397" w:hRule="atLeast"/>
                <w:jc w:val="center"/>
              </w:trPr>
              <w:tc>
                <w:tcPr>
                  <w:tcW w:w="1041" w:type="dxa"/>
                  <w:shd w:val="clear" w:color="auto" w:fill="auto"/>
                  <w:tcMar>
                    <w:top w:w="135" w:type="dxa"/>
                    <w:left w:w="120" w:type="dxa"/>
                    <w:bottom w:w="135" w:type="dxa"/>
                    <w:right w:w="120" w:type="dxa"/>
                  </w:tcMar>
                  <w:vAlign w:val="center"/>
                </w:tcPr>
                <w:p w14:paraId="3D4C204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农药-多菌灵</w:t>
                  </w:r>
                </w:p>
              </w:tc>
              <w:tc>
                <w:tcPr>
                  <w:tcW w:w="1718" w:type="dxa"/>
                  <w:shd w:val="clear" w:color="auto" w:fill="auto"/>
                  <w:tcMar>
                    <w:top w:w="135" w:type="dxa"/>
                    <w:left w:w="120" w:type="dxa"/>
                    <w:bottom w:w="135" w:type="dxa"/>
                    <w:right w:w="120" w:type="dxa"/>
                  </w:tcMar>
                  <w:vAlign w:val="center"/>
                </w:tcPr>
                <w:p w14:paraId="5A1622E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50%可湿性粉剂</w:t>
                  </w:r>
                </w:p>
              </w:tc>
              <w:tc>
                <w:tcPr>
                  <w:tcW w:w="782" w:type="dxa"/>
                  <w:shd w:val="clear" w:color="auto" w:fill="auto"/>
                  <w:tcMar>
                    <w:top w:w="135" w:type="dxa"/>
                    <w:left w:w="120" w:type="dxa"/>
                    <w:bottom w:w="135" w:type="dxa"/>
                    <w:right w:w="120" w:type="dxa"/>
                  </w:tcMar>
                  <w:vAlign w:val="center"/>
                </w:tcPr>
                <w:p w14:paraId="72D395F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外购</w:t>
                  </w:r>
                </w:p>
              </w:tc>
              <w:tc>
                <w:tcPr>
                  <w:tcW w:w="971" w:type="dxa"/>
                  <w:shd w:val="clear" w:color="auto" w:fill="auto"/>
                  <w:tcMar>
                    <w:top w:w="135" w:type="dxa"/>
                    <w:left w:w="120" w:type="dxa"/>
                    <w:bottom w:w="135" w:type="dxa"/>
                    <w:right w:w="120" w:type="dxa"/>
                  </w:tcMar>
                  <w:vAlign w:val="center"/>
                </w:tcPr>
                <w:p w14:paraId="31051B7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1396袋</w:t>
                  </w:r>
                </w:p>
              </w:tc>
              <w:tc>
                <w:tcPr>
                  <w:tcW w:w="911" w:type="dxa"/>
                  <w:shd w:val="clear" w:color="auto" w:fill="auto"/>
                  <w:tcMar>
                    <w:top w:w="135" w:type="dxa"/>
                    <w:left w:w="120" w:type="dxa"/>
                    <w:bottom w:w="135" w:type="dxa"/>
                    <w:right w:w="120" w:type="dxa"/>
                  </w:tcMar>
                  <w:vAlign w:val="center"/>
                </w:tcPr>
                <w:p w14:paraId="2C2565F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800袋</w:t>
                  </w:r>
                </w:p>
              </w:tc>
              <w:tc>
                <w:tcPr>
                  <w:tcW w:w="863" w:type="dxa"/>
                  <w:shd w:val="clear" w:color="auto" w:fill="auto"/>
                  <w:tcMar>
                    <w:top w:w="135" w:type="dxa"/>
                    <w:left w:w="120" w:type="dxa"/>
                    <w:bottom w:w="135" w:type="dxa"/>
                    <w:right w:w="120" w:type="dxa"/>
                  </w:tcMar>
                  <w:vAlign w:val="center"/>
                </w:tcPr>
                <w:p w14:paraId="612E636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水肥中心</w:t>
                  </w:r>
                </w:p>
              </w:tc>
              <w:tc>
                <w:tcPr>
                  <w:tcW w:w="1526" w:type="dxa"/>
                  <w:shd w:val="clear" w:color="auto" w:fill="auto"/>
                  <w:tcMar>
                    <w:top w:w="135" w:type="dxa"/>
                    <w:left w:w="120" w:type="dxa"/>
                    <w:bottom w:w="135" w:type="dxa"/>
                    <w:right w:w="120" w:type="dxa"/>
                  </w:tcMar>
                  <w:vAlign w:val="center"/>
                </w:tcPr>
                <w:p w14:paraId="52111783">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每亩约2-3袋，根据病虫害发生情况调整</w:t>
                  </w:r>
                </w:p>
              </w:tc>
            </w:tr>
            <w:tr w14:paraId="6DAF1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397" w:hRule="atLeast"/>
                <w:jc w:val="center"/>
              </w:trPr>
              <w:tc>
                <w:tcPr>
                  <w:tcW w:w="1041" w:type="dxa"/>
                  <w:shd w:val="clear" w:color="auto" w:fill="auto"/>
                  <w:tcMar>
                    <w:top w:w="135" w:type="dxa"/>
                    <w:left w:w="120" w:type="dxa"/>
                    <w:bottom w:w="135" w:type="dxa"/>
                    <w:right w:w="120" w:type="dxa"/>
                  </w:tcMar>
                  <w:vAlign w:val="center"/>
                </w:tcPr>
                <w:p w14:paraId="6999C4EA">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灌溉用水</w:t>
                  </w:r>
                </w:p>
              </w:tc>
              <w:tc>
                <w:tcPr>
                  <w:tcW w:w="1718" w:type="dxa"/>
                  <w:shd w:val="clear" w:color="auto" w:fill="auto"/>
                  <w:tcMar>
                    <w:top w:w="135" w:type="dxa"/>
                    <w:left w:w="120" w:type="dxa"/>
                    <w:bottom w:w="135" w:type="dxa"/>
                    <w:right w:w="120" w:type="dxa"/>
                  </w:tcMar>
                  <w:vAlign w:val="center"/>
                </w:tcPr>
                <w:p w14:paraId="64749573">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符合农田灌溉水质标准</w:t>
                  </w:r>
                </w:p>
              </w:tc>
              <w:tc>
                <w:tcPr>
                  <w:tcW w:w="782" w:type="dxa"/>
                  <w:shd w:val="clear" w:color="auto" w:fill="auto"/>
                  <w:tcMar>
                    <w:top w:w="135" w:type="dxa"/>
                    <w:left w:w="120" w:type="dxa"/>
                    <w:bottom w:w="135" w:type="dxa"/>
                    <w:right w:w="120" w:type="dxa"/>
                  </w:tcMar>
                  <w:vAlign w:val="center"/>
                </w:tcPr>
                <w:p w14:paraId="626B6D6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周边灌溉管网接入</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r>
                    <w:rPr>
                      <w:rFonts w:hint="eastAsia" w:ascii="Times New Roman" w:hAnsi="Times New Roman" w:cs="Times New Roman"/>
                      <w:color w:val="000000" w:themeColor="text1"/>
                      <w:sz w:val="21"/>
                      <w:szCs w:val="21"/>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水池取水</w:t>
                  </w:r>
                </w:p>
              </w:tc>
              <w:tc>
                <w:tcPr>
                  <w:tcW w:w="971" w:type="dxa"/>
                  <w:shd w:val="clear" w:color="auto" w:fill="auto"/>
                  <w:tcMar>
                    <w:top w:w="135" w:type="dxa"/>
                    <w:left w:w="120" w:type="dxa"/>
                    <w:bottom w:w="135" w:type="dxa"/>
                    <w:right w:w="120" w:type="dxa"/>
                  </w:tcMar>
                  <w:vAlign w:val="center"/>
                </w:tcPr>
                <w:p w14:paraId="3E23A67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232645立方米</w:t>
                  </w:r>
                </w:p>
              </w:tc>
              <w:tc>
                <w:tcPr>
                  <w:tcW w:w="911" w:type="dxa"/>
                  <w:shd w:val="clear" w:color="auto" w:fill="auto"/>
                  <w:tcMar>
                    <w:top w:w="135" w:type="dxa"/>
                    <w:left w:w="120" w:type="dxa"/>
                    <w:bottom w:w="135" w:type="dxa"/>
                    <w:right w:w="120" w:type="dxa"/>
                  </w:tcMar>
                  <w:vAlign w:val="center"/>
                </w:tcPr>
                <w:p w14:paraId="7E29FE0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p>
              </w:tc>
              <w:tc>
                <w:tcPr>
                  <w:tcW w:w="863" w:type="dxa"/>
                  <w:shd w:val="clear" w:color="auto" w:fill="auto"/>
                  <w:tcMar>
                    <w:top w:w="135" w:type="dxa"/>
                    <w:left w:w="120" w:type="dxa"/>
                    <w:bottom w:w="135" w:type="dxa"/>
                    <w:right w:w="120" w:type="dxa"/>
                  </w:tcMar>
                  <w:vAlign w:val="center"/>
                </w:tcPr>
                <w:p w14:paraId="0725774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周边灌溉管网接入</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r>
                    <w:rPr>
                      <w:rFonts w:hint="eastAsia" w:ascii="Times New Roman" w:hAnsi="Times New Roman" w:cs="Times New Roman"/>
                      <w:color w:val="000000" w:themeColor="text1"/>
                      <w:sz w:val="21"/>
                      <w:szCs w:val="21"/>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水池</w:t>
                  </w:r>
                </w:p>
              </w:tc>
              <w:tc>
                <w:tcPr>
                  <w:tcW w:w="1526" w:type="dxa"/>
                  <w:shd w:val="clear" w:color="auto" w:fill="auto"/>
                  <w:tcMar>
                    <w:top w:w="135" w:type="dxa"/>
                    <w:left w:w="120" w:type="dxa"/>
                    <w:bottom w:w="135" w:type="dxa"/>
                    <w:right w:w="120" w:type="dxa"/>
                  </w:tcMar>
                  <w:vAlign w:val="center"/>
                </w:tcPr>
                <w:p w14:paraId="2E409A3A">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每亩约500-800立方米</w:t>
                  </w:r>
                </w:p>
              </w:tc>
            </w:tr>
            <w:tr w14:paraId="32DD0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397" w:hRule="atLeast"/>
                <w:jc w:val="center"/>
              </w:trPr>
              <w:tc>
                <w:tcPr>
                  <w:tcW w:w="1041" w:type="dxa"/>
                  <w:shd w:val="clear" w:color="auto" w:fill="auto"/>
                  <w:tcMar>
                    <w:top w:w="135" w:type="dxa"/>
                    <w:left w:w="120" w:type="dxa"/>
                    <w:bottom w:w="135" w:type="dxa"/>
                    <w:right w:w="120" w:type="dxa"/>
                  </w:tcMar>
                  <w:vAlign w:val="center"/>
                </w:tcPr>
                <w:p w14:paraId="0107775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塑料薄膜</w:t>
                  </w:r>
                </w:p>
              </w:tc>
              <w:tc>
                <w:tcPr>
                  <w:tcW w:w="1718" w:type="dxa"/>
                  <w:shd w:val="clear" w:color="auto" w:fill="auto"/>
                  <w:tcMar>
                    <w:top w:w="135" w:type="dxa"/>
                    <w:left w:w="120" w:type="dxa"/>
                    <w:bottom w:w="135" w:type="dxa"/>
                    <w:right w:w="120" w:type="dxa"/>
                  </w:tcMar>
                  <w:vAlign w:val="center"/>
                </w:tcPr>
                <w:p w14:paraId="76B549D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厚度0.01</w:t>
                  </w:r>
                  <w:r>
                    <w:rPr>
                      <w:rFonts w:hint="eastAsia" w:ascii="Times New Roman" w:hAnsi="Times New Roman"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0.02mm，宽度根据种植需求</w:t>
                  </w:r>
                </w:p>
              </w:tc>
              <w:tc>
                <w:tcPr>
                  <w:tcW w:w="782" w:type="dxa"/>
                  <w:shd w:val="clear" w:color="auto" w:fill="auto"/>
                  <w:tcMar>
                    <w:top w:w="135" w:type="dxa"/>
                    <w:left w:w="120" w:type="dxa"/>
                    <w:bottom w:w="135" w:type="dxa"/>
                    <w:right w:w="120" w:type="dxa"/>
                  </w:tcMar>
                  <w:vAlign w:val="center"/>
                </w:tcPr>
                <w:p w14:paraId="495E87BD">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外购</w:t>
                  </w:r>
                </w:p>
              </w:tc>
              <w:tc>
                <w:tcPr>
                  <w:tcW w:w="971" w:type="dxa"/>
                  <w:shd w:val="clear" w:color="auto" w:fill="auto"/>
                  <w:tcMar>
                    <w:top w:w="135" w:type="dxa"/>
                    <w:left w:w="120" w:type="dxa"/>
                    <w:bottom w:w="135" w:type="dxa"/>
                    <w:right w:w="120" w:type="dxa"/>
                  </w:tcMar>
                  <w:vAlign w:val="center"/>
                </w:tcPr>
                <w:p w14:paraId="6615A2C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4.65吨</w:t>
                  </w:r>
                </w:p>
              </w:tc>
              <w:tc>
                <w:tcPr>
                  <w:tcW w:w="911" w:type="dxa"/>
                  <w:shd w:val="clear" w:color="auto" w:fill="auto"/>
                  <w:tcMar>
                    <w:top w:w="135" w:type="dxa"/>
                    <w:left w:w="120" w:type="dxa"/>
                    <w:bottom w:w="135" w:type="dxa"/>
                    <w:right w:w="120" w:type="dxa"/>
                  </w:tcMar>
                  <w:vAlign w:val="center"/>
                </w:tcPr>
                <w:p w14:paraId="7209439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1吨</w:t>
                  </w:r>
                </w:p>
              </w:tc>
              <w:tc>
                <w:tcPr>
                  <w:tcW w:w="863" w:type="dxa"/>
                  <w:shd w:val="clear" w:color="auto" w:fill="auto"/>
                  <w:tcMar>
                    <w:top w:w="135" w:type="dxa"/>
                    <w:left w:w="120" w:type="dxa"/>
                    <w:bottom w:w="135" w:type="dxa"/>
                    <w:right w:w="120" w:type="dxa"/>
                  </w:tcMar>
                  <w:vAlign w:val="center"/>
                </w:tcPr>
                <w:p w14:paraId="722794F0">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管护用房</w:t>
                  </w:r>
                </w:p>
              </w:tc>
              <w:tc>
                <w:tcPr>
                  <w:tcW w:w="1526" w:type="dxa"/>
                  <w:shd w:val="clear" w:color="auto" w:fill="auto"/>
                  <w:tcMar>
                    <w:top w:w="135" w:type="dxa"/>
                    <w:left w:w="120" w:type="dxa"/>
                    <w:bottom w:w="135" w:type="dxa"/>
                    <w:right w:w="120" w:type="dxa"/>
                  </w:tcMar>
                  <w:vAlign w:val="center"/>
                </w:tcPr>
                <w:p w14:paraId="0C05D89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每亩约5</w:t>
                  </w:r>
                  <w:r>
                    <w:rPr>
                      <w:rFonts w:hint="eastAsia" w:ascii="Times New Roman" w:hAnsi="Times New Roman"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10公斤</w:t>
                  </w:r>
                </w:p>
              </w:tc>
            </w:tr>
            <w:tr w14:paraId="7B4F4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397" w:hRule="atLeast"/>
                <w:jc w:val="center"/>
              </w:trPr>
              <w:tc>
                <w:tcPr>
                  <w:tcW w:w="1041" w:type="dxa"/>
                  <w:shd w:val="clear" w:color="auto" w:fill="auto"/>
                  <w:tcMar>
                    <w:top w:w="135" w:type="dxa"/>
                    <w:left w:w="120" w:type="dxa"/>
                    <w:bottom w:w="135" w:type="dxa"/>
                    <w:right w:w="120" w:type="dxa"/>
                  </w:tcMar>
                  <w:vAlign w:val="center"/>
                </w:tcPr>
                <w:p w14:paraId="49EAB4FA">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遮荫网</w:t>
                  </w:r>
                </w:p>
              </w:tc>
              <w:tc>
                <w:tcPr>
                  <w:tcW w:w="1718" w:type="dxa"/>
                  <w:shd w:val="clear" w:color="auto" w:fill="auto"/>
                  <w:tcMar>
                    <w:top w:w="135" w:type="dxa"/>
                    <w:left w:w="120" w:type="dxa"/>
                    <w:bottom w:w="135" w:type="dxa"/>
                    <w:right w:w="120" w:type="dxa"/>
                  </w:tcMar>
                  <w:vAlign w:val="center"/>
                </w:tcPr>
                <w:p w14:paraId="338FB82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遮光率</w:t>
                  </w:r>
                  <w:r>
                    <w:rPr>
                      <w:rFonts w:hint="eastAsia" w:ascii="Times New Roman" w:hAnsi="Times New Roman" w:cs="Times New Roman"/>
                      <w:color w:val="000000" w:themeColor="text1"/>
                      <w:sz w:val="21"/>
                      <w:szCs w:val="21"/>
                      <w:lang w:val="en-US" w:eastAsia="zh-CN"/>
                      <w14:textFill>
                        <w14:solidFill>
                          <w14:schemeClr w14:val="tx1"/>
                        </w14:solidFill>
                      </w14:textFill>
                    </w:rPr>
                    <w:t>70%—80%</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，宽度根据种植需求</w:t>
                  </w:r>
                </w:p>
              </w:tc>
              <w:tc>
                <w:tcPr>
                  <w:tcW w:w="782" w:type="dxa"/>
                  <w:shd w:val="clear" w:color="auto" w:fill="auto"/>
                  <w:tcMar>
                    <w:top w:w="135" w:type="dxa"/>
                    <w:left w:w="120" w:type="dxa"/>
                    <w:bottom w:w="135" w:type="dxa"/>
                    <w:right w:w="120" w:type="dxa"/>
                  </w:tcMar>
                  <w:vAlign w:val="center"/>
                </w:tcPr>
                <w:p w14:paraId="2CC8B52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外购</w:t>
                  </w:r>
                </w:p>
              </w:tc>
              <w:tc>
                <w:tcPr>
                  <w:tcW w:w="971" w:type="dxa"/>
                  <w:shd w:val="clear" w:color="auto" w:fill="auto"/>
                  <w:tcMar>
                    <w:top w:w="135" w:type="dxa"/>
                    <w:left w:w="120" w:type="dxa"/>
                    <w:bottom w:w="135" w:type="dxa"/>
                    <w:right w:w="120" w:type="dxa"/>
                  </w:tcMar>
                  <w:vAlign w:val="center"/>
                </w:tcPr>
                <w:p w14:paraId="7E2F9C2B">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46529平方米</w:t>
                  </w:r>
                </w:p>
              </w:tc>
              <w:tc>
                <w:tcPr>
                  <w:tcW w:w="911" w:type="dxa"/>
                  <w:shd w:val="clear" w:color="auto" w:fill="auto"/>
                  <w:tcMar>
                    <w:top w:w="135" w:type="dxa"/>
                    <w:left w:w="120" w:type="dxa"/>
                    <w:bottom w:w="135" w:type="dxa"/>
                    <w:right w:w="120" w:type="dxa"/>
                  </w:tcMar>
                  <w:vAlign w:val="center"/>
                </w:tcPr>
                <w:p w14:paraId="113ECE0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20000平方米</w:t>
                  </w:r>
                </w:p>
              </w:tc>
              <w:tc>
                <w:tcPr>
                  <w:tcW w:w="863" w:type="dxa"/>
                  <w:shd w:val="clear" w:color="auto" w:fill="auto"/>
                  <w:tcMar>
                    <w:top w:w="135" w:type="dxa"/>
                    <w:left w:w="120" w:type="dxa"/>
                    <w:bottom w:w="135" w:type="dxa"/>
                    <w:right w:w="120" w:type="dxa"/>
                  </w:tcMar>
                  <w:vAlign w:val="center"/>
                </w:tcPr>
                <w:p w14:paraId="312CE17B">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管护用房</w:t>
                  </w:r>
                </w:p>
              </w:tc>
              <w:tc>
                <w:tcPr>
                  <w:tcW w:w="1526" w:type="dxa"/>
                  <w:shd w:val="clear" w:color="auto" w:fill="auto"/>
                  <w:tcMar>
                    <w:top w:w="135" w:type="dxa"/>
                    <w:left w:w="120" w:type="dxa"/>
                    <w:bottom w:w="135" w:type="dxa"/>
                    <w:right w:w="120" w:type="dxa"/>
                  </w:tcMar>
                  <w:vAlign w:val="center"/>
                </w:tcPr>
                <w:p w14:paraId="4A5B2EA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每亩约100-150平方米</w:t>
                  </w:r>
                </w:p>
              </w:tc>
            </w:tr>
          </w:tbl>
          <w:p w14:paraId="0EE74336">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pPr>
          </w:p>
          <w:p w14:paraId="308D9726">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b/>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color w:val="000000" w:themeColor="text1"/>
                <w:sz w:val="21"/>
                <w:szCs w:val="21"/>
                <w:highlight w:val="none"/>
                <w:lang w:val="en-US" w:eastAsia="zh-CN"/>
                <w14:textFill>
                  <w14:solidFill>
                    <w14:schemeClr w14:val="tx1"/>
                  </w14:solidFill>
                </w14:textFill>
              </w:rPr>
              <w:t>表2-</w:t>
            </w:r>
            <w:r>
              <w:rPr>
                <w:rFonts w:hint="eastAsia" w:ascii="Times New Roman" w:hAnsi="Times New Roman" w:cs="Times New Roman"/>
                <w:b/>
                <w:color w:val="000000" w:themeColor="text1"/>
                <w:sz w:val="21"/>
                <w:szCs w:val="21"/>
                <w:highlight w:val="none"/>
                <w:lang w:val="en-US" w:eastAsia="zh-CN"/>
                <w14:textFill>
                  <w14:solidFill>
                    <w14:schemeClr w14:val="tx1"/>
                  </w14:solidFill>
                </w14:textFill>
              </w:rPr>
              <w:t xml:space="preserve">8    </w:t>
            </w:r>
            <w:r>
              <w:rPr>
                <w:rFonts w:hint="default" w:ascii="Times New Roman" w:hAnsi="Times New Roman" w:eastAsia="宋体" w:cs="Times New Roman"/>
                <w:b/>
                <w:color w:val="000000" w:themeColor="text1"/>
                <w:sz w:val="21"/>
                <w:szCs w:val="21"/>
                <w:highlight w:val="none"/>
                <w:lang w:val="en-US" w:eastAsia="zh-CN"/>
                <w14:textFill>
                  <w14:solidFill>
                    <w14:schemeClr w14:val="tx1"/>
                  </w14:solidFill>
                </w14:textFill>
              </w:rPr>
              <w:t>果树种植原辅材料一览表</w:t>
            </w:r>
          </w:p>
          <w:tbl>
            <w:tblPr>
              <w:tblStyle w:val="26"/>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115"/>
              <w:gridCol w:w="2041"/>
              <w:gridCol w:w="757"/>
              <w:gridCol w:w="1127"/>
              <w:gridCol w:w="961"/>
              <w:gridCol w:w="961"/>
              <w:gridCol w:w="961"/>
            </w:tblGrid>
            <w:tr w14:paraId="3CDE4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703"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BAF22FA">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原辅料名称</w:t>
                  </w:r>
                </w:p>
              </w:tc>
              <w:tc>
                <w:tcPr>
                  <w:tcW w:w="1288"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87157BA">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规格型号</w:t>
                  </w:r>
                </w:p>
              </w:tc>
              <w:tc>
                <w:tcPr>
                  <w:tcW w:w="477"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8E6A6ED">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单位</w:t>
                  </w:r>
                </w:p>
              </w:tc>
              <w:tc>
                <w:tcPr>
                  <w:tcW w:w="711"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DF56A3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主要来源</w:t>
                  </w:r>
                </w:p>
              </w:tc>
              <w:tc>
                <w:tcPr>
                  <w:tcW w:w="606"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ECC5DCD">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年消耗量</w:t>
                  </w:r>
                </w:p>
              </w:tc>
              <w:tc>
                <w:tcPr>
                  <w:tcW w:w="606"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4E4BA1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暂存量</w:t>
                  </w:r>
                </w:p>
              </w:tc>
              <w:tc>
                <w:tcPr>
                  <w:tcW w:w="606"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72C95CE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暂存位置</w:t>
                  </w:r>
                </w:p>
              </w:tc>
            </w:tr>
            <w:tr w14:paraId="53EE2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703"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D2FEB1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苹果树苗（乔化）</w:t>
                  </w:r>
                </w:p>
              </w:tc>
              <w:tc>
                <w:tcPr>
                  <w:tcW w:w="1288"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E7B248D">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苗高1.2</w:t>
                  </w:r>
                  <w:r>
                    <w:rPr>
                      <w:rFonts w:hint="eastAsia" w:ascii="Times New Roman" w:hAnsi="Times New Roman" w:cs="Times New Roman"/>
                      <w:b w:val="0"/>
                      <w:bCs w:val="0"/>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1.5m，无病虫害</w:t>
                  </w:r>
                </w:p>
              </w:tc>
              <w:tc>
                <w:tcPr>
                  <w:tcW w:w="477"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9F29C6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株</w:t>
                  </w:r>
                </w:p>
              </w:tc>
              <w:tc>
                <w:tcPr>
                  <w:tcW w:w="711"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600DAB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外购</w:t>
                  </w:r>
                </w:p>
              </w:tc>
              <w:tc>
                <w:tcPr>
                  <w:tcW w:w="606"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FAADB2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1716株</w:t>
                  </w:r>
                </w:p>
              </w:tc>
              <w:tc>
                <w:tcPr>
                  <w:tcW w:w="606"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5A665BA">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1500株</w:t>
                  </w:r>
                </w:p>
              </w:tc>
              <w:tc>
                <w:tcPr>
                  <w:tcW w:w="606"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691759D">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水肥中心</w:t>
                  </w:r>
                </w:p>
              </w:tc>
            </w:tr>
            <w:tr w14:paraId="4B60D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703"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7C142E3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苹果树苗（矮化）</w:t>
                  </w:r>
                </w:p>
              </w:tc>
              <w:tc>
                <w:tcPr>
                  <w:tcW w:w="1288"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746F49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苗高0.8</w:t>
                  </w:r>
                  <w:r>
                    <w:rPr>
                      <w:rFonts w:hint="eastAsia" w:ascii="Times New Roman" w:hAnsi="Times New Roman" w:cs="Times New Roman"/>
                      <w:b w:val="0"/>
                      <w:bCs w:val="0"/>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1.0m，M9砧木</w:t>
                  </w:r>
                </w:p>
              </w:tc>
              <w:tc>
                <w:tcPr>
                  <w:tcW w:w="477"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5FDDC4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株</w:t>
                  </w:r>
                </w:p>
              </w:tc>
              <w:tc>
                <w:tcPr>
                  <w:tcW w:w="711"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4D20DD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外购</w:t>
                  </w:r>
                </w:p>
              </w:tc>
              <w:tc>
                <w:tcPr>
                  <w:tcW w:w="606"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979F653">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5772株</w:t>
                  </w:r>
                </w:p>
              </w:tc>
              <w:tc>
                <w:tcPr>
                  <w:tcW w:w="606"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E71A62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5500株</w:t>
                  </w:r>
                </w:p>
              </w:tc>
              <w:tc>
                <w:tcPr>
                  <w:tcW w:w="606"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ACEDF8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水肥中心</w:t>
                  </w:r>
                </w:p>
              </w:tc>
            </w:tr>
            <w:tr w14:paraId="6A2A7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703"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B3FC99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桃树苗（中晚熟）</w:t>
                  </w:r>
                </w:p>
              </w:tc>
              <w:tc>
                <w:tcPr>
                  <w:tcW w:w="1288"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79CB6D9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苗高1.0</w:t>
                  </w:r>
                  <w:r>
                    <w:rPr>
                      <w:rFonts w:hint="eastAsia" w:ascii="Times New Roman" w:hAnsi="Times New Roman" w:cs="Times New Roman"/>
                      <w:b w:val="0"/>
                      <w:bCs w:val="0"/>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1.3m，根系发达</w:t>
                  </w:r>
                </w:p>
              </w:tc>
              <w:tc>
                <w:tcPr>
                  <w:tcW w:w="477"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E9E5DD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株</w:t>
                  </w:r>
                </w:p>
              </w:tc>
              <w:tc>
                <w:tcPr>
                  <w:tcW w:w="711"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E14900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外购</w:t>
                  </w:r>
                </w:p>
              </w:tc>
              <w:tc>
                <w:tcPr>
                  <w:tcW w:w="606"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3D770ED">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2860株</w:t>
                  </w:r>
                </w:p>
              </w:tc>
              <w:tc>
                <w:tcPr>
                  <w:tcW w:w="606"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7F10B71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3000株</w:t>
                  </w:r>
                </w:p>
              </w:tc>
              <w:tc>
                <w:tcPr>
                  <w:tcW w:w="606"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A552D7A">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水肥中心</w:t>
                  </w:r>
                </w:p>
              </w:tc>
            </w:tr>
            <w:tr w14:paraId="24FB3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703"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7C2140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桃树苗（早熟）</w:t>
                  </w:r>
                </w:p>
              </w:tc>
              <w:tc>
                <w:tcPr>
                  <w:tcW w:w="1288"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5FA331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苗高0.9</w:t>
                  </w:r>
                  <w:r>
                    <w:rPr>
                      <w:rFonts w:hint="eastAsia" w:ascii="Times New Roman" w:hAnsi="Times New Roman" w:cs="Times New Roman"/>
                      <w:b w:val="0"/>
                      <w:bCs w:val="0"/>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1.1m，无机械损伤</w:t>
                  </w:r>
                </w:p>
              </w:tc>
              <w:tc>
                <w:tcPr>
                  <w:tcW w:w="477"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9F76AE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株</w:t>
                  </w:r>
                </w:p>
              </w:tc>
              <w:tc>
                <w:tcPr>
                  <w:tcW w:w="711"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D67774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外购</w:t>
                  </w:r>
                </w:p>
              </w:tc>
              <w:tc>
                <w:tcPr>
                  <w:tcW w:w="606"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7D48B86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5772株</w:t>
                  </w:r>
                </w:p>
              </w:tc>
              <w:tc>
                <w:tcPr>
                  <w:tcW w:w="606"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059DEA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5500株</w:t>
                  </w:r>
                </w:p>
              </w:tc>
              <w:tc>
                <w:tcPr>
                  <w:tcW w:w="606"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3D8DD2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水肥中心</w:t>
                  </w:r>
                </w:p>
              </w:tc>
            </w:tr>
            <w:tr w14:paraId="5E3BC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703" w:type="pct"/>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30" w:type="dxa"/>
                    <w:right w:w="120" w:type="dxa"/>
                  </w:tcMar>
                  <w:vAlign w:val="center"/>
                </w:tcPr>
                <w:p w14:paraId="098CDD73">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草木灰</w:t>
                  </w:r>
                </w:p>
              </w:tc>
              <w:tc>
                <w:tcPr>
                  <w:tcW w:w="1288" w:type="pct"/>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30" w:type="dxa"/>
                    <w:right w:w="120" w:type="dxa"/>
                  </w:tcMar>
                  <w:vAlign w:val="center"/>
                </w:tcPr>
                <w:p w14:paraId="21B2F04A">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50kg/袋</w:t>
                  </w:r>
                </w:p>
              </w:tc>
              <w:tc>
                <w:tcPr>
                  <w:tcW w:w="477" w:type="pct"/>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30" w:type="dxa"/>
                    <w:right w:w="120" w:type="dxa"/>
                  </w:tcMar>
                  <w:vAlign w:val="center"/>
                </w:tcPr>
                <w:p w14:paraId="2DB29E5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吨</w:t>
                  </w:r>
                </w:p>
              </w:tc>
              <w:tc>
                <w:tcPr>
                  <w:tcW w:w="711" w:type="pct"/>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30" w:type="dxa"/>
                    <w:right w:w="120" w:type="dxa"/>
                  </w:tcMar>
                  <w:vAlign w:val="center"/>
                </w:tcPr>
                <w:p w14:paraId="6F8E81C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外购</w:t>
                  </w:r>
                </w:p>
              </w:tc>
              <w:tc>
                <w:tcPr>
                  <w:tcW w:w="606" w:type="pct"/>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30" w:type="dxa"/>
                    <w:right w:w="120" w:type="dxa"/>
                  </w:tcMar>
                  <w:vAlign w:val="center"/>
                </w:tcPr>
                <w:p w14:paraId="4741653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20吨</w:t>
                  </w:r>
                </w:p>
              </w:tc>
              <w:tc>
                <w:tcPr>
                  <w:tcW w:w="606" w:type="pct"/>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30" w:type="dxa"/>
                    <w:right w:w="120" w:type="dxa"/>
                  </w:tcMar>
                  <w:vAlign w:val="center"/>
                </w:tcPr>
                <w:p w14:paraId="430C42F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10吨</w:t>
                  </w:r>
                </w:p>
              </w:tc>
              <w:tc>
                <w:tcPr>
                  <w:tcW w:w="606" w:type="pct"/>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30" w:type="dxa"/>
                    <w:right w:w="120" w:type="dxa"/>
                  </w:tcMar>
                  <w:vAlign w:val="center"/>
                </w:tcPr>
                <w:p w14:paraId="728B4E4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水肥中心</w:t>
                  </w:r>
                </w:p>
              </w:tc>
            </w:tr>
            <w:tr w14:paraId="63A77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703" w:type="pct"/>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30" w:type="dxa"/>
                    <w:right w:w="120" w:type="dxa"/>
                  </w:tcMar>
                  <w:vAlign w:val="center"/>
                </w:tcPr>
                <w:p w14:paraId="4718DDF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牛粪有机肥</w:t>
                  </w:r>
                </w:p>
              </w:tc>
              <w:tc>
                <w:tcPr>
                  <w:tcW w:w="1288" w:type="pct"/>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30" w:type="dxa"/>
                    <w:right w:w="120" w:type="dxa"/>
                  </w:tcMar>
                  <w:vAlign w:val="center"/>
                </w:tcPr>
                <w:p w14:paraId="0204D29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50kg/袋</w:t>
                  </w:r>
                </w:p>
              </w:tc>
              <w:tc>
                <w:tcPr>
                  <w:tcW w:w="477" w:type="pct"/>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30" w:type="dxa"/>
                    <w:right w:w="120" w:type="dxa"/>
                  </w:tcMar>
                  <w:vAlign w:val="center"/>
                </w:tcPr>
                <w:p w14:paraId="7168C5CB">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吨</w:t>
                  </w:r>
                </w:p>
              </w:tc>
              <w:tc>
                <w:tcPr>
                  <w:tcW w:w="711" w:type="pct"/>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30" w:type="dxa"/>
                    <w:right w:w="120" w:type="dxa"/>
                  </w:tcMar>
                  <w:vAlign w:val="center"/>
                </w:tcPr>
                <w:p w14:paraId="6B1D6D8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外购</w:t>
                  </w:r>
                </w:p>
              </w:tc>
              <w:tc>
                <w:tcPr>
                  <w:tcW w:w="606" w:type="pct"/>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30" w:type="dxa"/>
                    <w:right w:w="120" w:type="dxa"/>
                  </w:tcMar>
                  <w:vAlign w:val="center"/>
                </w:tcPr>
                <w:p w14:paraId="6DCFC51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4.0吨</w:t>
                  </w:r>
                </w:p>
              </w:tc>
              <w:tc>
                <w:tcPr>
                  <w:tcW w:w="606" w:type="pct"/>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30" w:type="dxa"/>
                    <w:right w:w="120" w:type="dxa"/>
                  </w:tcMar>
                  <w:vAlign w:val="center"/>
                </w:tcPr>
                <w:p w14:paraId="550DF4C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0.5吨</w:t>
                  </w:r>
                </w:p>
              </w:tc>
              <w:tc>
                <w:tcPr>
                  <w:tcW w:w="606" w:type="pct"/>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30" w:type="dxa"/>
                    <w:right w:w="120" w:type="dxa"/>
                  </w:tcMar>
                  <w:vAlign w:val="center"/>
                </w:tcPr>
                <w:p w14:paraId="62F0C950">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水肥中心</w:t>
                  </w:r>
                </w:p>
              </w:tc>
            </w:tr>
            <w:tr w14:paraId="18BBF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703" w:type="pct"/>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30" w:type="dxa"/>
                    <w:right w:w="120" w:type="dxa"/>
                  </w:tcMar>
                  <w:vAlign w:val="center"/>
                </w:tcPr>
                <w:p w14:paraId="764B904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松树皮粉</w:t>
                  </w:r>
                </w:p>
              </w:tc>
              <w:tc>
                <w:tcPr>
                  <w:tcW w:w="1288" w:type="pct"/>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30" w:type="dxa"/>
                    <w:right w:w="120" w:type="dxa"/>
                  </w:tcMar>
                  <w:vAlign w:val="center"/>
                </w:tcPr>
                <w:p w14:paraId="1327213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0-6mm</w:t>
                  </w:r>
                </w:p>
              </w:tc>
              <w:tc>
                <w:tcPr>
                  <w:tcW w:w="477" w:type="pct"/>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30" w:type="dxa"/>
                    <w:right w:w="120" w:type="dxa"/>
                  </w:tcMar>
                  <w:vAlign w:val="center"/>
                </w:tcPr>
                <w:p w14:paraId="68118EEA">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立方米</w:t>
                  </w:r>
                </w:p>
              </w:tc>
              <w:tc>
                <w:tcPr>
                  <w:tcW w:w="711" w:type="pct"/>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30" w:type="dxa"/>
                    <w:right w:w="120" w:type="dxa"/>
                  </w:tcMar>
                  <w:vAlign w:val="center"/>
                </w:tcPr>
                <w:p w14:paraId="2D81C9F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外购</w:t>
                  </w:r>
                </w:p>
              </w:tc>
              <w:tc>
                <w:tcPr>
                  <w:tcW w:w="606" w:type="pct"/>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30" w:type="dxa"/>
                    <w:right w:w="120" w:type="dxa"/>
                  </w:tcMar>
                  <w:vAlign w:val="center"/>
                </w:tcPr>
                <w:p w14:paraId="15952A0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6.0吨</w:t>
                  </w:r>
                </w:p>
              </w:tc>
              <w:tc>
                <w:tcPr>
                  <w:tcW w:w="606" w:type="pct"/>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30" w:type="dxa"/>
                    <w:right w:w="120" w:type="dxa"/>
                  </w:tcMar>
                  <w:vAlign w:val="center"/>
                </w:tcPr>
                <w:p w14:paraId="489E235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1吨</w:t>
                  </w:r>
                </w:p>
              </w:tc>
              <w:tc>
                <w:tcPr>
                  <w:tcW w:w="606" w:type="pct"/>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30" w:type="dxa"/>
                    <w:right w:w="120" w:type="dxa"/>
                  </w:tcMar>
                  <w:vAlign w:val="center"/>
                </w:tcPr>
                <w:p w14:paraId="3355151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水肥中心</w:t>
                  </w:r>
                </w:p>
              </w:tc>
            </w:tr>
            <w:tr w14:paraId="63352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703" w:type="pct"/>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30" w:type="dxa"/>
                    <w:right w:w="120" w:type="dxa"/>
                  </w:tcMar>
                  <w:vAlign w:val="center"/>
                </w:tcPr>
                <w:p w14:paraId="7910828A">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泥炭</w:t>
                  </w:r>
                </w:p>
              </w:tc>
              <w:tc>
                <w:tcPr>
                  <w:tcW w:w="1288" w:type="pct"/>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30" w:type="dxa"/>
                    <w:right w:w="120" w:type="dxa"/>
                  </w:tcMar>
                  <w:vAlign w:val="center"/>
                </w:tcPr>
                <w:p w14:paraId="0EE12D6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p>
              </w:tc>
              <w:tc>
                <w:tcPr>
                  <w:tcW w:w="477" w:type="pct"/>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30" w:type="dxa"/>
                    <w:right w:w="120" w:type="dxa"/>
                  </w:tcMar>
                  <w:vAlign w:val="center"/>
                </w:tcPr>
                <w:p w14:paraId="5BC2BF3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吨</w:t>
                  </w:r>
                </w:p>
              </w:tc>
              <w:tc>
                <w:tcPr>
                  <w:tcW w:w="711" w:type="pct"/>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30" w:type="dxa"/>
                    <w:right w:w="120" w:type="dxa"/>
                  </w:tcMar>
                  <w:vAlign w:val="center"/>
                </w:tcPr>
                <w:p w14:paraId="56555B6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外购</w:t>
                  </w:r>
                </w:p>
              </w:tc>
              <w:tc>
                <w:tcPr>
                  <w:tcW w:w="606" w:type="pct"/>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30" w:type="dxa"/>
                    <w:right w:w="120" w:type="dxa"/>
                  </w:tcMar>
                  <w:vAlign w:val="center"/>
                </w:tcPr>
                <w:p w14:paraId="1DA6B22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60吨</w:t>
                  </w:r>
                </w:p>
              </w:tc>
              <w:tc>
                <w:tcPr>
                  <w:tcW w:w="606" w:type="pct"/>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30" w:type="dxa"/>
                    <w:right w:w="120" w:type="dxa"/>
                  </w:tcMar>
                  <w:vAlign w:val="center"/>
                </w:tcPr>
                <w:p w14:paraId="7842E1C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10吨</w:t>
                  </w:r>
                </w:p>
              </w:tc>
              <w:tc>
                <w:tcPr>
                  <w:tcW w:w="606" w:type="pct"/>
                  <w:tcBorders>
                    <w:top w:val="single" w:color="auto" w:sz="4" w:space="0"/>
                    <w:left w:val="single" w:color="auto" w:sz="4" w:space="0"/>
                    <w:bottom w:val="single" w:color="auto" w:sz="4" w:space="0"/>
                    <w:right w:val="single" w:color="auto" w:sz="4" w:space="0"/>
                  </w:tcBorders>
                  <w:shd w:val="clear" w:color="auto" w:fill="auto"/>
                  <w:tcMar>
                    <w:top w:w="60" w:type="dxa"/>
                    <w:left w:w="120" w:type="dxa"/>
                    <w:bottom w:w="30" w:type="dxa"/>
                    <w:right w:w="120" w:type="dxa"/>
                  </w:tcMar>
                  <w:vAlign w:val="center"/>
                </w:tcPr>
                <w:p w14:paraId="65A381C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水肥中心</w:t>
                  </w:r>
                </w:p>
              </w:tc>
            </w:tr>
            <w:tr w14:paraId="7A200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703"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917C09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腐熟羊粪有机肥</w:t>
                  </w:r>
                </w:p>
              </w:tc>
              <w:tc>
                <w:tcPr>
                  <w:tcW w:w="1288"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A7EE35A">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有机质≥50%</w:t>
                  </w:r>
                </w:p>
              </w:tc>
              <w:tc>
                <w:tcPr>
                  <w:tcW w:w="477"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0C6D25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吨</w:t>
                  </w:r>
                </w:p>
              </w:tc>
              <w:tc>
                <w:tcPr>
                  <w:tcW w:w="711"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71E9DE7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外购</w:t>
                  </w:r>
                </w:p>
              </w:tc>
              <w:tc>
                <w:tcPr>
                  <w:tcW w:w="606"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A5BF5D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260吨</w:t>
                  </w:r>
                </w:p>
              </w:tc>
              <w:tc>
                <w:tcPr>
                  <w:tcW w:w="606"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DF5471A">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100吨</w:t>
                  </w:r>
                </w:p>
              </w:tc>
              <w:tc>
                <w:tcPr>
                  <w:tcW w:w="606"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8C05A0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水肥中心</w:t>
                  </w:r>
                </w:p>
              </w:tc>
            </w:tr>
            <w:tr w14:paraId="7DC0B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703"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A6BD4F3">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果树专用复合肥</w:t>
                  </w:r>
                </w:p>
              </w:tc>
              <w:tc>
                <w:tcPr>
                  <w:tcW w:w="1288"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E65A8F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N:P₂O₅:K₂O=12:8:20</w:t>
                  </w:r>
                </w:p>
              </w:tc>
              <w:tc>
                <w:tcPr>
                  <w:tcW w:w="477"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33F991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吨</w:t>
                  </w:r>
                </w:p>
              </w:tc>
              <w:tc>
                <w:tcPr>
                  <w:tcW w:w="711"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8C198D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外购</w:t>
                  </w:r>
                </w:p>
              </w:tc>
              <w:tc>
                <w:tcPr>
                  <w:tcW w:w="606"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78F6A5C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52吨</w:t>
                  </w:r>
                </w:p>
              </w:tc>
              <w:tc>
                <w:tcPr>
                  <w:tcW w:w="606"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0A38E5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20吨</w:t>
                  </w:r>
                </w:p>
              </w:tc>
              <w:tc>
                <w:tcPr>
                  <w:tcW w:w="606"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7BF3A8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水肥中心</w:t>
                  </w:r>
                </w:p>
              </w:tc>
            </w:tr>
            <w:tr w14:paraId="0D270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703"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C401AA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过磷酸钙</w:t>
                  </w:r>
                </w:p>
              </w:tc>
              <w:tc>
                <w:tcPr>
                  <w:tcW w:w="1288"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A00E39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P₂O₅≥18%</w:t>
                  </w:r>
                </w:p>
              </w:tc>
              <w:tc>
                <w:tcPr>
                  <w:tcW w:w="477"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2F7BAA3">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吨</w:t>
                  </w:r>
                </w:p>
              </w:tc>
              <w:tc>
                <w:tcPr>
                  <w:tcW w:w="711"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BFC682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外购</w:t>
                  </w:r>
                </w:p>
              </w:tc>
              <w:tc>
                <w:tcPr>
                  <w:tcW w:w="606"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B8BB80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15.6吨</w:t>
                  </w:r>
                </w:p>
              </w:tc>
              <w:tc>
                <w:tcPr>
                  <w:tcW w:w="606"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23DABC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10吨</w:t>
                  </w:r>
                </w:p>
              </w:tc>
              <w:tc>
                <w:tcPr>
                  <w:tcW w:w="606"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B41F26D">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水肥中心</w:t>
                  </w:r>
                </w:p>
              </w:tc>
            </w:tr>
            <w:tr w14:paraId="281EE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703"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B62722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果树专用硼砂</w:t>
                  </w:r>
                </w:p>
              </w:tc>
              <w:tc>
                <w:tcPr>
                  <w:tcW w:w="1288"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7BEBEFD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硼含量≥11%</w:t>
                  </w:r>
                </w:p>
              </w:tc>
              <w:tc>
                <w:tcPr>
                  <w:tcW w:w="477"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CC2CE43">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千克</w:t>
                  </w:r>
                </w:p>
              </w:tc>
              <w:tc>
                <w:tcPr>
                  <w:tcW w:w="711"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7E8D9BF0">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外购</w:t>
                  </w:r>
                </w:p>
              </w:tc>
              <w:tc>
                <w:tcPr>
                  <w:tcW w:w="606"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5C69BBD">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156千克</w:t>
                  </w:r>
                </w:p>
              </w:tc>
              <w:tc>
                <w:tcPr>
                  <w:tcW w:w="606"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7E7EA53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100千克</w:t>
                  </w:r>
                </w:p>
              </w:tc>
              <w:tc>
                <w:tcPr>
                  <w:tcW w:w="606"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EC103F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水肥中心</w:t>
                  </w:r>
                </w:p>
              </w:tc>
            </w:tr>
            <w:tr w14:paraId="77C8A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703"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B3D8A7B">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多菌灵可湿性粉剂</w:t>
                  </w:r>
                </w:p>
              </w:tc>
              <w:tc>
                <w:tcPr>
                  <w:tcW w:w="1288"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28B636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有效成分50%</w:t>
                  </w:r>
                </w:p>
              </w:tc>
              <w:tc>
                <w:tcPr>
                  <w:tcW w:w="477"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197340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千克</w:t>
                  </w:r>
                </w:p>
              </w:tc>
              <w:tc>
                <w:tcPr>
                  <w:tcW w:w="711"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DEEF67A">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外购</w:t>
                  </w:r>
                </w:p>
              </w:tc>
              <w:tc>
                <w:tcPr>
                  <w:tcW w:w="606"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5EB26BB">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104千克</w:t>
                  </w:r>
                </w:p>
              </w:tc>
              <w:tc>
                <w:tcPr>
                  <w:tcW w:w="606"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D15579A">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50千克</w:t>
                  </w:r>
                </w:p>
              </w:tc>
              <w:tc>
                <w:tcPr>
                  <w:tcW w:w="606"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9F5EC0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水肥中心</w:t>
                  </w:r>
                </w:p>
              </w:tc>
            </w:tr>
            <w:tr w14:paraId="68955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703"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BD37B6B">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戊唑醇乳油</w:t>
                  </w:r>
                </w:p>
              </w:tc>
              <w:tc>
                <w:tcPr>
                  <w:tcW w:w="1288"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BF3DC2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有效成分43%</w:t>
                  </w:r>
                </w:p>
              </w:tc>
              <w:tc>
                <w:tcPr>
                  <w:tcW w:w="477"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F442CF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升</w:t>
                  </w:r>
                </w:p>
              </w:tc>
              <w:tc>
                <w:tcPr>
                  <w:tcW w:w="711"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761340E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外购</w:t>
                  </w:r>
                </w:p>
              </w:tc>
              <w:tc>
                <w:tcPr>
                  <w:tcW w:w="606"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0242AC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52升</w:t>
                  </w:r>
                </w:p>
              </w:tc>
              <w:tc>
                <w:tcPr>
                  <w:tcW w:w="606"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70B666F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20升</w:t>
                  </w:r>
                </w:p>
              </w:tc>
              <w:tc>
                <w:tcPr>
                  <w:tcW w:w="606"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4968DE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水肥中心</w:t>
                  </w:r>
                </w:p>
              </w:tc>
            </w:tr>
            <w:tr w14:paraId="741E3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703"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786A38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吡虫啉可湿性粉剂</w:t>
                  </w:r>
                </w:p>
              </w:tc>
              <w:tc>
                <w:tcPr>
                  <w:tcW w:w="1288"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E3E1FFB">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有效成分70%</w:t>
                  </w:r>
                </w:p>
              </w:tc>
              <w:tc>
                <w:tcPr>
                  <w:tcW w:w="477"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07A8E9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千克</w:t>
                  </w:r>
                </w:p>
              </w:tc>
              <w:tc>
                <w:tcPr>
                  <w:tcW w:w="711"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B1FAAA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外购</w:t>
                  </w:r>
                </w:p>
              </w:tc>
              <w:tc>
                <w:tcPr>
                  <w:tcW w:w="606"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A95399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52千克</w:t>
                  </w:r>
                </w:p>
              </w:tc>
              <w:tc>
                <w:tcPr>
                  <w:tcW w:w="606"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74660FC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20千克</w:t>
                  </w:r>
                </w:p>
              </w:tc>
              <w:tc>
                <w:tcPr>
                  <w:tcW w:w="606"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66BCC1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水肥中心</w:t>
                  </w:r>
                </w:p>
              </w:tc>
            </w:tr>
            <w:tr w14:paraId="672B0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703"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FFF741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高效氯氰菊酯乳油</w:t>
                  </w:r>
                </w:p>
              </w:tc>
              <w:tc>
                <w:tcPr>
                  <w:tcW w:w="1288"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620203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有效成分4.5%</w:t>
                  </w:r>
                </w:p>
              </w:tc>
              <w:tc>
                <w:tcPr>
                  <w:tcW w:w="477"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355100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升</w:t>
                  </w:r>
                </w:p>
              </w:tc>
              <w:tc>
                <w:tcPr>
                  <w:tcW w:w="711"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E5CF563">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外购</w:t>
                  </w:r>
                </w:p>
              </w:tc>
              <w:tc>
                <w:tcPr>
                  <w:tcW w:w="606"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248954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26升</w:t>
                  </w:r>
                </w:p>
              </w:tc>
              <w:tc>
                <w:tcPr>
                  <w:tcW w:w="606"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AF83EB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10升</w:t>
                  </w:r>
                </w:p>
              </w:tc>
              <w:tc>
                <w:tcPr>
                  <w:tcW w:w="606"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C0A1100">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水肥中心</w:t>
                  </w:r>
                </w:p>
              </w:tc>
            </w:tr>
            <w:tr w14:paraId="4654F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703"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4B5FFD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果树修剪锯</w:t>
                  </w:r>
                </w:p>
              </w:tc>
              <w:tc>
                <w:tcPr>
                  <w:tcW w:w="1288"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583824D">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锰钢材质，锯片25</w:t>
                  </w:r>
                  <w:r>
                    <w:rPr>
                      <w:rFonts w:hint="eastAsia" w:ascii="Times New Roman" w:hAnsi="Times New Roman" w:cs="Times New Roman"/>
                      <w:b w:val="0"/>
                      <w:bCs w:val="0"/>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30cm</w:t>
                  </w:r>
                </w:p>
              </w:tc>
              <w:tc>
                <w:tcPr>
                  <w:tcW w:w="477"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FC2DD3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把</w:t>
                  </w:r>
                </w:p>
              </w:tc>
              <w:tc>
                <w:tcPr>
                  <w:tcW w:w="711"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2E4E7D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外购</w:t>
                  </w:r>
                </w:p>
              </w:tc>
              <w:tc>
                <w:tcPr>
                  <w:tcW w:w="606"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2A997E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26把</w:t>
                  </w:r>
                </w:p>
              </w:tc>
              <w:tc>
                <w:tcPr>
                  <w:tcW w:w="606"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3F1500B">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30把</w:t>
                  </w:r>
                </w:p>
              </w:tc>
              <w:tc>
                <w:tcPr>
                  <w:tcW w:w="606"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ADAF02D">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管护用房</w:t>
                  </w:r>
                </w:p>
              </w:tc>
            </w:tr>
            <w:tr w14:paraId="3BA22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703"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6019B6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修枝剪</w:t>
                  </w:r>
                </w:p>
              </w:tc>
              <w:tc>
                <w:tcPr>
                  <w:tcW w:w="1288"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C66A94B">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不锈钢材质，刀刃8</w:t>
                  </w:r>
                  <w:r>
                    <w:rPr>
                      <w:rFonts w:hint="eastAsia" w:ascii="Times New Roman" w:hAnsi="Times New Roman" w:cs="Times New Roman"/>
                      <w:b w:val="0"/>
                      <w:bCs w:val="0"/>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10cm</w:t>
                  </w:r>
                </w:p>
              </w:tc>
              <w:tc>
                <w:tcPr>
                  <w:tcW w:w="477"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5D1E3A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把</w:t>
                  </w:r>
                </w:p>
              </w:tc>
              <w:tc>
                <w:tcPr>
                  <w:tcW w:w="711"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1A9437A">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外购</w:t>
                  </w:r>
                </w:p>
              </w:tc>
              <w:tc>
                <w:tcPr>
                  <w:tcW w:w="606"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98E5FC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52把</w:t>
                  </w:r>
                </w:p>
              </w:tc>
              <w:tc>
                <w:tcPr>
                  <w:tcW w:w="606"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A1A2BB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55把</w:t>
                  </w:r>
                </w:p>
              </w:tc>
              <w:tc>
                <w:tcPr>
                  <w:tcW w:w="606"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999528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管护用房</w:t>
                  </w:r>
                </w:p>
              </w:tc>
            </w:tr>
            <w:tr w14:paraId="22DF7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703"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7AC54E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灌溉PE管</w:t>
                  </w:r>
                </w:p>
              </w:tc>
              <w:tc>
                <w:tcPr>
                  <w:tcW w:w="1288"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71E0392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管径63mm，耐压0.8MPa</w:t>
                  </w:r>
                </w:p>
              </w:tc>
              <w:tc>
                <w:tcPr>
                  <w:tcW w:w="477"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CB7AFD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米</w:t>
                  </w:r>
                </w:p>
              </w:tc>
              <w:tc>
                <w:tcPr>
                  <w:tcW w:w="711"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3A650B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外购</w:t>
                  </w:r>
                </w:p>
              </w:tc>
              <w:tc>
                <w:tcPr>
                  <w:tcW w:w="606"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80149D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1560米</w:t>
                  </w:r>
                </w:p>
              </w:tc>
              <w:tc>
                <w:tcPr>
                  <w:tcW w:w="606"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4FDEA0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1800米</w:t>
                  </w:r>
                </w:p>
              </w:tc>
              <w:tc>
                <w:tcPr>
                  <w:tcW w:w="606"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0CF851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管护用房</w:t>
                  </w:r>
                </w:p>
              </w:tc>
            </w:tr>
            <w:tr w14:paraId="4A068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703"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E0C011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滴灌带</w:t>
                  </w:r>
                </w:p>
              </w:tc>
              <w:tc>
                <w:tcPr>
                  <w:tcW w:w="1288"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8E4C56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管径16mm，滴距30cm</w:t>
                  </w:r>
                </w:p>
              </w:tc>
              <w:tc>
                <w:tcPr>
                  <w:tcW w:w="477"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7ABFE9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米</w:t>
                  </w:r>
                </w:p>
              </w:tc>
              <w:tc>
                <w:tcPr>
                  <w:tcW w:w="711"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373F25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外购</w:t>
                  </w:r>
                </w:p>
              </w:tc>
              <w:tc>
                <w:tcPr>
                  <w:tcW w:w="606"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9F06B7B">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10400米</w:t>
                  </w:r>
                </w:p>
              </w:tc>
              <w:tc>
                <w:tcPr>
                  <w:tcW w:w="606"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8EF0B7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10000米</w:t>
                  </w:r>
                </w:p>
              </w:tc>
              <w:tc>
                <w:tcPr>
                  <w:tcW w:w="606"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2375353">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管护用房</w:t>
                  </w:r>
                </w:p>
              </w:tc>
            </w:tr>
            <w:tr w14:paraId="787E7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703"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9C5F62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果树防寒布</w:t>
                  </w:r>
                </w:p>
              </w:tc>
              <w:tc>
                <w:tcPr>
                  <w:tcW w:w="1288"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795280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耐低温-20℃</w:t>
                  </w:r>
                </w:p>
              </w:tc>
              <w:tc>
                <w:tcPr>
                  <w:tcW w:w="477"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96C2B2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平方米</w:t>
                  </w:r>
                </w:p>
              </w:tc>
              <w:tc>
                <w:tcPr>
                  <w:tcW w:w="711"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F84DBD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外购</w:t>
                  </w:r>
                </w:p>
              </w:tc>
              <w:tc>
                <w:tcPr>
                  <w:tcW w:w="606"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7762B4E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6240平方米</w:t>
                  </w:r>
                </w:p>
              </w:tc>
              <w:tc>
                <w:tcPr>
                  <w:tcW w:w="606"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833743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4000平方米</w:t>
                  </w:r>
                </w:p>
              </w:tc>
              <w:tc>
                <w:tcPr>
                  <w:tcW w:w="606"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17E915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水肥中心</w:t>
                  </w:r>
                </w:p>
              </w:tc>
            </w:tr>
            <w:tr w14:paraId="57734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703"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D28A06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苹果专用反光膜</w:t>
                  </w:r>
                </w:p>
              </w:tc>
              <w:tc>
                <w:tcPr>
                  <w:tcW w:w="1288"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266AD9D">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反光率≥85%</w:t>
                  </w:r>
                </w:p>
              </w:tc>
              <w:tc>
                <w:tcPr>
                  <w:tcW w:w="477"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6AB702B">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平方米</w:t>
                  </w:r>
                </w:p>
              </w:tc>
              <w:tc>
                <w:tcPr>
                  <w:tcW w:w="711"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13A9B3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外购</w:t>
                  </w:r>
                </w:p>
              </w:tc>
              <w:tc>
                <w:tcPr>
                  <w:tcW w:w="606"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906F43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2600平方米</w:t>
                  </w:r>
                </w:p>
              </w:tc>
              <w:tc>
                <w:tcPr>
                  <w:tcW w:w="606"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8B2A27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1600平方米</w:t>
                  </w:r>
                </w:p>
              </w:tc>
              <w:tc>
                <w:tcPr>
                  <w:tcW w:w="606"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2CB93D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管护用房</w:t>
                  </w:r>
                </w:p>
              </w:tc>
            </w:tr>
            <w:tr w14:paraId="446BD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703"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EE642F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双层果袋</w:t>
                  </w:r>
                </w:p>
              </w:tc>
              <w:tc>
                <w:tcPr>
                  <w:tcW w:w="1288"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0458B0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18cm×22cm，防水透气</w:t>
                  </w:r>
                </w:p>
              </w:tc>
              <w:tc>
                <w:tcPr>
                  <w:tcW w:w="477"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C4B988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个</w:t>
                  </w:r>
                </w:p>
              </w:tc>
              <w:tc>
                <w:tcPr>
                  <w:tcW w:w="711"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96088D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外购</w:t>
                  </w:r>
                </w:p>
              </w:tc>
              <w:tc>
                <w:tcPr>
                  <w:tcW w:w="606"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AE23C9B">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260000个</w:t>
                  </w:r>
                </w:p>
              </w:tc>
              <w:tc>
                <w:tcPr>
                  <w:tcW w:w="606"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382DFB3">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200000个</w:t>
                  </w:r>
                </w:p>
              </w:tc>
              <w:tc>
                <w:tcPr>
                  <w:tcW w:w="606"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5BF482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管护用房</w:t>
                  </w:r>
                </w:p>
              </w:tc>
            </w:tr>
          </w:tbl>
          <w:p w14:paraId="248986AD">
            <w:pPr>
              <w:pStyle w:val="37"/>
              <w:keepNext w:val="0"/>
              <w:keepLines w:val="0"/>
              <w:pageBreakBefore w:val="0"/>
              <w:widowControl w:val="0"/>
              <w:kinsoku/>
              <w:wordWrap/>
              <w:overflowPunct/>
              <w:topLinePunct w:val="0"/>
              <w:autoSpaceDE/>
              <w:autoSpaceDN/>
              <w:bidi w:val="0"/>
              <w:adjustRightInd w:val="0"/>
              <w:snapToGrid w:val="0"/>
              <w:jc w:val="both"/>
              <w:textAlignment w:val="auto"/>
              <w:rPr>
                <w:rFonts w:hint="default"/>
                <w:color w:val="000000" w:themeColor="text1"/>
                <w14:textFill>
                  <w14:solidFill>
                    <w14:schemeClr w14:val="tx1"/>
                  </w14:solidFill>
                </w14:textFill>
              </w:rPr>
            </w:pPr>
          </w:p>
          <w:p w14:paraId="6E9252B5">
            <w:pPr>
              <w:pStyle w:val="37"/>
              <w:keepNext w:val="0"/>
              <w:keepLines w:val="0"/>
              <w:pageBreakBefore w:val="0"/>
              <w:widowControl w:val="0"/>
              <w:numPr>
                <w:ilvl w:val="0"/>
                <w:numId w:val="4"/>
              </w:numPr>
              <w:kinsoku/>
              <w:wordWrap/>
              <w:overflowPunct/>
              <w:topLinePunct w:val="0"/>
              <w:autoSpaceDE/>
              <w:autoSpaceDN/>
              <w:bidi w:val="0"/>
              <w:adjustRightInd w:val="0"/>
              <w:snapToGrid w:val="0"/>
              <w:jc w:val="both"/>
              <w:textAlignment w:val="auto"/>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原辅材料特性：</w:t>
            </w:r>
          </w:p>
          <w:p w14:paraId="1AEF0019">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eastAsia="宋体" w:cs="Times New Roman"/>
                <w:b/>
                <w:color w:val="000000" w:themeColor="text1"/>
                <w:sz w:val="21"/>
                <w:szCs w:val="21"/>
                <w:highlight w:val="none"/>
                <w:lang w:val="en-US" w:eastAsia="zh-CN"/>
                <w14:textFill>
                  <w14:solidFill>
                    <w14:schemeClr w14:val="tx1"/>
                  </w14:solidFill>
                </w14:textFill>
              </w:rPr>
              <w:t>表2-</w:t>
            </w:r>
            <w:r>
              <w:rPr>
                <w:rFonts w:hint="eastAsia" w:ascii="Times New Roman" w:hAnsi="Times New Roman" w:cs="Times New Roman"/>
                <w:b/>
                <w:color w:val="000000" w:themeColor="text1"/>
                <w:sz w:val="21"/>
                <w:szCs w:val="21"/>
                <w:highlight w:val="none"/>
                <w:lang w:val="en-US" w:eastAsia="zh-CN"/>
                <w14:textFill>
                  <w14:solidFill>
                    <w14:schemeClr w14:val="tx1"/>
                  </w14:solidFill>
                </w14:textFill>
              </w:rPr>
              <w:t>9    原辅材料特性</w:t>
            </w:r>
            <w:r>
              <w:rPr>
                <w:rFonts w:hint="default" w:ascii="Times New Roman" w:hAnsi="Times New Roman" w:eastAsia="宋体" w:cs="Times New Roman"/>
                <w:b/>
                <w:color w:val="000000" w:themeColor="text1"/>
                <w:sz w:val="21"/>
                <w:szCs w:val="21"/>
                <w:highlight w:val="none"/>
                <w:lang w:val="en-US" w:eastAsia="zh-CN"/>
                <w14:textFill>
                  <w14:solidFill>
                    <w14:schemeClr w14:val="tx1"/>
                  </w14:solidFill>
                </w14:textFill>
              </w:rPr>
              <w:t>一览表</w:t>
            </w:r>
          </w:p>
          <w:tbl>
            <w:tblPr>
              <w:tblStyle w:val="27"/>
              <w:tblW w:w="79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1275"/>
              <w:gridCol w:w="5986"/>
            </w:tblGrid>
            <w:tr w14:paraId="61C0E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vAlign w:val="center"/>
                </w:tcPr>
                <w:p w14:paraId="23C3BB46">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
                      <w:bCs/>
                      <w:color w:val="000000" w:themeColor="text1"/>
                      <w:sz w:val="21"/>
                      <w:szCs w:val="21"/>
                      <w:vertAlign w:val="baseline"/>
                      <w:lang w:val="en-US" w:eastAsia="zh-CN"/>
                      <w14:textFill>
                        <w14:solidFill>
                          <w14:schemeClr w14:val="tx1"/>
                        </w14:solidFill>
                      </w14:textFill>
                    </w:rPr>
                  </w:pPr>
                  <w:r>
                    <w:rPr>
                      <w:rFonts w:hint="eastAsia" w:ascii="宋体" w:hAnsi="宋体" w:eastAsia="宋体" w:cs="宋体"/>
                      <w:b/>
                      <w:bCs/>
                      <w:color w:val="000000" w:themeColor="text1"/>
                      <w:sz w:val="21"/>
                      <w:szCs w:val="21"/>
                      <w:vertAlign w:val="baseline"/>
                      <w:lang w:val="en-US" w:eastAsia="zh-CN"/>
                      <w14:textFill>
                        <w14:solidFill>
                          <w14:schemeClr w14:val="tx1"/>
                        </w14:solidFill>
                      </w14:textFill>
                    </w:rPr>
                    <w:t>序号</w:t>
                  </w:r>
                </w:p>
              </w:tc>
              <w:tc>
                <w:tcPr>
                  <w:tcW w:w="1275" w:type="dxa"/>
                  <w:vAlign w:val="center"/>
                </w:tcPr>
                <w:p w14:paraId="14CA926B">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
                      <w:bCs/>
                      <w:color w:val="000000" w:themeColor="text1"/>
                      <w:sz w:val="21"/>
                      <w:szCs w:val="21"/>
                      <w:vertAlign w:val="baseline"/>
                      <w:lang w:val="en-US" w:eastAsia="zh-CN"/>
                      <w14:textFill>
                        <w14:solidFill>
                          <w14:schemeClr w14:val="tx1"/>
                        </w14:solidFill>
                      </w14:textFill>
                    </w:rPr>
                  </w:pPr>
                  <w:r>
                    <w:rPr>
                      <w:rFonts w:hint="eastAsia" w:ascii="宋体" w:hAnsi="宋体" w:eastAsia="宋体" w:cs="宋体"/>
                      <w:b/>
                      <w:bCs/>
                      <w:color w:val="000000" w:themeColor="text1"/>
                      <w:sz w:val="21"/>
                      <w:szCs w:val="21"/>
                      <w:vertAlign w:val="baseline"/>
                      <w:lang w:val="en-US" w:eastAsia="zh-CN"/>
                      <w14:textFill>
                        <w14:solidFill>
                          <w14:schemeClr w14:val="tx1"/>
                        </w14:solidFill>
                      </w14:textFill>
                    </w:rPr>
                    <w:t>类别</w:t>
                  </w:r>
                </w:p>
              </w:tc>
              <w:tc>
                <w:tcPr>
                  <w:tcW w:w="5986" w:type="dxa"/>
                  <w:vAlign w:val="center"/>
                </w:tcPr>
                <w:p w14:paraId="4C12567B">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宋体" w:hAnsi="宋体" w:eastAsia="宋体" w:cs="宋体"/>
                      <w:b/>
                      <w:bCs/>
                      <w:color w:val="000000" w:themeColor="text1"/>
                      <w:sz w:val="21"/>
                      <w:szCs w:val="21"/>
                      <w:vertAlign w:val="baseline"/>
                      <w:lang w:val="en-US" w:eastAsia="zh-CN"/>
                      <w14:textFill>
                        <w14:solidFill>
                          <w14:schemeClr w14:val="tx1"/>
                        </w14:solidFill>
                      </w14:textFill>
                    </w:rPr>
                  </w:pPr>
                  <w:r>
                    <w:rPr>
                      <w:rFonts w:hint="eastAsia" w:ascii="宋体" w:hAnsi="宋体" w:eastAsia="宋体" w:cs="宋体"/>
                      <w:b/>
                      <w:bCs/>
                      <w:color w:val="000000" w:themeColor="text1"/>
                      <w:sz w:val="21"/>
                      <w:szCs w:val="21"/>
                      <w:vertAlign w:val="baseline"/>
                      <w:lang w:val="en-US" w:eastAsia="zh-CN"/>
                      <w14:textFill>
                        <w14:solidFill>
                          <w14:schemeClr w14:val="tx1"/>
                        </w14:solidFill>
                      </w14:textFill>
                    </w:rPr>
                    <w:t>特性</w:t>
                  </w:r>
                </w:p>
              </w:tc>
            </w:tr>
            <w:tr w14:paraId="5FA50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vAlign w:val="center"/>
                </w:tcPr>
                <w:p w14:paraId="139A3FFF">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1</w:t>
                  </w:r>
                </w:p>
              </w:tc>
              <w:tc>
                <w:tcPr>
                  <w:tcW w:w="1275" w:type="dxa"/>
                  <w:vMerge w:val="restart"/>
                  <w:vAlign w:val="center"/>
                </w:tcPr>
                <w:p w14:paraId="0DCAF10F">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宋体" w:hAnsi="宋体" w:eastAsia="宋体" w:cs="宋体"/>
                      <w:color w:val="000000" w:themeColor="text1"/>
                      <w:sz w:val="21"/>
                      <w:szCs w:val="21"/>
                      <w:vertAlign w:val="baseline"/>
                      <w14:textFill>
                        <w14:solidFill>
                          <w14:schemeClr w14:val="tx1"/>
                        </w14:solidFill>
                      </w14:textFill>
                    </w:rPr>
                  </w:pPr>
                  <w:r>
                    <w:rPr>
                      <w:rFonts w:hint="eastAsia" w:ascii="宋体" w:hAnsi="宋体" w:eastAsia="宋体" w:cs="宋体"/>
                      <w:color w:val="000000" w:themeColor="text1"/>
                      <w:sz w:val="21"/>
                      <w:szCs w:val="21"/>
                      <w:vertAlign w:val="baseline"/>
                      <w14:textFill>
                        <w14:solidFill>
                          <w14:schemeClr w14:val="tx1"/>
                        </w14:solidFill>
                      </w14:textFill>
                    </w:rPr>
                    <w:t>调酸材料</w:t>
                  </w:r>
                </w:p>
              </w:tc>
              <w:tc>
                <w:tcPr>
                  <w:tcW w:w="5986" w:type="dxa"/>
                  <w:vAlign w:val="center"/>
                </w:tcPr>
                <w:p w14:paraId="2E6584D8">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宋体" w:hAnsi="宋体" w:eastAsia="宋体" w:cs="宋体"/>
                      <w:color w:val="000000" w:themeColor="text1"/>
                      <w:sz w:val="21"/>
                      <w:szCs w:val="21"/>
                      <w:vertAlign w:val="baseline"/>
                      <w:lang w:eastAsia="zh-CN"/>
                      <w14:textFill>
                        <w14:solidFill>
                          <w14:schemeClr w14:val="tx1"/>
                        </w14:solidFill>
                      </w14:textFill>
                    </w:rPr>
                  </w:pPr>
                  <w:r>
                    <w:rPr>
                      <w:rFonts w:hint="eastAsia" w:ascii="宋体" w:hAnsi="宋体" w:eastAsia="宋体" w:cs="宋体"/>
                      <w:color w:val="000000" w:themeColor="text1"/>
                      <w:sz w:val="21"/>
                      <w:szCs w:val="21"/>
                      <w:vertAlign w:val="baseline"/>
                      <w14:textFill>
                        <w14:solidFill>
                          <w14:schemeClr w14:val="tx1"/>
                        </w14:solidFill>
                      </w14:textFill>
                    </w:rPr>
                    <w:t>硫磺粉：最常用、最有效的土壤调酸剂。需通过土壤微生物氧化分解后生效，必须提前</w:t>
                  </w:r>
                  <w:r>
                    <w:rPr>
                      <w:rFonts w:hint="default" w:ascii="Times New Roman" w:hAnsi="Times New Roman" w:eastAsia="宋体" w:cs="Times New Roman"/>
                      <w:color w:val="000000" w:themeColor="text1"/>
                      <w:sz w:val="21"/>
                      <w:szCs w:val="21"/>
                      <w:vertAlign w:val="baseline"/>
                      <w14:textFill>
                        <w14:solidFill>
                          <w14:schemeClr w14:val="tx1"/>
                        </w14:solidFill>
                      </w14:textFill>
                    </w:rPr>
                    <w:t>3-6</w:t>
                  </w:r>
                  <w:r>
                    <w:rPr>
                      <w:rFonts w:hint="eastAsia" w:ascii="宋体" w:hAnsi="宋体" w:eastAsia="宋体" w:cs="宋体"/>
                      <w:color w:val="000000" w:themeColor="text1"/>
                      <w:sz w:val="21"/>
                      <w:szCs w:val="21"/>
                      <w:vertAlign w:val="baseline"/>
                      <w14:textFill>
                        <w14:solidFill>
                          <w14:schemeClr w14:val="tx1"/>
                        </w14:solidFill>
                      </w14:textFill>
                    </w:rPr>
                    <w:t>个月施入。用量需根据土壤原始</w:t>
                  </w:r>
                  <w:r>
                    <w:rPr>
                      <w:rFonts w:hint="eastAsia" w:ascii="Times New Roman" w:hAnsi="Times New Roman" w:cs="Times New Roman"/>
                      <w:color w:val="000000" w:themeColor="text1"/>
                      <w:sz w:val="21"/>
                      <w:szCs w:val="21"/>
                      <w:vertAlign w:val="baseline"/>
                      <w:lang w:val="en-US" w:eastAsia="zh-CN"/>
                      <w14:textFill>
                        <w14:solidFill>
                          <w14:schemeClr w14:val="tx1"/>
                        </w14:solidFill>
                      </w14:textFill>
                    </w:rPr>
                    <w:t xml:space="preserve"> </w:t>
                  </w:r>
                </w:p>
              </w:tc>
            </w:tr>
            <w:tr w14:paraId="36F28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vAlign w:val="center"/>
                </w:tcPr>
                <w:p w14:paraId="29F9A484">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2</w:t>
                  </w:r>
                </w:p>
              </w:tc>
              <w:tc>
                <w:tcPr>
                  <w:tcW w:w="1275" w:type="dxa"/>
                  <w:vMerge w:val="continue"/>
                  <w:vAlign w:val="center"/>
                </w:tcPr>
                <w:p w14:paraId="680CDCA8">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宋体" w:hAnsi="宋体" w:eastAsia="宋体" w:cs="宋体"/>
                      <w:color w:val="000000" w:themeColor="text1"/>
                      <w:sz w:val="21"/>
                      <w:szCs w:val="21"/>
                      <w:vertAlign w:val="baseline"/>
                      <w14:textFill>
                        <w14:solidFill>
                          <w14:schemeClr w14:val="tx1"/>
                        </w14:solidFill>
                      </w14:textFill>
                    </w:rPr>
                  </w:pPr>
                </w:p>
              </w:tc>
              <w:tc>
                <w:tcPr>
                  <w:tcW w:w="5986" w:type="dxa"/>
                  <w:vAlign w:val="center"/>
                </w:tcPr>
                <w:p w14:paraId="30A920B3">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宋体" w:hAnsi="宋体" w:eastAsia="宋体" w:cs="宋体"/>
                      <w:color w:val="000000" w:themeColor="text1"/>
                      <w:sz w:val="21"/>
                      <w:szCs w:val="21"/>
                      <w:vertAlign w:val="baseline"/>
                      <w14:textFill>
                        <w14:solidFill>
                          <w14:schemeClr w14:val="tx1"/>
                        </w14:solidFill>
                      </w14:textFill>
                    </w:rPr>
                  </w:pPr>
                  <w:r>
                    <w:rPr>
                      <w:rFonts w:hint="eastAsia" w:ascii="宋体" w:hAnsi="宋体" w:eastAsia="宋体" w:cs="宋体"/>
                      <w:color w:val="000000" w:themeColor="text1"/>
                      <w:sz w:val="21"/>
                      <w:szCs w:val="21"/>
                      <w:vertAlign w:val="baseline"/>
                      <w:lang w:val="en-US" w:eastAsia="zh-CN"/>
                      <w14:textFill>
                        <w14:solidFill>
                          <w14:schemeClr w14:val="tx1"/>
                        </w14:solidFill>
                      </w14:textFill>
                    </w:rPr>
                    <w:t>酸性草炭土：本身呈酸性，既能调酸又能大幅增加有机质，是极佳的改良剂，但成本较高</w:t>
                  </w:r>
                </w:p>
              </w:tc>
            </w:tr>
            <w:tr w14:paraId="522B1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vAlign w:val="center"/>
                </w:tcPr>
                <w:p w14:paraId="1CBD7E11">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3</w:t>
                  </w:r>
                </w:p>
              </w:tc>
              <w:tc>
                <w:tcPr>
                  <w:tcW w:w="1275" w:type="dxa"/>
                  <w:vMerge w:val="restart"/>
                  <w:vAlign w:val="center"/>
                </w:tcPr>
                <w:p w14:paraId="2C8AE00E">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宋体" w:hAnsi="宋体" w:eastAsia="宋体" w:cs="宋体"/>
                      <w:color w:val="000000" w:themeColor="text1"/>
                      <w:sz w:val="21"/>
                      <w:szCs w:val="21"/>
                      <w:vertAlign w:val="baseline"/>
                      <w14:textFill>
                        <w14:solidFill>
                          <w14:schemeClr w14:val="tx1"/>
                        </w14:solidFill>
                      </w14:textFill>
                    </w:rPr>
                  </w:pPr>
                  <w:r>
                    <w:rPr>
                      <w:rFonts w:hint="eastAsia" w:ascii="宋体" w:hAnsi="宋体" w:eastAsia="宋体" w:cs="宋体"/>
                      <w:color w:val="000000" w:themeColor="text1"/>
                      <w:sz w:val="21"/>
                      <w:szCs w:val="21"/>
                      <w:vertAlign w:val="baseline"/>
                      <w14:textFill>
                        <w14:solidFill>
                          <w14:schemeClr w14:val="tx1"/>
                        </w14:solidFill>
                      </w14:textFill>
                    </w:rPr>
                    <w:t>有机物料</w:t>
                  </w:r>
                </w:p>
              </w:tc>
              <w:tc>
                <w:tcPr>
                  <w:tcW w:w="5986" w:type="dxa"/>
                  <w:vAlign w:val="center"/>
                </w:tcPr>
                <w:p w14:paraId="1E0DC10C">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宋体" w:hAnsi="宋体" w:eastAsia="宋体" w:cs="宋体"/>
                      <w:color w:val="000000" w:themeColor="text1"/>
                      <w:sz w:val="21"/>
                      <w:szCs w:val="21"/>
                      <w:vertAlign w:val="baseline"/>
                      <w14:textFill>
                        <w14:solidFill>
                          <w14:schemeClr w14:val="tx1"/>
                        </w14:solidFill>
                      </w14:textFill>
                    </w:rPr>
                  </w:pPr>
                  <w:r>
                    <w:rPr>
                      <w:rFonts w:hint="eastAsia" w:ascii="宋体" w:hAnsi="宋体" w:eastAsia="宋体" w:cs="宋体"/>
                      <w:color w:val="000000" w:themeColor="text1"/>
                      <w:sz w:val="21"/>
                      <w:szCs w:val="21"/>
                      <w:vertAlign w:val="baseline"/>
                      <w14:textFill>
                        <w14:solidFill>
                          <w14:schemeClr w14:val="tx1"/>
                        </w14:solidFill>
                      </w14:textFill>
                    </w:rPr>
                    <w:t>腐熟松树皮/松针：富含木质素，分解慢，不易产生氮素固定，且能很好地维持土壤酸度和疏松结构</w:t>
                  </w:r>
                </w:p>
              </w:tc>
            </w:tr>
            <w:tr w14:paraId="4AF5C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vAlign w:val="center"/>
                </w:tcPr>
                <w:p w14:paraId="3EF6FA90">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4</w:t>
                  </w:r>
                </w:p>
              </w:tc>
              <w:tc>
                <w:tcPr>
                  <w:tcW w:w="1275" w:type="dxa"/>
                  <w:vMerge w:val="continue"/>
                  <w:vAlign w:val="center"/>
                </w:tcPr>
                <w:p w14:paraId="4DAEAFB6">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宋体" w:hAnsi="宋体" w:eastAsia="宋体" w:cs="宋体"/>
                      <w:color w:val="000000" w:themeColor="text1"/>
                      <w:sz w:val="21"/>
                      <w:szCs w:val="21"/>
                      <w:vertAlign w:val="baseline"/>
                      <w14:textFill>
                        <w14:solidFill>
                          <w14:schemeClr w14:val="tx1"/>
                        </w14:solidFill>
                      </w14:textFill>
                    </w:rPr>
                  </w:pPr>
                </w:p>
              </w:tc>
              <w:tc>
                <w:tcPr>
                  <w:tcW w:w="5986" w:type="dxa"/>
                  <w:vAlign w:val="center"/>
                </w:tcPr>
                <w:p w14:paraId="423DCF82">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宋体" w:hAnsi="宋体" w:eastAsia="宋体" w:cs="宋体"/>
                      <w:color w:val="000000" w:themeColor="text1"/>
                      <w:sz w:val="21"/>
                      <w:szCs w:val="21"/>
                      <w:vertAlign w:val="baseline"/>
                      <w14:textFill>
                        <w14:solidFill>
                          <w14:schemeClr w14:val="tx1"/>
                        </w14:solidFill>
                      </w14:textFill>
                    </w:rPr>
                  </w:pPr>
                  <w:r>
                    <w:rPr>
                      <w:rFonts w:hint="eastAsia" w:ascii="宋体" w:hAnsi="宋体" w:eastAsia="宋体" w:cs="宋体"/>
                      <w:color w:val="000000" w:themeColor="text1"/>
                      <w:sz w:val="21"/>
                      <w:szCs w:val="21"/>
                      <w:vertAlign w:val="baseline"/>
                      <w14:textFill>
                        <w14:solidFill>
                          <w14:schemeClr w14:val="tx1"/>
                        </w14:solidFill>
                      </w14:textFill>
                    </w:rPr>
                    <w:t>腐熟锯末：特别是松木、杉木等软木锯末。必须充分腐熟，否则其在土壤中腐解时会暂时固定氮素，与苗木争肥</w:t>
                  </w:r>
                </w:p>
              </w:tc>
            </w:tr>
            <w:tr w14:paraId="0ACA5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vAlign w:val="center"/>
                </w:tcPr>
                <w:p w14:paraId="16868DCE">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5</w:t>
                  </w:r>
                </w:p>
              </w:tc>
              <w:tc>
                <w:tcPr>
                  <w:tcW w:w="1275" w:type="dxa"/>
                  <w:vMerge w:val="continue"/>
                  <w:vAlign w:val="center"/>
                </w:tcPr>
                <w:p w14:paraId="4AAB9F4D">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宋体" w:hAnsi="宋体" w:eastAsia="宋体" w:cs="宋体"/>
                      <w:color w:val="000000" w:themeColor="text1"/>
                      <w:sz w:val="21"/>
                      <w:szCs w:val="21"/>
                      <w:vertAlign w:val="baseline"/>
                      <w14:textFill>
                        <w14:solidFill>
                          <w14:schemeClr w14:val="tx1"/>
                        </w14:solidFill>
                      </w14:textFill>
                    </w:rPr>
                  </w:pPr>
                </w:p>
              </w:tc>
              <w:tc>
                <w:tcPr>
                  <w:tcW w:w="5986" w:type="dxa"/>
                  <w:vAlign w:val="center"/>
                </w:tcPr>
                <w:p w14:paraId="3B1D3C13">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宋体" w:hAnsi="宋体" w:eastAsia="宋体" w:cs="宋体"/>
                      <w:color w:val="000000" w:themeColor="text1"/>
                      <w:sz w:val="21"/>
                      <w:szCs w:val="21"/>
                      <w:vertAlign w:val="baseline"/>
                      <w14:textFill>
                        <w14:solidFill>
                          <w14:schemeClr w14:val="tx1"/>
                        </w14:solidFill>
                      </w14:textFill>
                    </w:rPr>
                  </w:pPr>
                  <w:r>
                    <w:rPr>
                      <w:rFonts w:hint="eastAsia" w:ascii="宋体" w:hAnsi="宋体" w:eastAsia="宋体" w:cs="宋体"/>
                      <w:color w:val="000000" w:themeColor="text1"/>
                      <w:sz w:val="21"/>
                      <w:szCs w:val="21"/>
                      <w:vertAlign w:val="baseline"/>
                      <w14:textFill>
                        <w14:solidFill>
                          <w14:schemeClr w14:val="tx1"/>
                        </w14:solidFill>
                      </w14:textFill>
                    </w:rPr>
                    <w:t>稻壳、秸秆：良好的有机质来源，但碳氮比高，使用时应额外增施氮肥以促进分解</w:t>
                  </w:r>
                </w:p>
              </w:tc>
            </w:tr>
            <w:tr w14:paraId="75CD4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vAlign w:val="center"/>
                </w:tcPr>
                <w:p w14:paraId="7D9CA15B">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6</w:t>
                  </w:r>
                </w:p>
              </w:tc>
              <w:tc>
                <w:tcPr>
                  <w:tcW w:w="1275" w:type="dxa"/>
                  <w:vMerge w:val="continue"/>
                  <w:vAlign w:val="center"/>
                </w:tcPr>
                <w:p w14:paraId="03B3B1C1">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宋体" w:hAnsi="宋体" w:eastAsia="宋体" w:cs="宋体"/>
                      <w:color w:val="000000" w:themeColor="text1"/>
                      <w:sz w:val="21"/>
                      <w:szCs w:val="21"/>
                      <w:vertAlign w:val="baseline"/>
                      <w14:textFill>
                        <w14:solidFill>
                          <w14:schemeClr w14:val="tx1"/>
                        </w14:solidFill>
                      </w14:textFill>
                    </w:rPr>
                  </w:pPr>
                </w:p>
              </w:tc>
              <w:tc>
                <w:tcPr>
                  <w:tcW w:w="5986" w:type="dxa"/>
                  <w:vAlign w:val="center"/>
                </w:tcPr>
                <w:p w14:paraId="434741BF">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宋体" w:hAnsi="宋体" w:eastAsia="宋体" w:cs="宋体"/>
                      <w:color w:val="000000" w:themeColor="text1"/>
                      <w:sz w:val="21"/>
                      <w:szCs w:val="21"/>
                      <w:vertAlign w:val="baseline"/>
                      <w14:textFill>
                        <w14:solidFill>
                          <w14:schemeClr w14:val="tx1"/>
                        </w14:solidFill>
                      </w14:textFill>
                    </w:rPr>
                  </w:pPr>
                  <w:r>
                    <w:rPr>
                      <w:rFonts w:hint="eastAsia" w:ascii="宋体" w:hAnsi="宋体" w:eastAsia="宋体" w:cs="宋体"/>
                      <w:color w:val="000000" w:themeColor="text1"/>
                      <w:sz w:val="21"/>
                      <w:szCs w:val="21"/>
                      <w:vertAlign w:val="baseline"/>
                      <w14:textFill>
                        <w14:solidFill>
                          <w14:schemeClr w14:val="tx1"/>
                        </w14:solidFill>
                      </w14:textFill>
                    </w:rPr>
                    <w:t>有机肥：如腐熟的羊粪、牛粪等。提供基础养分，但需确保其已完全腐熟且pH值不宜过高</w:t>
                  </w:r>
                </w:p>
              </w:tc>
            </w:tr>
            <w:tr w14:paraId="38A4C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6" w:type="dxa"/>
                  <w:vAlign w:val="center"/>
                </w:tcPr>
                <w:p w14:paraId="1F45362A">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t>7</w:t>
                  </w:r>
                </w:p>
              </w:tc>
              <w:tc>
                <w:tcPr>
                  <w:tcW w:w="1275" w:type="dxa"/>
                  <w:vAlign w:val="center"/>
                </w:tcPr>
                <w:p w14:paraId="4EA79900">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宋体" w:hAnsi="宋体" w:eastAsia="宋体" w:cs="宋体"/>
                      <w:color w:val="000000" w:themeColor="text1"/>
                      <w:sz w:val="21"/>
                      <w:szCs w:val="21"/>
                      <w:vertAlign w:val="baseline"/>
                      <w14:textFill>
                        <w14:solidFill>
                          <w14:schemeClr w14:val="tx1"/>
                        </w14:solidFill>
                      </w14:textFill>
                    </w:rPr>
                  </w:pPr>
                  <w:r>
                    <w:rPr>
                      <w:rFonts w:hint="eastAsia" w:ascii="宋体" w:hAnsi="宋体" w:eastAsia="宋体" w:cs="宋体"/>
                      <w:color w:val="000000" w:themeColor="text1"/>
                      <w:sz w:val="21"/>
                      <w:szCs w:val="21"/>
                      <w:vertAlign w:val="baseline"/>
                      <w14:textFill>
                        <w14:solidFill>
                          <w14:schemeClr w14:val="tx1"/>
                        </w14:solidFill>
                      </w14:textFill>
                    </w:rPr>
                    <w:t>土壤调节剂</w:t>
                  </w:r>
                </w:p>
              </w:tc>
              <w:tc>
                <w:tcPr>
                  <w:tcW w:w="5986" w:type="dxa"/>
                  <w:vAlign w:val="center"/>
                </w:tcPr>
                <w:p w14:paraId="0A1EA522">
                  <w:pPr>
                    <w:pStyle w:val="3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宋体" w:hAnsi="宋体" w:eastAsia="宋体" w:cs="宋体"/>
                      <w:color w:val="000000" w:themeColor="text1"/>
                      <w:sz w:val="21"/>
                      <w:szCs w:val="21"/>
                      <w:vertAlign w:val="baseline"/>
                      <w14:textFill>
                        <w14:solidFill>
                          <w14:schemeClr w14:val="tx1"/>
                        </w14:solidFill>
                      </w14:textFill>
                    </w:rPr>
                  </w:pPr>
                  <w:r>
                    <w:rPr>
                      <w:rFonts w:hint="eastAsia" w:ascii="宋体" w:hAnsi="宋体" w:eastAsia="宋体" w:cs="宋体"/>
                      <w:color w:val="000000" w:themeColor="text1"/>
                      <w:sz w:val="21"/>
                      <w:szCs w:val="21"/>
                      <w:vertAlign w:val="baseline"/>
                      <w14:textFill>
                        <w14:solidFill>
                          <w14:schemeClr w14:val="tx1"/>
                        </w14:solidFill>
                      </w14:textFill>
                    </w:rPr>
                    <w:t>蛭石、珍珠岩，配制盆栽基质或用于改良极</w:t>
                  </w:r>
                  <w:r>
                    <w:rPr>
                      <w:rFonts w:hint="eastAsia" w:cs="宋体"/>
                      <w:color w:val="000000" w:themeColor="text1"/>
                      <w:sz w:val="21"/>
                      <w:szCs w:val="21"/>
                      <w:vertAlign w:val="baseline"/>
                      <w:lang w:eastAsia="zh-CN"/>
                      <w14:textFill>
                        <w14:solidFill>
                          <w14:schemeClr w14:val="tx1"/>
                        </w14:solidFill>
                      </w14:textFill>
                    </w:rPr>
                    <w:t>黏重</w:t>
                  </w:r>
                  <w:r>
                    <w:rPr>
                      <w:rFonts w:hint="eastAsia" w:ascii="宋体" w:hAnsi="宋体" w:eastAsia="宋体" w:cs="宋体"/>
                      <w:color w:val="000000" w:themeColor="text1"/>
                      <w:sz w:val="21"/>
                      <w:szCs w:val="21"/>
                      <w:vertAlign w:val="baseline"/>
                      <w14:textFill>
                        <w14:solidFill>
                          <w14:schemeClr w14:val="tx1"/>
                        </w14:solidFill>
                      </w14:textFill>
                    </w:rPr>
                    <w:t>的土壤，</w:t>
                  </w:r>
                  <w:r>
                    <w:rPr>
                      <w:rFonts w:hint="eastAsia" w:ascii="宋体" w:hAnsi="宋体" w:eastAsia="宋体" w:cs="宋体"/>
                      <w:color w:val="000000" w:themeColor="text1"/>
                      <w:sz w:val="21"/>
                      <w:szCs w:val="21"/>
                      <w:vertAlign w:val="baseline"/>
                      <w:lang w:val="en-US" w:eastAsia="zh-CN"/>
                      <w14:textFill>
                        <w14:solidFill>
                          <w14:schemeClr w14:val="tx1"/>
                        </w14:solidFill>
                      </w14:textFill>
                    </w:rPr>
                    <w:t>可</w:t>
                  </w:r>
                  <w:r>
                    <w:rPr>
                      <w:rFonts w:hint="eastAsia" w:ascii="宋体" w:hAnsi="宋体" w:eastAsia="宋体" w:cs="宋体"/>
                      <w:color w:val="000000" w:themeColor="text1"/>
                      <w:sz w:val="21"/>
                      <w:szCs w:val="21"/>
                      <w:vertAlign w:val="baseline"/>
                      <w14:textFill>
                        <w14:solidFill>
                          <w14:schemeClr w14:val="tx1"/>
                        </w14:solidFill>
                      </w14:textFill>
                    </w:rPr>
                    <w:t>加入这些材料以显著提高透气性和排水性</w:t>
                  </w:r>
                </w:p>
              </w:tc>
            </w:tr>
          </w:tbl>
          <w:p w14:paraId="3C6E2650">
            <w:pPr>
              <w:pStyle w:val="37"/>
              <w:jc w:val="both"/>
              <w:rPr>
                <w:rFonts w:hint="default"/>
                <w:color w:val="000000" w:themeColor="text1"/>
                <w14:textFill>
                  <w14:solidFill>
                    <w14:schemeClr w14:val="tx1"/>
                  </w14:solidFill>
                </w14:textFill>
              </w:rPr>
            </w:pPr>
          </w:p>
          <w:p w14:paraId="6997DBF1">
            <w:pPr>
              <w:ind w:left="0" w:leftChars="0" w:firstLine="482" w:firstLineChars="200"/>
              <w:jc w:val="both"/>
              <w:rPr>
                <w:rFonts w:hint="default" w:ascii="Times New Roman" w:hAnsi="Times New Roman" w:eastAsia="宋体" w:cs="Times New Roman"/>
                <w:b/>
                <w:bCs/>
                <w:color w:val="000000" w:themeColor="text1"/>
                <w:sz w:val="24"/>
                <w:lang w:val="en-US" w:eastAsia="zh-CN"/>
                <w14:textFill>
                  <w14:solidFill>
                    <w14:schemeClr w14:val="tx1"/>
                  </w14:solidFill>
                </w14:textFill>
              </w:rPr>
            </w:pPr>
            <w:r>
              <w:rPr>
                <w:rFonts w:hint="eastAsia" w:ascii="Times New Roman" w:hAnsi="Times New Roman" w:cs="Times New Roman"/>
                <w:b/>
                <w:bCs/>
                <w:color w:val="000000" w:themeColor="text1"/>
                <w:sz w:val="24"/>
                <w:lang w:val="en-US" w:eastAsia="zh-CN"/>
                <w14:textFill>
                  <w14:solidFill>
                    <w14:schemeClr w14:val="tx1"/>
                  </w14:solidFill>
                </w14:textFill>
              </w:rPr>
              <w:t>五、</w:t>
            </w:r>
            <w:r>
              <w:rPr>
                <w:rFonts w:hint="default" w:ascii="Times New Roman" w:hAnsi="Times New Roman" w:eastAsia="宋体" w:cs="Times New Roman"/>
                <w:b/>
                <w:bCs/>
                <w:color w:val="000000" w:themeColor="text1"/>
                <w:sz w:val="24"/>
                <w:lang w:val="en-US" w:eastAsia="zh-CN"/>
                <w14:textFill>
                  <w14:solidFill>
                    <w14:schemeClr w14:val="tx1"/>
                  </w14:solidFill>
                </w14:textFill>
              </w:rPr>
              <w:t>主要机电设备</w:t>
            </w:r>
          </w:p>
          <w:p w14:paraId="1B05DFD4">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b/>
                <w:color w:val="000000" w:themeColor="text1"/>
                <w:sz w:val="21"/>
                <w:szCs w:val="21"/>
                <w:highlight w:val="none"/>
                <w:lang w:val="en-US" w:eastAsia="zh-CN"/>
                <w14:textFill>
                  <w14:solidFill>
                    <w14:schemeClr w14:val="tx1"/>
                  </w14:solidFill>
                </w14:textFill>
              </w:rPr>
            </w:pPr>
          </w:p>
          <w:p w14:paraId="0230D5A0">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b/>
                <w:color w:val="000000" w:themeColor="text1"/>
                <w:sz w:val="21"/>
                <w:szCs w:val="21"/>
                <w:highlight w:val="none"/>
                <w:lang w:val="en-US" w:eastAsia="zh-CN"/>
                <w14:textFill>
                  <w14:solidFill>
                    <w14:schemeClr w14:val="tx1"/>
                  </w14:solidFill>
                </w14:textFill>
              </w:rPr>
            </w:pPr>
          </w:p>
          <w:p w14:paraId="0030ECDA">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b/>
                <w:color w:val="000000" w:themeColor="text1"/>
                <w:sz w:val="21"/>
                <w:szCs w:val="21"/>
                <w:highlight w:val="none"/>
                <w:lang w:val="en-US" w:eastAsia="zh-CN"/>
                <w14:textFill>
                  <w14:solidFill>
                    <w14:schemeClr w14:val="tx1"/>
                  </w14:solidFill>
                </w14:textFill>
              </w:rPr>
            </w:pPr>
          </w:p>
          <w:p w14:paraId="4F0A24A0">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b/>
                <w:bCs/>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color w:val="000000" w:themeColor="text1"/>
                <w:sz w:val="21"/>
                <w:szCs w:val="21"/>
                <w:highlight w:val="none"/>
                <w:lang w:val="en-US" w:eastAsia="zh-CN"/>
                <w14:textFill>
                  <w14:solidFill>
                    <w14:schemeClr w14:val="tx1"/>
                  </w14:solidFill>
                </w14:textFill>
              </w:rPr>
              <w:t>表2-</w:t>
            </w:r>
            <w:r>
              <w:rPr>
                <w:rFonts w:hint="eastAsia" w:ascii="Times New Roman" w:hAnsi="Times New Roman" w:cs="Times New Roman"/>
                <w:b/>
                <w:color w:val="000000" w:themeColor="text1"/>
                <w:sz w:val="21"/>
                <w:szCs w:val="21"/>
                <w:highlight w:val="none"/>
                <w:lang w:val="en-US" w:eastAsia="zh-CN"/>
                <w14:textFill>
                  <w14:solidFill>
                    <w14:schemeClr w14:val="tx1"/>
                  </w14:solidFill>
                </w14:textFill>
              </w:rPr>
              <w:t xml:space="preserve">10    </w:t>
            </w:r>
            <w:r>
              <w:rPr>
                <w:rFonts w:hint="default" w:ascii="Times New Roman" w:hAnsi="Times New Roman" w:eastAsia="宋体" w:cs="Times New Roman"/>
                <w:b/>
                <w:color w:val="000000" w:themeColor="text1"/>
                <w:sz w:val="21"/>
                <w:szCs w:val="21"/>
                <w:highlight w:val="none"/>
                <w:lang w:val="en-US" w:eastAsia="zh-CN"/>
                <w14:textFill>
                  <w14:solidFill>
                    <w14:schemeClr w14:val="tx1"/>
                  </w14:solidFill>
                </w14:textFill>
              </w:rPr>
              <w:t>主要设备一览表</w:t>
            </w:r>
          </w:p>
          <w:tbl>
            <w:tblPr>
              <w:tblStyle w:val="27"/>
              <w:tblW w:w="499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20"/>
              <w:gridCol w:w="1104"/>
              <w:gridCol w:w="1282"/>
              <w:gridCol w:w="2907"/>
            </w:tblGrid>
            <w:tr w14:paraId="2BAD4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55" w:type="pct"/>
                  <w:noWrap w:val="0"/>
                  <w:vAlign w:val="center"/>
                </w:tcPr>
                <w:p w14:paraId="50E1C96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名称</w:t>
                  </w:r>
                </w:p>
              </w:tc>
              <w:tc>
                <w:tcPr>
                  <w:tcW w:w="697" w:type="pct"/>
                  <w:noWrap w:val="0"/>
                  <w:vAlign w:val="center"/>
                </w:tcPr>
                <w:p w14:paraId="11678ED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数量</w:t>
                  </w:r>
                </w:p>
              </w:tc>
              <w:tc>
                <w:tcPr>
                  <w:tcW w:w="810" w:type="pct"/>
                  <w:noWrap w:val="0"/>
                  <w:vAlign w:val="center"/>
                </w:tcPr>
                <w:p w14:paraId="4768C12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单位</w:t>
                  </w:r>
                </w:p>
              </w:tc>
              <w:tc>
                <w:tcPr>
                  <w:tcW w:w="1836" w:type="pct"/>
                  <w:noWrap w:val="0"/>
                  <w:vAlign w:val="center"/>
                </w:tcPr>
                <w:p w14:paraId="2EDCF60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备注</w:t>
                  </w:r>
                </w:p>
              </w:tc>
            </w:tr>
            <w:tr w14:paraId="793ED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55" w:type="pct"/>
                  <w:noWrap w:val="0"/>
                  <w:vAlign w:val="center"/>
                </w:tcPr>
                <w:p w14:paraId="51757B2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自动灌溉系统</w:t>
                  </w:r>
                </w:p>
              </w:tc>
              <w:tc>
                <w:tcPr>
                  <w:tcW w:w="697" w:type="pct"/>
                  <w:noWrap w:val="0"/>
                  <w:vAlign w:val="center"/>
                </w:tcPr>
                <w:p w14:paraId="52A531B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21</w:t>
                  </w:r>
                </w:p>
              </w:tc>
              <w:tc>
                <w:tcPr>
                  <w:tcW w:w="810" w:type="pct"/>
                  <w:noWrap w:val="0"/>
                  <w:vAlign w:val="center"/>
                </w:tcPr>
                <w:p w14:paraId="5704544B">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套</w:t>
                  </w:r>
                </w:p>
              </w:tc>
              <w:tc>
                <w:tcPr>
                  <w:tcW w:w="1836" w:type="pct"/>
                  <w:noWrap w:val="0"/>
                  <w:vAlign w:val="center"/>
                </w:tcPr>
                <w:p w14:paraId="5FAE8E6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一片区7套、二片区14套</w:t>
                  </w:r>
                </w:p>
              </w:tc>
            </w:tr>
            <w:tr w14:paraId="0A6A7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55" w:type="pct"/>
                  <w:noWrap w:val="0"/>
                  <w:vAlign w:val="center"/>
                </w:tcPr>
                <w:p w14:paraId="754F803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自动水肥一体机</w:t>
                  </w:r>
                </w:p>
              </w:tc>
              <w:tc>
                <w:tcPr>
                  <w:tcW w:w="697" w:type="pct"/>
                  <w:noWrap w:val="0"/>
                  <w:vAlign w:val="center"/>
                </w:tcPr>
                <w:p w14:paraId="6F9F4D0A">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3</w:t>
                  </w:r>
                </w:p>
              </w:tc>
              <w:tc>
                <w:tcPr>
                  <w:tcW w:w="810" w:type="pct"/>
                  <w:noWrap w:val="0"/>
                  <w:vAlign w:val="center"/>
                </w:tcPr>
                <w:p w14:paraId="77680A2D">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套</w:t>
                  </w:r>
                </w:p>
              </w:tc>
              <w:tc>
                <w:tcPr>
                  <w:tcW w:w="1836" w:type="pct"/>
                  <w:noWrap w:val="0"/>
                  <w:vAlign w:val="center"/>
                </w:tcPr>
                <w:p w14:paraId="7DD4A4E3">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一片区1套、二片区2套</w:t>
                  </w:r>
                </w:p>
              </w:tc>
            </w:tr>
            <w:tr w14:paraId="2F262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55" w:type="pct"/>
                  <w:noWrap w:val="0"/>
                  <w:vAlign w:val="center"/>
                </w:tcPr>
                <w:p w14:paraId="1CD5E5E3">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自动监控系统</w:t>
                  </w:r>
                </w:p>
              </w:tc>
              <w:tc>
                <w:tcPr>
                  <w:tcW w:w="697" w:type="pct"/>
                  <w:noWrap w:val="0"/>
                  <w:vAlign w:val="center"/>
                </w:tcPr>
                <w:p w14:paraId="7123B36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3</w:t>
                  </w:r>
                </w:p>
              </w:tc>
              <w:tc>
                <w:tcPr>
                  <w:tcW w:w="810" w:type="pct"/>
                  <w:noWrap w:val="0"/>
                  <w:vAlign w:val="center"/>
                </w:tcPr>
                <w:p w14:paraId="4963AA40">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套</w:t>
                  </w:r>
                </w:p>
              </w:tc>
              <w:tc>
                <w:tcPr>
                  <w:tcW w:w="1836" w:type="pct"/>
                  <w:noWrap w:val="0"/>
                  <w:vAlign w:val="center"/>
                </w:tcPr>
                <w:p w14:paraId="0A05AA8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一片区1套、二片区2套</w:t>
                  </w:r>
                </w:p>
              </w:tc>
            </w:tr>
            <w:tr w14:paraId="7127E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55" w:type="pct"/>
                  <w:noWrap w:val="0"/>
                  <w:vAlign w:val="center"/>
                </w:tcPr>
                <w:p w14:paraId="276A326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80KVA变压器</w:t>
                  </w:r>
                </w:p>
              </w:tc>
              <w:tc>
                <w:tcPr>
                  <w:tcW w:w="697" w:type="pct"/>
                  <w:noWrap w:val="0"/>
                  <w:vAlign w:val="center"/>
                </w:tcPr>
                <w:p w14:paraId="406AB15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1</w:t>
                  </w:r>
                </w:p>
              </w:tc>
              <w:tc>
                <w:tcPr>
                  <w:tcW w:w="810" w:type="pct"/>
                  <w:noWrap w:val="0"/>
                  <w:vAlign w:val="center"/>
                </w:tcPr>
                <w:p w14:paraId="30E65710">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套</w:t>
                  </w:r>
                </w:p>
              </w:tc>
              <w:tc>
                <w:tcPr>
                  <w:tcW w:w="1836" w:type="pct"/>
                  <w:noWrap w:val="0"/>
                  <w:vAlign w:val="center"/>
                </w:tcPr>
                <w:p w14:paraId="4F95F74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一片区</w:t>
                  </w:r>
                </w:p>
              </w:tc>
            </w:tr>
            <w:tr w14:paraId="4796F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55" w:type="pct"/>
                  <w:noWrap w:val="0"/>
                  <w:vAlign w:val="center"/>
                </w:tcPr>
                <w:p w14:paraId="62A0DE7D">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200KVA变压器</w:t>
                  </w:r>
                </w:p>
              </w:tc>
              <w:tc>
                <w:tcPr>
                  <w:tcW w:w="697" w:type="pct"/>
                  <w:noWrap w:val="0"/>
                  <w:vAlign w:val="center"/>
                </w:tcPr>
                <w:p w14:paraId="43A4690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1</w:t>
                  </w:r>
                </w:p>
              </w:tc>
              <w:tc>
                <w:tcPr>
                  <w:tcW w:w="810" w:type="pct"/>
                  <w:noWrap w:val="0"/>
                  <w:vAlign w:val="center"/>
                </w:tcPr>
                <w:p w14:paraId="074F2FBD">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套</w:t>
                  </w:r>
                </w:p>
              </w:tc>
              <w:tc>
                <w:tcPr>
                  <w:tcW w:w="1836" w:type="pct"/>
                  <w:noWrap w:val="0"/>
                  <w:vAlign w:val="center"/>
                </w:tcPr>
                <w:p w14:paraId="299EF5B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二片区</w:t>
                  </w:r>
                </w:p>
              </w:tc>
            </w:tr>
            <w:tr w14:paraId="7C4B3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55" w:type="pct"/>
                  <w:noWrap w:val="0"/>
                  <w:vAlign w:val="center"/>
                </w:tcPr>
                <w:p w14:paraId="241F9D6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250KVA变压器</w:t>
                  </w:r>
                </w:p>
              </w:tc>
              <w:tc>
                <w:tcPr>
                  <w:tcW w:w="697" w:type="pct"/>
                  <w:noWrap w:val="0"/>
                  <w:vAlign w:val="center"/>
                </w:tcPr>
                <w:p w14:paraId="270EC470">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lang w:val="en-US" w:eastAsia="zh-CN"/>
                      <w14:textFill>
                        <w14:solidFill>
                          <w14:schemeClr w14:val="tx1"/>
                        </w14:solidFill>
                      </w14:textFill>
                    </w:rPr>
                    <w:t>1</w:t>
                  </w:r>
                </w:p>
              </w:tc>
              <w:tc>
                <w:tcPr>
                  <w:tcW w:w="810" w:type="pct"/>
                  <w:noWrap w:val="0"/>
                  <w:vAlign w:val="center"/>
                </w:tcPr>
                <w:p w14:paraId="6739E95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套</w:t>
                  </w:r>
                </w:p>
              </w:tc>
              <w:tc>
                <w:tcPr>
                  <w:tcW w:w="1836" w:type="pct"/>
                  <w:noWrap w:val="0"/>
                  <w:vAlign w:val="center"/>
                </w:tcPr>
                <w:p w14:paraId="4DF492A0">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二片区</w:t>
                  </w:r>
                </w:p>
              </w:tc>
            </w:tr>
            <w:tr w14:paraId="027EB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55" w:type="pct"/>
                  <w:noWrap w:val="0"/>
                  <w:vAlign w:val="center"/>
                </w:tcPr>
                <w:p w14:paraId="2E78B97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315KVA变压器</w:t>
                  </w:r>
                </w:p>
              </w:tc>
              <w:tc>
                <w:tcPr>
                  <w:tcW w:w="697" w:type="pct"/>
                  <w:noWrap w:val="0"/>
                  <w:vAlign w:val="center"/>
                </w:tcPr>
                <w:p w14:paraId="3F5E096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1</w:t>
                  </w:r>
                </w:p>
              </w:tc>
              <w:tc>
                <w:tcPr>
                  <w:tcW w:w="810" w:type="pct"/>
                  <w:noWrap w:val="0"/>
                  <w:vAlign w:val="center"/>
                </w:tcPr>
                <w:p w14:paraId="20F11A6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套</w:t>
                  </w:r>
                </w:p>
              </w:tc>
              <w:tc>
                <w:tcPr>
                  <w:tcW w:w="1836" w:type="pct"/>
                  <w:noWrap w:val="0"/>
                  <w:vAlign w:val="center"/>
                </w:tcPr>
                <w:p w14:paraId="0A68273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一片区</w:t>
                  </w:r>
                </w:p>
              </w:tc>
            </w:tr>
            <w:tr w14:paraId="40139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55" w:type="pct"/>
                  <w:noWrap w:val="0"/>
                  <w:vAlign w:val="center"/>
                </w:tcPr>
                <w:p w14:paraId="7CE4725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小雨智控系统</w:t>
                  </w:r>
                </w:p>
              </w:tc>
              <w:tc>
                <w:tcPr>
                  <w:tcW w:w="697" w:type="pct"/>
                  <w:noWrap w:val="0"/>
                  <w:vAlign w:val="center"/>
                </w:tcPr>
                <w:p w14:paraId="585C0E4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2</w:t>
                  </w:r>
                </w:p>
              </w:tc>
              <w:tc>
                <w:tcPr>
                  <w:tcW w:w="810" w:type="pct"/>
                  <w:noWrap w:val="0"/>
                  <w:vAlign w:val="center"/>
                </w:tcPr>
                <w:p w14:paraId="5DCEEFE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套</w:t>
                  </w:r>
                </w:p>
              </w:tc>
              <w:tc>
                <w:tcPr>
                  <w:tcW w:w="1836" w:type="pct"/>
                  <w:noWrap w:val="0"/>
                  <w:vAlign w:val="center"/>
                </w:tcPr>
                <w:p w14:paraId="3808A6A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一片区1套、二片区1套</w:t>
                  </w:r>
                </w:p>
              </w:tc>
            </w:tr>
            <w:tr w14:paraId="51711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655" w:type="pct"/>
                  <w:noWrap w:val="0"/>
                  <w:vAlign w:val="center"/>
                </w:tcPr>
                <w:p w14:paraId="47756A4D">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水肥一体化喷灌管网系统</w:t>
                  </w:r>
                </w:p>
              </w:tc>
              <w:tc>
                <w:tcPr>
                  <w:tcW w:w="697" w:type="pct"/>
                  <w:noWrap w:val="0"/>
                  <w:vAlign w:val="center"/>
                </w:tcPr>
                <w:p w14:paraId="57FD2B0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3</w:t>
                  </w:r>
                </w:p>
              </w:tc>
              <w:tc>
                <w:tcPr>
                  <w:tcW w:w="810" w:type="pct"/>
                  <w:noWrap w:val="0"/>
                  <w:vAlign w:val="center"/>
                </w:tcPr>
                <w:p w14:paraId="6C48CC2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套</w:t>
                  </w:r>
                </w:p>
              </w:tc>
              <w:tc>
                <w:tcPr>
                  <w:tcW w:w="1836" w:type="pct"/>
                  <w:noWrap w:val="0"/>
                  <w:vAlign w:val="center"/>
                </w:tcPr>
                <w:p w14:paraId="487C04D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一片区1套、二片区2套</w:t>
                  </w:r>
                </w:p>
              </w:tc>
            </w:tr>
          </w:tbl>
          <w:p w14:paraId="024B8539">
            <w:pPr>
              <w:keepNext w:val="0"/>
              <w:keepLines w:val="0"/>
              <w:pageBreakBefore w:val="0"/>
              <w:widowControl w:val="0"/>
              <w:kinsoku/>
              <w:wordWrap/>
              <w:overflowPunct/>
              <w:topLinePunct w:val="0"/>
              <w:autoSpaceDE/>
              <w:autoSpaceDN/>
              <w:bidi w:val="0"/>
              <w:adjustRightInd w:val="0"/>
              <w:snapToGrid w:val="0"/>
              <w:ind w:left="0" w:leftChars="0" w:firstLine="482" w:firstLineChars="200"/>
              <w:jc w:val="both"/>
              <w:textAlignment w:val="auto"/>
              <w:rPr>
                <w:rFonts w:hint="default" w:ascii="Times New Roman" w:hAnsi="Times New Roman" w:eastAsia="宋体" w:cs="Times New Roman"/>
                <w:b/>
                <w:bCs/>
                <w:color w:val="000000" w:themeColor="text1"/>
                <w:sz w:val="24"/>
                <w:lang w:val="en-US" w:eastAsia="zh-CN"/>
                <w14:textFill>
                  <w14:solidFill>
                    <w14:schemeClr w14:val="tx1"/>
                  </w14:solidFill>
                </w14:textFill>
              </w:rPr>
            </w:pPr>
          </w:p>
          <w:p w14:paraId="4BEEDEE4">
            <w:pPr>
              <w:keepNext w:val="0"/>
              <w:keepLines w:val="0"/>
              <w:pageBreakBefore w:val="0"/>
              <w:widowControl w:val="0"/>
              <w:kinsoku/>
              <w:wordWrap/>
              <w:overflowPunct/>
              <w:topLinePunct w:val="0"/>
              <w:autoSpaceDE/>
              <w:autoSpaceDN/>
              <w:bidi w:val="0"/>
              <w:adjustRightInd w:val="0"/>
              <w:snapToGrid w:val="0"/>
              <w:ind w:left="0" w:leftChars="0" w:firstLine="482" w:firstLineChars="200"/>
              <w:jc w:val="both"/>
              <w:textAlignment w:val="auto"/>
              <w:rPr>
                <w:rFonts w:hint="default" w:ascii="Times New Roman" w:hAnsi="Times New Roman" w:eastAsia="宋体" w:cs="Times New Roman"/>
                <w:b/>
                <w:bCs/>
                <w:color w:val="000000" w:themeColor="text1"/>
                <w:sz w:val="24"/>
                <w:lang w:val="en-US" w:eastAsia="zh-CN"/>
                <w14:textFill>
                  <w14:solidFill>
                    <w14:schemeClr w14:val="tx1"/>
                  </w14:solidFill>
                </w14:textFill>
              </w:rPr>
            </w:pPr>
            <w:r>
              <w:rPr>
                <w:rFonts w:hint="default" w:ascii="Times New Roman" w:hAnsi="Times New Roman" w:eastAsia="宋体" w:cs="Times New Roman"/>
                <w:b/>
                <w:bCs/>
                <w:color w:val="000000" w:themeColor="text1"/>
                <w:sz w:val="24"/>
                <w:lang w:val="en-US" w:eastAsia="zh-CN"/>
                <w14:textFill>
                  <w14:solidFill>
                    <w14:schemeClr w14:val="tx1"/>
                  </w14:solidFill>
                </w14:textFill>
              </w:rPr>
              <w:t>六、劳动定员</w:t>
            </w:r>
          </w:p>
          <w:p w14:paraId="51237A10">
            <w:pPr>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施工期</w:t>
            </w:r>
            <w:r>
              <w:rPr>
                <w:rFonts w:hint="eastAsia" w:ascii="Times New Roman" w:hAnsi="Times New Roman" w:cs="Times New Roman"/>
                <w:color w:val="000000" w:themeColor="text1"/>
                <w:sz w:val="24"/>
                <w:lang w:val="en-US" w:eastAsia="zh-CN"/>
                <w14:textFill>
                  <w14:solidFill>
                    <w14:schemeClr w14:val="tx1"/>
                  </w14:solidFill>
                </w14:textFill>
              </w:rPr>
              <w:t>及采摘期</w:t>
            </w:r>
            <w:r>
              <w:rPr>
                <w:rFonts w:hint="default" w:ascii="Times New Roman" w:hAnsi="Times New Roman" w:eastAsia="宋体" w:cs="Times New Roman"/>
                <w:color w:val="000000" w:themeColor="text1"/>
                <w:sz w:val="24"/>
                <w:lang w:val="en-US" w:eastAsia="zh-CN"/>
                <w14:textFill>
                  <w14:solidFill>
                    <w14:schemeClr w14:val="tx1"/>
                  </w14:solidFill>
                </w14:textFill>
              </w:rPr>
              <w:t>：结合几种作物特性，1283.88亩种植规模的施工期和采摘集中用工约需200人左右。</w:t>
            </w:r>
          </w:p>
          <w:p w14:paraId="13624612">
            <w:pPr>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eastAsia" w:ascii="Times New Roman" w:hAnsi="Times New Roman" w:cs="Times New Roman"/>
                <w:color w:val="000000" w:themeColor="text1"/>
                <w:sz w:val="24"/>
                <w:lang w:val="en-US" w:eastAsia="zh-CN"/>
                <w14:textFill>
                  <w14:solidFill>
                    <w14:schemeClr w14:val="tx1"/>
                  </w14:solidFill>
                </w14:textFill>
              </w:rPr>
              <w:t>种植期：其余时段</w:t>
            </w:r>
            <w:r>
              <w:rPr>
                <w:rFonts w:hint="default" w:ascii="Times New Roman" w:hAnsi="Times New Roman" w:eastAsia="宋体" w:cs="Times New Roman"/>
                <w:color w:val="000000" w:themeColor="text1"/>
                <w:sz w:val="24"/>
                <w:lang w:val="en-US" w:eastAsia="zh-CN"/>
                <w14:textFill>
                  <w14:solidFill>
                    <w14:schemeClr w14:val="tx1"/>
                  </w14:solidFill>
                </w14:textFill>
              </w:rPr>
              <w:t>常规固定用工共50人，其中桃树、苹果树2人、蓝莓3人、三七25人、羊肚菌20人。</w:t>
            </w:r>
          </w:p>
          <w:p w14:paraId="04DC9BBB">
            <w:pPr>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结合业务周期性波动特征，以旺季最大人力需求、淡季最低人力需求为基础，采用算术平均法核算劳动定员，最终定员标准为旺季与淡季配置人数的均</w:t>
            </w:r>
            <w:r>
              <w:rPr>
                <w:rFonts w:hint="default" w:ascii="Times New Roman" w:hAnsi="Times New Roman" w:eastAsia="宋体" w:cs="Times New Roman"/>
                <w:color w:val="000000" w:themeColor="text1"/>
                <w:sz w:val="24"/>
                <w:lang w:val="en-US" w:eastAsia="zh-CN"/>
                <w14:textFill>
                  <w14:solidFill>
                    <w14:schemeClr w14:val="tx1"/>
                  </w14:solidFill>
                </w14:textFill>
              </w:rPr>
              <w:t>值为100人</w:t>
            </w:r>
            <w:r>
              <w:rPr>
                <w:rFonts w:hint="eastAsia" w:ascii="Times New Roman" w:hAnsi="Times New Roman" w:cs="Times New Roman"/>
                <w:color w:val="000000" w:themeColor="text1"/>
                <w:sz w:val="24"/>
                <w:lang w:val="en-US" w:eastAsia="zh-CN"/>
                <w14:textFill>
                  <w14:solidFill>
                    <w14:schemeClr w14:val="tx1"/>
                  </w14:solidFill>
                </w14:textFill>
              </w:rPr>
              <w:t>/d</w:t>
            </w:r>
            <w:r>
              <w:rPr>
                <w:rFonts w:hint="default" w:ascii="Times New Roman" w:hAnsi="Times New Roman" w:eastAsia="宋体" w:cs="Times New Roman"/>
                <w:color w:val="000000" w:themeColor="text1"/>
                <w:sz w:val="24"/>
                <w:lang w:val="en-US" w:eastAsia="zh-CN"/>
                <w14:textFill>
                  <w14:solidFill>
                    <w14:schemeClr w14:val="tx1"/>
                  </w14:solidFill>
                </w14:textFill>
              </w:rPr>
              <w:t>。</w:t>
            </w:r>
          </w:p>
          <w:p w14:paraId="3D714926">
            <w:pPr>
              <w:pStyle w:val="37"/>
              <w:keepNext w:val="0"/>
              <w:keepLines w:val="0"/>
              <w:pageBreakBefore w:val="0"/>
              <w:widowControl w:val="0"/>
              <w:kinsoku/>
              <w:wordWrap/>
              <w:overflowPunct/>
              <w:topLinePunct w:val="0"/>
              <w:autoSpaceDE/>
              <w:autoSpaceDN/>
              <w:bidi w:val="0"/>
              <w:adjustRightInd w:val="0"/>
              <w:snapToGrid w:val="0"/>
              <w:ind w:firstLine="496" w:firstLineChars="200"/>
              <w:jc w:val="both"/>
              <w:textAlignment w:val="auto"/>
              <w:rPr>
                <w:rFonts w:hint="default" w:eastAsia="宋体"/>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项目为种植项目，工作制度为36</w:t>
            </w:r>
            <w:r>
              <w:rPr>
                <w:rFonts w:hint="eastAsia" w:ascii="Times New Roman" w:hAnsi="Times New Roman" w:cs="Times New Roman"/>
                <w:color w:val="000000" w:themeColor="text1"/>
                <w:lang w:val="en-US" w:eastAsia="zh-CN"/>
                <w14:textFill>
                  <w14:solidFill>
                    <w14:schemeClr w14:val="tx1"/>
                  </w14:solidFill>
                </w14:textFill>
              </w:rPr>
              <w:t>0</w:t>
            </w:r>
            <w:r>
              <w:rPr>
                <w:rFonts w:hint="default" w:ascii="Times New Roman" w:hAnsi="Times New Roman" w:cs="Times New Roman"/>
                <w:color w:val="000000" w:themeColor="text1"/>
                <w:lang w:val="en-US" w:eastAsia="zh-CN"/>
                <w14:textFill>
                  <w14:solidFill>
                    <w14:schemeClr w14:val="tx1"/>
                  </w14:solidFill>
                </w14:textFill>
              </w:rPr>
              <w:t>天/年。</w:t>
            </w:r>
          </w:p>
        </w:tc>
      </w:tr>
      <w:tr w14:paraId="61CC23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97" w:hRule="atLeast"/>
          <w:jc w:val="center"/>
        </w:trPr>
        <w:tc>
          <w:tcPr>
            <w:tcW w:w="448" w:type="pct"/>
            <w:vAlign w:val="center"/>
          </w:tcPr>
          <w:p w14:paraId="12BD1AEF">
            <w:pPr>
              <w:adjustRightInd w:val="0"/>
              <w:snapToGrid w:val="0"/>
              <w:ind w:firstLine="0" w:firstLineChars="0"/>
              <w:jc w:val="both"/>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总平面及现场布置</w:t>
            </w:r>
          </w:p>
        </w:tc>
        <w:tc>
          <w:tcPr>
            <w:tcW w:w="4551" w:type="pct"/>
            <w:vAlign w:val="center"/>
          </w:tcPr>
          <w:p w14:paraId="36BB6F80">
            <w:pPr>
              <w:keepNext w:val="0"/>
              <w:keepLines w:val="0"/>
              <w:pageBreakBefore w:val="0"/>
              <w:widowControl w:val="0"/>
              <w:kinsoku/>
              <w:wordWrap/>
              <w:overflowPunct/>
              <w:topLinePunct w:val="0"/>
              <w:autoSpaceDE/>
              <w:autoSpaceDN/>
              <w:bidi w:val="0"/>
              <w:adjustRightInd w:val="0"/>
              <w:snapToGrid w:val="0"/>
              <w:ind w:left="0" w:leftChars="0" w:firstLine="482" w:firstLineChars="200"/>
              <w:jc w:val="both"/>
              <w:textAlignment w:val="auto"/>
              <w:rPr>
                <w:rFonts w:hint="default" w:ascii="Times New Roman" w:hAnsi="Times New Roman" w:eastAsia="宋体" w:cs="Times New Roman"/>
                <w:b/>
                <w:bCs/>
                <w:color w:val="000000" w:themeColor="text1"/>
                <w:sz w:val="24"/>
                <w:lang w:val="en-US" w:eastAsia="zh-CN"/>
                <w14:textFill>
                  <w14:solidFill>
                    <w14:schemeClr w14:val="tx1"/>
                  </w14:solidFill>
                </w14:textFill>
              </w:rPr>
            </w:pPr>
            <w:r>
              <w:rPr>
                <w:rFonts w:hint="default" w:ascii="Times New Roman" w:hAnsi="Times New Roman" w:eastAsia="宋体" w:cs="Times New Roman"/>
                <w:b/>
                <w:bCs/>
                <w:color w:val="000000" w:themeColor="text1"/>
                <w:sz w:val="24"/>
                <w:lang w:val="en-US" w:eastAsia="zh-CN"/>
                <w14:textFill>
                  <w14:solidFill>
                    <w14:schemeClr w14:val="tx1"/>
                  </w14:solidFill>
                </w14:textFill>
              </w:rPr>
              <w:t>一、总平面布置</w:t>
            </w:r>
          </w:p>
          <w:p w14:paraId="2A0E433E">
            <w:pPr>
              <w:keepNext w:val="0"/>
              <w:keepLines w:val="0"/>
              <w:pageBreakBefore w:val="0"/>
              <w:widowControl w:val="0"/>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项目规划总占地面积约</w:t>
            </w:r>
            <w:r>
              <w:rPr>
                <w:rFonts w:hint="eastAsia" w:ascii="Times New Roman" w:hAnsi="Times New Roman" w:cs="Times New Roman"/>
                <w:color w:val="000000" w:themeColor="text1"/>
                <w:sz w:val="24"/>
                <w:lang w:val="en-US" w:eastAsia="zh-CN"/>
                <w14:textFill>
                  <w14:solidFill>
                    <w14:schemeClr w14:val="tx1"/>
                  </w14:solidFill>
                </w14:textFill>
              </w:rPr>
              <w:t>1486.06</w:t>
            </w:r>
            <w:r>
              <w:rPr>
                <w:rFonts w:hint="default" w:ascii="Times New Roman" w:hAnsi="Times New Roman" w:eastAsia="宋体" w:cs="Times New Roman"/>
                <w:color w:val="000000" w:themeColor="text1"/>
                <w:sz w:val="24"/>
                <w:lang w:val="en-US" w:eastAsia="zh-CN"/>
                <w14:textFill>
                  <w14:solidFill>
                    <w14:schemeClr w14:val="tx1"/>
                  </w14:solidFill>
                </w14:textFill>
              </w:rPr>
              <w:t>亩，</w:t>
            </w:r>
            <w:r>
              <w:rPr>
                <w:rFonts w:hint="default" w:ascii="Times New Roman" w:hAnsi="Times New Roman" w:eastAsia="宋体" w:cs="Times New Roman"/>
                <w:color w:val="000000" w:themeColor="text1"/>
                <w:sz w:val="24"/>
                <w:lang w:val="en-US" w:eastAsia="zh-CN"/>
                <w14:textFill>
                  <w14:solidFill>
                    <w14:schemeClr w14:val="tx1"/>
                  </w14:solidFill>
                </w14:textFill>
              </w:rPr>
              <w:t>种植面积约1283.88亩，163.96亩主要用于道路、管护用房、水肥中心等辅助工程的建</w:t>
            </w:r>
            <w:r>
              <w:rPr>
                <w:rFonts w:hint="default" w:ascii="Times New Roman" w:hAnsi="Times New Roman" w:eastAsia="宋体" w:cs="Times New Roman"/>
                <w:color w:val="000000" w:themeColor="text1"/>
                <w:sz w:val="24"/>
                <w:lang w:val="en-US" w:eastAsia="zh-CN"/>
                <w14:textFill>
                  <w14:solidFill>
                    <w14:schemeClr w14:val="tx1"/>
                  </w14:solidFill>
                </w14:textFill>
              </w:rPr>
              <w:t>设</w:t>
            </w:r>
            <w:r>
              <w:rPr>
                <w:rFonts w:hint="eastAsia" w:ascii="Times New Roman" w:hAnsi="Times New Roman" w:cs="Times New Roman"/>
                <w:color w:val="000000" w:themeColor="text1"/>
                <w:sz w:val="24"/>
                <w:lang w:val="en-US" w:eastAsia="zh-CN"/>
                <w14:textFill>
                  <w14:solidFill>
                    <w14:schemeClr w14:val="tx1"/>
                  </w14:solidFill>
                </w14:textFill>
              </w:rPr>
              <w:t>，</w:t>
            </w:r>
            <w:r>
              <w:rPr>
                <w:rFonts w:hint="eastAsia" w:ascii="Times New Roman" w:hAnsi="Times New Roman" w:cs="Times New Roman"/>
                <w:color w:val="000000" w:themeColor="text1"/>
                <w:kern w:val="0"/>
                <w:sz w:val="24"/>
                <w:szCs w:val="24"/>
                <w:highlight w:val="none"/>
                <w:lang w:val="en-US" w:eastAsia="zh-CN" w:bidi="ar"/>
                <w14:textFill>
                  <w14:solidFill>
                    <w14:schemeClr w14:val="tx1"/>
                  </w14:solidFill>
                </w14:textFill>
              </w:rPr>
              <w:t>截排水沟占地面积18.41亩及未利用地部分面积20.35亩（仅涉及一片区）</w:t>
            </w:r>
            <w:r>
              <w:rPr>
                <w:rFonts w:hint="eastAsia" w:ascii="Times New Roman" w:hAnsi="Times New Roman" w:cs="Times New Roman"/>
                <w:color w:val="000000" w:themeColor="text1"/>
                <w:sz w:val="24"/>
                <w:lang w:val="en-US" w:eastAsia="zh-CN"/>
                <w14:textFill>
                  <w14:solidFill>
                    <w14:schemeClr w14:val="tx1"/>
                  </w14:solidFill>
                </w14:textFill>
              </w:rPr>
              <w:t>。</w:t>
            </w:r>
          </w:p>
          <w:p w14:paraId="2949D0D3">
            <w:pPr>
              <w:keepNext w:val="0"/>
              <w:keepLines w:val="0"/>
              <w:pageBreakBefore w:val="0"/>
              <w:widowControl w:val="0"/>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项目区位于峨山县塔甸镇大西村委会大西山与新平县新化乡相连，一片区有建成通车的公路横穿项目区如：大西路、本皮路，道路通行能力稳定，可快速衔接区域交通枢纽，为项目建设运营提供坚实的交通保障。二片区周边无名便道多为当地常用通行路径，虽无正式命名，但连通项目区与周边村落主干道，具备基础通达性，整体交通条件优越</w:t>
            </w:r>
            <w:r>
              <w:rPr>
                <w:rFonts w:hint="eastAsia" w:ascii="Times New Roman" w:hAnsi="Times New Roman" w:cs="Times New Roman"/>
                <w:color w:val="000000" w:themeColor="text1"/>
                <w:sz w:val="24"/>
                <w:lang w:val="en-US" w:eastAsia="zh-CN"/>
                <w14:textFill>
                  <w14:solidFill>
                    <w14:schemeClr w14:val="tx1"/>
                  </w14:solidFill>
                </w14:textFill>
              </w:rPr>
              <w:t>。</w:t>
            </w:r>
          </w:p>
          <w:p w14:paraId="6C0E5650">
            <w:pPr>
              <w:keepNext w:val="0"/>
              <w:keepLines w:val="0"/>
              <w:pageBreakBefore w:val="0"/>
              <w:widowControl w:val="0"/>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项目种植基地共分为两个片区，一片区主</w:t>
            </w:r>
            <w:r>
              <w:rPr>
                <w:rFonts w:hint="eastAsia" w:ascii="Times New Roman" w:hAnsi="Times New Roman" w:cs="Times New Roman"/>
                <w:color w:val="000000" w:themeColor="text1"/>
                <w:sz w:val="24"/>
                <w:lang w:val="en-US" w:eastAsia="zh-CN"/>
                <w14:textFill>
                  <w14:solidFill>
                    <w14:schemeClr w14:val="tx1"/>
                  </w14:solidFill>
                </w14:textFill>
              </w:rPr>
              <w:t>要种</w:t>
            </w:r>
            <w:r>
              <w:rPr>
                <w:rFonts w:hint="default" w:ascii="Times New Roman" w:hAnsi="Times New Roman" w:eastAsia="宋体" w:cs="Times New Roman"/>
                <w:color w:val="000000" w:themeColor="text1"/>
                <w:sz w:val="24"/>
                <w:lang w:val="en-US" w:eastAsia="zh-CN"/>
                <w14:textFill>
                  <w14:solidFill>
                    <w14:schemeClr w14:val="tx1"/>
                  </w14:solidFill>
                </w14:textFill>
              </w:rPr>
              <w:t>植蓝莓、羊肚菌、桃树、苹果树。辅助工程有水肥中心，位于项目区西南侧蓝莓种植地块道路一侧。</w:t>
            </w:r>
            <w:r>
              <w:rPr>
                <w:rFonts w:hint="default" w:ascii="Times New Roman" w:hAnsi="Times New Roman" w:eastAsia="宋体" w:cs="Times New Roman"/>
                <w:color w:val="000000" w:themeColor="text1"/>
                <w:sz w:val="24"/>
                <w:lang w:val="en-US" w:eastAsia="zh-CN"/>
                <w14:textFill>
                  <w14:solidFill>
                    <w14:schemeClr w14:val="tx1"/>
                  </w14:solidFill>
                </w14:textFill>
              </w:rPr>
              <w:t>管护用房</w:t>
            </w:r>
            <w:r>
              <w:rPr>
                <w:rFonts w:hint="eastAsia" w:ascii="Times New Roman" w:hAnsi="Times New Roman" w:cs="Times New Roman"/>
                <w:color w:val="000000" w:themeColor="text1"/>
                <w:sz w:val="24"/>
                <w:lang w:val="en-US" w:eastAsia="zh-CN"/>
                <w14:textFill>
                  <w14:solidFill>
                    <w14:schemeClr w14:val="tx1"/>
                  </w14:solidFill>
                </w14:textFill>
              </w:rPr>
              <w:t>5</w:t>
            </w:r>
            <w:r>
              <w:rPr>
                <w:rFonts w:hint="default" w:ascii="Times New Roman" w:hAnsi="Times New Roman" w:eastAsia="宋体" w:cs="Times New Roman"/>
                <w:color w:val="000000" w:themeColor="text1"/>
                <w:sz w:val="24"/>
                <w:lang w:val="en-US" w:eastAsia="zh-CN"/>
                <w14:textFill>
                  <w14:solidFill>
                    <w14:schemeClr w14:val="tx1"/>
                  </w14:solidFill>
                </w14:textFill>
              </w:rPr>
              <w:t>间，集中在项目区西北侧及北侧，</w:t>
            </w:r>
            <w:r>
              <w:rPr>
                <w:rFonts w:hint="default" w:ascii="Times New Roman" w:hAnsi="Times New Roman" w:eastAsia="宋体" w:cs="Times New Roman"/>
                <w:color w:val="000000" w:themeColor="text1"/>
                <w:sz w:val="24"/>
                <w:lang w:val="en-US" w:eastAsia="zh-CN"/>
                <w14:textFill>
                  <w14:solidFill>
                    <w14:schemeClr w14:val="tx1"/>
                  </w14:solidFill>
                </w14:textFill>
              </w:rPr>
              <w:t>水池2个，沉淀池1个。集中在管护用房附近。项目区西侧主要是苹果树种植区，西北侧为桃树种植区，中偏西北侧、东南侧种植羊肚菌，中部，中偏西南、西北侧为蓝莓种植区。</w:t>
            </w:r>
          </w:p>
          <w:p w14:paraId="1D975992">
            <w:pPr>
              <w:keepNext w:val="0"/>
              <w:keepLines w:val="0"/>
              <w:pageBreakBefore w:val="0"/>
              <w:widowControl w:val="0"/>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二片区主要种植蓝莓、三七、羊肚菌。辅助工程设有水肥中心2个，项目区东、西侧各一个；分拣中心2间，项目区东、西侧各一间；管护用房6间，水池12个，沉淀池2个，管护用房和水池自西向东分布于整个项目区。工具房2间，项目区东、西侧各1间。项目区西南侧为羊肚菌种植区1</w:t>
            </w:r>
            <w:r>
              <w:rPr>
                <w:rFonts w:hint="eastAsia" w:ascii="Times New Roman" w:hAnsi="Times New Roman" w:cs="Times New Roman"/>
                <w:color w:val="000000" w:themeColor="text1"/>
                <w:sz w:val="24"/>
                <w:lang w:val="en-US" w:eastAsia="zh-CN"/>
                <w14:textFill>
                  <w14:solidFill>
                    <w14:schemeClr w14:val="tx1"/>
                  </w14:solidFill>
                </w14:textFill>
              </w:rPr>
              <w:t>#</w:t>
            </w:r>
            <w:r>
              <w:rPr>
                <w:rFonts w:hint="default" w:ascii="Times New Roman" w:hAnsi="Times New Roman" w:eastAsia="宋体" w:cs="Times New Roman"/>
                <w:color w:val="000000" w:themeColor="text1"/>
                <w:sz w:val="24"/>
                <w:lang w:val="en-US" w:eastAsia="zh-CN"/>
                <w14:textFill>
                  <w14:solidFill>
                    <w14:schemeClr w14:val="tx1"/>
                  </w14:solidFill>
                </w14:textFill>
              </w:rPr>
              <w:t>，西南偏西为蓝莓种植区1</w:t>
            </w:r>
            <w:r>
              <w:rPr>
                <w:rFonts w:hint="eastAsia" w:ascii="Times New Roman" w:hAnsi="Times New Roman" w:cs="Times New Roman"/>
                <w:color w:val="000000" w:themeColor="text1"/>
                <w:sz w:val="24"/>
                <w:lang w:val="en-US" w:eastAsia="zh-CN"/>
                <w14:textFill>
                  <w14:solidFill>
                    <w14:schemeClr w14:val="tx1"/>
                  </w14:solidFill>
                </w14:textFill>
              </w:rPr>
              <w:t>#</w:t>
            </w:r>
            <w:r>
              <w:rPr>
                <w:rFonts w:hint="default" w:ascii="Times New Roman" w:hAnsi="Times New Roman" w:eastAsia="宋体" w:cs="Times New Roman"/>
                <w:color w:val="000000" w:themeColor="text1"/>
                <w:sz w:val="24"/>
                <w:lang w:val="en-US" w:eastAsia="zh-CN"/>
                <w14:textFill>
                  <w14:solidFill>
                    <w14:schemeClr w14:val="tx1"/>
                  </w14:solidFill>
                </w14:textFill>
              </w:rPr>
              <w:t>，西北侧及北侧为三七种植区域，东北侧为蓝莓种植区2</w:t>
            </w:r>
            <w:r>
              <w:rPr>
                <w:rFonts w:hint="eastAsia" w:ascii="Times New Roman" w:hAnsi="Times New Roman" w:cs="Times New Roman"/>
                <w:color w:val="000000" w:themeColor="text1"/>
                <w:sz w:val="24"/>
                <w:lang w:val="en-US" w:eastAsia="zh-CN"/>
                <w14:textFill>
                  <w14:solidFill>
                    <w14:schemeClr w14:val="tx1"/>
                  </w14:solidFill>
                </w14:textFill>
              </w:rPr>
              <w:t>#</w:t>
            </w:r>
            <w:r>
              <w:rPr>
                <w:rFonts w:hint="default" w:ascii="Times New Roman" w:hAnsi="Times New Roman" w:eastAsia="宋体" w:cs="Times New Roman"/>
                <w:color w:val="000000" w:themeColor="text1"/>
                <w:sz w:val="24"/>
                <w:lang w:val="en-US" w:eastAsia="zh-CN"/>
                <w14:textFill>
                  <w14:solidFill>
                    <w14:schemeClr w14:val="tx1"/>
                  </w14:solidFill>
                </w14:textFill>
              </w:rPr>
              <w:t>及羊肚菌种植区2</w:t>
            </w:r>
            <w:r>
              <w:rPr>
                <w:rFonts w:hint="eastAsia" w:ascii="Times New Roman" w:hAnsi="Times New Roman" w:cs="Times New Roman"/>
                <w:color w:val="000000" w:themeColor="text1"/>
                <w:sz w:val="24"/>
                <w:lang w:val="en-US" w:eastAsia="zh-CN"/>
                <w14:textFill>
                  <w14:solidFill>
                    <w14:schemeClr w14:val="tx1"/>
                  </w14:solidFill>
                </w14:textFill>
              </w:rPr>
              <w:t>#</w:t>
            </w:r>
            <w:r>
              <w:rPr>
                <w:rFonts w:hint="default" w:ascii="Times New Roman" w:hAnsi="Times New Roman" w:eastAsia="宋体" w:cs="Times New Roman"/>
                <w:color w:val="000000" w:themeColor="text1"/>
                <w:sz w:val="24"/>
                <w:lang w:val="en-US" w:eastAsia="zh-CN"/>
                <w14:textFill>
                  <w14:solidFill>
                    <w14:schemeClr w14:val="tx1"/>
                  </w14:solidFill>
                </w14:textFill>
              </w:rPr>
              <w:t>。</w:t>
            </w:r>
          </w:p>
          <w:p w14:paraId="1B0B8739">
            <w:pPr>
              <w:keepNext w:val="0"/>
              <w:keepLines w:val="0"/>
              <w:pageBreakBefore w:val="0"/>
              <w:widowControl w:val="0"/>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一、二片区都进行了道路规划建设，</w:t>
            </w:r>
            <w:r>
              <w:rPr>
                <w:rFonts w:hint="eastAsia" w:ascii="Times New Roman" w:hAnsi="Times New Roman" w:cs="Times New Roman"/>
                <w:color w:val="000000" w:themeColor="text1"/>
                <w:sz w:val="24"/>
                <w:lang w:val="en-US" w:eastAsia="zh-CN"/>
                <w14:textFill>
                  <w14:solidFill>
                    <w14:schemeClr w14:val="tx1"/>
                  </w14:solidFill>
                </w14:textFill>
              </w:rPr>
              <w:t>部分依托项目区内现有，部分根据种植区新建，</w:t>
            </w:r>
            <w:r>
              <w:rPr>
                <w:rFonts w:hint="default" w:ascii="Times New Roman" w:hAnsi="Times New Roman" w:eastAsia="宋体" w:cs="Times New Roman"/>
                <w:color w:val="000000" w:themeColor="text1"/>
                <w:sz w:val="24"/>
                <w:lang w:val="en-US" w:eastAsia="zh-CN"/>
                <w14:textFill>
                  <w14:solidFill>
                    <w14:schemeClr w14:val="tx1"/>
                  </w14:solidFill>
                </w14:textFill>
              </w:rPr>
              <w:t>便于农事作业和项目区管理。项目区域总体布局分明，总平面布置基本合理。</w:t>
            </w:r>
          </w:p>
          <w:p w14:paraId="292E0736">
            <w:pPr>
              <w:keepNext w:val="0"/>
              <w:keepLines w:val="0"/>
              <w:pageBreakBefore w:val="0"/>
              <w:widowControl w:val="0"/>
              <w:kinsoku/>
              <w:wordWrap/>
              <w:overflowPunct/>
              <w:topLinePunct w:val="0"/>
              <w:autoSpaceDE/>
              <w:autoSpaceDN/>
              <w:bidi w:val="0"/>
              <w:adjustRightInd w:val="0"/>
              <w:snapToGrid w:val="0"/>
              <w:ind w:left="0" w:leftChars="0" w:firstLine="482" w:firstLineChars="200"/>
              <w:jc w:val="both"/>
              <w:textAlignment w:val="auto"/>
              <w:rPr>
                <w:rFonts w:hint="default" w:ascii="Times New Roman" w:hAnsi="Times New Roman" w:eastAsia="宋体" w:cs="Times New Roman"/>
                <w:b/>
                <w:bCs/>
                <w:color w:val="000000" w:themeColor="text1"/>
                <w:sz w:val="24"/>
                <w:lang w:val="en-US" w:eastAsia="zh-CN"/>
                <w14:textFill>
                  <w14:solidFill>
                    <w14:schemeClr w14:val="tx1"/>
                  </w14:solidFill>
                </w14:textFill>
              </w:rPr>
            </w:pPr>
            <w:r>
              <w:rPr>
                <w:rFonts w:hint="eastAsia" w:ascii="Times New Roman" w:hAnsi="Times New Roman" w:eastAsia="宋体" w:cs="Times New Roman"/>
                <w:b/>
                <w:bCs/>
                <w:color w:val="000000" w:themeColor="text1"/>
                <w:sz w:val="24"/>
                <w:lang w:val="en-US" w:eastAsia="zh-CN"/>
                <w14:textFill>
                  <w14:solidFill>
                    <w14:schemeClr w14:val="tx1"/>
                  </w14:solidFill>
                </w14:textFill>
              </w:rPr>
              <w:t>二、</w:t>
            </w:r>
            <w:r>
              <w:rPr>
                <w:rFonts w:hint="default" w:ascii="Times New Roman" w:hAnsi="Times New Roman" w:eastAsia="宋体" w:cs="Times New Roman"/>
                <w:b/>
                <w:bCs/>
                <w:color w:val="000000" w:themeColor="text1"/>
                <w:sz w:val="24"/>
                <w:lang w:val="en-US" w:eastAsia="zh-CN"/>
                <w14:textFill>
                  <w14:solidFill>
                    <w14:schemeClr w14:val="tx1"/>
                  </w14:solidFill>
                </w14:textFill>
              </w:rPr>
              <w:t>施工布置</w:t>
            </w:r>
          </w:p>
          <w:p w14:paraId="48259A9A">
            <w:pPr>
              <w:keepNext w:val="0"/>
              <w:keepLines w:val="0"/>
              <w:pageBreakBefore w:val="0"/>
              <w:widowControl w:val="0"/>
              <w:kinsoku/>
              <w:wordWrap/>
              <w:overflowPunct/>
              <w:topLinePunct w:val="0"/>
              <w:autoSpaceDE/>
              <w:autoSpaceDN/>
              <w:bidi w:val="0"/>
              <w:adjustRightInd w:val="0"/>
              <w:snapToGrid w:val="0"/>
              <w:ind w:left="0" w:leftChars="0" w:firstLine="482" w:firstLineChars="200"/>
              <w:jc w:val="both"/>
              <w:textAlignment w:val="auto"/>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b/>
                <w:bCs/>
                <w:color w:val="000000" w:themeColor="text1"/>
                <w:sz w:val="24"/>
                <w:lang w:val="en-US" w:eastAsia="zh-CN"/>
                <w14:textFill>
                  <w14:solidFill>
                    <w14:schemeClr w14:val="tx1"/>
                  </w14:solidFill>
                </w14:textFill>
              </w:rPr>
              <w:t>1、厂区内不设置施工营地，总体规划与设计如下</w:t>
            </w:r>
            <w:r>
              <w:rPr>
                <w:rFonts w:hint="default" w:ascii="Times New Roman" w:hAnsi="Times New Roman" w:eastAsia="宋体" w:cs="Times New Roman"/>
                <w:color w:val="000000" w:themeColor="text1"/>
                <w:sz w:val="24"/>
                <w:lang w:val="en-US" w:eastAsia="zh-CN"/>
                <w14:textFill>
                  <w14:solidFill>
                    <w14:schemeClr w14:val="tx1"/>
                  </w14:solidFill>
                </w14:textFill>
              </w:rPr>
              <w:t>：</w:t>
            </w:r>
          </w:p>
          <w:p w14:paraId="53451D85">
            <w:pPr>
              <w:keepNext w:val="0"/>
              <w:keepLines w:val="0"/>
              <w:pageBreakBefore w:val="0"/>
              <w:widowControl w:val="0"/>
              <w:kinsoku/>
              <w:wordWrap/>
              <w:overflowPunct/>
              <w:topLinePunct w:val="0"/>
              <w:autoSpaceDE/>
              <w:autoSpaceDN/>
              <w:bidi w:val="0"/>
              <w:adjustRightInd w:val="0"/>
              <w:snapToGrid w:val="0"/>
              <w:ind w:leftChars="0" w:firstLine="482" w:firstLineChars="200"/>
              <w:jc w:val="both"/>
              <w:textAlignment w:val="auto"/>
              <w:rPr>
                <w:rFonts w:hint="default" w:ascii="Times New Roman" w:hAnsi="Times New Roman" w:eastAsia="宋体" w:cs="Times New Roman"/>
                <w:b/>
                <w:bCs/>
                <w:color w:val="000000" w:themeColor="text1"/>
                <w:sz w:val="24"/>
                <w:lang w:val="en-US" w:eastAsia="zh-CN"/>
                <w14:textFill>
                  <w14:solidFill>
                    <w14:schemeClr w14:val="tx1"/>
                  </w14:solidFill>
                </w14:textFill>
              </w:rPr>
            </w:pPr>
            <w:r>
              <w:rPr>
                <w:rFonts w:hint="default" w:ascii="Times New Roman" w:hAnsi="Times New Roman" w:eastAsia="宋体" w:cs="Times New Roman"/>
                <w:b/>
                <w:bCs/>
                <w:color w:val="000000" w:themeColor="text1"/>
                <w:sz w:val="24"/>
                <w:lang w:val="en-US" w:eastAsia="zh-CN"/>
                <w14:textFill>
                  <w14:solidFill>
                    <w14:schemeClr w14:val="tx1"/>
                  </w14:solidFill>
                </w14:textFill>
              </w:rPr>
              <w:t>（1）基地测绘与分区：</w:t>
            </w:r>
          </w:p>
          <w:p w14:paraId="4C2D8C25">
            <w:pPr>
              <w:keepNext w:val="0"/>
              <w:keepLines w:val="0"/>
              <w:pageBreakBefore w:val="0"/>
              <w:widowControl w:val="0"/>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对整个基地进行精确测绘，明确边界、地形、高差、原有道路、水源位置。</w:t>
            </w:r>
          </w:p>
          <w:p w14:paraId="139D9A69">
            <w:pPr>
              <w:keepNext w:val="0"/>
              <w:keepLines w:val="0"/>
              <w:pageBreakBefore w:val="0"/>
              <w:widowControl w:val="0"/>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进行功能分区规划：种植区、道路系统、排灌系统、管理区（分拣房、工具房）。</w:t>
            </w:r>
          </w:p>
          <w:p w14:paraId="56851031">
            <w:pPr>
              <w:keepNext w:val="0"/>
              <w:keepLines w:val="0"/>
              <w:pageBreakBefore w:val="0"/>
              <w:widowControl w:val="0"/>
              <w:kinsoku/>
              <w:wordWrap/>
              <w:overflowPunct/>
              <w:topLinePunct w:val="0"/>
              <w:autoSpaceDE/>
              <w:autoSpaceDN/>
              <w:bidi w:val="0"/>
              <w:adjustRightInd w:val="0"/>
              <w:snapToGrid w:val="0"/>
              <w:ind w:leftChars="0" w:firstLine="482" w:firstLineChars="200"/>
              <w:jc w:val="both"/>
              <w:textAlignment w:val="auto"/>
              <w:rPr>
                <w:rFonts w:hint="default" w:ascii="Times New Roman" w:hAnsi="Times New Roman" w:eastAsia="宋体" w:cs="Times New Roman"/>
                <w:b/>
                <w:bCs/>
                <w:color w:val="000000" w:themeColor="text1"/>
                <w:sz w:val="24"/>
                <w:lang w:val="en-US" w:eastAsia="zh-CN"/>
                <w14:textFill>
                  <w14:solidFill>
                    <w14:schemeClr w14:val="tx1"/>
                  </w14:solidFill>
                </w14:textFill>
              </w:rPr>
            </w:pPr>
            <w:r>
              <w:rPr>
                <w:rFonts w:hint="default" w:ascii="Times New Roman" w:hAnsi="Times New Roman" w:eastAsia="宋体" w:cs="Times New Roman"/>
                <w:b/>
                <w:bCs/>
                <w:color w:val="000000" w:themeColor="text1"/>
                <w:sz w:val="24"/>
                <w:lang w:val="en-US" w:eastAsia="zh-CN"/>
                <w14:textFill>
                  <w14:solidFill>
                    <w14:schemeClr w14:val="tx1"/>
                  </w14:solidFill>
                </w14:textFill>
              </w:rPr>
              <w:t>（2）土壤本底调查：</w:t>
            </w:r>
          </w:p>
          <w:p w14:paraId="6233E632">
            <w:pPr>
              <w:keepNext w:val="0"/>
              <w:keepLines w:val="0"/>
              <w:pageBreakBefore w:val="0"/>
              <w:widowControl w:val="0"/>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在规划种植区内进行网格化取样，检测土壤的pH值、有机质含量、质地（沙土/黏土）、盐分等。根据检测结果，精确计算出土壤改良剂（如硫磺粉、有机质）的需求量和施用方案。</w:t>
            </w:r>
          </w:p>
          <w:p w14:paraId="33E8BA2D">
            <w:pPr>
              <w:keepNext w:val="0"/>
              <w:keepLines w:val="0"/>
              <w:pageBreakBefore w:val="0"/>
              <w:widowControl w:val="0"/>
              <w:kinsoku/>
              <w:wordWrap/>
              <w:overflowPunct/>
              <w:topLinePunct w:val="0"/>
              <w:autoSpaceDE/>
              <w:autoSpaceDN/>
              <w:bidi w:val="0"/>
              <w:adjustRightInd w:val="0"/>
              <w:snapToGrid w:val="0"/>
              <w:ind w:leftChars="0" w:firstLine="482" w:firstLineChars="200"/>
              <w:jc w:val="both"/>
              <w:textAlignment w:val="auto"/>
              <w:rPr>
                <w:rFonts w:hint="default" w:ascii="Times New Roman" w:hAnsi="Times New Roman" w:eastAsia="宋体" w:cs="Times New Roman"/>
                <w:b/>
                <w:bCs/>
                <w:color w:val="000000" w:themeColor="text1"/>
                <w:sz w:val="24"/>
                <w:lang w:val="en-US" w:eastAsia="zh-CN"/>
                <w14:textFill>
                  <w14:solidFill>
                    <w14:schemeClr w14:val="tx1"/>
                  </w14:solidFill>
                </w14:textFill>
              </w:rPr>
            </w:pPr>
            <w:r>
              <w:rPr>
                <w:rFonts w:hint="default" w:ascii="Times New Roman" w:hAnsi="Times New Roman" w:eastAsia="宋体" w:cs="Times New Roman"/>
                <w:b/>
                <w:bCs/>
                <w:color w:val="000000" w:themeColor="text1"/>
                <w:sz w:val="24"/>
                <w:lang w:val="en-US" w:eastAsia="zh-CN"/>
                <w14:textFill>
                  <w14:solidFill>
                    <w14:schemeClr w14:val="tx1"/>
                  </w14:solidFill>
                </w14:textFill>
              </w:rPr>
              <w:t>（3）种植方案设计：</w:t>
            </w:r>
          </w:p>
          <w:p w14:paraId="720CC9A4">
            <w:pPr>
              <w:keepNext w:val="0"/>
              <w:keepLines w:val="0"/>
              <w:pageBreakBefore w:val="0"/>
              <w:widowControl w:val="0"/>
              <w:kinsoku/>
              <w:wordWrap/>
              <w:overflowPunct/>
              <w:topLinePunct w:val="0"/>
              <w:autoSpaceDE/>
              <w:autoSpaceDN/>
              <w:bidi w:val="0"/>
              <w:adjustRightInd w:val="0"/>
              <w:snapToGrid w:val="0"/>
              <w:ind w:leftChars="0" w:firstLine="482" w:firstLineChars="200"/>
              <w:jc w:val="both"/>
              <w:textAlignment w:val="auto"/>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1）蓝莓：</w:t>
            </w:r>
          </w:p>
          <w:p w14:paraId="327940B3">
            <w:pPr>
              <w:keepNext w:val="0"/>
              <w:keepLines w:val="0"/>
              <w:pageBreakBefore w:val="0"/>
              <w:widowControl w:val="0"/>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①品种选择：根据当地气候和市场选择早、中、晚熟品种搭配。</w:t>
            </w:r>
          </w:p>
          <w:p w14:paraId="1392D306">
            <w:pPr>
              <w:keepNext w:val="0"/>
              <w:keepLines w:val="0"/>
              <w:pageBreakBefore w:val="0"/>
              <w:widowControl w:val="0"/>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②栽植密度：确定株行距。配置：行距×株距=3m×1m（每亩约220株）或2.5m×0.8m（每亩约330株）。</w:t>
            </w:r>
          </w:p>
          <w:p w14:paraId="1D5F665D">
            <w:pPr>
              <w:keepNext w:val="0"/>
              <w:keepLines w:val="0"/>
              <w:pageBreakBefore w:val="0"/>
              <w:widowControl w:val="0"/>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③栽植方式：盆栽种植</w:t>
            </w:r>
          </w:p>
          <w:p w14:paraId="13F6BD16">
            <w:pPr>
              <w:keepNext w:val="0"/>
              <w:keepLines w:val="0"/>
              <w:pageBreakBefore w:val="0"/>
              <w:widowControl w:val="0"/>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④生长期管理：</w:t>
            </w:r>
          </w:p>
          <w:p w14:paraId="0D3CCFC1">
            <w:pPr>
              <w:keepNext w:val="0"/>
              <w:keepLines w:val="0"/>
              <w:pageBreakBefore w:val="0"/>
              <w:widowControl w:val="0"/>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幼树期（1</w:t>
            </w:r>
            <w:r>
              <w:rPr>
                <w:rFonts w:hint="eastAsia" w:ascii="Times New Roman" w:hAnsi="Times New Roman" w:cs="Times New Roman"/>
                <w:color w:val="000000" w:themeColor="text1"/>
                <w:sz w:val="24"/>
                <w:lang w:val="en-US" w:eastAsia="zh-CN"/>
                <w14:textFill>
                  <w14:solidFill>
                    <w14:schemeClr w14:val="tx1"/>
                  </w14:solidFill>
                </w14:textFill>
              </w:rPr>
              <w:t>—</w:t>
            </w:r>
            <w:r>
              <w:rPr>
                <w:rFonts w:hint="default" w:ascii="Times New Roman" w:hAnsi="Times New Roman" w:eastAsia="宋体" w:cs="Times New Roman"/>
                <w:color w:val="000000" w:themeColor="text1"/>
                <w:sz w:val="24"/>
                <w:lang w:val="en-US" w:eastAsia="zh-CN"/>
                <w14:textFill>
                  <w14:solidFill>
                    <w14:schemeClr w14:val="tx1"/>
                  </w14:solidFill>
                </w14:textFill>
              </w:rPr>
              <w:t>2年）需按丛状形修剪，定干30</w:t>
            </w:r>
            <w:r>
              <w:rPr>
                <w:rFonts w:hint="eastAsia" w:ascii="Times New Roman" w:hAnsi="Times New Roman" w:cs="Times New Roman"/>
                <w:color w:val="000000" w:themeColor="text1"/>
                <w:sz w:val="24"/>
                <w:lang w:val="en-US" w:eastAsia="zh-CN"/>
                <w14:textFill>
                  <w14:solidFill>
                    <w14:schemeClr w14:val="tx1"/>
                  </w14:solidFill>
                </w14:textFill>
              </w:rPr>
              <w:t>—</w:t>
            </w:r>
            <w:r>
              <w:rPr>
                <w:rFonts w:hint="default" w:ascii="Times New Roman" w:hAnsi="Times New Roman" w:eastAsia="宋体" w:cs="Times New Roman"/>
                <w:color w:val="000000" w:themeColor="text1"/>
                <w:sz w:val="24"/>
                <w:lang w:val="en-US" w:eastAsia="zh-CN"/>
                <w14:textFill>
                  <w14:solidFill>
                    <w14:schemeClr w14:val="tx1"/>
                  </w14:solidFill>
                </w14:textFill>
              </w:rPr>
              <w:t>40cm并留3</w:t>
            </w:r>
            <w:r>
              <w:rPr>
                <w:rFonts w:hint="eastAsia" w:ascii="Times New Roman" w:hAnsi="Times New Roman" w:cs="Times New Roman"/>
                <w:color w:val="000000" w:themeColor="text1"/>
                <w:sz w:val="24"/>
                <w:lang w:val="en-US" w:eastAsia="zh-CN"/>
                <w14:textFill>
                  <w14:solidFill>
                    <w14:schemeClr w14:val="tx1"/>
                  </w14:solidFill>
                </w14:textFill>
              </w:rPr>
              <w:t>—</w:t>
            </w:r>
            <w:r>
              <w:rPr>
                <w:rFonts w:hint="default" w:ascii="Times New Roman" w:hAnsi="Times New Roman" w:eastAsia="宋体" w:cs="Times New Roman"/>
                <w:color w:val="000000" w:themeColor="text1"/>
                <w:sz w:val="24"/>
                <w:lang w:val="en-US" w:eastAsia="zh-CN"/>
                <w14:textFill>
                  <w14:solidFill>
                    <w14:schemeClr w14:val="tx1"/>
                  </w14:solidFill>
                </w14:textFill>
              </w:rPr>
              <w:t>5个主枝，通过滴灌保持土壤湿度</w:t>
            </w:r>
            <w:r>
              <w:rPr>
                <w:rFonts w:hint="eastAsia" w:ascii="Times New Roman" w:hAnsi="Times New Roman" w:cs="Times New Roman"/>
                <w:color w:val="000000" w:themeColor="text1"/>
                <w:sz w:val="24"/>
                <w:lang w:val="en-US" w:eastAsia="zh-CN"/>
                <w14:textFill>
                  <w14:solidFill>
                    <w14:schemeClr w14:val="tx1"/>
                  </w14:solidFill>
                </w14:textFill>
              </w:rPr>
              <w:t>50%—60%</w:t>
            </w:r>
            <w:r>
              <w:rPr>
                <w:rFonts w:hint="default" w:ascii="Times New Roman" w:hAnsi="Times New Roman" w:eastAsia="宋体" w:cs="Times New Roman"/>
                <w:color w:val="000000" w:themeColor="text1"/>
                <w:sz w:val="24"/>
                <w:lang w:val="en-US" w:eastAsia="zh-CN"/>
                <w14:textFill>
                  <w14:solidFill>
                    <w14:schemeClr w14:val="tx1"/>
                  </w14:solidFill>
                </w14:textFill>
              </w:rPr>
              <w:t>，春季喷施0.2%硫酸铵、秋季每亩施100kg饼肥；结果期（3年起）花期需疏除弱花（每枝留5</w:t>
            </w:r>
            <w:r>
              <w:rPr>
                <w:rFonts w:hint="eastAsia" w:ascii="Times New Roman" w:hAnsi="Times New Roman" w:cs="Times New Roman"/>
                <w:color w:val="000000" w:themeColor="text1"/>
                <w:sz w:val="24"/>
                <w:lang w:val="en-US" w:eastAsia="zh-CN"/>
                <w14:textFill>
                  <w14:solidFill>
                    <w14:schemeClr w14:val="tx1"/>
                  </w14:solidFill>
                </w14:textFill>
              </w:rPr>
              <w:t>—</w:t>
            </w:r>
            <w:r>
              <w:rPr>
                <w:rFonts w:hint="default" w:ascii="Times New Roman" w:hAnsi="Times New Roman" w:eastAsia="宋体" w:cs="Times New Roman"/>
                <w:color w:val="000000" w:themeColor="text1"/>
                <w:sz w:val="24"/>
                <w:lang w:val="en-US" w:eastAsia="zh-CN"/>
                <w14:textFill>
                  <w14:solidFill>
                    <w14:schemeClr w14:val="tx1"/>
                  </w14:solidFill>
                </w14:textFill>
              </w:rPr>
              <w:t>8朵）、每亩放1</w:t>
            </w:r>
            <w:r>
              <w:rPr>
                <w:rFonts w:hint="eastAsia" w:ascii="Times New Roman" w:hAnsi="Times New Roman" w:cs="Times New Roman"/>
                <w:color w:val="000000" w:themeColor="text1"/>
                <w:sz w:val="24"/>
                <w:lang w:val="en-US" w:eastAsia="zh-CN"/>
                <w14:textFill>
                  <w14:solidFill>
                    <w14:schemeClr w14:val="tx1"/>
                  </w14:solidFill>
                </w14:textFill>
              </w:rPr>
              <w:t>—</w:t>
            </w:r>
            <w:r>
              <w:rPr>
                <w:rFonts w:hint="default" w:ascii="Times New Roman" w:hAnsi="Times New Roman" w:eastAsia="宋体" w:cs="Times New Roman"/>
                <w:color w:val="000000" w:themeColor="text1"/>
                <w:sz w:val="24"/>
                <w:lang w:val="en-US" w:eastAsia="zh-CN"/>
                <w14:textFill>
                  <w14:solidFill>
                    <w14:schemeClr w14:val="tx1"/>
                  </w14:solidFill>
                </w14:textFill>
              </w:rPr>
              <w:t>2箱蜂辅助授粉且禁喷杀虫剂，膨果期疏除小果/畸形果（每枝留3</w:t>
            </w:r>
            <w:r>
              <w:rPr>
                <w:rFonts w:hint="eastAsia" w:ascii="Times New Roman" w:hAnsi="Times New Roman" w:cs="Times New Roman"/>
                <w:color w:val="000000" w:themeColor="text1"/>
                <w:sz w:val="24"/>
                <w:lang w:val="en-US" w:eastAsia="zh-CN"/>
                <w14:textFill>
                  <w14:solidFill>
                    <w14:schemeClr w14:val="tx1"/>
                  </w14:solidFill>
                </w14:textFill>
              </w:rPr>
              <w:t>—</w:t>
            </w:r>
            <w:r>
              <w:rPr>
                <w:rFonts w:hint="default" w:ascii="Times New Roman" w:hAnsi="Times New Roman" w:eastAsia="宋体" w:cs="Times New Roman"/>
                <w:color w:val="000000" w:themeColor="text1"/>
                <w:sz w:val="24"/>
                <w:lang w:val="en-US" w:eastAsia="zh-CN"/>
                <w14:textFill>
                  <w14:solidFill>
                    <w14:schemeClr w14:val="tx1"/>
                  </w14:solidFill>
                </w14:textFill>
              </w:rPr>
              <w:t>5个）、每亩施1:2:1专用肥80kg（间隔20天1次）并叶面喷磷二氢钾与硼肥2</w:t>
            </w:r>
            <w:r>
              <w:rPr>
                <w:rFonts w:hint="eastAsia" w:ascii="Times New Roman" w:hAnsi="Times New Roman" w:cs="Times New Roman"/>
                <w:color w:val="000000" w:themeColor="text1"/>
                <w:sz w:val="24"/>
                <w:lang w:val="en-US" w:eastAsia="zh-CN"/>
                <w14:textFill>
                  <w14:solidFill>
                    <w14:schemeClr w14:val="tx1"/>
                  </w14:solidFill>
                </w14:textFill>
              </w:rPr>
              <w:t>—</w:t>
            </w:r>
            <w:r>
              <w:rPr>
                <w:rFonts w:hint="default" w:ascii="Times New Roman" w:hAnsi="Times New Roman" w:eastAsia="宋体" w:cs="Times New Roman"/>
                <w:color w:val="000000" w:themeColor="text1"/>
                <w:sz w:val="24"/>
                <w:lang w:val="en-US" w:eastAsia="zh-CN"/>
                <w14:textFill>
                  <w14:solidFill>
                    <w14:schemeClr w14:val="tx1"/>
                  </w14:solidFill>
                </w14:textFill>
              </w:rPr>
              <w:t>3次，病虫害防控需在萌芽前做基础防护，生长期针对性处理，且采收前15天停止用药。</w:t>
            </w:r>
          </w:p>
          <w:p w14:paraId="4311CBEE">
            <w:pPr>
              <w:keepNext w:val="0"/>
              <w:keepLines w:val="0"/>
              <w:pageBreakBefore w:val="0"/>
              <w:widowControl w:val="0"/>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⑤采收：</w:t>
            </w:r>
          </w:p>
          <w:p w14:paraId="1D7C9D25">
            <w:pPr>
              <w:keepNext w:val="0"/>
              <w:keepLines w:val="0"/>
              <w:pageBreakBefore w:val="0"/>
              <w:widowControl w:val="0"/>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4月底-7月中旬分批进行，人工避高温轻放，产后分级装箱外销。</w:t>
            </w:r>
          </w:p>
          <w:p w14:paraId="1644CAE5">
            <w:pPr>
              <w:keepNext w:val="0"/>
              <w:keepLines w:val="0"/>
              <w:pageBreakBefore w:val="0"/>
              <w:widowControl w:val="0"/>
              <w:numPr>
                <w:ilvl w:val="0"/>
                <w:numId w:val="0"/>
              </w:numPr>
              <w:kinsoku/>
              <w:wordWrap/>
              <w:overflowPunct/>
              <w:topLinePunct w:val="0"/>
              <w:autoSpaceDE/>
              <w:autoSpaceDN/>
              <w:bidi w:val="0"/>
              <w:adjustRightInd w:val="0"/>
              <w:snapToGrid w:val="0"/>
              <w:ind w:leftChars="0" w:firstLine="482" w:firstLineChars="200"/>
              <w:jc w:val="both"/>
              <w:textAlignment w:val="auto"/>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2）三七：</w:t>
            </w:r>
          </w:p>
          <w:p w14:paraId="3AD1FDFE">
            <w:pPr>
              <w:keepNext w:val="0"/>
              <w:keepLines w:val="0"/>
              <w:pageBreakBefore w:val="0"/>
              <w:widowControl w:val="0"/>
              <w:numPr>
                <w:ilvl w:val="0"/>
                <w:numId w:val="0"/>
              </w:numPr>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①地块选择</w:t>
            </w:r>
          </w:p>
          <w:p w14:paraId="6AFD3B73">
            <w:pPr>
              <w:keepNext w:val="0"/>
              <w:keepLines w:val="0"/>
              <w:pageBreakBefore w:val="0"/>
              <w:widowControl w:val="0"/>
              <w:numPr>
                <w:ilvl w:val="0"/>
                <w:numId w:val="0"/>
              </w:numPr>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海拔1800</w:t>
            </w:r>
            <w:r>
              <w:rPr>
                <w:rFonts w:hint="eastAsia"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2200米，坡度≤15°的向阳缓坡地，土壤疏松、排水良好。</w:t>
            </w:r>
          </w:p>
          <w:p w14:paraId="75338D10">
            <w:pPr>
              <w:keepNext w:val="0"/>
              <w:keepLines w:val="0"/>
              <w:pageBreakBefore w:val="0"/>
              <w:widowControl w:val="0"/>
              <w:numPr>
                <w:ilvl w:val="0"/>
                <w:numId w:val="0"/>
              </w:numPr>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②土壤改良</w:t>
            </w:r>
          </w:p>
          <w:p w14:paraId="58FE6B51">
            <w:pPr>
              <w:keepNext w:val="0"/>
              <w:keepLines w:val="0"/>
              <w:pageBreakBefore w:val="0"/>
              <w:widowControl w:val="0"/>
              <w:numPr>
                <w:ilvl w:val="0"/>
                <w:numId w:val="0"/>
              </w:numPr>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深翻30</w:t>
            </w:r>
            <w:r>
              <w:rPr>
                <w:rFonts w:hint="eastAsia"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40cm，每亩施腐熟农家肥2</w:t>
            </w:r>
            <w:r>
              <w:rPr>
                <w:rFonts w:hint="eastAsia"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3吨，搭配适量磷钾肥。</w:t>
            </w:r>
          </w:p>
          <w:p w14:paraId="477E6D02">
            <w:pPr>
              <w:keepNext w:val="0"/>
              <w:keepLines w:val="0"/>
              <w:pageBreakBefore w:val="0"/>
              <w:widowControl w:val="0"/>
              <w:numPr>
                <w:ilvl w:val="0"/>
                <w:numId w:val="0"/>
              </w:numPr>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③种苗选择与定植</w:t>
            </w:r>
          </w:p>
          <w:p w14:paraId="6B299002">
            <w:pPr>
              <w:keepNext w:val="0"/>
              <w:keepLines w:val="0"/>
              <w:pageBreakBefore w:val="0"/>
              <w:widowControl w:val="0"/>
              <w:numPr>
                <w:ilvl w:val="0"/>
                <w:numId w:val="0"/>
              </w:numPr>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优选品种</w:t>
            </w:r>
            <w:r>
              <w:rPr>
                <w:rFonts w:hint="default" w:ascii="Times New Roman" w:hAnsi="Times New Roman" w:eastAsia="宋体" w:cs="Times New Roman"/>
                <w:color w:val="000000" w:themeColor="text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抗病性强、皂苷含量高的品种。</w:t>
            </w:r>
          </w:p>
          <w:p w14:paraId="79CF810A">
            <w:pPr>
              <w:keepNext w:val="0"/>
              <w:keepLines w:val="0"/>
              <w:pageBreakBefore w:val="0"/>
              <w:widowControl w:val="0"/>
              <w:numPr>
                <w:ilvl w:val="0"/>
                <w:numId w:val="0"/>
              </w:numPr>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种植密度：行距20cm×株距15cm，每亩保苗</w:t>
            </w:r>
            <w:r>
              <w:rPr>
                <w:rFonts w:hint="eastAsia" w:ascii="Times New Roman" w:hAnsi="Times New Roman" w:cs="Times New Roman"/>
                <w:color w:val="000000" w:themeColor="text1"/>
                <w:lang w:val="en-US" w:eastAsia="zh-CN"/>
                <w14:textFill>
                  <w14:solidFill>
                    <w14:schemeClr w14:val="tx1"/>
                  </w14:solidFill>
                </w14:textFill>
              </w:rPr>
              <w:t>1.5万—2万</w:t>
            </w:r>
            <w:r>
              <w:rPr>
                <w:rFonts w:hint="default" w:ascii="Times New Roman" w:hAnsi="Times New Roman" w:eastAsia="宋体" w:cs="Times New Roman"/>
                <w:color w:val="000000" w:themeColor="text1"/>
                <w:lang w:val="en-US" w:eastAsia="zh-CN"/>
                <w14:textFill>
                  <w14:solidFill>
                    <w14:schemeClr w14:val="tx1"/>
                  </w14:solidFill>
                </w14:textFill>
              </w:rPr>
              <w:t>株。</w:t>
            </w:r>
          </w:p>
          <w:p w14:paraId="1C647EE4">
            <w:pPr>
              <w:keepNext w:val="0"/>
              <w:keepLines w:val="0"/>
              <w:pageBreakBefore w:val="0"/>
              <w:widowControl w:val="0"/>
              <w:numPr>
                <w:ilvl w:val="0"/>
                <w:numId w:val="0"/>
              </w:numPr>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④</w:t>
            </w:r>
            <w:r>
              <w:rPr>
                <w:rFonts w:hint="default" w:ascii="Times New Roman" w:hAnsi="Times New Roman" w:eastAsia="宋体" w:cs="Times New Roman"/>
                <w:color w:val="000000" w:themeColor="text1"/>
                <w14:textFill>
                  <w14:solidFill>
                    <w14:schemeClr w14:val="tx1"/>
                  </w14:solidFill>
                </w14:textFill>
              </w:rPr>
              <w:t>病虫害防治</w:t>
            </w:r>
          </w:p>
          <w:p w14:paraId="6708C58A">
            <w:pPr>
              <w:keepNext w:val="0"/>
              <w:keepLines w:val="0"/>
              <w:pageBreakBefore w:val="0"/>
              <w:widowControl w:val="0"/>
              <w:numPr>
                <w:ilvl w:val="0"/>
                <w:numId w:val="0"/>
              </w:numPr>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主要病害：根腐病、黑斑病（轮作+药剂预防）。</w:t>
            </w:r>
          </w:p>
          <w:p w14:paraId="73CD92AC">
            <w:pPr>
              <w:keepNext w:val="0"/>
              <w:keepLines w:val="0"/>
              <w:pageBreakBefore w:val="0"/>
              <w:widowControl w:val="0"/>
              <w:numPr>
                <w:ilvl w:val="0"/>
                <w:numId w:val="0"/>
              </w:numPr>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虫害：红蜘蛛、地老虎（人工捕杀+生物农药）。</w:t>
            </w:r>
          </w:p>
          <w:p w14:paraId="3551C04C">
            <w:pPr>
              <w:keepNext w:val="0"/>
              <w:keepLines w:val="0"/>
              <w:pageBreakBefore w:val="0"/>
              <w:widowControl w:val="0"/>
              <w:numPr>
                <w:ilvl w:val="0"/>
                <w:numId w:val="0"/>
              </w:numPr>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⑤采收与加工</w:t>
            </w:r>
          </w:p>
          <w:p w14:paraId="6277D194">
            <w:pPr>
              <w:keepNext w:val="0"/>
              <w:keepLines w:val="0"/>
              <w:pageBreakBefore w:val="0"/>
              <w:widowControl w:val="0"/>
              <w:numPr>
                <w:ilvl w:val="0"/>
                <w:numId w:val="0"/>
              </w:numPr>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采收时间：种植3年后秋季采挖。</w:t>
            </w:r>
          </w:p>
          <w:p w14:paraId="6D36E579">
            <w:pPr>
              <w:keepNext w:val="0"/>
              <w:keepLines w:val="0"/>
              <w:pageBreakBefore w:val="0"/>
              <w:widowControl w:val="0"/>
              <w:numPr>
                <w:ilvl w:val="0"/>
                <w:numId w:val="0"/>
              </w:numPr>
              <w:shd w:val="clear"/>
              <w:kinsoku/>
              <w:wordWrap/>
              <w:overflowPunct/>
              <w:topLinePunct w:val="0"/>
              <w:autoSpaceDE/>
              <w:autoSpaceDN/>
              <w:bidi w:val="0"/>
              <w:adjustRightInd w:val="0"/>
              <w:snapToGrid w:val="0"/>
              <w:ind w:leftChars="0" w:firstLine="482" w:firstLineChars="200"/>
              <w:jc w:val="both"/>
              <w:textAlignment w:val="auto"/>
              <w:rPr>
                <w:rFonts w:hint="default" w:ascii="Times New Roman" w:hAnsi="Times New Roman" w:eastAsia="宋体" w:cs="Times New Roman"/>
                <w:b/>
                <w:bCs/>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kern w:val="2"/>
                <w:sz w:val="24"/>
                <w:szCs w:val="24"/>
                <w:lang w:val="en-US" w:eastAsia="zh-CN" w:bidi="ar-SA"/>
                <w14:textFill>
                  <w14:solidFill>
                    <w14:schemeClr w14:val="tx1"/>
                  </w14:solidFill>
                </w14:textFill>
              </w:rPr>
              <w:t>3）</w:t>
            </w:r>
            <w:r>
              <w:rPr>
                <w:rFonts w:hint="default" w:ascii="Times New Roman" w:hAnsi="Times New Roman" w:eastAsia="宋体" w:cs="Times New Roman"/>
                <w:b/>
                <w:bCs/>
                <w:color w:val="000000" w:themeColor="text1"/>
                <w:highlight w:val="none"/>
                <w:lang w:val="en-US" w:eastAsia="zh-CN"/>
                <w14:textFill>
                  <w14:solidFill>
                    <w14:schemeClr w14:val="tx1"/>
                  </w14:solidFill>
                </w14:textFill>
              </w:rPr>
              <w:t>羊肚菌：</w:t>
            </w:r>
          </w:p>
          <w:p w14:paraId="372D2E9E">
            <w:pPr>
              <w:keepNext w:val="0"/>
              <w:keepLines w:val="0"/>
              <w:pageBreakBefore w:val="0"/>
              <w:widowControl w:val="0"/>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①地块选择​</w:t>
            </w:r>
          </w:p>
          <w:p w14:paraId="0D8A86BD">
            <w:pPr>
              <w:keepNext w:val="0"/>
              <w:keepLines w:val="0"/>
              <w:pageBreakBefore w:val="0"/>
              <w:widowControl w:val="0"/>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选疏松腐殖质沙壤土/壤土，忌黏重积水地；种前深翻、暴晒，每亩撒100</w:t>
            </w:r>
            <w:r>
              <w:rPr>
                <w:rFonts w:hint="eastAsia"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150kg生石灰消毒调酸。​</w:t>
            </w:r>
          </w:p>
          <w:p w14:paraId="7FCBB048">
            <w:pPr>
              <w:keepNext w:val="0"/>
              <w:keepLines w:val="0"/>
              <w:pageBreakBefore w:val="0"/>
              <w:widowControl w:val="0"/>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②种苗选择与定植</w:t>
            </w:r>
          </w:p>
          <w:p w14:paraId="00911410">
            <w:pPr>
              <w:keepNext w:val="0"/>
              <w:keepLines w:val="0"/>
              <w:pageBreakBefore w:val="0"/>
              <w:widowControl w:val="0"/>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品种：挑当地试种2年+、高产抗高温的认定品种。​</w:t>
            </w:r>
          </w:p>
          <w:p w14:paraId="3B7AF4FA">
            <w:pPr>
              <w:keepNext w:val="0"/>
              <w:keepLines w:val="0"/>
              <w:pageBreakBefore w:val="0"/>
              <w:widowControl w:val="0"/>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菌种：菌丝粗壮、无杂菌，符合NY/T1742标准；播种前1个月制种，培养基含水率</w:t>
            </w:r>
            <w:r>
              <w:rPr>
                <w:rFonts w:hint="eastAsia" w:ascii="Times New Roman" w:hAnsi="Times New Roman" w:cs="Times New Roman"/>
                <w:color w:val="000000" w:themeColor="text1"/>
                <w:lang w:val="en-US" w:eastAsia="zh-CN"/>
                <w14:textFill>
                  <w14:solidFill>
                    <w14:schemeClr w14:val="tx1"/>
                  </w14:solidFill>
                </w14:textFill>
              </w:rPr>
              <w:t>58%—62%</w:t>
            </w:r>
            <w:r>
              <w:rPr>
                <w:rFonts w:hint="default" w:ascii="Times New Roman" w:hAnsi="Times New Roman" w:eastAsia="宋体" w:cs="Times New Roman"/>
                <w:color w:val="000000" w:themeColor="text1"/>
                <w:lang w:val="en-US" w:eastAsia="zh-CN"/>
                <w14:textFill>
                  <w14:solidFill>
                    <w14:schemeClr w14:val="tx1"/>
                  </w14:solidFill>
                </w14:textFill>
              </w:rPr>
              <w:t>，灭菌后避光培养至出黄褐色菌核。​</w:t>
            </w:r>
          </w:p>
          <w:p w14:paraId="2D0AAADE">
            <w:pPr>
              <w:keepNext w:val="0"/>
              <w:keepLines w:val="0"/>
              <w:pageBreakBefore w:val="0"/>
              <w:widowControl w:val="0"/>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③水肥管理</w:t>
            </w:r>
          </w:p>
          <w:p w14:paraId="62C060E0">
            <w:pPr>
              <w:keepNext w:val="0"/>
              <w:keepLines w:val="0"/>
              <w:pageBreakBefore w:val="0"/>
              <w:widowControl w:val="0"/>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基肥：每亩混1500</w:t>
            </w:r>
            <w:r>
              <w:rPr>
                <w:rFonts w:hint="eastAsia"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2000kg腐熟农家肥（如牛粪）。​</w:t>
            </w:r>
          </w:p>
          <w:p w14:paraId="0AB7B44A">
            <w:pPr>
              <w:keepNext w:val="0"/>
              <w:keepLines w:val="0"/>
              <w:pageBreakBefore w:val="0"/>
              <w:widowControl w:val="0"/>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营养袋：播种后4</w:t>
            </w:r>
            <w:r>
              <w:rPr>
                <w:rFonts w:hint="eastAsia"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7天制袋（麦粒+玉米芯等），灭菌后贴土放（每亩2000-2500袋）。​</w:t>
            </w:r>
          </w:p>
          <w:p w14:paraId="014D6414">
            <w:pPr>
              <w:keepNext w:val="0"/>
              <w:keepLines w:val="0"/>
              <w:pageBreakBefore w:val="0"/>
              <w:widowControl w:val="0"/>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追肥：出菇期每7</w:t>
            </w:r>
            <w:r>
              <w:rPr>
                <w:rFonts w:hint="eastAsia"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10天喷1次磷钾营养液，适量补硼、锌肥。​</w:t>
            </w:r>
          </w:p>
          <w:p w14:paraId="4B1D7313">
            <w:pPr>
              <w:keepNext w:val="0"/>
              <w:keepLines w:val="0"/>
              <w:pageBreakBefore w:val="0"/>
              <w:widowControl w:val="0"/>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④病虫害防治​</w:t>
            </w:r>
          </w:p>
          <w:p w14:paraId="59F501C6">
            <w:pPr>
              <w:keepNext w:val="0"/>
              <w:keepLines w:val="0"/>
              <w:pageBreakBefore w:val="0"/>
              <w:widowControl w:val="0"/>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病害：主要防绿霉、根腐病，发现病株立即拔除，周边撒生石灰；避免土壤过湿，保持通风，降低棚内湿度。​</w:t>
            </w:r>
          </w:p>
          <w:p w14:paraId="3D644055">
            <w:pPr>
              <w:keepNext w:val="0"/>
              <w:keepLines w:val="0"/>
              <w:pageBreakBefore w:val="0"/>
              <w:widowControl w:val="0"/>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虫害：防蛴螬、跳虫，可在地块周围撒防虫网，或用苦参碱等生物农药喷施，忌用高毒农药。</w:t>
            </w:r>
          </w:p>
          <w:p w14:paraId="4B188CAD">
            <w:pPr>
              <w:keepNext w:val="0"/>
              <w:keepLines w:val="0"/>
              <w:pageBreakBefore w:val="0"/>
              <w:widowControl w:val="0"/>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⑤灌溉​</w:t>
            </w:r>
          </w:p>
          <w:p w14:paraId="7AE28D8C">
            <w:pPr>
              <w:keepNext w:val="0"/>
              <w:keepLines w:val="0"/>
              <w:pageBreakBefore w:val="0"/>
              <w:widowControl w:val="0"/>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播种前：预湿土壤。​</w:t>
            </w:r>
          </w:p>
          <w:p w14:paraId="6E67A20F">
            <w:pPr>
              <w:keepNext w:val="0"/>
              <w:keepLines w:val="0"/>
              <w:pageBreakBefore w:val="0"/>
              <w:widowControl w:val="0"/>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发菌期：浇重水湿透0-20厘米土层，后期保湿润，旱补水、雨排水。</w:t>
            </w:r>
          </w:p>
          <w:p w14:paraId="151F6CDA">
            <w:pPr>
              <w:keepNext w:val="0"/>
              <w:keepLines w:val="0"/>
              <w:pageBreakBefore w:val="0"/>
              <w:widowControl w:val="0"/>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出菇期：地温揭膜催菇，搭拱棚，</w:t>
            </w:r>
            <w:r>
              <w:rPr>
                <w:rFonts w:hint="eastAsia" w:ascii="Times New Roman" w:hAnsi="Times New Roman" w:cs="Times New Roman"/>
                <w:color w:val="000000" w:themeColor="text1"/>
                <w:lang w:val="en-US" w:eastAsia="zh-CN"/>
                <w14:textFill>
                  <w14:solidFill>
                    <w14:schemeClr w14:val="tx1"/>
                  </w14:solidFill>
                </w14:textFill>
              </w:rPr>
              <w:t>保持</w:t>
            </w:r>
            <w:r>
              <w:rPr>
                <w:rFonts w:hint="default" w:ascii="Times New Roman" w:hAnsi="Times New Roman" w:eastAsia="宋体" w:cs="Times New Roman"/>
                <w:color w:val="000000" w:themeColor="text1"/>
                <w:lang w:val="en-US" w:eastAsia="zh-CN"/>
                <w14:textFill>
                  <w14:solidFill>
                    <w14:schemeClr w14:val="tx1"/>
                  </w14:solidFill>
                </w14:textFill>
              </w:rPr>
              <w:t>空气湿度。</w:t>
            </w:r>
          </w:p>
          <w:p w14:paraId="2641CC21">
            <w:pPr>
              <w:keepNext w:val="0"/>
              <w:keepLines w:val="0"/>
              <w:pageBreakBefore w:val="0"/>
              <w:widowControl w:val="0"/>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转潮期：采完第一潮停喷水，再按出菇期管理。</w:t>
            </w:r>
          </w:p>
          <w:p w14:paraId="6889EAEE">
            <w:pPr>
              <w:keepNext w:val="0"/>
              <w:keepLines w:val="0"/>
              <w:pageBreakBefore w:val="0"/>
              <w:widowControl w:val="0"/>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⑥</w:t>
            </w:r>
            <w:r>
              <w:rPr>
                <w:rFonts w:hint="default" w:ascii="Times New Roman" w:hAnsi="Times New Roman" w:eastAsia="宋体" w:cs="Times New Roman"/>
                <w:color w:val="000000" w:themeColor="text1"/>
                <w14:textFill>
                  <w14:solidFill>
                    <w14:schemeClr w14:val="tx1"/>
                  </w14:solidFill>
                </w14:textFill>
              </w:rPr>
              <w:t>采收与加工</w:t>
            </w:r>
          </w:p>
          <w:p w14:paraId="5DD0347E">
            <w:pPr>
              <w:keepNext w:val="0"/>
              <w:keepLines w:val="0"/>
              <w:pageBreakBefore w:val="0"/>
              <w:widowControl w:val="0"/>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时机：子实体菌柄粗壮、菌盖充分展开但未老化时采摘。​</w:t>
            </w:r>
          </w:p>
          <w:p w14:paraId="21140E4E">
            <w:pPr>
              <w:keepNext w:val="0"/>
              <w:keepLines w:val="0"/>
              <w:pageBreakBefore w:val="0"/>
              <w:widowControl w:val="0"/>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方法：用手轻捏菌柄基部，旋转摘下，避免损伤周边菌丝和幼菇。​处理：采后及时剪去带泥菌柄，清理杂质，鲜销或晒干保存。</w:t>
            </w:r>
          </w:p>
          <w:p w14:paraId="7A275071">
            <w:pPr>
              <w:keepNext w:val="0"/>
              <w:keepLines w:val="0"/>
              <w:pageBreakBefore w:val="0"/>
              <w:widowControl w:val="0"/>
              <w:numPr>
                <w:ilvl w:val="0"/>
                <w:numId w:val="0"/>
              </w:numPr>
              <w:kinsoku/>
              <w:wordWrap/>
              <w:overflowPunct/>
              <w:topLinePunct w:val="0"/>
              <w:autoSpaceDE/>
              <w:autoSpaceDN/>
              <w:bidi w:val="0"/>
              <w:adjustRightInd w:val="0"/>
              <w:snapToGrid w:val="0"/>
              <w:ind w:left="0" w:leftChars="0" w:firstLine="482" w:firstLineChars="200"/>
              <w:jc w:val="both"/>
              <w:textAlignment w:val="auto"/>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kern w:val="2"/>
                <w:sz w:val="24"/>
                <w:szCs w:val="24"/>
                <w:lang w:val="en-US" w:eastAsia="zh-CN" w:bidi="ar-SA"/>
                <w14:textFill>
                  <w14:solidFill>
                    <w14:schemeClr w14:val="tx1"/>
                  </w14:solidFill>
                </w14:textFill>
              </w:rPr>
              <w:t>4）</w:t>
            </w:r>
            <w:r>
              <w:rPr>
                <w:rFonts w:hint="default" w:ascii="Times New Roman" w:hAnsi="Times New Roman" w:eastAsia="宋体" w:cs="Times New Roman"/>
                <w:b/>
                <w:bCs/>
                <w:color w:val="000000" w:themeColor="text1"/>
                <w:lang w:val="en-US" w:eastAsia="zh-CN"/>
                <w14:textFill>
                  <w14:solidFill>
                    <w14:schemeClr w14:val="tx1"/>
                  </w14:solidFill>
                </w14:textFill>
              </w:rPr>
              <w:t>桃树、苹果树：</w:t>
            </w:r>
          </w:p>
          <w:p w14:paraId="2F66CF83">
            <w:pPr>
              <w:keepNext w:val="0"/>
              <w:keepLines w:val="0"/>
              <w:pageBreakBefore w:val="0"/>
              <w:widowControl w:val="0"/>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eastAsia="宋体" w:cs="Times New Roman"/>
                <w:i w:val="0"/>
                <w:iCs w:val="0"/>
                <w:caps w:val="0"/>
                <w:color w:val="000000" w:themeColor="text1"/>
                <w:spacing w:val="0"/>
                <w:sz w:val="24"/>
                <w:szCs w:val="24"/>
                <w:shd w:val="clear" w:fill="FFFFFF"/>
                <w14:textFill>
                  <w14:solidFill>
                    <w14:schemeClr w14:val="tx1"/>
                  </w14:solidFill>
                </w14:textFill>
              </w:rPr>
            </w:pPr>
            <w:r>
              <w:rPr>
                <w:rFonts w:hint="default" w:ascii="Times New Roman" w:hAnsi="Times New Roman" w:eastAsia="宋体" w:cs="Times New Roman"/>
                <w:i w:val="0"/>
                <w:iCs w:val="0"/>
                <w:caps w:val="0"/>
                <w:color w:val="000000" w:themeColor="text1"/>
                <w:spacing w:val="0"/>
                <w:sz w:val="24"/>
                <w:szCs w:val="24"/>
                <w:shd w:val="clear" w:fill="FFFFFF"/>
                <w14:textFill>
                  <w14:solidFill>
                    <w14:schemeClr w14:val="tx1"/>
                  </w14:solidFill>
                </w14:textFill>
              </w:rPr>
              <w:t>①品种选择​</w:t>
            </w:r>
          </w:p>
          <w:p w14:paraId="712C91FA">
            <w:pPr>
              <w:keepNext w:val="0"/>
              <w:keepLines w:val="0"/>
              <w:pageBreakBefore w:val="0"/>
              <w:widowControl w:val="0"/>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eastAsia="宋体" w:cs="Times New Roman"/>
                <w:i w:val="0"/>
                <w:iCs w:val="0"/>
                <w:caps w:val="0"/>
                <w:color w:val="000000" w:themeColor="text1"/>
                <w:spacing w:val="0"/>
                <w:sz w:val="24"/>
                <w:szCs w:val="24"/>
                <w:shd w:val="clear" w:fill="FFFFFF"/>
                <w:lang w:eastAsia="zh-CN"/>
                <w14:textFill>
                  <w14:solidFill>
                    <w14:schemeClr w14:val="tx1"/>
                  </w14:solidFill>
                </w14:textFill>
              </w:rPr>
            </w:pPr>
            <w:r>
              <w:rPr>
                <w:rFonts w:hint="default" w:ascii="Times New Roman" w:hAnsi="Times New Roman" w:eastAsia="宋体" w:cs="Times New Roman"/>
                <w:i w:val="0"/>
                <w:iCs w:val="0"/>
                <w:caps w:val="0"/>
                <w:color w:val="000000" w:themeColor="text1"/>
                <w:spacing w:val="0"/>
                <w:sz w:val="24"/>
                <w:szCs w:val="24"/>
                <w:shd w:val="clear" w:fill="FFFFFF"/>
                <w14:textFill>
                  <w14:solidFill>
                    <w14:schemeClr w14:val="tx1"/>
                  </w14:solidFill>
                </w14:textFill>
              </w:rPr>
              <w:t>主选早熟品种：选抗炭疽病、流胶病品种，6-7月成熟，避开其他作物采收高峰，便于用工调配</w:t>
            </w:r>
            <w:r>
              <w:rPr>
                <w:rFonts w:hint="default" w:ascii="Times New Roman" w:hAnsi="Times New Roman" w:eastAsia="宋体" w:cs="Times New Roman"/>
                <w:i w:val="0"/>
                <w:iCs w:val="0"/>
                <w:caps w:val="0"/>
                <w:color w:val="000000" w:themeColor="text1"/>
                <w:spacing w:val="0"/>
                <w:sz w:val="24"/>
                <w:szCs w:val="24"/>
                <w:shd w:val="clear" w:fill="FFFFFF"/>
                <w:lang w:eastAsia="zh-CN"/>
                <w14:textFill>
                  <w14:solidFill>
                    <w14:schemeClr w14:val="tx1"/>
                  </w14:solidFill>
                </w14:textFill>
              </w:rPr>
              <w:t>。</w:t>
            </w:r>
          </w:p>
          <w:p w14:paraId="75457B31">
            <w:pPr>
              <w:keepNext w:val="0"/>
              <w:keepLines w:val="0"/>
              <w:pageBreakBefore w:val="0"/>
              <w:widowControl w:val="0"/>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eastAsia="宋体" w:cs="Times New Roman"/>
                <w:i w:val="0"/>
                <w:iCs w:val="0"/>
                <w:caps w:val="0"/>
                <w:color w:val="000000" w:themeColor="text1"/>
                <w:spacing w:val="0"/>
                <w:sz w:val="24"/>
                <w:szCs w:val="24"/>
                <w:shd w:val="clear" w:fill="FFFFFF"/>
                <w14:textFill>
                  <w14:solidFill>
                    <w14:schemeClr w14:val="tx1"/>
                  </w14:solidFill>
                </w14:textFill>
              </w:rPr>
            </w:pPr>
            <w:r>
              <w:rPr>
                <w:rFonts w:hint="default" w:ascii="Times New Roman" w:hAnsi="Times New Roman" w:eastAsia="宋体" w:cs="Times New Roman"/>
                <w:i w:val="0"/>
                <w:iCs w:val="0"/>
                <w:caps w:val="0"/>
                <w:color w:val="000000" w:themeColor="text1"/>
                <w:spacing w:val="0"/>
                <w:sz w:val="24"/>
                <w:szCs w:val="24"/>
                <w:shd w:val="clear" w:fill="FFFFFF"/>
                <w14:textFill>
                  <w14:solidFill>
                    <w14:schemeClr w14:val="tx1"/>
                  </w14:solidFill>
                </w14:textFill>
              </w:rPr>
              <w:t>②定植规划​</w:t>
            </w:r>
          </w:p>
          <w:p w14:paraId="6AB1B64E">
            <w:pPr>
              <w:keepNext w:val="0"/>
              <w:keepLines w:val="0"/>
              <w:pageBreakBefore w:val="0"/>
              <w:widowControl w:val="0"/>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eastAsia="宋体" w:cs="Times New Roman"/>
                <w:i w:val="0"/>
                <w:iCs w:val="0"/>
                <w:caps w:val="0"/>
                <w:color w:val="000000" w:themeColor="text1"/>
                <w:spacing w:val="0"/>
                <w:sz w:val="24"/>
                <w:szCs w:val="24"/>
                <w:shd w:val="clear" w:fill="FFFFFF"/>
                <w14:textFill>
                  <w14:solidFill>
                    <w14:schemeClr w14:val="tx1"/>
                  </w14:solidFill>
                </w14:textFill>
              </w:rPr>
            </w:pPr>
            <w:r>
              <w:rPr>
                <w:rFonts w:hint="default" w:ascii="Times New Roman" w:hAnsi="Times New Roman" w:eastAsia="宋体" w:cs="Times New Roman"/>
                <w:i w:val="0"/>
                <w:iCs w:val="0"/>
                <w:caps w:val="0"/>
                <w:color w:val="000000" w:themeColor="text1"/>
                <w:spacing w:val="0"/>
                <w:sz w:val="24"/>
                <w:szCs w:val="24"/>
                <w:shd w:val="clear" w:fill="FFFFFF"/>
                <w14:textFill>
                  <w14:solidFill>
                    <w14:schemeClr w14:val="tx1"/>
                  </w14:solidFill>
                </w14:textFill>
              </w:rPr>
              <w:t>选址：光照足、排水好，距蓝莓区≥50m（</w:t>
            </w:r>
            <w:r>
              <w:rPr>
                <w:rFonts w:hint="eastAsia" w:ascii="Times New Roman" w:hAnsi="Times New Roman" w:cs="Times New Roman"/>
                <w:i w:val="0"/>
                <w:iCs w:val="0"/>
                <w:caps w:val="0"/>
                <w:color w:val="000000" w:themeColor="text1"/>
                <w:spacing w:val="0"/>
                <w:sz w:val="24"/>
                <w:szCs w:val="24"/>
                <w:shd w:val="clear" w:fill="FFFFFF"/>
                <w:lang w:eastAsia="zh-CN"/>
                <w14:textFill>
                  <w14:solidFill>
                    <w14:schemeClr w14:val="tx1"/>
                  </w14:solidFill>
                </w14:textFill>
              </w:rPr>
              <w:t>避免</w:t>
            </w:r>
            <w:r>
              <w:rPr>
                <w:rFonts w:hint="default" w:ascii="Times New Roman" w:hAnsi="Times New Roman" w:eastAsia="宋体" w:cs="Times New Roman"/>
                <w:i w:val="0"/>
                <w:iCs w:val="0"/>
                <w:caps w:val="0"/>
                <w:color w:val="000000" w:themeColor="text1"/>
                <w:spacing w:val="0"/>
                <w:sz w:val="24"/>
                <w:szCs w:val="24"/>
                <w:shd w:val="clear" w:fill="FFFFFF"/>
                <w14:textFill>
                  <w14:solidFill>
                    <w14:schemeClr w14:val="tx1"/>
                  </w14:solidFill>
                </w14:textFill>
              </w:rPr>
              <w:t>土壤pH影响），忌低洼积水；​</w:t>
            </w:r>
          </w:p>
          <w:p w14:paraId="6C2BAEC0">
            <w:pPr>
              <w:keepNext w:val="0"/>
              <w:keepLines w:val="0"/>
              <w:pageBreakBefore w:val="0"/>
              <w:widowControl w:val="0"/>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eastAsia="宋体" w:cs="Times New Roman"/>
                <w:i w:val="0"/>
                <w:iCs w:val="0"/>
                <w:caps w:val="0"/>
                <w:color w:val="000000" w:themeColor="text1"/>
                <w:spacing w:val="0"/>
                <w:sz w:val="24"/>
                <w:szCs w:val="24"/>
                <w:shd w:val="clear" w:fill="FFFFFF"/>
                <w14:textFill>
                  <w14:solidFill>
                    <w14:schemeClr w14:val="tx1"/>
                  </w14:solidFill>
                </w14:textFill>
              </w:rPr>
            </w:pPr>
            <w:r>
              <w:rPr>
                <w:rFonts w:hint="default" w:ascii="Times New Roman" w:hAnsi="Times New Roman" w:eastAsia="宋体" w:cs="Times New Roman"/>
                <w:i w:val="0"/>
                <w:iCs w:val="0"/>
                <w:caps w:val="0"/>
                <w:color w:val="000000" w:themeColor="text1"/>
                <w:spacing w:val="0"/>
                <w:sz w:val="24"/>
                <w:szCs w:val="24"/>
                <w:shd w:val="clear" w:fill="FFFFFF"/>
                <w14:textFill>
                  <w14:solidFill>
                    <w14:schemeClr w14:val="tx1"/>
                  </w14:solidFill>
                </w14:textFill>
              </w:rPr>
              <w:t>土改：亩施腐熟羊粪500kg+硫酸钾复合肥50kg，深耕30</w:t>
            </w:r>
            <w:r>
              <w:rPr>
                <w:rFonts w:hint="eastAsia" w:ascii="Times New Roman" w:hAnsi="Times New Roman" w:cs="Times New Roman"/>
                <w:i w:val="0"/>
                <w:iCs w:val="0"/>
                <w:caps w:val="0"/>
                <w:color w:val="000000" w:themeColor="text1"/>
                <w:spacing w:val="0"/>
                <w:sz w:val="24"/>
                <w:szCs w:val="24"/>
                <w:shd w:val="clear" w:fill="FFFFFF"/>
                <w:lang w:eastAsia="zh-CN"/>
                <w14:textFill>
                  <w14:solidFill>
                    <w14:schemeClr w14:val="tx1"/>
                  </w14:solidFill>
                </w14:textFill>
              </w:rPr>
              <w:t>—</w:t>
            </w:r>
            <w:r>
              <w:rPr>
                <w:rFonts w:hint="default" w:ascii="Times New Roman" w:hAnsi="Times New Roman" w:eastAsia="宋体" w:cs="Times New Roman"/>
                <w:i w:val="0"/>
                <w:iCs w:val="0"/>
                <w:caps w:val="0"/>
                <w:color w:val="000000" w:themeColor="text1"/>
                <w:spacing w:val="0"/>
                <w:sz w:val="24"/>
                <w:szCs w:val="24"/>
                <w:shd w:val="clear" w:fill="FFFFFF"/>
                <w14:textFill>
                  <w14:solidFill>
                    <w14:schemeClr w14:val="tx1"/>
                  </w14:solidFill>
                </w14:textFill>
              </w:rPr>
              <w:t>40cm，调pH6.0-7.0（偏酸加生石灰）；​</w:t>
            </w:r>
          </w:p>
          <w:p w14:paraId="071E3F53">
            <w:pPr>
              <w:keepNext w:val="0"/>
              <w:keepLines w:val="0"/>
              <w:pageBreakBefore w:val="0"/>
              <w:widowControl w:val="0"/>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eastAsia="宋体" w:cs="Times New Roman"/>
                <w:i w:val="0"/>
                <w:iCs w:val="0"/>
                <w:caps w:val="0"/>
                <w:color w:val="000000" w:themeColor="text1"/>
                <w:spacing w:val="0"/>
                <w:sz w:val="24"/>
                <w:szCs w:val="24"/>
                <w:shd w:val="clear" w:fill="FFFFFF"/>
                <w14:textFill>
                  <w14:solidFill>
                    <w14:schemeClr w14:val="tx1"/>
                  </w14:solidFill>
                </w14:textFill>
              </w:rPr>
            </w:pPr>
            <w:r>
              <w:rPr>
                <w:rFonts w:hint="default" w:ascii="Times New Roman" w:hAnsi="Times New Roman" w:eastAsia="宋体" w:cs="Times New Roman"/>
                <w:i w:val="0"/>
                <w:iCs w:val="0"/>
                <w:caps w:val="0"/>
                <w:color w:val="000000" w:themeColor="text1"/>
                <w:spacing w:val="0"/>
                <w:sz w:val="24"/>
                <w:szCs w:val="24"/>
                <w:shd w:val="clear" w:fill="FFFFFF"/>
                <w14:textFill>
                  <w14:solidFill>
                    <w14:schemeClr w14:val="tx1"/>
                  </w14:solidFill>
                </w14:textFill>
              </w:rPr>
              <w:t>布局：株行距3m×4m，定植约225株（含10%备用苗），南北向种植，行间留1.2m作业道；​</w:t>
            </w:r>
          </w:p>
          <w:p w14:paraId="603EE4BD">
            <w:pPr>
              <w:keepNext w:val="0"/>
              <w:keepLines w:val="0"/>
              <w:pageBreakBefore w:val="0"/>
              <w:widowControl w:val="0"/>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eastAsia="宋体" w:cs="Times New Roman"/>
                <w:i w:val="0"/>
                <w:iCs w:val="0"/>
                <w:caps w:val="0"/>
                <w:color w:val="000000" w:themeColor="text1"/>
                <w:spacing w:val="0"/>
                <w:sz w:val="24"/>
                <w:szCs w:val="24"/>
                <w:shd w:val="clear" w:fill="FFFFFF"/>
                <w14:textFill>
                  <w14:solidFill>
                    <w14:schemeClr w14:val="tx1"/>
                  </w14:solidFill>
                </w14:textFill>
              </w:rPr>
            </w:pPr>
            <w:r>
              <w:rPr>
                <w:rFonts w:hint="default" w:ascii="Times New Roman" w:hAnsi="Times New Roman" w:eastAsia="宋体" w:cs="Times New Roman"/>
                <w:i w:val="0"/>
                <w:iCs w:val="0"/>
                <w:caps w:val="0"/>
                <w:color w:val="000000" w:themeColor="text1"/>
                <w:spacing w:val="0"/>
                <w:sz w:val="24"/>
                <w:szCs w:val="24"/>
                <w:shd w:val="clear" w:fill="FFFFFF"/>
                <w14:textFill>
                  <w14:solidFill>
                    <w14:schemeClr w14:val="tx1"/>
                  </w14:solidFill>
                </w14:textFill>
              </w:rPr>
              <w:t>定植：挖60cm穴铺20cm秸秆，苗（地径≥1cm、株高≥80cm）栽后浇定根水，堆30cm土堆防倒。</w:t>
            </w:r>
          </w:p>
          <w:p w14:paraId="4375A543">
            <w:pPr>
              <w:keepNext w:val="0"/>
              <w:keepLines w:val="0"/>
              <w:pageBreakBefore w:val="0"/>
              <w:widowControl w:val="0"/>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eastAsia="宋体" w:cs="Times New Roman"/>
                <w:i w:val="0"/>
                <w:iCs w:val="0"/>
                <w:caps w:val="0"/>
                <w:color w:val="000000" w:themeColor="text1"/>
                <w:spacing w:val="0"/>
                <w:sz w:val="24"/>
                <w:szCs w:val="24"/>
                <w:shd w:val="clear" w:fill="FFFFFF"/>
                <w14:textFill>
                  <w14:solidFill>
                    <w14:schemeClr w14:val="tx1"/>
                  </w14:solidFill>
                </w14:textFill>
              </w:rPr>
            </w:pPr>
            <w:r>
              <w:rPr>
                <w:rFonts w:hint="default" w:ascii="Times New Roman" w:hAnsi="Times New Roman" w:eastAsia="宋体" w:cs="Times New Roman"/>
                <w:i w:val="0"/>
                <w:iCs w:val="0"/>
                <w:caps w:val="0"/>
                <w:color w:val="000000" w:themeColor="text1"/>
                <w:spacing w:val="0"/>
                <w:sz w:val="24"/>
                <w:szCs w:val="24"/>
                <w:shd w:val="clear" w:fill="FFFFFF"/>
                <w14:textFill>
                  <w14:solidFill>
                    <w14:schemeClr w14:val="tx1"/>
                  </w14:solidFill>
                </w14:textFill>
              </w:rPr>
              <w:t>③生长期管理​</w:t>
            </w:r>
          </w:p>
          <w:p w14:paraId="7072CCCC">
            <w:pPr>
              <w:keepNext w:val="0"/>
              <w:keepLines w:val="0"/>
              <w:pageBreakBefore w:val="0"/>
              <w:widowControl w:val="0"/>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eastAsia="宋体" w:cs="Times New Roman"/>
                <w:i w:val="0"/>
                <w:iCs w:val="0"/>
                <w:caps w:val="0"/>
                <w:color w:val="000000" w:themeColor="text1"/>
                <w:spacing w:val="0"/>
                <w:sz w:val="24"/>
                <w:szCs w:val="24"/>
                <w:shd w:val="clear" w:fill="FFFFFF"/>
                <w14:textFill>
                  <w14:solidFill>
                    <w14:schemeClr w14:val="tx1"/>
                  </w14:solidFill>
                </w14:textFill>
              </w:rPr>
            </w:pPr>
            <w:r>
              <w:rPr>
                <w:rFonts w:hint="default" w:ascii="Times New Roman" w:hAnsi="Times New Roman" w:eastAsia="宋体" w:cs="Times New Roman"/>
                <w:i w:val="0"/>
                <w:iCs w:val="0"/>
                <w:caps w:val="0"/>
                <w:color w:val="000000" w:themeColor="text1"/>
                <w:spacing w:val="0"/>
                <w:sz w:val="24"/>
                <w:szCs w:val="24"/>
                <w:shd w:val="clear" w:fill="FFFFFF"/>
                <w14:textFill>
                  <w14:solidFill>
                    <w14:schemeClr w14:val="tx1"/>
                  </w14:solidFill>
                </w14:textFill>
              </w:rPr>
              <w:t>幼树期（1</w:t>
            </w:r>
            <w:r>
              <w:rPr>
                <w:rFonts w:hint="eastAsia" w:ascii="Times New Roman" w:hAnsi="Times New Roman" w:cs="Times New Roman"/>
                <w:i w:val="0"/>
                <w:iCs w:val="0"/>
                <w:caps w:val="0"/>
                <w:color w:val="000000" w:themeColor="text1"/>
                <w:spacing w:val="0"/>
                <w:sz w:val="24"/>
                <w:szCs w:val="24"/>
                <w:shd w:val="clear" w:fill="FFFFFF"/>
                <w:lang w:eastAsia="zh-CN"/>
                <w14:textFill>
                  <w14:solidFill>
                    <w14:schemeClr w14:val="tx1"/>
                  </w14:solidFill>
                </w14:textFill>
              </w:rPr>
              <w:t>—</w:t>
            </w:r>
            <w:r>
              <w:rPr>
                <w:rFonts w:hint="default" w:ascii="Times New Roman" w:hAnsi="Times New Roman" w:eastAsia="宋体" w:cs="Times New Roman"/>
                <w:i w:val="0"/>
                <w:iCs w:val="0"/>
                <w:caps w:val="0"/>
                <w:color w:val="000000" w:themeColor="text1"/>
                <w:spacing w:val="0"/>
                <w:sz w:val="24"/>
                <w:szCs w:val="24"/>
                <w:shd w:val="clear" w:fill="FFFFFF"/>
                <w14:textFill>
                  <w14:solidFill>
                    <w14:schemeClr w14:val="tx1"/>
                  </w14:solidFill>
                </w14:textFill>
              </w:rPr>
              <w:t>2年）：​</w:t>
            </w:r>
          </w:p>
          <w:p w14:paraId="3BF3CF83">
            <w:pPr>
              <w:keepNext w:val="0"/>
              <w:keepLines w:val="0"/>
              <w:pageBreakBefore w:val="0"/>
              <w:widowControl w:val="0"/>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eastAsia="宋体" w:cs="Times New Roman"/>
                <w:i w:val="0"/>
                <w:iCs w:val="0"/>
                <w:caps w:val="0"/>
                <w:color w:val="000000" w:themeColor="text1"/>
                <w:spacing w:val="0"/>
                <w:sz w:val="24"/>
                <w:szCs w:val="24"/>
                <w:shd w:val="clear" w:fill="FFFFFF"/>
                <w14:textFill>
                  <w14:solidFill>
                    <w14:schemeClr w14:val="tx1"/>
                  </w14:solidFill>
                </w14:textFill>
              </w:rPr>
            </w:pPr>
            <w:r>
              <w:rPr>
                <w:rFonts w:hint="default" w:ascii="Times New Roman" w:hAnsi="Times New Roman" w:eastAsia="宋体" w:cs="Times New Roman"/>
                <w:i w:val="0"/>
                <w:iCs w:val="0"/>
                <w:caps w:val="0"/>
                <w:color w:val="000000" w:themeColor="text1"/>
                <w:spacing w:val="0"/>
                <w:sz w:val="24"/>
                <w:szCs w:val="24"/>
                <w:shd w:val="clear" w:fill="FFFFFF"/>
                <w14:textFill>
                  <w14:solidFill>
                    <w14:schemeClr w14:val="tx1"/>
                  </w14:solidFill>
                </w14:textFill>
              </w:rPr>
              <w:t>修剪：定干60</w:t>
            </w:r>
            <w:r>
              <w:rPr>
                <w:rFonts w:hint="eastAsia" w:ascii="Times New Roman" w:hAnsi="Times New Roman" w:cs="Times New Roman"/>
                <w:i w:val="0"/>
                <w:iCs w:val="0"/>
                <w:caps w:val="0"/>
                <w:color w:val="000000" w:themeColor="text1"/>
                <w:spacing w:val="0"/>
                <w:sz w:val="24"/>
                <w:szCs w:val="24"/>
                <w:shd w:val="clear" w:fill="FFFFFF"/>
                <w:lang w:eastAsia="zh-CN"/>
                <w14:textFill>
                  <w14:solidFill>
                    <w14:schemeClr w14:val="tx1"/>
                  </w14:solidFill>
                </w14:textFill>
              </w:rPr>
              <w:t>—</w:t>
            </w:r>
            <w:r>
              <w:rPr>
                <w:rFonts w:hint="default" w:ascii="Times New Roman" w:hAnsi="Times New Roman" w:eastAsia="宋体" w:cs="Times New Roman"/>
                <w:i w:val="0"/>
                <w:iCs w:val="0"/>
                <w:caps w:val="0"/>
                <w:color w:val="000000" w:themeColor="text1"/>
                <w:spacing w:val="0"/>
                <w:sz w:val="24"/>
                <w:szCs w:val="24"/>
                <w:shd w:val="clear" w:fill="FFFFFF"/>
                <w14:textFill>
                  <w14:solidFill>
                    <w14:schemeClr w14:val="tx1"/>
                  </w14:solidFill>
                </w14:textFill>
              </w:rPr>
              <w:t>70cm，留3-4主枝；​</w:t>
            </w:r>
          </w:p>
          <w:p w14:paraId="4547F18A">
            <w:pPr>
              <w:keepNext w:val="0"/>
              <w:keepLines w:val="0"/>
              <w:pageBreakBefore w:val="0"/>
              <w:widowControl w:val="0"/>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eastAsia="宋体" w:cs="Times New Roman"/>
                <w:i w:val="0"/>
                <w:iCs w:val="0"/>
                <w:caps w:val="0"/>
                <w:color w:val="000000" w:themeColor="text1"/>
                <w:spacing w:val="0"/>
                <w:sz w:val="24"/>
                <w:szCs w:val="24"/>
                <w:shd w:val="clear" w:fill="FFFFFF"/>
                <w14:textFill>
                  <w14:solidFill>
                    <w14:schemeClr w14:val="tx1"/>
                  </w14:solidFill>
                </w14:textFill>
              </w:rPr>
            </w:pPr>
            <w:r>
              <w:rPr>
                <w:rFonts w:hint="default" w:ascii="Times New Roman" w:hAnsi="Times New Roman" w:eastAsia="宋体" w:cs="Times New Roman"/>
                <w:i w:val="0"/>
                <w:iCs w:val="0"/>
                <w:caps w:val="0"/>
                <w:color w:val="000000" w:themeColor="text1"/>
                <w:spacing w:val="0"/>
                <w:sz w:val="24"/>
                <w:szCs w:val="24"/>
                <w:shd w:val="clear" w:fill="FFFFFF"/>
                <w14:textFill>
                  <w14:solidFill>
                    <w14:schemeClr w14:val="tx1"/>
                  </w14:solidFill>
                </w14:textFill>
              </w:rPr>
              <w:t>水肥：春萌后月施0.3%尿素水，秋施饼肥50kg/亩，保土湿60%。</w:t>
            </w:r>
          </w:p>
          <w:p w14:paraId="44332E36">
            <w:pPr>
              <w:keepNext w:val="0"/>
              <w:keepLines w:val="0"/>
              <w:pageBreakBefore w:val="0"/>
              <w:widowControl w:val="0"/>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eastAsia="宋体" w:cs="Times New Roman"/>
                <w:i w:val="0"/>
                <w:iCs w:val="0"/>
                <w:caps w:val="0"/>
                <w:color w:val="000000" w:themeColor="text1"/>
                <w:spacing w:val="0"/>
                <w:sz w:val="24"/>
                <w:szCs w:val="24"/>
                <w:shd w:val="clear" w:fill="FFFFFF"/>
                <w14:textFill>
                  <w14:solidFill>
                    <w14:schemeClr w14:val="tx1"/>
                  </w14:solidFill>
                </w14:textFill>
              </w:rPr>
            </w:pPr>
            <w:r>
              <w:rPr>
                <w:rFonts w:hint="default" w:ascii="Times New Roman" w:hAnsi="Times New Roman" w:eastAsia="宋体" w:cs="Times New Roman"/>
                <w:i w:val="0"/>
                <w:iCs w:val="0"/>
                <w:caps w:val="0"/>
                <w:color w:val="000000" w:themeColor="text1"/>
                <w:spacing w:val="0"/>
                <w:sz w:val="24"/>
                <w:szCs w:val="24"/>
                <w:shd w:val="clear" w:fill="FFFFFF"/>
                <w14:textFill>
                  <w14:solidFill>
                    <w14:schemeClr w14:val="tx1"/>
                  </w14:solidFill>
                </w14:textFill>
              </w:rPr>
              <w:t>花期（3-4月）：疏弱花（留2</w:t>
            </w:r>
            <w:r>
              <w:rPr>
                <w:rFonts w:hint="eastAsia" w:ascii="Times New Roman" w:hAnsi="Times New Roman" w:cs="Times New Roman"/>
                <w:i w:val="0"/>
                <w:iCs w:val="0"/>
                <w:caps w:val="0"/>
                <w:color w:val="000000" w:themeColor="text1"/>
                <w:spacing w:val="0"/>
                <w:sz w:val="24"/>
                <w:szCs w:val="24"/>
                <w:shd w:val="clear" w:fill="FFFFFF"/>
                <w:lang w:eastAsia="zh-CN"/>
                <w14:textFill>
                  <w14:solidFill>
                    <w14:schemeClr w14:val="tx1"/>
                  </w14:solidFill>
                </w14:textFill>
              </w:rPr>
              <w:t>—</w:t>
            </w:r>
            <w:r>
              <w:rPr>
                <w:rFonts w:hint="default" w:ascii="Times New Roman" w:hAnsi="Times New Roman" w:eastAsia="宋体" w:cs="Times New Roman"/>
                <w:i w:val="0"/>
                <w:iCs w:val="0"/>
                <w:caps w:val="0"/>
                <w:color w:val="000000" w:themeColor="text1"/>
                <w:spacing w:val="0"/>
                <w:sz w:val="24"/>
                <w:szCs w:val="24"/>
                <w:shd w:val="clear" w:fill="FFFFFF"/>
                <w14:textFill>
                  <w14:solidFill>
                    <w14:schemeClr w14:val="tx1"/>
                  </w14:solidFill>
                </w14:textFill>
              </w:rPr>
              <w:t>3朵/枝），阴雨天人工授粉或放蜂；</w:t>
            </w:r>
          </w:p>
          <w:p w14:paraId="42FBCF0F">
            <w:pPr>
              <w:keepNext w:val="0"/>
              <w:keepLines w:val="0"/>
              <w:pageBreakBefore w:val="0"/>
              <w:widowControl w:val="0"/>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eastAsia="宋体" w:cs="Times New Roman"/>
                <w:i w:val="0"/>
                <w:iCs w:val="0"/>
                <w:caps w:val="0"/>
                <w:color w:val="000000" w:themeColor="text1"/>
                <w:spacing w:val="0"/>
                <w:sz w:val="24"/>
                <w:szCs w:val="24"/>
                <w:shd w:val="clear" w:fill="FFFFFF"/>
                <w14:textFill>
                  <w14:solidFill>
                    <w14:schemeClr w14:val="tx1"/>
                  </w14:solidFill>
                </w14:textFill>
              </w:rPr>
            </w:pPr>
            <w:r>
              <w:rPr>
                <w:rFonts w:hint="default" w:ascii="Times New Roman" w:hAnsi="Times New Roman" w:eastAsia="宋体" w:cs="Times New Roman"/>
                <w:i w:val="0"/>
                <w:iCs w:val="0"/>
                <w:caps w:val="0"/>
                <w:color w:val="000000" w:themeColor="text1"/>
                <w:spacing w:val="0"/>
                <w:sz w:val="24"/>
                <w:szCs w:val="24"/>
                <w:shd w:val="clear" w:fill="FFFFFF"/>
                <w14:textFill>
                  <w14:solidFill>
                    <w14:schemeClr w14:val="tx1"/>
                  </w14:solidFill>
                </w14:textFill>
              </w:rPr>
              <w:t>膨果期（5-6月）：疏小/畸果（留1</w:t>
            </w:r>
            <w:r>
              <w:rPr>
                <w:rFonts w:hint="eastAsia" w:ascii="Times New Roman" w:hAnsi="Times New Roman" w:cs="Times New Roman"/>
                <w:i w:val="0"/>
                <w:iCs w:val="0"/>
                <w:caps w:val="0"/>
                <w:color w:val="000000" w:themeColor="text1"/>
                <w:spacing w:val="0"/>
                <w:sz w:val="24"/>
                <w:szCs w:val="24"/>
                <w:shd w:val="clear" w:fill="FFFFFF"/>
                <w:lang w:eastAsia="zh-CN"/>
                <w14:textFill>
                  <w14:solidFill>
                    <w14:schemeClr w14:val="tx1"/>
                  </w14:solidFill>
                </w14:textFill>
              </w:rPr>
              <w:t>—</w:t>
            </w:r>
            <w:r>
              <w:rPr>
                <w:rFonts w:hint="default" w:ascii="Times New Roman" w:hAnsi="Times New Roman" w:eastAsia="宋体" w:cs="Times New Roman"/>
                <w:i w:val="0"/>
                <w:iCs w:val="0"/>
                <w:caps w:val="0"/>
                <w:color w:val="000000" w:themeColor="text1"/>
                <w:spacing w:val="0"/>
                <w:sz w:val="24"/>
                <w:szCs w:val="24"/>
                <w:shd w:val="clear" w:fill="FFFFFF"/>
                <w14:textFill>
                  <w14:solidFill>
                    <w14:schemeClr w14:val="tx1"/>
                  </w14:solidFill>
                </w14:textFill>
              </w:rPr>
              <w:t>2个/枝），亩施高钾复合肥50kg（分2次），叶面喷磷二氢钾2</w:t>
            </w:r>
            <w:r>
              <w:rPr>
                <w:rFonts w:hint="eastAsia" w:ascii="Times New Roman" w:hAnsi="Times New Roman" w:cs="Times New Roman"/>
                <w:i w:val="0"/>
                <w:iCs w:val="0"/>
                <w:caps w:val="0"/>
                <w:color w:val="000000" w:themeColor="text1"/>
                <w:spacing w:val="0"/>
                <w:sz w:val="24"/>
                <w:szCs w:val="24"/>
                <w:shd w:val="clear" w:fill="FFFFFF"/>
                <w:lang w:eastAsia="zh-CN"/>
                <w14:textFill>
                  <w14:solidFill>
                    <w14:schemeClr w14:val="tx1"/>
                  </w14:solidFill>
                </w14:textFill>
              </w:rPr>
              <w:t>—</w:t>
            </w:r>
            <w:r>
              <w:rPr>
                <w:rFonts w:hint="default" w:ascii="Times New Roman" w:hAnsi="Times New Roman" w:eastAsia="宋体" w:cs="Times New Roman"/>
                <w:i w:val="0"/>
                <w:iCs w:val="0"/>
                <w:caps w:val="0"/>
                <w:color w:val="000000" w:themeColor="text1"/>
                <w:spacing w:val="0"/>
                <w:sz w:val="24"/>
                <w:szCs w:val="24"/>
                <w:shd w:val="clear" w:fill="FFFFFF"/>
                <w14:textFill>
                  <w14:solidFill>
                    <w14:schemeClr w14:val="tx1"/>
                  </w14:solidFill>
                </w14:textFill>
              </w:rPr>
              <w:t>3次；​</w:t>
            </w:r>
          </w:p>
          <w:p w14:paraId="7400DE96">
            <w:pPr>
              <w:keepNext w:val="0"/>
              <w:keepLines w:val="0"/>
              <w:pageBreakBefore w:val="0"/>
              <w:widowControl w:val="0"/>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eastAsia="宋体" w:cs="Times New Roman"/>
                <w:i w:val="0"/>
                <w:iCs w:val="0"/>
                <w:caps w:val="0"/>
                <w:color w:val="000000" w:themeColor="text1"/>
                <w:spacing w:val="0"/>
                <w:sz w:val="24"/>
                <w:szCs w:val="24"/>
                <w:shd w:val="clear" w:fill="FFFFFF"/>
                <w14:textFill>
                  <w14:solidFill>
                    <w14:schemeClr w14:val="tx1"/>
                  </w14:solidFill>
                </w14:textFill>
              </w:rPr>
            </w:pPr>
            <w:r>
              <w:rPr>
                <w:rFonts w:hint="default" w:ascii="Times New Roman" w:hAnsi="Times New Roman" w:eastAsia="宋体" w:cs="Times New Roman"/>
                <w:i w:val="0"/>
                <w:iCs w:val="0"/>
                <w:caps w:val="0"/>
                <w:color w:val="000000" w:themeColor="text1"/>
                <w:spacing w:val="0"/>
                <w:sz w:val="24"/>
                <w:szCs w:val="24"/>
                <w:shd w:val="clear" w:fill="FFFFFF"/>
                <w14:textFill>
                  <w14:solidFill>
                    <w14:schemeClr w14:val="tx1"/>
                  </w14:solidFill>
                </w14:textFill>
              </w:rPr>
              <w:t>病虫害：萌芽前喷石硫合剂，生长期针对性防控，采前15天停药。</w:t>
            </w:r>
          </w:p>
          <w:p w14:paraId="5964D532">
            <w:pPr>
              <w:keepNext w:val="0"/>
              <w:keepLines w:val="0"/>
              <w:pageBreakBefore w:val="0"/>
              <w:widowControl w:val="0"/>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eastAsia="宋体" w:cs="Times New Roman"/>
                <w:i w:val="0"/>
                <w:iCs w:val="0"/>
                <w:caps w:val="0"/>
                <w:color w:val="000000" w:themeColor="text1"/>
                <w:spacing w:val="0"/>
                <w:sz w:val="24"/>
                <w:szCs w:val="24"/>
                <w:shd w:val="clear" w:fill="FFFFFF"/>
                <w14:textFill>
                  <w14:solidFill>
                    <w14:schemeClr w14:val="tx1"/>
                  </w14:solidFill>
                </w14:textFill>
              </w:rPr>
            </w:pPr>
            <w:r>
              <w:rPr>
                <w:rFonts w:hint="default" w:ascii="Times New Roman" w:hAnsi="Times New Roman" w:eastAsia="宋体" w:cs="Times New Roman"/>
                <w:i w:val="0"/>
                <w:iCs w:val="0"/>
                <w:caps w:val="0"/>
                <w:color w:val="000000" w:themeColor="text1"/>
                <w:spacing w:val="0"/>
                <w:sz w:val="24"/>
                <w:szCs w:val="24"/>
                <w:shd w:val="clear" w:fill="FFFFFF"/>
                <w14:textFill>
                  <w14:solidFill>
                    <w14:schemeClr w14:val="tx1"/>
                  </w14:solidFill>
                </w14:textFill>
              </w:rPr>
              <w:t>④采收：早熟品种6-7月、晚熟8月，分期采（先采熟果），轻摘轻放；​按果径分级（一级≥7cm），装筐后</w:t>
            </w:r>
            <w:r>
              <w:rPr>
                <w:rFonts w:hint="default" w:ascii="Times New Roman" w:hAnsi="Times New Roman" w:eastAsia="宋体" w:cs="Times New Roman"/>
                <w:i w:val="0"/>
                <w:iCs w:val="0"/>
                <w:caps w:val="0"/>
                <w:color w:val="000000" w:themeColor="text1"/>
                <w:spacing w:val="0"/>
                <w:sz w:val="24"/>
                <w:szCs w:val="24"/>
                <w:shd w:val="clear" w:fill="FFFFFF"/>
                <w:lang w:val="en-US" w:eastAsia="zh-CN"/>
                <w14:textFill>
                  <w14:solidFill>
                    <w14:schemeClr w14:val="tx1"/>
                  </w14:solidFill>
                </w14:textFill>
              </w:rPr>
              <w:t>外销</w:t>
            </w:r>
            <w:r>
              <w:rPr>
                <w:rFonts w:hint="default" w:ascii="Times New Roman" w:hAnsi="Times New Roman" w:eastAsia="宋体" w:cs="Times New Roman"/>
                <w:i w:val="0"/>
                <w:iCs w:val="0"/>
                <w:caps w:val="0"/>
                <w:color w:val="000000" w:themeColor="text1"/>
                <w:spacing w:val="0"/>
                <w:sz w:val="24"/>
                <w:szCs w:val="24"/>
                <w:shd w:val="clear" w:fill="FFFFFF"/>
                <w14:textFill>
                  <w14:solidFill>
                    <w14:schemeClr w14:val="tx1"/>
                  </w14:solidFill>
                </w14:textFill>
              </w:rPr>
              <w:t>，忌长期存储。​</w:t>
            </w:r>
          </w:p>
          <w:p w14:paraId="28AAD411">
            <w:pPr>
              <w:keepNext w:val="0"/>
              <w:keepLines w:val="0"/>
              <w:pageBreakBefore w:val="0"/>
              <w:widowControl w:val="0"/>
              <w:numPr>
                <w:ilvl w:val="0"/>
                <w:numId w:val="0"/>
              </w:numPr>
              <w:kinsoku/>
              <w:wordWrap/>
              <w:overflowPunct/>
              <w:topLinePunct w:val="0"/>
              <w:autoSpaceDE/>
              <w:autoSpaceDN/>
              <w:bidi w:val="0"/>
              <w:adjustRightInd w:val="0"/>
              <w:snapToGrid w:val="0"/>
              <w:ind w:leftChars="0" w:firstLine="482" w:firstLineChars="200"/>
              <w:jc w:val="both"/>
              <w:textAlignment w:val="auto"/>
              <w:rPr>
                <w:rFonts w:hint="default" w:ascii="Times New Roman" w:hAnsi="Times New Roman" w:eastAsia="宋体" w:cs="Times New Roman"/>
                <w:b/>
                <w:bCs/>
                <w:color w:val="000000" w:themeColor="text1"/>
                <w:highlight w:val="none"/>
                <w14:textFill>
                  <w14:solidFill>
                    <w14:schemeClr w14:val="tx1"/>
                  </w14:solidFill>
                </w14:textFill>
              </w:rPr>
            </w:pPr>
            <w:r>
              <w:rPr>
                <w:rFonts w:hint="default" w:ascii="Times New Roman" w:hAnsi="Times New Roman" w:eastAsia="宋体" w:cs="Times New Roman"/>
                <w:b/>
                <w:bCs/>
                <w:color w:val="000000" w:themeColor="text1"/>
                <w:highlight w:val="none"/>
                <w:lang w:val="en-US" w:eastAsia="zh-CN"/>
                <w14:textFill>
                  <w14:solidFill>
                    <w14:schemeClr w14:val="tx1"/>
                  </w14:solidFill>
                </w14:textFill>
              </w:rPr>
              <w:t>2</w:t>
            </w:r>
            <w:r>
              <w:rPr>
                <w:rFonts w:hint="default" w:ascii="Times New Roman" w:hAnsi="Times New Roman" w:eastAsia="宋体" w:cs="Times New Roman"/>
                <w:b/>
                <w:bCs/>
                <w:color w:val="000000" w:themeColor="text1"/>
                <w:highlight w:val="none"/>
                <w14:textFill>
                  <w14:solidFill>
                    <w14:schemeClr w14:val="tx1"/>
                  </w14:solidFill>
                </w14:textFill>
              </w:rPr>
              <w:t>、基础设施施工布置</w:t>
            </w:r>
          </w:p>
          <w:p w14:paraId="1D725266">
            <w:pPr>
              <w:keepNext w:val="0"/>
              <w:keepLines w:val="0"/>
              <w:pageBreakBefore w:val="0"/>
              <w:widowControl w:val="0"/>
              <w:kinsoku/>
              <w:wordWrap/>
              <w:overflowPunct/>
              <w:topLinePunct w:val="0"/>
              <w:autoSpaceDE/>
              <w:autoSpaceDN/>
              <w:bidi w:val="0"/>
              <w:adjustRightInd w:val="0"/>
              <w:snapToGrid w:val="0"/>
              <w:ind w:left="0" w:leftChars="0" w:firstLine="482" w:firstLineChars="200"/>
              <w:jc w:val="both"/>
              <w:textAlignment w:val="auto"/>
              <w:rPr>
                <w:rFonts w:hint="default" w:ascii="Times New Roman" w:hAnsi="Times New Roman" w:eastAsia="宋体" w:cs="Times New Roman"/>
                <w:b/>
                <w:bCs/>
                <w:color w:val="000000" w:themeColor="text1"/>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（1）</w:t>
            </w:r>
            <w:r>
              <w:rPr>
                <w:rFonts w:hint="default" w:ascii="Times New Roman" w:hAnsi="Times New Roman" w:eastAsia="宋体" w:cs="Times New Roman"/>
                <w:b/>
                <w:bCs/>
                <w:color w:val="000000" w:themeColor="text1"/>
                <w14:textFill>
                  <w14:solidFill>
                    <w14:schemeClr w14:val="tx1"/>
                  </w14:solidFill>
                </w14:textFill>
              </w:rPr>
              <w:t>道路系统布置：</w:t>
            </w:r>
          </w:p>
          <w:p w14:paraId="24A312BF">
            <w:pPr>
              <w:keepNext w:val="0"/>
              <w:keepLines w:val="0"/>
              <w:pageBreakBefore w:val="0"/>
              <w:widowControl w:val="0"/>
              <w:kinsoku/>
              <w:wordWrap/>
              <w:overflowPunct/>
              <w:topLinePunct w:val="0"/>
              <w:autoSpaceDE/>
              <w:autoSpaceDN/>
              <w:bidi w:val="0"/>
              <w:adjustRightInd w:val="0"/>
              <w:snapToGrid w:val="0"/>
              <w:ind w:left="0" w:leftChars="0" w:firstLine="480" w:firstLineChars="200"/>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主干道：宽度4</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5米，能保证大型车辆（如运输车、挖掘机）双向通行和</w:t>
            </w:r>
            <w:r>
              <w:rPr>
                <w:rFonts w:hint="eastAsia" w:ascii="Times New Roman" w:hAnsi="Times New Roman" w:cs="Times New Roman"/>
                <w:color w:val="000000" w:themeColor="text1"/>
                <w:lang w:eastAsia="zh-CN"/>
                <w14:textFill>
                  <w14:solidFill>
                    <w14:schemeClr w14:val="tx1"/>
                  </w14:solidFill>
                </w14:textFill>
              </w:rPr>
              <w:t>掉头</w:t>
            </w:r>
            <w:r>
              <w:rPr>
                <w:rFonts w:hint="default" w:ascii="Times New Roman" w:hAnsi="Times New Roman" w:eastAsia="宋体" w:cs="Times New Roman"/>
                <w:color w:val="000000" w:themeColor="text1"/>
                <w14:textFill>
                  <w14:solidFill>
                    <w14:schemeClr w14:val="tx1"/>
                  </w14:solidFill>
                </w14:textFill>
              </w:rPr>
              <w:t>，连接基地主要出入口和各个大区。支路/作业道：宽度2</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3米，能保证小型运输机械（如三轮车）通行，连接种植</w:t>
            </w:r>
            <w:r>
              <w:rPr>
                <w:rFonts w:hint="default" w:ascii="Times New Roman" w:hAnsi="Times New Roman" w:eastAsia="宋体" w:cs="Times New Roman"/>
                <w:color w:val="000000" w:themeColor="text1"/>
                <w:lang w:val="en-US" w:eastAsia="zh-CN"/>
                <w14:textFill>
                  <w14:solidFill>
                    <w14:schemeClr w14:val="tx1"/>
                  </w14:solidFill>
                </w14:textFill>
              </w:rPr>
              <w:t>单元</w:t>
            </w:r>
            <w:r>
              <w:rPr>
                <w:rFonts w:hint="default" w:ascii="Times New Roman" w:hAnsi="Times New Roman" w:eastAsia="宋体" w:cs="Times New Roman"/>
                <w:color w:val="000000" w:themeColor="text1"/>
                <w14:textFill>
                  <w14:solidFill>
                    <w14:schemeClr w14:val="tx1"/>
                  </w14:solidFill>
                </w14:textFill>
              </w:rPr>
              <w:t>之间。设计原则：“主路贯通，支路到区”，形成环路，避免死角和机械无法作业的区域。</w:t>
            </w:r>
          </w:p>
          <w:p w14:paraId="1559AC5E">
            <w:pPr>
              <w:keepNext w:val="0"/>
              <w:keepLines w:val="0"/>
              <w:pageBreakBefore w:val="0"/>
              <w:widowControl w:val="0"/>
              <w:kinsoku/>
              <w:wordWrap/>
              <w:overflowPunct/>
              <w:topLinePunct w:val="0"/>
              <w:autoSpaceDE/>
              <w:autoSpaceDN/>
              <w:bidi w:val="0"/>
              <w:adjustRightInd w:val="0"/>
              <w:snapToGrid w:val="0"/>
              <w:ind w:leftChars="0" w:firstLine="482" w:firstLineChars="200"/>
              <w:jc w:val="both"/>
              <w:textAlignment w:val="auto"/>
              <w:rPr>
                <w:rFonts w:hint="default" w:ascii="Times New Roman" w:hAnsi="Times New Roman" w:eastAsia="宋体" w:cs="Times New Roman"/>
                <w:b/>
                <w:bCs/>
                <w:color w:val="000000" w:themeColor="text1"/>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（2）</w:t>
            </w:r>
            <w:r>
              <w:rPr>
                <w:rFonts w:hint="default" w:ascii="Times New Roman" w:hAnsi="Times New Roman" w:eastAsia="宋体" w:cs="Times New Roman"/>
                <w:b/>
                <w:bCs/>
                <w:color w:val="000000" w:themeColor="text1"/>
                <w14:textFill>
                  <w14:solidFill>
                    <w14:schemeClr w14:val="tx1"/>
                  </w14:solidFill>
                </w14:textFill>
              </w:rPr>
              <w:t>水利系统布置：</w:t>
            </w:r>
          </w:p>
          <w:p w14:paraId="1D9BCBF7">
            <w:pPr>
              <w:keepNext w:val="0"/>
              <w:keepLines w:val="0"/>
              <w:pageBreakBefore w:val="0"/>
              <w:widowControl w:val="0"/>
              <w:numPr>
                <w:ilvl w:val="0"/>
                <w:numId w:val="0"/>
              </w:numPr>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i w:val="0"/>
                <w:iCs w:val="0"/>
                <w:caps w:val="0"/>
                <w:color w:val="000000" w:themeColor="text1"/>
                <w:spacing w:val="0"/>
                <w:sz w:val="24"/>
                <w:szCs w:val="24"/>
                <w:shd w:val="clear" w:fill="FFFFFF"/>
                <w14:textFill>
                  <w14:solidFill>
                    <w14:schemeClr w14:val="tx1"/>
                  </w14:solidFill>
                </w14:textFill>
              </w:rPr>
              <w:t>按“分区适配、统一管控”原则布置，以集中蓄水池为统一水源，配套过滤加压设备，通过滴灌（三七、蓝莓）、雾化微喷+滴灌（羊肚菌）</w:t>
            </w:r>
            <w:r>
              <w:rPr>
                <w:rFonts w:hint="default" w:ascii="Times New Roman" w:hAnsi="Times New Roman" w:eastAsia="宋体" w:cs="Times New Roman"/>
                <w:i w:val="0"/>
                <w:iCs w:val="0"/>
                <w:caps w:val="0"/>
                <w:color w:val="000000" w:themeColor="text1"/>
                <w:spacing w:val="0"/>
                <w:sz w:val="24"/>
                <w:szCs w:val="24"/>
                <w:shd w:val="clear" w:fill="FFFFFF"/>
                <w:lang w:eastAsia="zh-CN"/>
                <w14:textFill>
                  <w14:solidFill>
                    <w14:schemeClr w14:val="tx1"/>
                  </w14:solidFill>
                </w14:textFill>
              </w:rPr>
              <w:t>、</w:t>
            </w:r>
            <w:r>
              <w:rPr>
                <w:rFonts w:hint="default" w:ascii="Times New Roman" w:hAnsi="Times New Roman" w:eastAsia="宋体" w:cs="Times New Roman"/>
                <w:i w:val="0"/>
                <w:iCs w:val="0"/>
                <w:caps w:val="0"/>
                <w:color w:val="000000" w:themeColor="text1"/>
                <w:spacing w:val="0"/>
                <w:sz w:val="24"/>
                <w:szCs w:val="24"/>
                <w:shd w:val="clear" w:fill="FFFFFF"/>
                <w:lang w:val="en-US" w:eastAsia="zh-CN"/>
                <w14:textFill>
                  <w14:solidFill>
                    <w14:schemeClr w14:val="tx1"/>
                  </w14:solidFill>
                </w14:textFill>
              </w:rPr>
              <w:t>自然降雨灌溉（果树）</w:t>
            </w:r>
            <w:r>
              <w:rPr>
                <w:rFonts w:hint="default" w:ascii="Times New Roman" w:hAnsi="Times New Roman" w:eastAsia="宋体" w:cs="Times New Roman"/>
                <w:i w:val="0"/>
                <w:iCs w:val="0"/>
                <w:caps w:val="0"/>
                <w:color w:val="000000" w:themeColor="text1"/>
                <w:spacing w:val="0"/>
                <w:sz w:val="24"/>
                <w:szCs w:val="24"/>
                <w:shd w:val="clear" w:fill="FFFFFF"/>
                <w14:textFill>
                  <w14:solidFill>
                    <w14:schemeClr w14:val="tx1"/>
                  </w14:solidFill>
                </w14:textFill>
              </w:rPr>
              <w:t>等差异化供水方式满足不同作物需水需求，田间按作物类型设置深浅不一的排水沟并与外围主排水渠连通，搭配土壤湿度监测、雨水回收，实现供水精准高效、排水防涝防盐，兼顾作物差异与统一管理。</w:t>
            </w:r>
          </w:p>
          <w:p w14:paraId="743F21E3">
            <w:pPr>
              <w:keepNext w:val="0"/>
              <w:keepLines w:val="0"/>
              <w:pageBreakBefore w:val="0"/>
              <w:widowControl w:val="0"/>
              <w:kinsoku/>
              <w:wordWrap/>
              <w:overflowPunct/>
              <w:topLinePunct w:val="0"/>
              <w:autoSpaceDE/>
              <w:autoSpaceDN/>
              <w:bidi w:val="0"/>
              <w:adjustRightInd w:val="0"/>
              <w:snapToGrid w:val="0"/>
              <w:ind w:leftChars="0" w:firstLine="482" w:firstLineChars="200"/>
              <w:jc w:val="both"/>
              <w:textAlignment w:val="auto"/>
              <w:rPr>
                <w:rFonts w:hint="default" w:ascii="Times New Roman" w:hAnsi="Times New Roman" w:eastAsia="宋体" w:cs="Times New Roman"/>
                <w:b/>
                <w:bCs/>
                <w:color w:val="000000" w:themeColor="text1"/>
                <w:highlight w:val="none"/>
                <w14:textFill>
                  <w14:solidFill>
                    <w14:schemeClr w14:val="tx1"/>
                  </w14:solidFill>
                </w14:textFill>
              </w:rPr>
            </w:pPr>
            <w:r>
              <w:rPr>
                <w:rFonts w:hint="default" w:ascii="Times New Roman" w:hAnsi="Times New Roman" w:eastAsia="宋体" w:cs="Times New Roman"/>
                <w:b/>
                <w:bCs/>
                <w:color w:val="000000" w:themeColor="text1"/>
                <w:highlight w:val="none"/>
                <w:lang w:val="en-US" w:eastAsia="zh-CN"/>
                <w14:textFill>
                  <w14:solidFill>
                    <w14:schemeClr w14:val="tx1"/>
                  </w14:solidFill>
                </w14:textFill>
              </w:rPr>
              <w:t>（3）</w:t>
            </w:r>
            <w:r>
              <w:rPr>
                <w:rFonts w:hint="default" w:ascii="Times New Roman" w:hAnsi="Times New Roman" w:eastAsia="宋体" w:cs="Times New Roman"/>
                <w:b/>
                <w:bCs/>
                <w:color w:val="000000" w:themeColor="text1"/>
                <w:highlight w:val="none"/>
                <w14:textFill>
                  <w14:solidFill>
                    <w14:schemeClr w14:val="tx1"/>
                  </w14:solidFill>
                </w14:textFill>
              </w:rPr>
              <w:t>电力系统布置：</w:t>
            </w:r>
          </w:p>
          <w:p w14:paraId="64536172">
            <w:pPr>
              <w:keepNext w:val="0"/>
              <w:keepLines w:val="0"/>
              <w:pageBreakBefore w:val="0"/>
              <w:widowControl w:val="0"/>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14:textFill>
                  <w14:solidFill>
                    <w14:schemeClr w14:val="tx1"/>
                  </w14:solidFill>
                </w14:textFill>
              </w:rPr>
              <w:t>将电力线路铺设到基地各</w:t>
            </w:r>
            <w:r>
              <w:rPr>
                <w:rFonts w:hint="default" w:ascii="Times New Roman" w:hAnsi="Times New Roman" w:eastAsia="宋体" w:cs="Times New Roman"/>
                <w:color w:val="000000" w:themeColor="text1"/>
                <w:highlight w:val="none"/>
                <w:lang w:val="en-US" w:eastAsia="zh-CN"/>
                <w14:textFill>
                  <w14:solidFill>
                    <w14:schemeClr w14:val="tx1"/>
                  </w14:solidFill>
                </w14:textFill>
              </w:rPr>
              <w:t>片区</w:t>
            </w:r>
            <w:r>
              <w:rPr>
                <w:rFonts w:hint="default" w:ascii="Times New Roman" w:hAnsi="Times New Roman" w:eastAsia="宋体" w:cs="Times New Roman"/>
                <w:color w:val="000000" w:themeColor="text1"/>
                <w:highlight w:val="none"/>
                <w14:textFill>
                  <w14:solidFill>
                    <w14:schemeClr w14:val="tx1"/>
                  </w14:solidFill>
                </w14:textFill>
              </w:rPr>
              <w:t>关键节点，如</w:t>
            </w:r>
            <w:r>
              <w:rPr>
                <w:rFonts w:hint="default" w:ascii="Times New Roman" w:hAnsi="Times New Roman" w:eastAsia="宋体" w:cs="Times New Roman"/>
                <w:color w:val="000000" w:themeColor="text1"/>
                <w:highlight w:val="none"/>
                <w:lang w:val="en-US" w:eastAsia="zh-CN"/>
                <w14:textFill>
                  <w14:solidFill>
                    <w14:schemeClr w14:val="tx1"/>
                  </w14:solidFill>
                </w14:textFill>
              </w:rPr>
              <w:t>水肥中心</w:t>
            </w:r>
            <w:r>
              <w:rPr>
                <w:rFonts w:hint="default" w:ascii="Times New Roman" w:hAnsi="Times New Roman" w:eastAsia="宋体" w:cs="Times New Roman"/>
                <w:color w:val="000000" w:themeColor="text1"/>
                <w:highlight w:val="none"/>
                <w14:textFill>
                  <w14:solidFill>
                    <w14:schemeClr w14:val="tx1"/>
                  </w14:solidFill>
                </w14:textFill>
              </w:rPr>
              <w:t>、管理区、未来可能安装的补光灯或杀虫灯处。</w:t>
            </w:r>
          </w:p>
          <w:p w14:paraId="682D0B8C">
            <w:pPr>
              <w:keepNext w:val="0"/>
              <w:keepLines w:val="0"/>
              <w:pageBreakBefore w:val="0"/>
              <w:widowControl w:val="0"/>
              <w:numPr>
                <w:ilvl w:val="0"/>
                <w:numId w:val="0"/>
              </w:numPr>
              <w:kinsoku/>
              <w:wordWrap/>
              <w:overflowPunct/>
              <w:topLinePunct w:val="0"/>
              <w:autoSpaceDE/>
              <w:autoSpaceDN/>
              <w:bidi w:val="0"/>
              <w:adjustRightInd w:val="0"/>
              <w:snapToGrid w:val="0"/>
              <w:ind w:leftChars="0" w:firstLine="482" w:firstLineChars="200"/>
              <w:jc w:val="both"/>
              <w:textAlignment w:val="auto"/>
              <w:rPr>
                <w:rFonts w:hint="default" w:ascii="Times New Roman" w:hAnsi="Times New Roman" w:eastAsia="宋体" w:cs="Times New Roman"/>
                <w:b/>
                <w:bCs/>
                <w:color w:val="000000" w:themeColor="text1"/>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3、</w:t>
            </w:r>
            <w:r>
              <w:rPr>
                <w:rFonts w:hint="default" w:ascii="Times New Roman" w:hAnsi="Times New Roman" w:eastAsia="宋体" w:cs="Times New Roman"/>
                <w:b/>
                <w:bCs/>
                <w:color w:val="000000" w:themeColor="text1"/>
                <w14:textFill>
                  <w14:solidFill>
                    <w14:schemeClr w14:val="tx1"/>
                  </w14:solidFill>
                </w14:textFill>
              </w:rPr>
              <w:t>种植区施工布置</w:t>
            </w:r>
          </w:p>
          <w:p w14:paraId="001EAC18">
            <w:pPr>
              <w:keepNext w:val="0"/>
              <w:keepLines w:val="0"/>
              <w:pageBreakBefore w:val="0"/>
              <w:widowControl w:val="0"/>
              <w:numPr>
                <w:ilvl w:val="0"/>
                <w:numId w:val="0"/>
              </w:numPr>
              <w:kinsoku/>
              <w:wordWrap/>
              <w:overflowPunct/>
              <w:topLinePunct w:val="0"/>
              <w:autoSpaceDE/>
              <w:autoSpaceDN/>
              <w:bidi w:val="0"/>
              <w:adjustRightInd w:val="0"/>
              <w:snapToGrid w:val="0"/>
              <w:ind w:leftChars="0" w:firstLine="482" w:firstLineChars="200"/>
              <w:jc w:val="both"/>
              <w:textAlignment w:val="auto"/>
              <w:rPr>
                <w:rFonts w:hint="default" w:ascii="Times New Roman" w:hAnsi="Times New Roman" w:eastAsia="宋体" w:cs="Times New Roman"/>
                <w:b/>
                <w:bCs/>
                <w:color w:val="000000" w:themeColor="text1"/>
                <w14:textFill>
                  <w14:solidFill>
                    <w14:schemeClr w14:val="tx1"/>
                  </w14:solidFill>
                </w14:textFill>
              </w:rPr>
            </w:pPr>
            <w:r>
              <w:rPr>
                <w:rFonts w:hint="default" w:ascii="Times New Roman" w:hAnsi="Times New Roman" w:eastAsia="宋体" w:cs="Times New Roman"/>
                <w:b/>
                <w:bCs/>
                <w:color w:val="000000" w:themeColor="text1"/>
                <w:lang w:eastAsia="zh-CN"/>
                <w14:textFill>
                  <w14:solidFill>
                    <w14:schemeClr w14:val="tx1"/>
                  </w14:solidFill>
                </w14:textFill>
              </w:rPr>
              <w:t>（</w:t>
            </w:r>
            <w:r>
              <w:rPr>
                <w:rFonts w:hint="default" w:ascii="Times New Roman" w:hAnsi="Times New Roman" w:eastAsia="宋体" w:cs="Times New Roman"/>
                <w:b/>
                <w:bCs/>
                <w:color w:val="000000" w:themeColor="text1"/>
                <w:lang w:val="en-US" w:eastAsia="zh-CN"/>
                <w14:textFill>
                  <w14:solidFill>
                    <w14:schemeClr w14:val="tx1"/>
                  </w14:solidFill>
                </w14:textFill>
              </w:rPr>
              <w:t>1</w:t>
            </w:r>
            <w:r>
              <w:rPr>
                <w:rFonts w:hint="default" w:ascii="Times New Roman" w:hAnsi="Times New Roman" w:eastAsia="宋体" w:cs="Times New Roman"/>
                <w:b/>
                <w:bCs/>
                <w:color w:val="000000" w:themeColor="text1"/>
                <w:lang w:eastAsia="zh-CN"/>
                <w14:textFill>
                  <w14:solidFill>
                    <w14:schemeClr w14:val="tx1"/>
                  </w14:solidFill>
                </w14:textFill>
              </w:rPr>
              <w:t>）</w:t>
            </w:r>
            <w:r>
              <w:rPr>
                <w:rFonts w:hint="default" w:ascii="Times New Roman" w:hAnsi="Times New Roman" w:eastAsia="宋体" w:cs="Times New Roman"/>
                <w:b/>
                <w:bCs/>
                <w:color w:val="000000" w:themeColor="text1"/>
                <w14:textFill>
                  <w14:solidFill>
                    <w14:schemeClr w14:val="tx1"/>
                  </w14:solidFill>
                </w14:textFill>
              </w:rPr>
              <w:t>蓝莓种植区施工布置​</w:t>
            </w:r>
          </w:p>
          <w:p w14:paraId="12EAE6A6">
            <w:pPr>
              <w:keepNext w:val="0"/>
              <w:keepLines w:val="0"/>
              <w:pageBreakBefore w:val="0"/>
              <w:widowControl w:val="0"/>
              <w:numPr>
                <w:ilvl w:val="0"/>
                <w:numId w:val="0"/>
              </w:numPr>
              <w:kinsoku/>
              <w:wordWrap/>
              <w:overflowPunct/>
              <w:topLinePunct w:val="0"/>
              <w:autoSpaceDE/>
              <w:autoSpaceDN/>
              <w:bidi w:val="0"/>
              <w:adjustRightInd w:val="0"/>
              <w:snapToGrid w:val="0"/>
              <w:ind w:leftChars="0" w:firstLine="482" w:firstLineChars="200"/>
              <w:jc w:val="both"/>
              <w:textAlignment w:val="auto"/>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1）场地与大棚预处理</w:t>
            </w:r>
          </w:p>
          <w:p w14:paraId="215993A6">
            <w:pPr>
              <w:keepNext w:val="0"/>
              <w:keepLines w:val="0"/>
              <w:pageBreakBefore w:val="0"/>
              <w:widowControl w:val="0"/>
              <w:numPr>
                <w:ilvl w:val="0"/>
                <w:numId w:val="0"/>
              </w:numPr>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①规格确定：根据盆栽数量与摆放方式（建议行列式整齐摆放，预留操作通道），确定大棚跨度（通常6</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8m，便于两侧盆栽管理）与长度（按地块实际尺寸，每50m左右设1个通风口），棚顶高度不低于2.5m（预留滴灌系统安装与人员操作空间），棚体骨架选用防锈钢材（如热镀锌钢管），确保抗风抗压。</w:t>
            </w:r>
          </w:p>
          <w:p w14:paraId="663CD555">
            <w:pPr>
              <w:keepNext w:val="0"/>
              <w:keepLines w:val="0"/>
              <w:pageBreakBefore w:val="0"/>
              <w:widowControl w:val="0"/>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②覆盖材料选择：顶部覆盖长寿无滴膜（减少棚内凝结水滴落，避免淋湿盆栽基质），搭配可调节</w:t>
            </w:r>
            <w:r>
              <w:rPr>
                <w:rFonts w:hint="default" w:ascii="Times New Roman" w:hAnsi="Times New Roman" w:eastAsia="宋体" w:cs="Times New Roman"/>
                <w:color w:val="000000" w:themeColor="text1"/>
                <w:lang w:eastAsia="zh-CN"/>
                <w14:textFill>
                  <w14:solidFill>
                    <w14:schemeClr w14:val="tx1"/>
                  </w14:solidFill>
                </w14:textFill>
              </w:rPr>
              <w:t>遮荫网</w:t>
            </w:r>
            <w:r>
              <w:rPr>
                <w:rFonts w:hint="default" w:ascii="Times New Roman" w:hAnsi="Times New Roman" w:eastAsia="宋体" w:cs="Times New Roman"/>
                <w:color w:val="000000" w:themeColor="text1"/>
                <w14:textFill>
                  <w14:solidFill>
                    <w14:schemeClr w14:val="tx1"/>
                  </w14:solidFill>
                </w14:textFill>
              </w:rPr>
              <w:t>（夏季遮光率</w:t>
            </w:r>
            <w:r>
              <w:rPr>
                <w:rFonts w:hint="eastAsia" w:ascii="Times New Roman" w:hAnsi="Times New Roman" w:cs="Times New Roman"/>
                <w:color w:val="000000" w:themeColor="text1"/>
                <w:lang w:eastAsia="zh-CN"/>
                <w14:textFill>
                  <w14:solidFill>
                    <w14:schemeClr w14:val="tx1"/>
                  </w14:solidFill>
                </w14:textFill>
              </w:rPr>
              <w:t>60%—70%</w:t>
            </w:r>
            <w:r>
              <w:rPr>
                <w:rFonts w:hint="default" w:ascii="Times New Roman" w:hAnsi="Times New Roman" w:eastAsia="宋体" w:cs="Times New Roman"/>
                <w:color w:val="000000" w:themeColor="text1"/>
                <w14:textFill>
                  <w14:solidFill>
                    <w14:schemeClr w14:val="tx1"/>
                  </w14:solidFill>
                </w14:textFill>
              </w:rPr>
              <w:t>，避免强光灼伤叶片；冬季收起保温），棚两侧与两端设卷膜通风口（高度1.2</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1.5m，便于控制棚内温湿度），通风口处加装防虫网（防止蚜虫、蓟马等害虫进入）。​</w:t>
            </w:r>
          </w:p>
          <w:p w14:paraId="68B255ED">
            <w:pPr>
              <w:keepNext w:val="0"/>
              <w:keepLines w:val="0"/>
              <w:pageBreakBefore w:val="0"/>
              <w:widowControl w:val="0"/>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③场地与盆栽摆放区施工</w:t>
            </w:r>
            <w:r>
              <w:rPr>
                <w:rFonts w:hint="default" w:ascii="Times New Roman" w:hAnsi="Times New Roman" w:eastAsia="宋体"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地面处理：大棚内地面先平整压实，铺设防草布（减少杂草生长，避免与盆栽争夺养分）或硬化地面（用混凝土浇筑，厚度5</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8cm，便于清洁与排水，坡度</w:t>
            </w:r>
            <w:r>
              <w:rPr>
                <w:rFonts w:hint="eastAsia" w:ascii="Times New Roman" w:hAnsi="Times New Roman" w:cs="Times New Roman"/>
                <w:color w:val="000000" w:themeColor="text1"/>
                <w:lang w:eastAsia="zh-CN"/>
                <w14:textFill>
                  <w14:solidFill>
                    <w14:schemeClr w14:val="tx1"/>
                  </w14:solidFill>
                </w14:textFill>
              </w:rPr>
              <w:t>0.5%—1%</w:t>
            </w:r>
            <w:r>
              <w:rPr>
                <w:rFonts w:hint="default" w:ascii="Times New Roman" w:hAnsi="Times New Roman" w:eastAsia="宋体" w:cs="Times New Roman"/>
                <w:color w:val="000000" w:themeColor="text1"/>
                <w14:textFill>
                  <w14:solidFill>
                    <w14:schemeClr w14:val="tx1"/>
                  </w14:solidFill>
                </w14:textFill>
              </w:rPr>
              <w:t>，向棚内排水沟倾斜）。</w:t>
            </w:r>
          </w:p>
          <w:p w14:paraId="6D1A79E6">
            <w:pPr>
              <w:keepNext w:val="0"/>
              <w:keepLines w:val="0"/>
              <w:pageBreakBefore w:val="0"/>
              <w:widowControl w:val="0"/>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④盆栽摆放规划：按行距1.2</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1.5m、株距0.8</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1m划分种植带，每2-3行种植带预留1条宽0.8</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1m的操作通道（便于浇水、施肥与采摘）；种植带内可搭建简易支架（高度10</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15cm，用防腐木或砖砌，避免盆栽直接接触地面，减少基质受潮腐烂），支架需水平整齐，确保盆栽摆放稳定。​</w:t>
            </w:r>
          </w:p>
          <w:p w14:paraId="3FF5991F">
            <w:pPr>
              <w:keepNext w:val="0"/>
              <w:keepLines w:val="0"/>
              <w:pageBreakBefore w:val="0"/>
              <w:widowControl w:val="0"/>
              <w:kinsoku/>
              <w:wordWrap/>
              <w:overflowPunct/>
              <w:topLinePunct w:val="0"/>
              <w:autoSpaceDE/>
              <w:autoSpaceDN/>
              <w:bidi w:val="0"/>
              <w:adjustRightInd w:val="0"/>
              <w:snapToGrid w:val="0"/>
              <w:ind w:leftChars="0" w:firstLine="482" w:firstLineChars="200"/>
              <w:jc w:val="both"/>
              <w:textAlignment w:val="auto"/>
              <w:rPr>
                <w:rFonts w:hint="default" w:ascii="Times New Roman" w:hAnsi="Times New Roman" w:eastAsia="宋体" w:cs="Times New Roman"/>
                <w:b/>
                <w:bCs/>
                <w:color w:val="000000" w:themeColor="text1"/>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2）</w:t>
            </w:r>
            <w:r>
              <w:rPr>
                <w:rFonts w:hint="default" w:ascii="Times New Roman" w:hAnsi="Times New Roman" w:eastAsia="宋体" w:cs="Times New Roman"/>
                <w:b/>
                <w:bCs/>
                <w:color w:val="000000" w:themeColor="text1"/>
                <w14:textFill>
                  <w14:solidFill>
                    <w14:schemeClr w14:val="tx1"/>
                  </w14:solidFill>
                </w14:textFill>
              </w:rPr>
              <w:t>水利设施施工​</w:t>
            </w:r>
          </w:p>
          <w:p w14:paraId="3A77748D">
            <w:pPr>
              <w:keepNext w:val="0"/>
              <w:keepLines w:val="0"/>
              <w:pageBreakBefore w:val="0"/>
              <w:widowControl w:val="0"/>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①管道布局：主管道沿大棚边缘或操作通道一侧布置（便于连接水源与检修），支管垂直于主管道，沿种植带方向铺设（固定在种植带两侧的支架上，高度略高于盆栽基质表面5</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10cm）；每个盆栽对应1个滴头（选用压力补偿式滴头，避免因管道压力不均导致浇水不均），滴头通过分流管延伸至盆栽基质表面（可插入基质2</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3cm，防止水流冲刷基质）。​</w:t>
            </w:r>
          </w:p>
          <w:p w14:paraId="0B1DA77A">
            <w:pPr>
              <w:keepNext w:val="0"/>
              <w:keepLines w:val="0"/>
              <w:pageBreakBefore w:val="0"/>
              <w:widowControl w:val="0"/>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②试通水调试：安装完成后，开启水源，检查每个滴头出水是否均匀，有无漏水、堵塞情况；调整支管高度与滴头位置，确保水流精准滴入盆栽基质，不溅到叶片与花盆外侧。​</w:t>
            </w:r>
          </w:p>
          <w:p w14:paraId="4BBE5D04">
            <w:pPr>
              <w:keepNext w:val="0"/>
              <w:keepLines w:val="0"/>
              <w:pageBreakBefore w:val="0"/>
              <w:widowControl w:val="0"/>
              <w:kinsoku/>
              <w:wordWrap/>
              <w:overflowPunct/>
              <w:topLinePunct w:val="0"/>
              <w:autoSpaceDE/>
              <w:autoSpaceDN/>
              <w:bidi w:val="0"/>
              <w:adjustRightInd w:val="0"/>
              <w:snapToGrid w:val="0"/>
              <w:ind w:leftChars="0" w:firstLine="482" w:firstLineChars="200"/>
              <w:jc w:val="both"/>
              <w:textAlignment w:val="auto"/>
              <w:rPr>
                <w:rFonts w:hint="default" w:ascii="Times New Roman" w:hAnsi="Times New Roman" w:eastAsia="宋体" w:cs="Times New Roman"/>
                <w:b w:val="0"/>
                <w:bCs w:val="0"/>
                <w:color w:val="000000" w:themeColor="text1"/>
                <w14:textFill>
                  <w14:solidFill>
                    <w14:schemeClr w14:val="tx1"/>
                  </w14:solidFill>
                </w14:textFill>
              </w:rPr>
            </w:pPr>
            <w:r>
              <w:rPr>
                <w:rFonts w:hint="default" w:ascii="Times New Roman" w:hAnsi="Times New Roman" w:eastAsia="宋体" w:cs="Times New Roman"/>
                <w:b/>
                <w:bCs/>
                <w:color w:val="000000" w:themeColor="text1"/>
                <w14:textFill>
                  <w14:solidFill>
                    <w14:schemeClr w14:val="tx1"/>
                  </w14:solidFill>
                </w14:textFill>
              </w:rPr>
              <w:t>3</w:t>
            </w:r>
            <w:r>
              <w:rPr>
                <w:rFonts w:hint="default" w:ascii="Times New Roman" w:hAnsi="Times New Roman" w:eastAsia="宋体" w:cs="Times New Roman"/>
                <w:b/>
                <w:bCs/>
                <w:color w:val="000000" w:themeColor="text1"/>
                <w:lang w:eastAsia="zh-CN"/>
                <w14:textFill>
                  <w14:solidFill>
                    <w14:schemeClr w14:val="tx1"/>
                  </w14:solidFill>
                </w14:textFill>
              </w:rPr>
              <w:t>）</w:t>
            </w:r>
            <w:r>
              <w:rPr>
                <w:rFonts w:hint="default" w:ascii="Times New Roman" w:hAnsi="Times New Roman" w:eastAsia="宋体" w:cs="Times New Roman"/>
                <w:b/>
                <w:bCs/>
                <w:color w:val="000000" w:themeColor="text1"/>
                <w14:textFill>
                  <w14:solidFill>
                    <w14:schemeClr w14:val="tx1"/>
                  </w14:solidFill>
                </w14:textFill>
              </w:rPr>
              <w:t>排水设施施工</w:t>
            </w:r>
            <w:r>
              <w:rPr>
                <w:rFonts w:hint="default" w:ascii="Times New Roman" w:hAnsi="Times New Roman" w:eastAsia="宋体" w:cs="Times New Roman"/>
                <w:b w:val="0"/>
                <w:bCs w:val="0"/>
                <w:color w:val="000000" w:themeColor="text1"/>
                <w14:textFill>
                  <w14:solidFill>
                    <w14:schemeClr w14:val="tx1"/>
                  </w14:solidFill>
                </w14:textFill>
              </w:rPr>
              <w:t>​</w:t>
            </w:r>
          </w:p>
          <w:p w14:paraId="2DF4E583">
            <w:pPr>
              <w:keepNext w:val="0"/>
              <w:keepLines w:val="0"/>
              <w:pageBreakBefore w:val="0"/>
              <w:widowControl w:val="0"/>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大棚内沿操作通道两侧或棚体边缘开挖浅排水沟（宽度20</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30cm，深度15</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20cm），排水沟与棚外主排水沟连通（主排水沟深度60</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80cm，宽度80cm），确保棚内积水（如浇水溢出、棚顶凝结水）能快速排出；若为硬化地面，可在地面预留5</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8mm宽的缝隙，引导积水流入排水沟。</w:t>
            </w:r>
          </w:p>
          <w:p w14:paraId="1DA66F99">
            <w:pPr>
              <w:keepNext w:val="0"/>
              <w:keepLines w:val="0"/>
              <w:pageBreakBefore w:val="0"/>
              <w:widowControl w:val="0"/>
              <w:kinsoku/>
              <w:wordWrap/>
              <w:overflowPunct/>
              <w:topLinePunct w:val="0"/>
              <w:autoSpaceDE/>
              <w:autoSpaceDN/>
              <w:bidi w:val="0"/>
              <w:adjustRightInd w:val="0"/>
              <w:snapToGrid w:val="0"/>
              <w:ind w:left="0" w:leftChars="0" w:firstLine="482" w:firstLineChars="200"/>
              <w:jc w:val="both"/>
              <w:textAlignment w:val="auto"/>
              <w:rPr>
                <w:rFonts w:hint="default" w:ascii="Times New Roman" w:hAnsi="Times New Roman" w:eastAsia="宋体" w:cs="Times New Roman"/>
                <w:b/>
                <w:bCs/>
                <w:color w:val="000000" w:themeColor="text1"/>
                <w14:textFill>
                  <w14:solidFill>
                    <w14:schemeClr w14:val="tx1"/>
                  </w14:solidFill>
                </w14:textFill>
              </w:rPr>
            </w:pPr>
            <w:r>
              <w:rPr>
                <w:rFonts w:hint="default" w:ascii="Times New Roman" w:hAnsi="Times New Roman" w:eastAsia="宋体" w:cs="Times New Roman"/>
                <w:b/>
                <w:bCs/>
                <w:color w:val="000000" w:themeColor="text1"/>
                <w:lang w:eastAsia="zh-CN"/>
                <w14:textFill>
                  <w14:solidFill>
                    <w14:schemeClr w14:val="tx1"/>
                  </w14:solidFill>
                </w14:textFill>
              </w:rPr>
              <w:t>（</w:t>
            </w:r>
            <w:r>
              <w:rPr>
                <w:rFonts w:hint="default" w:ascii="Times New Roman" w:hAnsi="Times New Roman" w:eastAsia="宋体" w:cs="Times New Roman"/>
                <w:b/>
                <w:bCs/>
                <w:color w:val="000000" w:themeColor="text1"/>
                <w:lang w:val="en-US" w:eastAsia="zh-CN"/>
                <w14:textFill>
                  <w14:solidFill>
                    <w14:schemeClr w14:val="tx1"/>
                  </w14:solidFill>
                </w14:textFill>
              </w:rPr>
              <w:t>2</w:t>
            </w:r>
            <w:r>
              <w:rPr>
                <w:rFonts w:hint="default" w:ascii="Times New Roman" w:hAnsi="Times New Roman" w:eastAsia="宋体" w:cs="Times New Roman"/>
                <w:b/>
                <w:bCs/>
                <w:color w:val="000000" w:themeColor="text1"/>
                <w:lang w:eastAsia="zh-CN"/>
                <w14:textFill>
                  <w14:solidFill>
                    <w14:schemeClr w14:val="tx1"/>
                  </w14:solidFill>
                </w14:textFill>
              </w:rPr>
              <w:t>）</w:t>
            </w:r>
            <w:r>
              <w:rPr>
                <w:rFonts w:hint="default" w:ascii="Times New Roman" w:hAnsi="Times New Roman" w:eastAsia="宋体" w:cs="Times New Roman"/>
                <w:b/>
                <w:bCs/>
                <w:color w:val="000000" w:themeColor="text1"/>
                <w14:textFill>
                  <w14:solidFill>
                    <w14:schemeClr w14:val="tx1"/>
                  </w14:solidFill>
                </w14:textFill>
              </w:rPr>
              <w:t>三七种植区施工布置​</w:t>
            </w:r>
          </w:p>
          <w:p w14:paraId="5809AEAC">
            <w:pPr>
              <w:keepNext w:val="0"/>
              <w:keepLines w:val="0"/>
              <w:pageBreakBefore w:val="0"/>
              <w:widowControl w:val="0"/>
              <w:kinsoku/>
              <w:wordWrap/>
              <w:overflowPunct/>
              <w:topLinePunct w:val="0"/>
              <w:autoSpaceDE/>
              <w:autoSpaceDN/>
              <w:bidi w:val="0"/>
              <w:adjustRightInd w:val="0"/>
              <w:snapToGrid w:val="0"/>
              <w:ind w:left="0" w:leftChars="0" w:firstLine="482" w:firstLineChars="200"/>
              <w:jc w:val="both"/>
              <w:textAlignment w:val="auto"/>
              <w:rPr>
                <w:rFonts w:hint="default" w:ascii="Times New Roman" w:hAnsi="Times New Roman" w:eastAsia="宋体" w:cs="Times New Roman"/>
                <w:b w:val="0"/>
                <w:bCs w:val="0"/>
                <w:color w:val="000000" w:themeColor="text1"/>
                <w14:textFill>
                  <w14:solidFill>
                    <w14:schemeClr w14:val="tx1"/>
                  </w14:solidFill>
                </w14:textFill>
              </w:rPr>
            </w:pPr>
            <w:r>
              <w:rPr>
                <w:rFonts w:hint="default" w:ascii="Times New Roman" w:hAnsi="Times New Roman" w:eastAsia="宋体" w:cs="Times New Roman"/>
                <w:b/>
                <w:bCs/>
                <w:color w:val="000000" w:themeColor="text1"/>
                <w14:textFill>
                  <w14:solidFill>
                    <w14:schemeClr w14:val="tx1"/>
                  </w14:solidFill>
                </w14:textFill>
              </w:rPr>
              <w:t>1</w:t>
            </w:r>
            <w:r>
              <w:rPr>
                <w:rFonts w:hint="default" w:ascii="Times New Roman" w:hAnsi="Times New Roman" w:eastAsia="宋体" w:cs="Times New Roman"/>
                <w:b/>
                <w:bCs/>
                <w:color w:val="000000" w:themeColor="text1"/>
                <w:lang w:eastAsia="zh-CN"/>
                <w14:textFill>
                  <w14:solidFill>
                    <w14:schemeClr w14:val="tx1"/>
                  </w14:solidFill>
                </w14:textFill>
              </w:rPr>
              <w:t>）</w:t>
            </w:r>
            <w:r>
              <w:rPr>
                <w:rFonts w:hint="default" w:ascii="Times New Roman" w:hAnsi="Times New Roman" w:eastAsia="宋体" w:cs="Times New Roman"/>
                <w:b/>
                <w:bCs/>
                <w:color w:val="000000" w:themeColor="text1"/>
                <w14:textFill>
                  <w14:solidFill>
                    <w14:schemeClr w14:val="tx1"/>
                  </w14:solidFill>
                </w14:textFill>
              </w:rPr>
              <w:t>场地与大棚</w:t>
            </w:r>
            <w:r>
              <w:rPr>
                <w:rFonts w:hint="default" w:ascii="Times New Roman" w:hAnsi="Times New Roman" w:eastAsia="宋体" w:cs="Times New Roman"/>
                <w:b/>
                <w:bCs/>
                <w:color w:val="000000" w:themeColor="text1"/>
                <w:lang w:val="en-US" w:eastAsia="zh-CN"/>
                <w14:textFill>
                  <w14:solidFill>
                    <w14:schemeClr w14:val="tx1"/>
                  </w14:solidFill>
                </w14:textFill>
              </w:rPr>
              <w:t>预处理</w:t>
            </w:r>
            <w:r>
              <w:rPr>
                <w:rFonts w:hint="default" w:ascii="Times New Roman" w:hAnsi="Times New Roman" w:eastAsia="宋体" w:cs="Times New Roman"/>
                <w:b w:val="0"/>
                <w:bCs w:val="0"/>
                <w:color w:val="000000" w:themeColor="text1"/>
                <w14:textFill>
                  <w14:solidFill>
                    <w14:schemeClr w14:val="tx1"/>
                  </w14:solidFill>
                </w14:textFill>
              </w:rPr>
              <w:t>​</w:t>
            </w:r>
          </w:p>
          <w:p w14:paraId="409C3166">
            <w:pPr>
              <w:keepNext w:val="0"/>
              <w:keepLines w:val="0"/>
              <w:pageBreakBefore w:val="0"/>
              <w:widowControl w:val="0"/>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先平整土地，按大棚尺寸划分种植区域（大棚需配备</w:t>
            </w:r>
            <w:r>
              <w:rPr>
                <w:rFonts w:hint="default" w:ascii="Times New Roman" w:hAnsi="Times New Roman" w:eastAsia="宋体" w:cs="Times New Roman"/>
                <w:color w:val="000000" w:themeColor="text1"/>
                <w:lang w:eastAsia="zh-CN"/>
                <w14:textFill>
                  <w14:solidFill>
                    <w14:schemeClr w14:val="tx1"/>
                  </w14:solidFill>
                </w14:textFill>
              </w:rPr>
              <w:t>遮荫网</w:t>
            </w:r>
            <w:r>
              <w:rPr>
                <w:rFonts w:hint="default" w:ascii="Times New Roman" w:hAnsi="Times New Roman" w:eastAsia="宋体" w:cs="Times New Roman"/>
                <w:color w:val="000000" w:themeColor="text1"/>
                <w14:textFill>
                  <w14:solidFill>
                    <w14:schemeClr w14:val="tx1"/>
                  </w14:solidFill>
                </w14:textFill>
              </w:rPr>
              <w:t>，遮光率符合三七生长需求），确定高畦位置（畦向与大棚走向一致，便于管理）。畦面铺设1</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2cm厚碎秸秆（提前腐熟，避免烧根），预留畦沟与排水沟位置，同时规划微喷系统支架的安装点位（与</w:t>
            </w:r>
            <w:r>
              <w:rPr>
                <w:rFonts w:hint="default" w:ascii="Times New Roman" w:hAnsi="Times New Roman" w:eastAsia="宋体" w:cs="Times New Roman"/>
                <w:color w:val="000000" w:themeColor="text1"/>
                <w:lang w:eastAsia="zh-CN"/>
                <w14:textFill>
                  <w14:solidFill>
                    <w14:schemeClr w14:val="tx1"/>
                  </w14:solidFill>
                </w14:textFill>
              </w:rPr>
              <w:t>遮荫网</w:t>
            </w:r>
            <w:r>
              <w:rPr>
                <w:rFonts w:hint="default" w:ascii="Times New Roman" w:hAnsi="Times New Roman" w:eastAsia="宋体" w:cs="Times New Roman"/>
                <w:color w:val="000000" w:themeColor="text1"/>
                <w14:textFill>
                  <w14:solidFill>
                    <w14:schemeClr w14:val="tx1"/>
                  </w14:solidFill>
                </w14:textFill>
              </w:rPr>
              <w:t>支架共用或单独搭建）。</w:t>
            </w:r>
          </w:p>
          <w:p w14:paraId="59D4882D">
            <w:pPr>
              <w:keepNext w:val="0"/>
              <w:keepLines w:val="0"/>
              <w:pageBreakBefore w:val="0"/>
              <w:widowControl w:val="0"/>
              <w:kinsoku/>
              <w:wordWrap/>
              <w:overflowPunct/>
              <w:topLinePunct w:val="0"/>
              <w:autoSpaceDE/>
              <w:autoSpaceDN/>
              <w:bidi w:val="0"/>
              <w:adjustRightInd w:val="0"/>
              <w:snapToGrid w:val="0"/>
              <w:ind w:leftChars="0" w:firstLine="482" w:firstLineChars="200"/>
              <w:jc w:val="both"/>
              <w:textAlignment w:val="auto"/>
              <w:rPr>
                <w:rFonts w:hint="default" w:ascii="Times New Roman" w:hAnsi="Times New Roman" w:eastAsia="宋体" w:cs="Times New Roman"/>
                <w:b/>
                <w:bCs/>
                <w:color w:val="000000" w:themeColor="text1"/>
                <w14:textFill>
                  <w14:solidFill>
                    <w14:schemeClr w14:val="tx1"/>
                  </w14:solidFill>
                </w14:textFill>
              </w:rPr>
            </w:pPr>
            <w:r>
              <w:rPr>
                <w:rFonts w:hint="default" w:ascii="Times New Roman" w:hAnsi="Times New Roman" w:eastAsia="宋体" w:cs="Times New Roman"/>
                <w:b/>
                <w:bCs/>
                <w:color w:val="000000" w:themeColor="text1"/>
                <w14:textFill>
                  <w14:solidFill>
                    <w14:schemeClr w14:val="tx1"/>
                  </w14:solidFill>
                </w14:textFill>
              </w:rPr>
              <w:t>2</w:t>
            </w:r>
            <w:r>
              <w:rPr>
                <w:rFonts w:hint="default" w:ascii="Times New Roman" w:hAnsi="Times New Roman" w:eastAsia="宋体" w:cs="Times New Roman"/>
                <w:b/>
                <w:bCs/>
                <w:color w:val="000000" w:themeColor="text1"/>
                <w:lang w:eastAsia="zh-CN"/>
                <w14:textFill>
                  <w14:solidFill>
                    <w14:schemeClr w14:val="tx1"/>
                  </w14:solidFill>
                </w14:textFill>
              </w:rPr>
              <w:t>）</w:t>
            </w:r>
            <w:r>
              <w:rPr>
                <w:rFonts w:hint="default" w:ascii="Times New Roman" w:hAnsi="Times New Roman" w:eastAsia="宋体" w:cs="Times New Roman"/>
                <w:b/>
                <w:bCs/>
                <w:color w:val="000000" w:themeColor="text1"/>
                <w14:textFill>
                  <w14:solidFill>
                    <w14:schemeClr w14:val="tx1"/>
                  </w14:solidFill>
                </w14:textFill>
              </w:rPr>
              <w:t>水利设施施工​</w:t>
            </w:r>
          </w:p>
          <w:p w14:paraId="0E406F26">
            <w:pPr>
              <w:keepNext w:val="0"/>
              <w:keepLines w:val="0"/>
              <w:pageBreakBefore w:val="0"/>
              <w:widowControl w:val="0"/>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①微喷系统安装：主管道沿大棚边缘布置，支管穿过大棚支架，按畦的间距固定在支架上（高度约1.2</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1.5m），支管上安装折射式微喷头，确保喷头覆盖范围衔接，无畦面干燥死角；安装后试通水，调整喷头角度，保证雾化水均匀落在畦面，不直接冲击土壤。​</w:t>
            </w:r>
          </w:p>
          <w:p w14:paraId="531EF893">
            <w:pPr>
              <w:keepNext w:val="0"/>
              <w:keepLines w:val="0"/>
              <w:pageBreakBefore w:val="0"/>
              <w:widowControl w:val="0"/>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②补水与控水设备安装：在主管道上安装减压阀与流量计，稳定供水压力与流量；大棚内悬挂空气湿度传感器，土壤湿度传感器插入畦面根系层，两者均与智能控制柜连接，调试湿度阈值（育苗期阈值高于成株期），确保自动启停功能正常。​</w:t>
            </w:r>
          </w:p>
          <w:p w14:paraId="330855BC">
            <w:pPr>
              <w:keepNext w:val="0"/>
              <w:keepLines w:val="0"/>
              <w:pageBreakBefore w:val="0"/>
              <w:widowControl w:val="0"/>
              <w:numPr>
                <w:ilvl w:val="0"/>
                <w:numId w:val="0"/>
              </w:numPr>
              <w:kinsoku/>
              <w:wordWrap/>
              <w:overflowPunct/>
              <w:topLinePunct w:val="0"/>
              <w:autoSpaceDE/>
              <w:autoSpaceDN/>
              <w:bidi w:val="0"/>
              <w:adjustRightInd w:val="0"/>
              <w:snapToGrid w:val="0"/>
              <w:ind w:leftChars="0" w:firstLine="482" w:firstLineChars="200"/>
              <w:jc w:val="both"/>
              <w:textAlignment w:val="auto"/>
              <w:rPr>
                <w:rFonts w:hint="default" w:ascii="Times New Roman" w:hAnsi="Times New Roman" w:eastAsia="宋体" w:cs="Times New Roman"/>
                <w:b/>
                <w:bCs/>
                <w:color w:val="000000" w:themeColor="text1"/>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3）</w:t>
            </w:r>
            <w:r>
              <w:rPr>
                <w:rFonts w:hint="default" w:ascii="Times New Roman" w:hAnsi="Times New Roman" w:eastAsia="宋体" w:cs="Times New Roman"/>
                <w:b/>
                <w:bCs/>
                <w:color w:val="000000" w:themeColor="text1"/>
                <w14:textFill>
                  <w14:solidFill>
                    <w14:schemeClr w14:val="tx1"/>
                  </w14:solidFill>
                </w14:textFill>
              </w:rPr>
              <w:t>排水设施施工</w:t>
            </w:r>
          </w:p>
          <w:p w14:paraId="1091C55F">
            <w:pPr>
              <w:keepNext w:val="0"/>
              <w:keepLines w:val="0"/>
              <w:pageBreakBefore w:val="0"/>
              <w:widowControl w:val="0"/>
              <w:numPr>
                <w:ilvl w:val="0"/>
                <w:numId w:val="0"/>
              </w:numPr>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开挖畦沟（坡度略向支排水沟倾斜），再开挖大棚内的支排水沟与地块四周的主排水沟，形成分级排水系统；雨季临时排水沟的位置需提前标记，便于快速开挖，主排水沟末端需连接蓄水池，既能排水又可回收雨水备用。</w:t>
            </w:r>
          </w:p>
          <w:p w14:paraId="39F078B8">
            <w:pPr>
              <w:keepNext w:val="0"/>
              <w:keepLines w:val="0"/>
              <w:pageBreakBefore w:val="0"/>
              <w:widowControl w:val="0"/>
              <w:kinsoku/>
              <w:wordWrap/>
              <w:overflowPunct/>
              <w:topLinePunct w:val="0"/>
              <w:autoSpaceDE/>
              <w:autoSpaceDN/>
              <w:bidi w:val="0"/>
              <w:adjustRightInd w:val="0"/>
              <w:snapToGrid w:val="0"/>
              <w:ind w:leftChars="0" w:firstLine="482" w:firstLineChars="200"/>
              <w:jc w:val="both"/>
              <w:textAlignment w:val="auto"/>
              <w:rPr>
                <w:rFonts w:hint="default" w:ascii="Times New Roman" w:hAnsi="Times New Roman" w:eastAsia="宋体" w:cs="Times New Roman"/>
                <w:b/>
                <w:bCs/>
                <w:color w:val="000000" w:themeColor="text1"/>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4</w:t>
            </w:r>
            <w:r>
              <w:rPr>
                <w:rFonts w:hint="default" w:ascii="Times New Roman" w:hAnsi="Times New Roman" w:eastAsia="宋体" w:cs="Times New Roman"/>
                <w:b/>
                <w:bCs/>
                <w:color w:val="000000" w:themeColor="text1"/>
                <w:lang w:eastAsia="zh-CN"/>
                <w14:textFill>
                  <w14:solidFill>
                    <w14:schemeClr w14:val="tx1"/>
                  </w14:solidFill>
                </w14:textFill>
              </w:rPr>
              <w:t>）</w:t>
            </w:r>
            <w:r>
              <w:rPr>
                <w:rFonts w:hint="default" w:ascii="Times New Roman" w:hAnsi="Times New Roman" w:eastAsia="宋体" w:cs="Times New Roman"/>
                <w:b/>
                <w:bCs/>
                <w:color w:val="000000" w:themeColor="text1"/>
                <w14:textFill>
                  <w14:solidFill>
                    <w14:schemeClr w14:val="tx1"/>
                  </w14:solidFill>
                </w14:textFill>
              </w:rPr>
              <w:t>配套衔接​</w:t>
            </w:r>
          </w:p>
          <w:p w14:paraId="4F1BFA55">
            <w:pPr>
              <w:keepNext w:val="0"/>
              <w:keepLines w:val="0"/>
              <w:pageBreakBefore w:val="0"/>
              <w:widowControl w:val="0"/>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微喷支架需与</w:t>
            </w:r>
            <w:r>
              <w:rPr>
                <w:rFonts w:hint="default" w:ascii="Times New Roman" w:hAnsi="Times New Roman" w:eastAsia="宋体" w:cs="Times New Roman"/>
                <w:color w:val="000000" w:themeColor="text1"/>
                <w:lang w:eastAsia="zh-CN"/>
                <w14:textFill>
                  <w14:solidFill>
                    <w14:schemeClr w14:val="tx1"/>
                  </w14:solidFill>
                </w14:textFill>
              </w:rPr>
              <w:t>遮荫网</w:t>
            </w:r>
            <w:r>
              <w:rPr>
                <w:rFonts w:hint="default" w:ascii="Times New Roman" w:hAnsi="Times New Roman" w:eastAsia="宋体" w:cs="Times New Roman"/>
                <w:color w:val="000000" w:themeColor="text1"/>
                <w14:textFill>
                  <w14:solidFill>
                    <w14:schemeClr w14:val="tx1"/>
                  </w14:solidFill>
                </w14:textFill>
              </w:rPr>
              <w:t>支架固定牢固，防止风吹晃动导致喷头错位；畦沟内碎秸秆需定期整理，避免堵塞畦沟；大棚两侧预留通风口，与浇水流程衔接（浇水后及时打开通风口降湿），同时在采收前15天左右，提前调试控水程序，减少供水频率。</w:t>
            </w:r>
          </w:p>
          <w:p w14:paraId="4A35E129">
            <w:pPr>
              <w:keepNext w:val="0"/>
              <w:keepLines w:val="0"/>
              <w:pageBreakBefore w:val="0"/>
              <w:widowControl w:val="0"/>
              <w:kinsoku/>
              <w:wordWrap/>
              <w:overflowPunct/>
              <w:topLinePunct w:val="0"/>
              <w:autoSpaceDE/>
              <w:autoSpaceDN/>
              <w:bidi w:val="0"/>
              <w:adjustRightInd w:val="0"/>
              <w:snapToGrid w:val="0"/>
              <w:ind w:left="0" w:leftChars="0" w:firstLine="480" w:firstLineChars="200"/>
              <w:jc w:val="both"/>
              <w:textAlignment w:val="auto"/>
              <w:rPr>
                <w:rFonts w:hint="default" w:ascii="Times New Roman" w:hAnsi="Times New Roman" w:eastAsia="宋体" w:cs="Times New Roman"/>
                <w:b/>
                <w:bCs/>
                <w:color w:val="000000" w:themeColor="text1"/>
                <w14:textFill>
                  <w14:solidFill>
                    <w14:schemeClr w14:val="tx1"/>
                  </w14:solidFill>
                </w14:textFill>
              </w:rPr>
            </w:pPr>
            <w:r>
              <w:rPr>
                <w:rFonts w:hint="default" w:ascii="Times New Roman" w:hAnsi="Times New Roman" w:eastAsia="宋体" w:cs="Times New Roman"/>
                <w:b w:val="0"/>
                <w:bCs w:val="0"/>
                <w:color w:val="000000" w:themeColor="text1"/>
                <w14:textFill>
                  <w14:solidFill>
                    <w14:schemeClr w14:val="tx1"/>
                  </w14:solidFill>
                </w14:textFill>
              </w:rPr>
              <w:t>​</w:t>
            </w:r>
            <w:r>
              <w:rPr>
                <w:rFonts w:hint="default" w:ascii="Times New Roman" w:hAnsi="Times New Roman" w:eastAsia="宋体" w:cs="Times New Roman"/>
                <w:b/>
                <w:bCs/>
                <w:color w:val="000000" w:themeColor="text1"/>
                <w:lang w:eastAsia="zh-CN"/>
                <w14:textFill>
                  <w14:solidFill>
                    <w14:schemeClr w14:val="tx1"/>
                  </w14:solidFill>
                </w14:textFill>
              </w:rPr>
              <w:t>（</w:t>
            </w:r>
            <w:r>
              <w:rPr>
                <w:rFonts w:hint="default" w:ascii="Times New Roman" w:hAnsi="Times New Roman" w:eastAsia="宋体" w:cs="Times New Roman"/>
                <w:b/>
                <w:bCs/>
                <w:color w:val="000000" w:themeColor="text1"/>
                <w:lang w:val="en-US" w:eastAsia="zh-CN"/>
                <w14:textFill>
                  <w14:solidFill>
                    <w14:schemeClr w14:val="tx1"/>
                  </w14:solidFill>
                </w14:textFill>
              </w:rPr>
              <w:t>3</w:t>
            </w:r>
            <w:r>
              <w:rPr>
                <w:rFonts w:hint="default" w:ascii="Times New Roman" w:hAnsi="Times New Roman" w:eastAsia="宋体" w:cs="Times New Roman"/>
                <w:b/>
                <w:bCs/>
                <w:color w:val="000000" w:themeColor="text1"/>
                <w:lang w:eastAsia="zh-CN"/>
                <w14:textFill>
                  <w14:solidFill>
                    <w14:schemeClr w14:val="tx1"/>
                  </w14:solidFill>
                </w14:textFill>
              </w:rPr>
              <w:t>）</w:t>
            </w:r>
            <w:r>
              <w:rPr>
                <w:rFonts w:hint="default" w:ascii="Times New Roman" w:hAnsi="Times New Roman" w:eastAsia="宋体" w:cs="Times New Roman"/>
                <w:b/>
                <w:bCs/>
                <w:color w:val="000000" w:themeColor="text1"/>
                <w14:textFill>
                  <w14:solidFill>
                    <w14:schemeClr w14:val="tx1"/>
                  </w14:solidFill>
                </w14:textFill>
              </w:rPr>
              <w:t>羊肚菌种植区施工布置​</w:t>
            </w:r>
          </w:p>
          <w:p w14:paraId="7824C3FB">
            <w:pPr>
              <w:keepNext w:val="0"/>
              <w:keepLines w:val="0"/>
              <w:pageBreakBefore w:val="0"/>
              <w:widowControl w:val="0"/>
              <w:kinsoku/>
              <w:wordWrap/>
              <w:overflowPunct/>
              <w:topLinePunct w:val="0"/>
              <w:autoSpaceDE/>
              <w:autoSpaceDN/>
              <w:bidi w:val="0"/>
              <w:adjustRightInd w:val="0"/>
              <w:snapToGrid w:val="0"/>
              <w:ind w:leftChars="0" w:firstLine="482" w:firstLineChars="200"/>
              <w:jc w:val="both"/>
              <w:textAlignment w:val="auto"/>
              <w:rPr>
                <w:rFonts w:hint="default" w:ascii="Times New Roman" w:hAnsi="Times New Roman" w:eastAsia="宋体" w:cs="Times New Roman"/>
                <w:b/>
                <w:bCs/>
                <w:color w:val="000000" w:themeColor="text1"/>
                <w14:textFill>
                  <w14:solidFill>
                    <w14:schemeClr w14:val="tx1"/>
                  </w14:solidFill>
                </w14:textFill>
              </w:rPr>
            </w:pPr>
            <w:r>
              <w:rPr>
                <w:rFonts w:hint="default" w:ascii="Times New Roman" w:hAnsi="Times New Roman" w:eastAsia="宋体" w:cs="Times New Roman"/>
                <w:b/>
                <w:bCs/>
                <w:color w:val="000000" w:themeColor="text1"/>
                <w14:textFill>
                  <w14:solidFill>
                    <w14:schemeClr w14:val="tx1"/>
                  </w14:solidFill>
                </w14:textFill>
              </w:rPr>
              <w:t>1</w:t>
            </w:r>
            <w:r>
              <w:rPr>
                <w:rFonts w:hint="default" w:ascii="Times New Roman" w:hAnsi="Times New Roman" w:eastAsia="宋体" w:cs="Times New Roman"/>
                <w:b/>
                <w:bCs/>
                <w:color w:val="000000" w:themeColor="text1"/>
                <w:lang w:eastAsia="zh-CN"/>
                <w14:textFill>
                  <w14:solidFill>
                    <w14:schemeClr w14:val="tx1"/>
                  </w14:solidFill>
                </w14:textFill>
              </w:rPr>
              <w:t>）</w:t>
            </w:r>
            <w:r>
              <w:rPr>
                <w:rFonts w:hint="default" w:ascii="Times New Roman" w:hAnsi="Times New Roman" w:eastAsia="宋体" w:cs="Times New Roman"/>
                <w:b/>
                <w:bCs/>
                <w:color w:val="000000" w:themeColor="text1"/>
                <w14:textFill>
                  <w14:solidFill>
                    <w14:schemeClr w14:val="tx1"/>
                  </w14:solidFill>
                </w14:textFill>
              </w:rPr>
              <w:t>场地与大棚预处理​</w:t>
            </w:r>
          </w:p>
          <w:p w14:paraId="7373468F">
            <w:pPr>
              <w:keepNext w:val="0"/>
              <w:keepLines w:val="0"/>
              <w:pageBreakBefore w:val="0"/>
              <w:widowControl w:val="0"/>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清理种植区后，平整土地，搭建保温保湿大棚（配备卷帘机，便于调节温湿度），按菌袋摆放或畦栽的方式划分种植区域，预留通道与雾化喷头安装空间；棚内地面可铺设薄膜（防止土壤水分蒸发影响基质湿度），同时标记浅沟位置（用于收集凝结水）。​</w:t>
            </w:r>
          </w:p>
          <w:p w14:paraId="6E581E6C">
            <w:pPr>
              <w:keepNext w:val="0"/>
              <w:keepLines w:val="0"/>
              <w:pageBreakBefore w:val="0"/>
              <w:widowControl w:val="0"/>
              <w:kinsoku/>
              <w:wordWrap/>
              <w:overflowPunct/>
              <w:topLinePunct w:val="0"/>
              <w:autoSpaceDE/>
              <w:autoSpaceDN/>
              <w:bidi w:val="0"/>
              <w:adjustRightInd w:val="0"/>
              <w:snapToGrid w:val="0"/>
              <w:ind w:leftChars="0" w:firstLine="482" w:firstLineChars="200"/>
              <w:jc w:val="both"/>
              <w:textAlignment w:val="auto"/>
              <w:rPr>
                <w:rFonts w:hint="default" w:ascii="Times New Roman" w:hAnsi="Times New Roman" w:eastAsia="宋体" w:cs="Times New Roman"/>
                <w:b/>
                <w:bCs/>
                <w:color w:val="000000" w:themeColor="text1"/>
                <w14:textFill>
                  <w14:solidFill>
                    <w14:schemeClr w14:val="tx1"/>
                  </w14:solidFill>
                </w14:textFill>
              </w:rPr>
            </w:pPr>
            <w:r>
              <w:rPr>
                <w:rFonts w:hint="default" w:ascii="Times New Roman" w:hAnsi="Times New Roman" w:eastAsia="宋体" w:cs="Times New Roman"/>
                <w:b/>
                <w:bCs/>
                <w:color w:val="000000" w:themeColor="text1"/>
                <w14:textFill>
                  <w14:solidFill>
                    <w14:schemeClr w14:val="tx1"/>
                  </w14:solidFill>
                </w14:textFill>
              </w:rPr>
              <w:t>2</w:t>
            </w:r>
            <w:r>
              <w:rPr>
                <w:rFonts w:hint="default" w:ascii="Times New Roman" w:hAnsi="Times New Roman" w:eastAsia="宋体" w:cs="Times New Roman"/>
                <w:b/>
                <w:bCs/>
                <w:color w:val="000000" w:themeColor="text1"/>
                <w:lang w:eastAsia="zh-CN"/>
                <w14:textFill>
                  <w14:solidFill>
                    <w14:schemeClr w14:val="tx1"/>
                  </w14:solidFill>
                </w14:textFill>
              </w:rPr>
              <w:t>）</w:t>
            </w:r>
            <w:r>
              <w:rPr>
                <w:rFonts w:hint="default" w:ascii="Times New Roman" w:hAnsi="Times New Roman" w:eastAsia="宋体" w:cs="Times New Roman"/>
                <w:b/>
                <w:bCs/>
                <w:color w:val="000000" w:themeColor="text1"/>
                <w14:textFill>
                  <w14:solidFill>
                    <w14:schemeClr w14:val="tx1"/>
                  </w14:solidFill>
                </w14:textFill>
              </w:rPr>
              <w:t>水利设施施工​</w:t>
            </w:r>
          </w:p>
          <w:p w14:paraId="6649D6E8">
            <w:pPr>
              <w:keepNext w:val="0"/>
              <w:keepLines w:val="0"/>
              <w:pageBreakBefore w:val="0"/>
              <w:widowControl w:val="0"/>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①雾化增湿系统安装：主管道沿大棚外侧布置，支管从大棚两端或侧面接入，沿大棚长度方向固定在棚顶支架上（高度约2.5</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3m），支管上安装超声波雾化喷头或微雾喷头，确保喷头间距均匀，雾化范围覆盖整个棚内空间；试雾化时，检查棚内湿度分布，避免局部湿度过高或过低。​</w:t>
            </w:r>
          </w:p>
          <w:p w14:paraId="78CA6D86">
            <w:pPr>
              <w:keepNext w:val="0"/>
              <w:keepLines w:val="0"/>
              <w:pageBreakBefore w:val="0"/>
              <w:widowControl w:val="0"/>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②基质补水系统安装：</w:t>
            </w:r>
            <w:r>
              <w:rPr>
                <w:rFonts w:hint="default" w:ascii="Times New Roman" w:hAnsi="Times New Roman" w:eastAsia="宋体" w:cs="Times New Roman"/>
                <w:color w:val="000000" w:themeColor="text1"/>
                <w:lang w:val="en-US" w:eastAsia="zh-CN"/>
                <w14:textFill>
                  <w14:solidFill>
                    <w14:schemeClr w14:val="tx1"/>
                  </w14:solidFill>
                </w14:textFill>
              </w:rPr>
              <w:t>项目</w:t>
            </w:r>
            <w:r>
              <w:rPr>
                <w:rFonts w:hint="default" w:ascii="Times New Roman" w:hAnsi="Times New Roman" w:eastAsia="宋体" w:cs="Times New Roman"/>
                <w:color w:val="000000" w:themeColor="text1"/>
                <w14:textFill>
                  <w14:solidFill>
                    <w14:schemeClr w14:val="tx1"/>
                  </w14:solidFill>
                </w14:textFill>
              </w:rPr>
              <w:t>为畦栽，沿畦边铺设滴箭（插入基质浅层）；安装后试补水，观察基质吸水情况，避免补水过量导致基质积水。​</w:t>
            </w:r>
          </w:p>
          <w:p w14:paraId="1D598ADA">
            <w:pPr>
              <w:keepNext w:val="0"/>
              <w:keepLines w:val="0"/>
              <w:pageBreakBefore w:val="0"/>
              <w:widowControl w:val="0"/>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③控湿与防护设施布置：棚内安装温湿度一体化控制器，与雾化系统联动，设置高温停止雾化的阈值（防止高温高湿烂菌）；棚顶预留凝结水导流槽，配合地面浅沟，将凝结水引至棚外，避免滴落在子实体上；雾化喷头需加装防护套，防止灰尘堵塞喷头。</w:t>
            </w:r>
          </w:p>
          <w:p w14:paraId="6C989DE7">
            <w:pPr>
              <w:keepNext w:val="0"/>
              <w:keepLines w:val="0"/>
              <w:pageBreakBefore w:val="0"/>
              <w:widowControl w:val="0"/>
              <w:numPr>
                <w:ilvl w:val="0"/>
                <w:numId w:val="0"/>
              </w:numPr>
              <w:kinsoku/>
              <w:wordWrap/>
              <w:overflowPunct/>
              <w:topLinePunct w:val="0"/>
              <w:autoSpaceDE/>
              <w:autoSpaceDN/>
              <w:bidi w:val="0"/>
              <w:adjustRightInd w:val="0"/>
              <w:snapToGrid w:val="0"/>
              <w:ind w:leftChars="0" w:firstLine="482" w:firstLineChars="200"/>
              <w:jc w:val="both"/>
              <w:textAlignment w:val="auto"/>
              <w:rPr>
                <w:rFonts w:hint="default" w:ascii="Times New Roman" w:hAnsi="Times New Roman" w:eastAsia="宋体" w:cs="Times New Roman"/>
                <w:b/>
                <w:bCs/>
                <w:color w:val="000000" w:themeColor="text1"/>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3）</w:t>
            </w:r>
            <w:r>
              <w:rPr>
                <w:rFonts w:hint="default" w:ascii="Times New Roman" w:hAnsi="Times New Roman" w:eastAsia="宋体" w:cs="Times New Roman"/>
                <w:b/>
                <w:bCs/>
                <w:color w:val="000000" w:themeColor="text1"/>
                <w14:textFill>
                  <w14:solidFill>
                    <w14:schemeClr w14:val="tx1"/>
                  </w14:solidFill>
                </w14:textFill>
              </w:rPr>
              <w:t>排水设施施工​</w:t>
            </w:r>
          </w:p>
          <w:p w14:paraId="52211431">
            <w:pPr>
              <w:keepNext w:val="0"/>
              <w:keepLines w:val="0"/>
              <w:pageBreakBefore w:val="0"/>
              <w:widowControl w:val="0"/>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eastAsia="宋体" w:cs="Times New Roman"/>
                <w:i w:val="0"/>
                <w:iCs w:val="0"/>
                <w:caps w:val="0"/>
                <w:color w:val="000000" w:themeColor="text1"/>
                <w:spacing w:val="0"/>
                <w:sz w:val="24"/>
                <w:szCs w:val="24"/>
                <w:shd w:val="clear" w:fill="FFFFFF"/>
                <w14:textFill>
                  <w14:solidFill>
                    <w14:schemeClr w14:val="tx1"/>
                  </w14:solidFill>
                </w14:textFill>
              </w:rPr>
            </w:pPr>
            <w:r>
              <w:rPr>
                <w:rFonts w:hint="default" w:ascii="Times New Roman" w:hAnsi="Times New Roman" w:eastAsia="宋体" w:cs="Times New Roman"/>
                <w:i w:val="0"/>
                <w:iCs w:val="0"/>
                <w:caps w:val="0"/>
                <w:color w:val="000000" w:themeColor="text1"/>
                <w:spacing w:val="0"/>
                <w:sz w:val="24"/>
                <w:szCs w:val="24"/>
                <w:shd w:val="clear" w:fill="FFFFFF"/>
                <w14:textFill>
                  <w14:solidFill>
                    <w14:schemeClr w14:val="tx1"/>
                  </w14:solidFill>
                </w14:textFill>
              </w:rPr>
              <w:t>羊肚菌种植的排水设施施工</w:t>
            </w:r>
            <w:r>
              <w:rPr>
                <w:rFonts w:hint="default" w:ascii="Times New Roman" w:hAnsi="Times New Roman" w:eastAsia="宋体" w:cs="Times New Roman"/>
                <w:color w:val="000000" w:themeColor="text1"/>
                <w:sz w:val="24"/>
                <w:szCs w:val="24"/>
                <w14:textFill>
                  <w14:solidFill>
                    <w14:schemeClr w14:val="tx1"/>
                  </w14:solidFill>
                </w14:textFill>
              </w:rPr>
              <w:t>以“疏排凝结水、控基质湿度”为核心，</w:t>
            </w:r>
            <w:r>
              <w:rPr>
                <w:rFonts w:hint="default" w:ascii="Times New Roman" w:hAnsi="Times New Roman" w:eastAsia="宋体" w:cs="Times New Roman"/>
                <w:i w:val="0"/>
                <w:iCs w:val="0"/>
                <w:caps w:val="0"/>
                <w:color w:val="000000" w:themeColor="text1"/>
                <w:spacing w:val="0"/>
                <w:sz w:val="24"/>
                <w:szCs w:val="24"/>
                <w:shd w:val="clear" w:fill="FFFFFF"/>
                <w14:textFill>
                  <w14:solidFill>
                    <w14:schemeClr w14:val="tx1"/>
                  </w14:solidFill>
                </w14:textFill>
              </w:rPr>
              <w:t>施工需选择地势较高且略带坡度的地块，整地时保持</w:t>
            </w:r>
            <w:r>
              <w:rPr>
                <w:rFonts w:hint="eastAsia" w:ascii="Times New Roman" w:hAnsi="Times New Roman" w:cs="Times New Roman"/>
                <w:i w:val="0"/>
                <w:iCs w:val="0"/>
                <w:caps w:val="0"/>
                <w:color w:val="000000" w:themeColor="text1"/>
                <w:spacing w:val="0"/>
                <w:sz w:val="24"/>
                <w:szCs w:val="24"/>
                <w:shd w:val="clear" w:fill="FFFFFF"/>
                <w:lang w:eastAsia="zh-CN"/>
                <w14:textFill>
                  <w14:solidFill>
                    <w14:schemeClr w14:val="tx1"/>
                  </w14:solidFill>
                </w14:textFill>
              </w:rPr>
              <w:t>1%—3%</w:t>
            </w:r>
            <w:r>
              <w:rPr>
                <w:rFonts w:hint="default" w:ascii="Times New Roman" w:hAnsi="Times New Roman" w:eastAsia="宋体" w:cs="Times New Roman"/>
                <w:i w:val="0"/>
                <w:iCs w:val="0"/>
                <w:caps w:val="0"/>
                <w:color w:val="000000" w:themeColor="text1"/>
                <w:spacing w:val="0"/>
                <w:sz w:val="24"/>
                <w:szCs w:val="24"/>
                <w:shd w:val="clear" w:fill="FFFFFF"/>
                <w14:textFill>
                  <w14:solidFill>
                    <w14:schemeClr w14:val="tx1"/>
                  </w14:solidFill>
                </w14:textFill>
              </w:rPr>
              <w:t>的坡度便于排水，外围开挖深30cm以上的主排水沟，畦间设置15</w:t>
            </w:r>
            <w:r>
              <w:rPr>
                <w:rFonts w:hint="eastAsia" w:ascii="Times New Roman" w:hAnsi="Times New Roman" w:cs="Times New Roman"/>
                <w:i w:val="0"/>
                <w:iCs w:val="0"/>
                <w:caps w:val="0"/>
                <w:color w:val="000000" w:themeColor="text1"/>
                <w:spacing w:val="0"/>
                <w:sz w:val="24"/>
                <w:szCs w:val="24"/>
                <w:shd w:val="clear" w:fill="FFFFFF"/>
                <w:lang w:eastAsia="zh-CN"/>
                <w14:textFill>
                  <w14:solidFill>
                    <w14:schemeClr w14:val="tx1"/>
                  </w14:solidFill>
                </w14:textFill>
              </w:rPr>
              <w:t>—</w:t>
            </w:r>
            <w:r>
              <w:rPr>
                <w:rFonts w:hint="default" w:ascii="Times New Roman" w:hAnsi="Times New Roman" w:eastAsia="宋体" w:cs="Times New Roman"/>
                <w:i w:val="0"/>
                <w:iCs w:val="0"/>
                <w:caps w:val="0"/>
                <w:color w:val="000000" w:themeColor="text1"/>
                <w:spacing w:val="0"/>
                <w:sz w:val="24"/>
                <w:szCs w:val="24"/>
                <w:shd w:val="clear" w:fill="FFFFFF"/>
                <w14:textFill>
                  <w14:solidFill>
                    <w14:schemeClr w14:val="tx1"/>
                  </w14:solidFill>
                </w14:textFill>
              </w:rPr>
              <w:t>20cm深的支沟形成排水网络，畦面做成龟背形防止积水，黏土地可铺设碎石或暗管增强排水，同时定期清理沟渠避免堵塞，确保土壤湿度适宜以保障菌丝健康生长。</w:t>
            </w:r>
          </w:p>
          <w:p w14:paraId="7443089F">
            <w:pPr>
              <w:keepNext w:val="0"/>
              <w:keepLines w:val="0"/>
              <w:pageBreakBefore w:val="0"/>
              <w:widowControl w:val="0"/>
              <w:numPr>
                <w:ilvl w:val="0"/>
                <w:numId w:val="5"/>
              </w:numPr>
              <w:kinsoku/>
              <w:wordWrap/>
              <w:overflowPunct/>
              <w:topLinePunct w:val="0"/>
              <w:autoSpaceDE/>
              <w:autoSpaceDN/>
              <w:bidi w:val="0"/>
              <w:adjustRightInd w:val="0"/>
              <w:snapToGrid w:val="0"/>
              <w:ind w:leftChars="0" w:firstLine="482" w:firstLineChars="200"/>
              <w:jc w:val="both"/>
              <w:textAlignment w:val="auto"/>
              <w:rPr>
                <w:rFonts w:hint="default" w:ascii="Times New Roman" w:hAnsi="Times New Roman" w:eastAsia="宋体" w:cs="Times New Roman"/>
                <w:b/>
                <w:bCs/>
                <w:color w:val="000000" w:themeColor="text1"/>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桃树、苹果树</w:t>
            </w:r>
            <w:r>
              <w:rPr>
                <w:rFonts w:hint="default" w:ascii="Times New Roman" w:hAnsi="Times New Roman" w:eastAsia="宋体" w:cs="Times New Roman"/>
                <w:b/>
                <w:bCs/>
                <w:color w:val="000000" w:themeColor="text1"/>
                <w14:textFill>
                  <w14:solidFill>
                    <w14:schemeClr w14:val="tx1"/>
                  </w14:solidFill>
                </w14:textFill>
              </w:rPr>
              <w:t>种植区施工布置</w:t>
            </w:r>
          </w:p>
          <w:p w14:paraId="1643C3A3">
            <w:pPr>
              <w:keepNext w:val="0"/>
              <w:keepLines w:val="0"/>
              <w:pageBreakBefore w:val="0"/>
              <w:widowControl w:val="0"/>
              <w:numPr>
                <w:ilvl w:val="0"/>
                <w:numId w:val="0"/>
              </w:numPr>
              <w:kinsoku/>
              <w:wordWrap/>
              <w:overflowPunct/>
              <w:topLinePunct w:val="0"/>
              <w:autoSpaceDE/>
              <w:autoSpaceDN/>
              <w:bidi w:val="0"/>
              <w:adjustRightInd w:val="0"/>
              <w:snapToGrid w:val="0"/>
              <w:ind w:leftChars="0" w:firstLine="482" w:firstLineChars="200"/>
              <w:jc w:val="both"/>
              <w:textAlignment w:val="auto"/>
              <w:rPr>
                <w:rFonts w:hint="default" w:ascii="Times New Roman" w:hAnsi="Times New Roman" w:eastAsia="宋体" w:cs="Times New Roman"/>
                <w:b/>
                <w:bCs/>
                <w:color w:val="000000" w:themeColor="text1"/>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1）</w:t>
            </w:r>
            <w:r>
              <w:rPr>
                <w:rFonts w:hint="default" w:ascii="Times New Roman" w:hAnsi="Times New Roman" w:eastAsia="宋体" w:cs="Times New Roman"/>
                <w:b/>
                <w:bCs/>
                <w:color w:val="000000" w:themeColor="text1"/>
                <w14:textFill>
                  <w14:solidFill>
                    <w14:schemeClr w14:val="tx1"/>
                  </w14:solidFill>
                </w14:textFill>
              </w:rPr>
              <w:t>地块前期整理施工​</w:t>
            </w:r>
          </w:p>
          <w:p w14:paraId="06C73A0A">
            <w:pPr>
              <w:keepNext w:val="0"/>
              <w:keepLines w:val="0"/>
              <w:pageBreakBefore w:val="0"/>
              <w:widowControl w:val="0"/>
              <w:numPr>
                <w:ilvl w:val="0"/>
                <w:numId w:val="0"/>
              </w:numPr>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eastAsia="宋体" w:cs="Times New Roman"/>
                <w:b w:val="0"/>
                <w:bCs w:val="0"/>
                <w:color w:val="000000" w:themeColor="text1"/>
                <w14:textFill>
                  <w14:solidFill>
                    <w14:schemeClr w14:val="tx1"/>
                  </w14:solidFill>
                </w14:textFill>
              </w:rPr>
            </w:pPr>
            <w:r>
              <w:rPr>
                <w:rFonts w:hint="default" w:ascii="Times New Roman" w:hAnsi="Times New Roman" w:eastAsia="宋体" w:cs="Times New Roman"/>
                <w:b w:val="0"/>
                <w:bCs w:val="0"/>
                <w:color w:val="000000" w:themeColor="text1"/>
                <w14:textFill>
                  <w14:solidFill>
                    <w14:schemeClr w14:val="tx1"/>
                  </w14:solidFill>
                </w14:textFill>
              </w:rPr>
              <w:t>按“光照足、排水好、距蓝莓区≥50m”要求划定区域，清除地块内杂草、碎石等杂物，平整地面（坡度控制在5°以内，避免低洼积水），若地块有坡度，沿等高线规划种植带，预防水土流失。</w:t>
            </w:r>
          </w:p>
          <w:p w14:paraId="6562F9DB">
            <w:pPr>
              <w:keepNext w:val="0"/>
              <w:keepLines w:val="0"/>
              <w:pageBreakBefore w:val="0"/>
              <w:widowControl w:val="0"/>
              <w:numPr>
                <w:ilvl w:val="0"/>
                <w:numId w:val="0"/>
              </w:numPr>
              <w:kinsoku/>
              <w:wordWrap/>
              <w:overflowPunct/>
              <w:topLinePunct w:val="0"/>
              <w:autoSpaceDE/>
              <w:autoSpaceDN/>
              <w:bidi w:val="0"/>
              <w:adjustRightInd w:val="0"/>
              <w:snapToGrid w:val="0"/>
              <w:ind w:leftChars="0" w:firstLine="482" w:firstLineChars="200"/>
              <w:jc w:val="both"/>
              <w:textAlignment w:val="auto"/>
              <w:rPr>
                <w:rFonts w:hint="default" w:ascii="Times New Roman" w:hAnsi="Times New Roman" w:eastAsia="宋体" w:cs="Times New Roman"/>
                <w:b/>
                <w:bCs/>
                <w:i w:val="0"/>
                <w:iCs w:val="0"/>
                <w:caps w:val="0"/>
                <w:color w:val="000000" w:themeColor="text1"/>
                <w:spacing w:val="0"/>
                <w:sz w:val="24"/>
                <w:szCs w:val="24"/>
                <w:shd w:val="clear" w:fill="FFFFFF"/>
                <w14:textFill>
                  <w14:solidFill>
                    <w14:schemeClr w14:val="tx1"/>
                  </w14:solidFill>
                </w14:textFill>
              </w:rPr>
            </w:pPr>
            <w:r>
              <w:rPr>
                <w:rFonts w:hint="default" w:ascii="Times New Roman" w:hAnsi="Times New Roman" w:eastAsia="宋体" w:cs="Times New Roman"/>
                <w:b/>
                <w:bCs/>
                <w:i w:val="0"/>
                <w:iCs w:val="0"/>
                <w:caps w:val="0"/>
                <w:color w:val="000000" w:themeColor="text1"/>
                <w:spacing w:val="0"/>
                <w:sz w:val="24"/>
                <w:szCs w:val="24"/>
                <w:shd w:val="clear" w:fill="FFFFFF"/>
                <w:lang w:val="en-US" w:eastAsia="zh-CN"/>
                <w14:textFill>
                  <w14:solidFill>
                    <w14:schemeClr w14:val="tx1"/>
                  </w14:solidFill>
                </w14:textFill>
              </w:rPr>
              <w:t>2）</w:t>
            </w:r>
            <w:r>
              <w:rPr>
                <w:rFonts w:hint="default" w:ascii="Times New Roman" w:hAnsi="Times New Roman" w:eastAsia="宋体" w:cs="Times New Roman"/>
                <w:b/>
                <w:bCs/>
                <w:i w:val="0"/>
                <w:iCs w:val="0"/>
                <w:caps w:val="0"/>
                <w:color w:val="000000" w:themeColor="text1"/>
                <w:spacing w:val="0"/>
                <w:sz w:val="24"/>
                <w:szCs w:val="24"/>
                <w:shd w:val="clear" w:fill="FFFFFF"/>
                <w14:textFill>
                  <w14:solidFill>
                    <w14:schemeClr w14:val="tx1"/>
                  </w14:solidFill>
                </w14:textFill>
              </w:rPr>
              <w:t>水利设施施工​</w:t>
            </w:r>
          </w:p>
          <w:p w14:paraId="42F79084">
            <w:pPr>
              <w:keepNext w:val="0"/>
              <w:keepLines w:val="0"/>
              <w:pageBreakBefore w:val="0"/>
              <w:widowControl w:val="0"/>
              <w:numPr>
                <w:ilvl w:val="0"/>
                <w:numId w:val="0"/>
              </w:numPr>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eastAsia="宋体" w:cs="Times New Roman"/>
                <w:b w:val="0"/>
                <w:bCs w:val="0"/>
                <w:color w:val="000000" w:themeColor="text1"/>
                <w14:textFill>
                  <w14:solidFill>
                    <w14:schemeClr w14:val="tx1"/>
                  </w14:solidFill>
                </w14:textFill>
              </w:rPr>
            </w:pPr>
            <w:r>
              <w:rPr>
                <w:rFonts w:hint="default" w:ascii="Times New Roman" w:hAnsi="Times New Roman" w:eastAsia="宋体" w:cs="Times New Roman"/>
                <w:b w:val="0"/>
                <w:bCs w:val="0"/>
                <w:color w:val="000000" w:themeColor="text1"/>
                <w14:textFill>
                  <w14:solidFill>
                    <w14:schemeClr w14:val="tx1"/>
                  </w14:solidFill>
                </w14:textFill>
              </w:rPr>
              <w:t>地块划分</w:t>
            </w:r>
            <w:r>
              <w:rPr>
                <w:rFonts w:hint="default" w:ascii="Times New Roman" w:hAnsi="Times New Roman" w:eastAsia="宋体" w:cs="Times New Roman"/>
                <w:b w:val="0"/>
                <w:bCs w:val="0"/>
                <w:color w:val="000000" w:themeColor="text1"/>
                <w:lang w:val="en-US" w:eastAsia="zh-CN"/>
                <w14:textFill>
                  <w14:solidFill>
                    <w14:schemeClr w14:val="tx1"/>
                  </w14:solidFill>
                </w14:textFill>
              </w:rPr>
              <w:t>为</w:t>
            </w:r>
            <w:r>
              <w:rPr>
                <w:rFonts w:hint="default" w:ascii="Times New Roman" w:hAnsi="Times New Roman" w:eastAsia="宋体" w:cs="Times New Roman"/>
                <w:b w:val="0"/>
                <w:bCs w:val="0"/>
                <w:color w:val="000000" w:themeColor="text1"/>
                <w14:textFill>
                  <w14:solidFill>
                    <w14:schemeClr w14:val="tx1"/>
                  </w14:solidFill>
                </w14:textFill>
              </w:rPr>
              <w:t>3</w:t>
            </w:r>
            <w:r>
              <w:rPr>
                <w:rFonts w:hint="eastAsia" w:ascii="Times New Roman" w:hAnsi="Times New Roman" w:cs="Times New Roman"/>
                <w:b w:val="0"/>
                <w:bCs w:val="0"/>
                <w:color w:val="000000" w:themeColor="text1"/>
                <w:lang w:eastAsia="zh-CN"/>
                <w14:textFill>
                  <w14:solidFill>
                    <w14:schemeClr w14:val="tx1"/>
                  </w14:solidFill>
                </w14:textFill>
              </w:rPr>
              <w:t>—</w:t>
            </w:r>
            <w:r>
              <w:rPr>
                <w:rFonts w:hint="default" w:ascii="Times New Roman" w:hAnsi="Times New Roman" w:eastAsia="宋体" w:cs="Times New Roman"/>
                <w:b w:val="0"/>
                <w:bCs w:val="0"/>
                <w:color w:val="000000" w:themeColor="text1"/>
                <w14:textFill>
                  <w14:solidFill>
                    <w14:schemeClr w14:val="tx1"/>
                  </w14:solidFill>
                </w14:textFill>
              </w:rPr>
              <w:t>4个汇水区，准备好材料并安排20</w:t>
            </w:r>
            <w:r>
              <w:rPr>
                <w:rFonts w:hint="eastAsia" w:ascii="Times New Roman" w:hAnsi="Times New Roman" w:cs="Times New Roman"/>
                <w:b w:val="0"/>
                <w:bCs w:val="0"/>
                <w:color w:val="000000" w:themeColor="text1"/>
                <w:lang w:eastAsia="zh-CN"/>
                <w14:textFill>
                  <w14:solidFill>
                    <w14:schemeClr w14:val="tx1"/>
                  </w14:solidFill>
                </w14:textFill>
              </w:rPr>
              <w:t>—</w:t>
            </w:r>
            <w:r>
              <w:rPr>
                <w:rFonts w:hint="default" w:ascii="Times New Roman" w:hAnsi="Times New Roman" w:eastAsia="宋体" w:cs="Times New Roman"/>
                <w:b w:val="0"/>
                <w:bCs w:val="0"/>
                <w:color w:val="000000" w:themeColor="text1"/>
                <w14:textFill>
                  <w14:solidFill>
                    <w14:schemeClr w14:val="tx1"/>
                  </w14:solidFill>
                </w14:textFill>
              </w:rPr>
              <w:t>25天工期与对应人员；施工时先整理地块开挖集水沟、硬化周边并设导流槽，再建砖混蓄水池与行间临时储水坑，接着铺设PE主支管及滴灌带、预留抽水泵位置，最后挖排水渠、筑树盘并</w:t>
            </w:r>
            <w:r>
              <w:rPr>
                <w:rFonts w:hint="eastAsia" w:ascii="Times New Roman" w:hAnsi="Times New Roman" w:cs="Times New Roman"/>
                <w:b w:val="0"/>
                <w:bCs w:val="0"/>
                <w:color w:val="000000" w:themeColor="text1"/>
                <w:lang w:eastAsia="zh-CN"/>
                <w14:textFill>
                  <w14:solidFill>
                    <w14:schemeClr w14:val="tx1"/>
                  </w14:solidFill>
                </w14:textFill>
              </w:rPr>
              <w:t>设置警示标识</w:t>
            </w:r>
            <w:r>
              <w:rPr>
                <w:rFonts w:hint="default" w:ascii="Times New Roman" w:hAnsi="Times New Roman" w:eastAsia="宋体" w:cs="Times New Roman"/>
                <w:b w:val="0"/>
                <w:bCs w:val="0"/>
                <w:color w:val="000000" w:themeColor="text1"/>
                <w14:textFill>
                  <w14:solidFill>
                    <w14:schemeClr w14:val="tx1"/>
                  </w14:solidFill>
                </w14:textFill>
              </w:rPr>
              <w:t>；验收需确保沟渠无积水、蓄水池不渗漏、管网出水均匀，施工中要做好防雨、混凝土养护，完工后清理现场。</w:t>
            </w:r>
          </w:p>
          <w:p w14:paraId="3F081860">
            <w:pPr>
              <w:keepNext w:val="0"/>
              <w:keepLines w:val="0"/>
              <w:pageBreakBefore w:val="0"/>
              <w:widowControl w:val="0"/>
              <w:numPr>
                <w:ilvl w:val="0"/>
                <w:numId w:val="0"/>
              </w:numPr>
              <w:kinsoku/>
              <w:wordWrap/>
              <w:overflowPunct/>
              <w:topLinePunct w:val="0"/>
              <w:autoSpaceDE/>
              <w:autoSpaceDN/>
              <w:bidi w:val="0"/>
              <w:adjustRightInd w:val="0"/>
              <w:snapToGrid w:val="0"/>
              <w:ind w:leftChars="0" w:firstLine="482" w:firstLineChars="200"/>
              <w:jc w:val="both"/>
              <w:textAlignment w:val="auto"/>
              <w:rPr>
                <w:rFonts w:hint="default" w:ascii="Times New Roman" w:hAnsi="Times New Roman" w:eastAsia="宋体" w:cs="Times New Roman"/>
                <w:b/>
                <w:bCs/>
                <w:i w:val="0"/>
                <w:iCs w:val="0"/>
                <w:caps w:val="0"/>
                <w:color w:val="000000" w:themeColor="text1"/>
                <w:spacing w:val="0"/>
                <w:sz w:val="24"/>
                <w:szCs w:val="24"/>
                <w:shd w:val="clear" w:fill="FFFFFF"/>
                <w14:textFill>
                  <w14:solidFill>
                    <w14:schemeClr w14:val="tx1"/>
                  </w14:solidFill>
                </w14:textFill>
              </w:rPr>
            </w:pPr>
            <w:r>
              <w:rPr>
                <w:rFonts w:hint="default" w:ascii="Times New Roman" w:hAnsi="Times New Roman" w:eastAsia="宋体" w:cs="Times New Roman"/>
                <w:b/>
                <w:bCs/>
                <w:i w:val="0"/>
                <w:iCs w:val="0"/>
                <w:caps w:val="0"/>
                <w:color w:val="000000" w:themeColor="text1"/>
                <w:spacing w:val="0"/>
                <w:sz w:val="24"/>
                <w:szCs w:val="24"/>
                <w:shd w:val="clear" w:fill="FFFFFF"/>
                <w:lang w:val="en-US" w:eastAsia="zh-CN"/>
                <w14:textFill>
                  <w14:solidFill>
                    <w14:schemeClr w14:val="tx1"/>
                  </w14:solidFill>
                </w14:textFill>
              </w:rPr>
              <w:t>3）</w:t>
            </w:r>
            <w:r>
              <w:rPr>
                <w:rFonts w:hint="default" w:ascii="Times New Roman" w:hAnsi="Times New Roman" w:eastAsia="宋体" w:cs="Times New Roman"/>
                <w:b/>
                <w:bCs/>
                <w:i w:val="0"/>
                <w:iCs w:val="0"/>
                <w:caps w:val="0"/>
                <w:color w:val="000000" w:themeColor="text1"/>
                <w:spacing w:val="0"/>
                <w:sz w:val="24"/>
                <w:szCs w:val="24"/>
                <w:shd w:val="clear" w:fill="FFFFFF"/>
                <w14:textFill>
                  <w14:solidFill>
                    <w14:schemeClr w14:val="tx1"/>
                  </w14:solidFill>
                </w14:textFill>
              </w:rPr>
              <w:t>排水设施施工（分级排水，防涝为主）​</w:t>
            </w:r>
          </w:p>
          <w:p w14:paraId="22C090F2">
            <w:pPr>
              <w:keepNext w:val="0"/>
              <w:keepLines w:val="0"/>
              <w:pageBreakBefore w:val="0"/>
              <w:widowControl w:val="0"/>
              <w:numPr>
                <w:ilvl w:val="0"/>
                <w:numId w:val="0"/>
              </w:numPr>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eastAsia="宋体" w:cs="Times New Roman"/>
                <w:b w:val="0"/>
                <w:bCs w:val="0"/>
                <w:color w:val="000000" w:themeColor="text1"/>
                <w14:textFill>
                  <w14:solidFill>
                    <w14:schemeClr w14:val="tx1"/>
                  </w14:solidFill>
                </w14:textFill>
              </w:rPr>
            </w:pPr>
            <w:r>
              <w:rPr>
                <w:rFonts w:hint="default" w:ascii="Times New Roman" w:hAnsi="Times New Roman" w:eastAsia="宋体" w:cs="Times New Roman"/>
                <w:b w:val="0"/>
                <w:bCs w:val="0"/>
                <w:color w:val="000000" w:themeColor="text1"/>
                <w14:textFill>
                  <w14:solidFill>
                    <w14:schemeClr w14:val="tx1"/>
                  </w14:solidFill>
                </w14:textFill>
              </w:rPr>
              <w:t>先规划“主</w:t>
            </w:r>
            <w:r>
              <w:rPr>
                <w:rFonts w:hint="eastAsia" w:ascii="Times New Roman" w:hAnsi="Times New Roman" w:cs="Times New Roman"/>
                <w:b w:val="0"/>
                <w:bCs w:val="0"/>
                <w:color w:val="000000" w:themeColor="text1"/>
                <w:lang w:eastAsia="zh-CN"/>
                <w14:textFill>
                  <w14:solidFill>
                    <w14:schemeClr w14:val="tx1"/>
                  </w14:solidFill>
                </w14:textFill>
              </w:rPr>
              <w:t>－</w:t>
            </w:r>
            <w:r>
              <w:rPr>
                <w:rFonts w:hint="default" w:ascii="Times New Roman" w:hAnsi="Times New Roman" w:eastAsia="宋体" w:cs="Times New Roman"/>
                <w:b w:val="0"/>
                <w:bCs w:val="0"/>
                <w:color w:val="000000" w:themeColor="text1"/>
                <w14:textFill>
                  <w14:solidFill>
                    <w14:schemeClr w14:val="tx1"/>
                  </w14:solidFill>
                </w14:textFill>
              </w:rPr>
              <w:t>支”排水网络，准备好设备材料，安排5</w:t>
            </w:r>
            <w:r>
              <w:rPr>
                <w:rFonts w:hint="eastAsia" w:ascii="Times New Roman" w:hAnsi="Times New Roman" w:cs="Times New Roman"/>
                <w:b w:val="0"/>
                <w:bCs w:val="0"/>
                <w:color w:val="000000" w:themeColor="text1"/>
                <w:lang w:eastAsia="zh-CN"/>
                <w14:textFill>
                  <w14:solidFill>
                    <w14:schemeClr w14:val="tx1"/>
                  </w14:solidFill>
                </w14:textFill>
              </w:rPr>
              <w:t>—</w:t>
            </w:r>
            <w:r>
              <w:rPr>
                <w:rFonts w:hint="default" w:ascii="Times New Roman" w:hAnsi="Times New Roman" w:eastAsia="宋体" w:cs="Times New Roman"/>
                <w:b w:val="0"/>
                <w:bCs w:val="0"/>
                <w:color w:val="000000" w:themeColor="text1"/>
                <w14:textFill>
                  <w14:solidFill>
                    <w14:schemeClr w14:val="tx1"/>
                  </w14:solidFill>
                </w14:textFill>
              </w:rPr>
              <w:t>7天工期与对应人员；施工时先挖主排水渠，铺防渗膜并浇筑混凝土加固，衔接集水沟与蓄水池溢水管，再挖支排水渠，铺碎石垫层，同时在果树根部筑树盘并留排水缺口；验收需雨后1小时内无积水、结构无破损，施工中防雨并清理杂物，后续定期维护，低洼处可增设排水坑。</w:t>
            </w:r>
          </w:p>
          <w:p w14:paraId="6D3045B1">
            <w:pPr>
              <w:pStyle w:val="37"/>
              <w:jc w:val="both"/>
              <w:rPr>
                <w:rFonts w:hint="default"/>
                <w:color w:val="000000" w:themeColor="text1"/>
                <w14:textFill>
                  <w14:solidFill>
                    <w14:schemeClr w14:val="tx1"/>
                  </w14:solidFill>
                </w14:textFill>
              </w:rPr>
            </w:pPr>
          </w:p>
          <w:p w14:paraId="63F919BA">
            <w:pPr>
              <w:pStyle w:val="37"/>
              <w:jc w:val="both"/>
              <w:rPr>
                <w:rFonts w:hint="default"/>
                <w:color w:val="000000" w:themeColor="text1"/>
                <w14:textFill>
                  <w14:solidFill>
                    <w14:schemeClr w14:val="tx1"/>
                  </w14:solidFill>
                </w14:textFill>
              </w:rPr>
            </w:pPr>
          </w:p>
        </w:tc>
      </w:tr>
      <w:tr w14:paraId="1DA50D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97" w:hRule="atLeast"/>
          <w:jc w:val="center"/>
        </w:trPr>
        <w:tc>
          <w:tcPr>
            <w:tcW w:w="448" w:type="pct"/>
            <w:vAlign w:val="center"/>
          </w:tcPr>
          <w:p w14:paraId="78911A17">
            <w:pPr>
              <w:adjustRightInd w:val="0"/>
              <w:snapToGrid w:val="0"/>
              <w:ind w:firstLine="0" w:firstLineChars="0"/>
              <w:jc w:val="both"/>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施工方案</w:t>
            </w:r>
          </w:p>
        </w:tc>
        <w:tc>
          <w:tcPr>
            <w:tcW w:w="4551" w:type="pct"/>
            <w:vAlign w:val="center"/>
          </w:tcPr>
          <w:p w14:paraId="5037FC6F">
            <w:pPr>
              <w:keepNext w:val="0"/>
              <w:keepLines w:val="0"/>
              <w:pageBreakBefore w:val="0"/>
              <w:widowControl w:val="0"/>
              <w:kinsoku/>
              <w:wordWrap/>
              <w:overflowPunct/>
              <w:topLinePunct w:val="0"/>
              <w:autoSpaceDE/>
              <w:autoSpaceDN/>
              <w:bidi w:val="0"/>
              <w:adjustRightInd w:val="0"/>
              <w:snapToGrid w:val="0"/>
              <w:ind w:left="0" w:leftChars="0" w:firstLine="482" w:firstLineChars="200"/>
              <w:jc w:val="both"/>
              <w:textAlignment w:val="auto"/>
              <w:rPr>
                <w:rFonts w:hint="default" w:ascii="Times New Roman" w:hAnsi="Times New Roman" w:eastAsia="宋体" w:cs="Times New Roman"/>
                <w:b/>
                <w:bCs/>
                <w:color w:val="000000" w:themeColor="text1"/>
                <w:sz w:val="24"/>
                <w:lang w:val="en-US" w:eastAsia="zh-CN"/>
                <w14:textFill>
                  <w14:solidFill>
                    <w14:schemeClr w14:val="tx1"/>
                  </w14:solidFill>
                </w14:textFill>
              </w:rPr>
            </w:pPr>
            <w:r>
              <w:rPr>
                <w:rFonts w:hint="default" w:ascii="Times New Roman" w:hAnsi="Times New Roman" w:eastAsia="宋体" w:cs="Times New Roman"/>
                <w:b/>
                <w:bCs/>
                <w:color w:val="000000" w:themeColor="text1"/>
                <w:sz w:val="24"/>
                <w:lang w:val="en-US" w:eastAsia="zh-CN"/>
                <w14:textFill>
                  <w14:solidFill>
                    <w14:schemeClr w14:val="tx1"/>
                  </w14:solidFill>
                </w14:textFill>
              </w:rPr>
              <w:t>一、建设工期</w:t>
            </w:r>
          </w:p>
          <w:p w14:paraId="4204F6F4">
            <w:pPr>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项目施工期规划为2</w:t>
            </w:r>
            <w:r>
              <w:rPr>
                <w:rFonts w:hint="eastAsia" w:ascii="Times New Roman" w:hAnsi="Times New Roman" w:cs="Times New Roman"/>
                <w:color w:val="000000" w:themeColor="text1"/>
                <w:sz w:val="24"/>
                <w:lang w:val="en-US" w:eastAsia="zh-CN"/>
                <w14:textFill>
                  <w14:solidFill>
                    <w14:schemeClr w14:val="tx1"/>
                  </w14:solidFill>
                </w14:textFill>
              </w:rPr>
              <w:t>2</w:t>
            </w:r>
            <w:r>
              <w:rPr>
                <w:rFonts w:hint="default" w:ascii="Times New Roman" w:hAnsi="Times New Roman" w:eastAsia="宋体" w:cs="Times New Roman"/>
                <w:color w:val="000000" w:themeColor="text1"/>
                <w:sz w:val="24"/>
                <w:lang w:val="en-US" w:eastAsia="zh-CN"/>
                <w14:textFill>
                  <w14:solidFill>
                    <w14:schemeClr w14:val="tx1"/>
                  </w14:solidFill>
                </w14:textFill>
              </w:rPr>
              <w:t>个月，</w:t>
            </w:r>
            <w:r>
              <w:rPr>
                <w:rFonts w:hint="default" w:ascii="Times New Roman" w:hAnsi="Times New Roman" w:eastAsia="宋体" w:cs="Times New Roman"/>
                <w:color w:val="000000" w:themeColor="text1"/>
                <w:sz w:val="24"/>
                <w:lang w:val="en-US" w:eastAsia="zh-CN"/>
                <w14:textFill>
                  <w14:solidFill>
                    <w14:schemeClr w14:val="tx1"/>
                  </w14:solidFill>
                </w14:textFill>
              </w:rPr>
              <w:t>即2026年</w:t>
            </w:r>
            <w:r>
              <w:rPr>
                <w:rFonts w:hint="eastAsia" w:ascii="Times New Roman" w:hAnsi="Times New Roman" w:cs="Times New Roman"/>
                <w:color w:val="000000" w:themeColor="text1"/>
                <w:sz w:val="24"/>
                <w:lang w:val="en-US" w:eastAsia="zh-CN"/>
                <w14:textFill>
                  <w14:solidFill>
                    <w14:schemeClr w14:val="tx1"/>
                  </w14:solidFill>
                </w14:textFill>
              </w:rPr>
              <w:t>8</w:t>
            </w:r>
            <w:r>
              <w:rPr>
                <w:rFonts w:hint="default" w:ascii="Times New Roman" w:hAnsi="Times New Roman" w:eastAsia="宋体" w:cs="Times New Roman"/>
                <w:color w:val="000000" w:themeColor="text1"/>
                <w:sz w:val="24"/>
                <w:lang w:val="en-US" w:eastAsia="zh-CN"/>
                <w14:textFill>
                  <w14:solidFill>
                    <w14:schemeClr w14:val="tx1"/>
                  </w14:solidFill>
                </w14:textFill>
              </w:rPr>
              <w:t>月开始施工，</w:t>
            </w:r>
            <w:r>
              <w:rPr>
                <w:rFonts w:hint="default" w:ascii="Times New Roman" w:hAnsi="Times New Roman" w:eastAsia="宋体" w:cs="Times New Roman"/>
                <w:color w:val="000000" w:themeColor="text1"/>
                <w:sz w:val="24"/>
                <w:lang w:val="en-US" w:eastAsia="zh-CN"/>
                <w14:textFill>
                  <w14:solidFill>
                    <w14:schemeClr w14:val="tx1"/>
                  </w14:solidFill>
                </w14:textFill>
              </w:rPr>
              <w:t>202</w:t>
            </w:r>
            <w:r>
              <w:rPr>
                <w:rFonts w:hint="eastAsia" w:ascii="Times New Roman" w:hAnsi="Times New Roman" w:cs="Times New Roman"/>
                <w:color w:val="000000" w:themeColor="text1"/>
                <w:sz w:val="24"/>
                <w:lang w:val="en-US" w:eastAsia="zh-CN"/>
                <w14:textFill>
                  <w14:solidFill>
                    <w14:schemeClr w14:val="tx1"/>
                  </w14:solidFill>
                </w14:textFill>
              </w:rPr>
              <w:t>8</w:t>
            </w:r>
            <w:r>
              <w:rPr>
                <w:rFonts w:hint="default" w:ascii="Times New Roman" w:hAnsi="Times New Roman" w:eastAsia="宋体" w:cs="Times New Roman"/>
                <w:color w:val="000000" w:themeColor="text1"/>
                <w:sz w:val="24"/>
                <w:lang w:val="en-US" w:eastAsia="zh-CN"/>
                <w14:textFill>
                  <w14:solidFill>
                    <w14:schemeClr w14:val="tx1"/>
                  </w14:solidFill>
                </w14:textFill>
              </w:rPr>
              <w:t>年</w:t>
            </w:r>
            <w:r>
              <w:rPr>
                <w:rFonts w:hint="eastAsia" w:ascii="Times New Roman" w:hAnsi="Times New Roman" w:cs="Times New Roman"/>
                <w:color w:val="000000" w:themeColor="text1"/>
                <w:sz w:val="24"/>
                <w:lang w:val="en-US" w:eastAsia="zh-CN"/>
                <w14:textFill>
                  <w14:solidFill>
                    <w14:schemeClr w14:val="tx1"/>
                  </w14:solidFill>
                </w14:textFill>
              </w:rPr>
              <w:t>5</w:t>
            </w:r>
            <w:r>
              <w:rPr>
                <w:rFonts w:hint="default" w:ascii="Times New Roman" w:hAnsi="Times New Roman" w:eastAsia="宋体" w:cs="Times New Roman"/>
                <w:color w:val="000000" w:themeColor="text1"/>
                <w:sz w:val="24"/>
                <w:lang w:val="en-US" w:eastAsia="zh-CN"/>
                <w14:textFill>
                  <w14:solidFill>
                    <w14:schemeClr w14:val="tx1"/>
                  </w14:solidFill>
                </w14:textFill>
              </w:rPr>
              <w:t>月</w:t>
            </w:r>
            <w:r>
              <w:rPr>
                <w:rFonts w:hint="default" w:ascii="Times New Roman" w:hAnsi="Times New Roman" w:eastAsia="宋体" w:cs="Times New Roman"/>
                <w:color w:val="000000" w:themeColor="text1"/>
                <w:sz w:val="24"/>
                <w:lang w:val="en-US" w:eastAsia="zh-CN"/>
                <w14:textFill>
                  <w14:solidFill>
                    <w14:schemeClr w14:val="tx1"/>
                  </w14:solidFill>
                </w14:textFill>
              </w:rPr>
              <w:t>投入使用，具体建设周期以实际建设周期为准。</w:t>
            </w:r>
          </w:p>
          <w:p w14:paraId="4A25253D">
            <w:pPr>
              <w:keepNext w:val="0"/>
              <w:keepLines w:val="0"/>
              <w:pageBreakBefore w:val="0"/>
              <w:widowControl w:val="0"/>
              <w:kinsoku/>
              <w:wordWrap/>
              <w:overflowPunct/>
              <w:topLinePunct w:val="0"/>
              <w:autoSpaceDE/>
              <w:autoSpaceDN/>
              <w:bidi w:val="0"/>
              <w:adjustRightInd w:val="0"/>
              <w:snapToGrid w:val="0"/>
              <w:ind w:left="0" w:leftChars="0" w:firstLine="482" w:firstLineChars="200"/>
              <w:jc w:val="both"/>
              <w:textAlignment w:val="auto"/>
              <w:rPr>
                <w:rFonts w:hint="default" w:ascii="Times New Roman" w:hAnsi="Times New Roman" w:eastAsia="宋体" w:cs="Times New Roman"/>
                <w:b/>
                <w:bCs/>
                <w:color w:val="000000" w:themeColor="text1"/>
                <w:sz w:val="24"/>
                <w:lang w:val="en-US" w:eastAsia="zh-CN"/>
                <w14:textFill>
                  <w14:solidFill>
                    <w14:schemeClr w14:val="tx1"/>
                  </w14:solidFill>
                </w14:textFill>
              </w:rPr>
            </w:pPr>
            <w:r>
              <w:rPr>
                <w:rFonts w:hint="default" w:ascii="Times New Roman" w:hAnsi="Times New Roman" w:eastAsia="宋体" w:cs="Times New Roman"/>
                <w:b/>
                <w:bCs/>
                <w:color w:val="000000" w:themeColor="text1"/>
                <w:sz w:val="24"/>
                <w:lang w:val="en-US" w:eastAsia="zh-CN"/>
                <w14:textFill>
                  <w14:solidFill>
                    <w14:schemeClr w14:val="tx1"/>
                  </w14:solidFill>
                </w14:textFill>
              </w:rPr>
              <w:t>二、施工条件</w:t>
            </w:r>
          </w:p>
          <w:p w14:paraId="3ECA91E2">
            <w:pPr>
              <w:keepNext w:val="0"/>
              <w:keepLines w:val="0"/>
              <w:pageBreakBefore w:val="0"/>
              <w:widowControl w:val="0"/>
              <w:kinsoku/>
              <w:wordWrap/>
              <w:overflowPunct/>
              <w:topLinePunct w:val="0"/>
              <w:autoSpaceDE/>
              <w:autoSpaceDN/>
              <w:bidi w:val="0"/>
              <w:adjustRightInd w:val="0"/>
              <w:snapToGrid w:val="0"/>
              <w:ind w:left="0" w:leftChars="0" w:firstLine="482" w:firstLineChars="200"/>
              <w:jc w:val="both"/>
              <w:textAlignment w:val="auto"/>
              <w:rPr>
                <w:rFonts w:hint="default" w:ascii="Times New Roman" w:hAnsi="Times New Roman" w:eastAsia="宋体" w:cs="Times New Roman"/>
                <w:b/>
                <w:bCs/>
                <w:color w:val="000000" w:themeColor="text1"/>
                <w:sz w:val="24"/>
                <w:lang w:val="en-US" w:eastAsia="zh-CN"/>
                <w14:textFill>
                  <w14:solidFill>
                    <w14:schemeClr w14:val="tx1"/>
                  </w14:solidFill>
                </w14:textFill>
              </w:rPr>
            </w:pPr>
            <w:r>
              <w:rPr>
                <w:rFonts w:hint="default" w:ascii="Times New Roman" w:hAnsi="Times New Roman" w:eastAsia="宋体" w:cs="Times New Roman"/>
                <w:b/>
                <w:bCs/>
                <w:color w:val="000000" w:themeColor="text1"/>
                <w:sz w:val="24"/>
                <w:lang w:val="en-US" w:eastAsia="zh-CN"/>
                <w14:textFill>
                  <w14:solidFill>
                    <w14:schemeClr w14:val="tx1"/>
                  </w14:solidFill>
                </w14:textFill>
              </w:rPr>
              <w:t>（1）对外交通运输条件</w:t>
            </w:r>
          </w:p>
          <w:p w14:paraId="0F1B897D">
            <w:pPr>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场址位于峨山县塔甸镇大西村委会大西山，距</w:t>
            </w:r>
            <w:r>
              <w:rPr>
                <w:rFonts w:hint="eastAsia" w:ascii="Times New Roman" w:hAnsi="Times New Roman" w:cs="Times New Roman"/>
                <w:color w:val="000000" w:themeColor="text1"/>
                <w:sz w:val="24"/>
                <w:lang w:val="en-US" w:eastAsia="zh-CN"/>
                <w14:textFill>
                  <w14:solidFill>
                    <w14:schemeClr w14:val="tx1"/>
                  </w14:solidFill>
                </w14:textFill>
              </w:rPr>
              <w:t>乡政府</w:t>
            </w:r>
            <w:r>
              <w:rPr>
                <w:rFonts w:hint="default" w:ascii="Times New Roman" w:hAnsi="Times New Roman" w:eastAsia="宋体" w:cs="Times New Roman"/>
                <w:color w:val="000000" w:themeColor="text1"/>
                <w:sz w:val="24"/>
                <w:lang w:val="en-US" w:eastAsia="zh-CN"/>
                <w14:textFill>
                  <w14:solidFill>
                    <w14:schemeClr w14:val="tx1"/>
                  </w14:solidFill>
                </w14:textFill>
              </w:rPr>
              <w:t>所在地38km，峨山县城距离约90km，项目区内有乡村道路交错纵横，交通运输条件较为便利。</w:t>
            </w:r>
          </w:p>
          <w:p w14:paraId="04A82880">
            <w:pPr>
              <w:keepNext w:val="0"/>
              <w:keepLines w:val="0"/>
              <w:pageBreakBefore w:val="0"/>
              <w:widowControl w:val="0"/>
              <w:kinsoku/>
              <w:wordWrap/>
              <w:overflowPunct/>
              <w:topLinePunct w:val="0"/>
              <w:autoSpaceDE/>
              <w:autoSpaceDN/>
              <w:bidi w:val="0"/>
              <w:adjustRightInd w:val="0"/>
              <w:snapToGrid w:val="0"/>
              <w:ind w:left="0" w:leftChars="0" w:firstLine="482" w:firstLineChars="200"/>
              <w:jc w:val="both"/>
              <w:textAlignment w:val="auto"/>
              <w:rPr>
                <w:rFonts w:hint="default" w:ascii="Times New Roman" w:hAnsi="Times New Roman" w:eastAsia="宋体" w:cs="Times New Roman"/>
                <w:b/>
                <w:bCs/>
                <w:color w:val="000000" w:themeColor="text1"/>
                <w:sz w:val="24"/>
                <w:lang w:val="en-US" w:eastAsia="zh-CN"/>
                <w14:textFill>
                  <w14:solidFill>
                    <w14:schemeClr w14:val="tx1"/>
                  </w14:solidFill>
                </w14:textFill>
              </w:rPr>
            </w:pPr>
            <w:r>
              <w:rPr>
                <w:rFonts w:hint="default" w:ascii="Times New Roman" w:hAnsi="Times New Roman" w:eastAsia="宋体" w:cs="Times New Roman"/>
                <w:b/>
                <w:bCs/>
                <w:color w:val="000000" w:themeColor="text1"/>
                <w:sz w:val="24"/>
                <w:lang w:val="en-US" w:eastAsia="zh-CN"/>
                <w14:textFill>
                  <w14:solidFill>
                    <w14:schemeClr w14:val="tx1"/>
                  </w14:solidFill>
                </w14:textFill>
              </w:rPr>
              <w:t>（2）主要原辅材料、施工期供水、供电来源</w:t>
            </w:r>
          </w:p>
          <w:p w14:paraId="0CA61C60">
            <w:pPr>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本工程施工期所需的主要材料为土壤改良材料、基础设施材料、种植辅助材料，采用以下方式供应：</w:t>
            </w:r>
          </w:p>
          <w:p w14:paraId="477046DE">
            <w:pPr>
              <w:keepNext w:val="0"/>
              <w:keepLines w:val="0"/>
              <w:pageBreakBefore w:val="0"/>
              <w:widowControl w:val="0"/>
              <w:kinsoku/>
              <w:wordWrap/>
              <w:overflowPunct/>
              <w:topLinePunct w:val="0"/>
              <w:autoSpaceDE/>
              <w:autoSpaceDN/>
              <w:bidi w:val="0"/>
              <w:adjustRightInd w:val="0"/>
              <w:snapToGrid w:val="0"/>
              <w:ind w:left="0" w:leftChars="0" w:firstLine="482" w:firstLineChars="200"/>
              <w:jc w:val="both"/>
              <w:textAlignment w:val="auto"/>
              <w:rPr>
                <w:rFonts w:hint="default" w:ascii="Times New Roman" w:hAnsi="Times New Roman" w:eastAsia="宋体" w:cs="Times New Roman"/>
                <w:b/>
                <w:bCs/>
                <w:color w:val="000000" w:themeColor="text1"/>
                <w:sz w:val="24"/>
                <w:lang w:val="en-US" w:eastAsia="zh-CN"/>
                <w14:textFill>
                  <w14:solidFill>
                    <w14:schemeClr w14:val="tx1"/>
                  </w14:solidFill>
                </w14:textFill>
              </w:rPr>
            </w:pPr>
            <w:r>
              <w:rPr>
                <w:rFonts w:hint="default" w:ascii="Times New Roman" w:hAnsi="Times New Roman" w:eastAsia="宋体" w:cs="Times New Roman"/>
                <w:b/>
                <w:bCs/>
                <w:color w:val="000000" w:themeColor="text1"/>
                <w:sz w:val="24"/>
                <w:lang w:val="en-US" w:eastAsia="zh-CN"/>
                <w14:textFill>
                  <w14:solidFill>
                    <w14:schemeClr w14:val="tx1"/>
                  </w14:solidFill>
                </w14:textFill>
              </w:rPr>
              <w:t>1）原辅</w:t>
            </w:r>
            <w:r>
              <w:rPr>
                <w:rFonts w:hint="eastAsia" w:ascii="Times New Roman" w:hAnsi="Times New Roman" w:cs="Times New Roman"/>
                <w:b/>
                <w:bCs/>
                <w:color w:val="000000" w:themeColor="text1"/>
                <w:sz w:val="24"/>
                <w:lang w:val="en-US" w:eastAsia="zh-CN"/>
                <w14:textFill>
                  <w14:solidFill>
                    <w14:schemeClr w14:val="tx1"/>
                  </w14:solidFill>
                </w14:textFill>
              </w:rPr>
              <w:t>材料</w:t>
            </w:r>
          </w:p>
          <w:p w14:paraId="7BF91138">
            <w:pPr>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项目建设期所使用的农药、肥料由分包单位从峨山县、玉溪市内订购，所使用的农药及肥料由供货商直接运输至施工场地。项目不设置农药及废料的存储及生产场所。</w:t>
            </w:r>
          </w:p>
          <w:p w14:paraId="575222C1">
            <w:pPr>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项目所使用的调酸材料、有机肥料及土壤调节剂由供货商直接运输至施工场地。项目不设置肥料的存储及生产场所。</w:t>
            </w:r>
          </w:p>
          <w:p w14:paraId="6356F6E7">
            <w:pPr>
              <w:keepNext w:val="0"/>
              <w:keepLines w:val="0"/>
              <w:pageBreakBefore w:val="0"/>
              <w:widowControl w:val="0"/>
              <w:kinsoku/>
              <w:wordWrap/>
              <w:overflowPunct/>
              <w:topLinePunct w:val="0"/>
              <w:autoSpaceDE/>
              <w:autoSpaceDN/>
              <w:bidi w:val="0"/>
              <w:adjustRightInd w:val="0"/>
              <w:snapToGrid w:val="0"/>
              <w:ind w:firstLine="482" w:firstLineChars="200"/>
              <w:jc w:val="both"/>
              <w:textAlignment w:val="auto"/>
              <w:rPr>
                <w:rFonts w:hint="default" w:ascii="Times New Roman" w:hAnsi="Times New Roman" w:eastAsia="宋体" w:cs="Times New Roman"/>
                <w:b/>
                <w:bCs/>
                <w:color w:val="000000" w:themeColor="text1"/>
                <w:sz w:val="24"/>
                <w:lang w:val="en-US" w:eastAsia="zh-CN"/>
                <w14:textFill>
                  <w14:solidFill>
                    <w14:schemeClr w14:val="tx1"/>
                  </w14:solidFill>
                </w14:textFill>
              </w:rPr>
            </w:pPr>
            <w:r>
              <w:rPr>
                <w:rFonts w:hint="default" w:ascii="Times New Roman" w:hAnsi="Times New Roman" w:eastAsia="宋体" w:cs="Times New Roman"/>
                <w:b/>
                <w:bCs/>
                <w:color w:val="000000" w:themeColor="text1"/>
                <w:sz w:val="24"/>
                <w:lang w:val="en-US" w:eastAsia="zh-CN"/>
                <w14:textFill>
                  <w14:solidFill>
                    <w14:schemeClr w14:val="tx1"/>
                  </w14:solidFill>
                </w14:textFill>
              </w:rPr>
              <w:t>2）基础设施材料</w:t>
            </w:r>
          </w:p>
          <w:p w14:paraId="2DD7B471">
            <w:pPr>
              <w:keepNext w:val="0"/>
              <w:keepLines w:val="0"/>
              <w:pageBreakBefore w:val="0"/>
              <w:widowControl w:val="0"/>
              <w:kinsoku/>
              <w:wordWrap/>
              <w:overflowPunct/>
              <w:topLinePunct w:val="0"/>
              <w:autoSpaceDE/>
              <w:autoSpaceDN/>
              <w:bidi w:val="0"/>
              <w:adjustRightInd w:val="0"/>
              <w:snapToGrid w:val="0"/>
              <w:ind w:firstLine="482" w:firstLineChars="200"/>
              <w:jc w:val="both"/>
              <w:textAlignment w:val="auto"/>
              <w:rPr>
                <w:rFonts w:hint="default"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eastAsia="宋体" w:cs="Times New Roman"/>
                <w:b/>
                <w:bCs/>
                <w:color w:val="000000" w:themeColor="text1"/>
                <w:sz w:val="24"/>
                <w:lang w:val="en-US" w:eastAsia="zh-CN"/>
                <w14:textFill>
                  <w14:solidFill>
                    <w14:schemeClr w14:val="tx1"/>
                  </w14:solidFill>
                </w14:textFill>
              </w:rPr>
              <w:t>大棚建设材料：</w:t>
            </w:r>
            <w:r>
              <w:rPr>
                <w:rFonts w:hint="default" w:ascii="Times New Roman" w:hAnsi="Times New Roman" w:eastAsia="宋体" w:cs="Times New Roman"/>
                <w:color w:val="000000" w:themeColor="text1"/>
                <w:sz w:val="24"/>
                <w:lang w:val="en-US" w:eastAsia="zh-CN"/>
                <w14:textFill>
                  <w14:solidFill>
                    <w14:schemeClr w14:val="tx1"/>
                  </w14:solidFill>
                </w14:textFill>
              </w:rPr>
              <w:t>主体结构材料有热镀锌钢架（包括主立柱和拱杆）、铝合金卡槽及压膜系统、防虫网材料。覆盖材料有农用薄膜、活动式遮荫网；</w:t>
            </w:r>
          </w:p>
          <w:p w14:paraId="436D01E6">
            <w:pPr>
              <w:keepNext w:val="0"/>
              <w:keepLines w:val="0"/>
              <w:pageBreakBefore w:val="0"/>
              <w:widowControl w:val="0"/>
              <w:kinsoku/>
              <w:wordWrap/>
              <w:overflowPunct/>
              <w:topLinePunct w:val="0"/>
              <w:autoSpaceDE/>
              <w:autoSpaceDN/>
              <w:bidi w:val="0"/>
              <w:adjustRightInd w:val="0"/>
              <w:snapToGrid w:val="0"/>
              <w:ind w:firstLine="482" w:firstLineChars="200"/>
              <w:jc w:val="both"/>
              <w:textAlignment w:val="auto"/>
              <w:rPr>
                <w:rFonts w:hint="default" w:ascii="Times New Roman" w:hAnsi="Times New Roman" w:eastAsia="宋体" w:cs="Times New Roman"/>
                <w:b/>
                <w:bCs/>
                <w:color w:val="000000" w:themeColor="text1"/>
                <w:sz w:val="24"/>
                <w:lang w:val="en-US" w:eastAsia="zh-CN"/>
                <w14:textFill>
                  <w14:solidFill>
                    <w14:schemeClr w14:val="tx1"/>
                  </w14:solidFill>
                </w14:textFill>
              </w:rPr>
            </w:pPr>
            <w:r>
              <w:rPr>
                <w:rFonts w:hint="default" w:ascii="Times New Roman" w:hAnsi="Times New Roman" w:eastAsia="宋体" w:cs="Times New Roman"/>
                <w:b/>
                <w:bCs/>
                <w:color w:val="000000" w:themeColor="text1"/>
                <w:sz w:val="24"/>
                <w:lang w:val="en-US" w:eastAsia="zh-CN"/>
                <w14:textFill>
                  <w14:solidFill>
                    <w14:schemeClr w14:val="tx1"/>
                  </w14:solidFill>
                </w14:textFill>
              </w:rPr>
              <w:t>水利系统材料：</w:t>
            </w:r>
          </w:p>
          <w:p w14:paraId="6AF39EB0">
            <w:pPr>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水源工程：水泵、电源线、水管；</w:t>
            </w:r>
          </w:p>
          <w:p w14:paraId="6974D5D7">
            <w:pPr>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沉淀池：砖、水泥、防水材料；</w:t>
            </w:r>
          </w:p>
          <w:p w14:paraId="4308F8AF">
            <w:pPr>
              <w:keepNext w:val="0"/>
              <w:keepLines w:val="0"/>
              <w:pageBreakBefore w:val="0"/>
              <w:widowControl w:val="0"/>
              <w:kinsoku/>
              <w:wordWrap/>
              <w:overflowPunct/>
              <w:topLinePunct w:val="0"/>
              <w:autoSpaceDE/>
              <w:autoSpaceDN/>
              <w:bidi w:val="0"/>
              <w:adjustRightInd w:val="0"/>
              <w:snapToGrid w:val="0"/>
              <w:ind w:firstLine="482" w:firstLineChars="200"/>
              <w:jc w:val="both"/>
              <w:textAlignment w:val="auto"/>
              <w:rPr>
                <w:rFonts w:hint="default" w:ascii="Times New Roman" w:hAnsi="Times New Roman" w:eastAsia="宋体" w:cs="Times New Roman"/>
                <w:b/>
                <w:bCs/>
                <w:color w:val="000000" w:themeColor="text1"/>
                <w:sz w:val="24"/>
                <w:lang w:val="en-US" w:eastAsia="zh-CN"/>
                <w14:textFill>
                  <w14:solidFill>
                    <w14:schemeClr w14:val="tx1"/>
                  </w14:solidFill>
                </w14:textFill>
              </w:rPr>
            </w:pPr>
            <w:r>
              <w:rPr>
                <w:rFonts w:hint="default" w:ascii="Times New Roman" w:hAnsi="Times New Roman" w:eastAsia="宋体" w:cs="Times New Roman"/>
                <w:b/>
                <w:bCs/>
                <w:color w:val="000000" w:themeColor="text1"/>
                <w:sz w:val="24"/>
                <w:lang w:val="en-US" w:eastAsia="zh-CN"/>
                <w14:textFill>
                  <w14:solidFill>
                    <w14:schemeClr w14:val="tx1"/>
                  </w14:solidFill>
                </w14:textFill>
              </w:rPr>
              <w:t>首部系统材料：</w:t>
            </w:r>
          </w:p>
          <w:p w14:paraId="7B0BF47A">
            <w:pPr>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过滤器、施肥罐/注肥泵、压力表、控制阀、逆止阀等；</w:t>
            </w:r>
          </w:p>
          <w:p w14:paraId="533A6B28">
            <w:pPr>
              <w:keepNext w:val="0"/>
              <w:keepLines w:val="0"/>
              <w:pageBreakBefore w:val="0"/>
              <w:widowControl w:val="0"/>
              <w:kinsoku/>
              <w:wordWrap/>
              <w:overflowPunct/>
              <w:topLinePunct w:val="0"/>
              <w:autoSpaceDE/>
              <w:autoSpaceDN/>
              <w:bidi w:val="0"/>
              <w:adjustRightInd w:val="0"/>
              <w:snapToGrid w:val="0"/>
              <w:ind w:firstLine="482" w:firstLineChars="200"/>
              <w:jc w:val="both"/>
              <w:textAlignment w:val="auto"/>
              <w:rPr>
                <w:rFonts w:hint="default" w:ascii="Times New Roman" w:hAnsi="Times New Roman" w:eastAsia="宋体" w:cs="Times New Roman"/>
                <w:b/>
                <w:bCs/>
                <w:color w:val="000000" w:themeColor="text1"/>
                <w:sz w:val="24"/>
                <w:lang w:val="en-US" w:eastAsia="zh-CN"/>
                <w14:textFill>
                  <w14:solidFill>
                    <w14:schemeClr w14:val="tx1"/>
                  </w14:solidFill>
                </w14:textFill>
              </w:rPr>
            </w:pPr>
            <w:r>
              <w:rPr>
                <w:rFonts w:hint="default" w:ascii="Times New Roman" w:hAnsi="Times New Roman" w:eastAsia="宋体" w:cs="Times New Roman"/>
                <w:b/>
                <w:bCs/>
                <w:color w:val="000000" w:themeColor="text1"/>
                <w:sz w:val="24"/>
                <w:lang w:val="en-US" w:eastAsia="zh-CN"/>
                <w14:textFill>
                  <w14:solidFill>
                    <w14:schemeClr w14:val="tx1"/>
                  </w14:solidFill>
                </w14:textFill>
              </w:rPr>
              <w:t>管网系统材料：</w:t>
            </w:r>
          </w:p>
          <w:p w14:paraId="6BCDE4DB">
            <w:pPr>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P</w:t>
            </w:r>
            <w:r>
              <w:rPr>
                <w:rFonts w:hint="default" w:ascii="Times New Roman" w:hAnsi="Times New Roman" w:eastAsia="宋体" w:cs="Times New Roman"/>
                <w:color w:val="000000" w:themeColor="text1"/>
                <w:sz w:val="24"/>
                <w:lang w:val="en-US" w:eastAsia="zh-CN"/>
                <w14:textFill>
                  <w14:solidFill>
                    <w14:schemeClr w14:val="tx1"/>
                  </w14:solidFill>
                </w14:textFill>
              </w:rPr>
              <w:t>E主管道、支管道、滴灌带（管）、滴头、旁通、堵头、胶水、弯头等连接件；</w:t>
            </w:r>
          </w:p>
          <w:p w14:paraId="3FBB8E28">
            <w:pPr>
              <w:keepNext w:val="0"/>
              <w:keepLines w:val="0"/>
              <w:pageBreakBefore w:val="0"/>
              <w:widowControl w:val="0"/>
              <w:kinsoku/>
              <w:wordWrap/>
              <w:overflowPunct/>
              <w:topLinePunct w:val="0"/>
              <w:autoSpaceDE/>
              <w:autoSpaceDN/>
              <w:bidi w:val="0"/>
              <w:adjustRightInd w:val="0"/>
              <w:snapToGrid w:val="0"/>
              <w:ind w:firstLine="482" w:firstLineChars="200"/>
              <w:jc w:val="both"/>
              <w:textAlignment w:val="auto"/>
              <w:rPr>
                <w:rFonts w:hint="default" w:ascii="Times New Roman" w:hAnsi="Times New Roman" w:eastAsia="宋体" w:cs="Times New Roman"/>
                <w:b/>
                <w:bCs/>
                <w:color w:val="000000" w:themeColor="text1"/>
                <w:sz w:val="24"/>
                <w:lang w:val="en-US" w:eastAsia="zh-CN"/>
                <w14:textFill>
                  <w14:solidFill>
                    <w14:schemeClr w14:val="tx1"/>
                  </w14:solidFill>
                </w14:textFill>
              </w:rPr>
            </w:pPr>
            <w:r>
              <w:rPr>
                <w:rFonts w:hint="default" w:ascii="Times New Roman" w:hAnsi="Times New Roman" w:eastAsia="宋体" w:cs="Times New Roman"/>
                <w:b/>
                <w:bCs/>
                <w:color w:val="000000" w:themeColor="text1"/>
                <w:sz w:val="24"/>
                <w:lang w:val="en-US" w:eastAsia="zh-CN"/>
                <w14:textFill>
                  <w14:solidFill>
                    <w14:schemeClr w14:val="tx1"/>
                  </w14:solidFill>
                </w14:textFill>
              </w:rPr>
              <w:t>道路系统材料：</w:t>
            </w:r>
          </w:p>
          <w:p w14:paraId="078DB5E5">
            <w:pPr>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碎石、建筑渣土、砂石、水泥；</w:t>
            </w:r>
          </w:p>
          <w:p w14:paraId="059C8F15">
            <w:pPr>
              <w:keepNext w:val="0"/>
              <w:keepLines w:val="0"/>
              <w:pageBreakBefore w:val="0"/>
              <w:widowControl w:val="0"/>
              <w:kinsoku/>
              <w:wordWrap/>
              <w:overflowPunct/>
              <w:topLinePunct w:val="0"/>
              <w:autoSpaceDE/>
              <w:autoSpaceDN/>
              <w:bidi w:val="0"/>
              <w:adjustRightInd w:val="0"/>
              <w:snapToGrid w:val="0"/>
              <w:ind w:firstLine="482" w:firstLineChars="200"/>
              <w:jc w:val="both"/>
              <w:textAlignment w:val="auto"/>
              <w:rPr>
                <w:rFonts w:hint="default" w:ascii="Times New Roman" w:hAnsi="Times New Roman" w:eastAsia="宋体" w:cs="Times New Roman"/>
                <w:b/>
                <w:bCs/>
                <w:color w:val="000000" w:themeColor="text1"/>
                <w:sz w:val="24"/>
                <w:lang w:val="en-US" w:eastAsia="zh-CN"/>
                <w14:textFill>
                  <w14:solidFill>
                    <w14:schemeClr w14:val="tx1"/>
                  </w14:solidFill>
                </w14:textFill>
              </w:rPr>
            </w:pPr>
            <w:r>
              <w:rPr>
                <w:rFonts w:hint="default" w:ascii="Times New Roman" w:hAnsi="Times New Roman" w:eastAsia="宋体" w:cs="Times New Roman"/>
                <w:b/>
                <w:bCs/>
                <w:color w:val="000000" w:themeColor="text1"/>
                <w:sz w:val="24"/>
                <w:lang w:val="en-US" w:eastAsia="zh-CN"/>
                <w14:textFill>
                  <w14:solidFill>
                    <w14:schemeClr w14:val="tx1"/>
                  </w14:solidFill>
                </w14:textFill>
              </w:rPr>
              <w:t>围护系统材料：</w:t>
            </w:r>
          </w:p>
          <w:p w14:paraId="279452AE">
            <w:pPr>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防鸟网、防虫网、围栏网、水泥柱、金属柱、木桩、钢丝、尼龙绳。</w:t>
            </w:r>
          </w:p>
          <w:p w14:paraId="68B00998">
            <w:pPr>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hint="default"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项目建设期所使用的基础建设材料由分包单位从峨山县、玉溪市内订购。</w:t>
            </w:r>
          </w:p>
          <w:p w14:paraId="26248430">
            <w:pPr>
              <w:keepNext w:val="0"/>
              <w:keepLines w:val="0"/>
              <w:pageBreakBefore w:val="0"/>
              <w:widowControl w:val="0"/>
              <w:kinsoku/>
              <w:wordWrap/>
              <w:overflowPunct/>
              <w:topLinePunct w:val="0"/>
              <w:autoSpaceDE/>
              <w:autoSpaceDN/>
              <w:bidi w:val="0"/>
              <w:adjustRightInd w:val="0"/>
              <w:snapToGrid w:val="0"/>
              <w:ind w:firstLine="482" w:firstLineChars="200"/>
              <w:jc w:val="both"/>
              <w:textAlignment w:val="auto"/>
              <w:rPr>
                <w:rFonts w:hint="default" w:ascii="Times New Roman" w:hAnsi="Times New Roman" w:eastAsia="宋体" w:cs="Times New Roman"/>
                <w:b/>
                <w:bCs/>
                <w:color w:val="000000" w:themeColor="text1"/>
                <w:sz w:val="24"/>
                <w:lang w:val="en-US" w:eastAsia="zh-CN"/>
                <w14:textFill>
                  <w14:solidFill>
                    <w14:schemeClr w14:val="tx1"/>
                  </w14:solidFill>
                </w14:textFill>
              </w:rPr>
            </w:pPr>
            <w:r>
              <w:rPr>
                <w:rFonts w:hint="default" w:ascii="Times New Roman" w:hAnsi="Times New Roman" w:eastAsia="宋体" w:cs="Times New Roman"/>
                <w:b/>
                <w:bCs/>
                <w:color w:val="000000" w:themeColor="text1"/>
                <w:sz w:val="24"/>
                <w:lang w:val="en-US" w:eastAsia="zh-CN"/>
                <w14:textFill>
                  <w14:solidFill>
                    <w14:schemeClr w14:val="tx1"/>
                  </w14:solidFill>
                </w14:textFill>
              </w:rPr>
              <w:t>3）施工用水</w:t>
            </w:r>
          </w:p>
          <w:p w14:paraId="28D4996F">
            <w:pPr>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本工程施工期用水为建筑施工用水、生活用水。建筑施工用水取水方式：一片区为</w:t>
            </w:r>
            <w:r>
              <w:rPr>
                <w:rFonts w:hint="eastAsia" w:ascii="Times New Roman" w:hAnsi="Times New Roman" w:cs="Times New Roman"/>
                <w:color w:val="000000" w:themeColor="text1"/>
                <w:sz w:val="24"/>
                <w:lang w:val="en-US" w:eastAsia="zh-CN"/>
                <w14:textFill>
                  <w14:solidFill>
                    <w14:schemeClr w14:val="tx1"/>
                  </w14:solidFill>
                </w14:textFill>
              </w:rPr>
              <w:t>大西村</w:t>
            </w:r>
            <w:r>
              <w:rPr>
                <w:rFonts w:hint="default" w:ascii="Times New Roman" w:hAnsi="Times New Roman" w:eastAsia="宋体" w:cs="Times New Roman"/>
                <w:color w:val="000000" w:themeColor="text1"/>
                <w:sz w:val="24"/>
                <w:lang w:val="en-US" w:eastAsia="zh-CN"/>
                <w14:textFill>
                  <w14:solidFill>
                    <w14:schemeClr w14:val="tx1"/>
                  </w14:solidFill>
                </w14:textFill>
              </w:rPr>
              <w:t>取水，利用运水车运至施工场地。二片区为项目基地建设的</w:t>
            </w:r>
            <w:r>
              <w:rPr>
                <w:rFonts w:hint="eastAsia" w:ascii="Times New Roman" w:hAnsi="Times New Roman" w:cs="Times New Roman"/>
                <w:color w:val="000000" w:themeColor="text1"/>
                <w:sz w:val="24"/>
                <w:lang w:val="en-US" w:eastAsia="zh-CN"/>
                <w14:textFill>
                  <w14:solidFill>
                    <w14:schemeClr w14:val="tx1"/>
                  </w14:solidFill>
                </w14:textFill>
              </w:rPr>
              <w:t>2#</w:t>
            </w:r>
            <w:r>
              <w:rPr>
                <w:rFonts w:hint="default" w:ascii="Times New Roman" w:hAnsi="Times New Roman" w:eastAsia="宋体" w:cs="Times New Roman"/>
                <w:color w:val="000000" w:themeColor="text1"/>
                <w:sz w:val="24"/>
                <w:lang w:val="en-US" w:eastAsia="zh-CN"/>
                <w14:textFill>
                  <w14:solidFill>
                    <w14:schemeClr w14:val="tx1"/>
                  </w14:solidFill>
                </w14:textFill>
              </w:rPr>
              <w:t>水池取水。其他工程内容几乎不涉及用水。施工人员生活用水只涉及洗手用水依托乡村自来水供水管网。施工人员直饮水采用桶装矿泉水。</w:t>
            </w:r>
          </w:p>
          <w:p w14:paraId="3180A07B">
            <w:pPr>
              <w:keepNext w:val="0"/>
              <w:keepLines w:val="0"/>
              <w:pageBreakBefore w:val="0"/>
              <w:widowControl w:val="0"/>
              <w:kinsoku/>
              <w:wordWrap/>
              <w:overflowPunct/>
              <w:topLinePunct w:val="0"/>
              <w:autoSpaceDE/>
              <w:autoSpaceDN/>
              <w:bidi w:val="0"/>
              <w:adjustRightInd w:val="0"/>
              <w:snapToGrid w:val="0"/>
              <w:ind w:firstLine="482" w:firstLineChars="200"/>
              <w:jc w:val="both"/>
              <w:textAlignment w:val="auto"/>
              <w:rPr>
                <w:rFonts w:hint="default" w:ascii="Times New Roman" w:hAnsi="Times New Roman" w:eastAsia="宋体" w:cs="Times New Roman"/>
                <w:b/>
                <w:bCs/>
                <w:color w:val="000000" w:themeColor="text1"/>
                <w:sz w:val="24"/>
                <w:lang w:val="en-US" w:eastAsia="zh-CN"/>
                <w14:textFill>
                  <w14:solidFill>
                    <w14:schemeClr w14:val="tx1"/>
                  </w14:solidFill>
                </w14:textFill>
              </w:rPr>
            </w:pPr>
            <w:r>
              <w:rPr>
                <w:rFonts w:hint="default" w:ascii="Times New Roman" w:hAnsi="Times New Roman" w:eastAsia="宋体" w:cs="Times New Roman"/>
                <w:b/>
                <w:bCs/>
                <w:color w:val="000000" w:themeColor="text1"/>
                <w:sz w:val="24"/>
                <w:lang w:val="en-US" w:eastAsia="zh-CN"/>
                <w14:textFill>
                  <w14:solidFill>
                    <w14:schemeClr w14:val="tx1"/>
                  </w14:solidFill>
                </w14:textFill>
              </w:rPr>
              <w:t>4）施工电源</w:t>
            </w:r>
          </w:p>
          <w:p w14:paraId="38CBC8CF">
            <w:pPr>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项目施工场地电源采用柴油发电机供电或者就近村庄接入。</w:t>
            </w:r>
          </w:p>
          <w:p w14:paraId="0A6F8FB0">
            <w:pPr>
              <w:keepNext w:val="0"/>
              <w:keepLines w:val="0"/>
              <w:pageBreakBefore w:val="0"/>
              <w:widowControl w:val="0"/>
              <w:numPr>
                <w:ilvl w:val="0"/>
                <w:numId w:val="6"/>
              </w:numPr>
              <w:kinsoku/>
              <w:wordWrap/>
              <w:overflowPunct/>
              <w:topLinePunct w:val="0"/>
              <w:autoSpaceDE/>
              <w:autoSpaceDN/>
              <w:bidi w:val="0"/>
              <w:adjustRightInd/>
              <w:snapToGrid/>
              <w:ind w:left="0" w:leftChars="0" w:firstLine="0" w:firstLineChars="0"/>
              <w:jc w:val="both"/>
              <w:textAlignment w:val="auto"/>
              <w:rPr>
                <w:rFonts w:hint="default" w:ascii="Times New Roman" w:hAnsi="Times New Roman" w:eastAsia="宋体" w:cs="Times New Roman"/>
                <w:b/>
                <w:bCs/>
                <w:color w:val="000000" w:themeColor="text1"/>
                <w:sz w:val="24"/>
                <w:lang w:val="en-US" w:eastAsia="zh-CN"/>
                <w14:textFill>
                  <w14:solidFill>
                    <w14:schemeClr w14:val="tx1"/>
                  </w14:solidFill>
                </w14:textFill>
              </w:rPr>
            </w:pPr>
            <w:r>
              <w:rPr>
                <w:rFonts w:hint="default" w:ascii="Times New Roman" w:hAnsi="Times New Roman" w:eastAsia="宋体" w:cs="Times New Roman"/>
                <w:b/>
                <w:bCs/>
                <w:color w:val="000000" w:themeColor="text1"/>
                <w:sz w:val="24"/>
                <w:lang w:val="en-US" w:eastAsia="zh-CN"/>
                <w14:textFill>
                  <w14:solidFill>
                    <w14:schemeClr w14:val="tx1"/>
                  </w14:solidFill>
                </w14:textFill>
              </w:rPr>
              <w:t>施工期工艺流程图</w:t>
            </w:r>
          </w:p>
          <w:p w14:paraId="34CD8BC9">
            <w:pPr>
              <w:pStyle w:val="8"/>
              <w:widowControl/>
              <w:numPr>
                <w:ilvl w:val="0"/>
                <w:numId w:val="0"/>
              </w:numPr>
              <w:snapToGrid w:val="0"/>
              <w:spacing w:before="60" w:after="160" w:line="259" w:lineRule="auto"/>
              <w:ind w:right="113" w:rightChars="0"/>
              <w:jc w:val="both"/>
              <w:rPr>
                <w:rFonts w:hint="default"/>
                <w:color w:val="000000" w:themeColor="text1"/>
                <w:lang w:val="en-US" w:eastAsia="zh-CN"/>
                <w14:textFill>
                  <w14:solidFill>
                    <w14:schemeClr w14:val="tx1"/>
                  </w14:solidFill>
                </w14:textFill>
              </w:rPr>
            </w:pPr>
          </w:p>
          <w:p w14:paraId="09ABEE28">
            <w:pPr>
              <w:rPr>
                <w:rFonts w:hint="default"/>
                <w:color w:val="000000" w:themeColor="text1"/>
                <w:lang w:val="en-US" w:eastAsia="zh-CN"/>
                <w14:textFill>
                  <w14:solidFill>
                    <w14:schemeClr w14:val="tx1"/>
                  </w14:solidFill>
                </w14:textFill>
              </w:rPr>
            </w:pPr>
          </w:p>
          <w:p w14:paraId="7CF8083E">
            <w:pPr>
              <w:pStyle w:val="8"/>
              <w:rPr>
                <w:rFonts w:hint="default"/>
                <w:color w:val="000000" w:themeColor="text1"/>
                <w:lang w:val="en-US" w:eastAsia="zh-CN"/>
                <w14:textFill>
                  <w14:solidFill>
                    <w14:schemeClr w14:val="tx1"/>
                  </w14:solidFill>
                </w14:textFill>
              </w:rPr>
            </w:pPr>
          </w:p>
          <w:p w14:paraId="27B39EF3">
            <w:pPr>
              <w:rPr>
                <w:rFonts w:hint="default"/>
                <w:color w:val="000000" w:themeColor="text1"/>
                <w:lang w:val="en-US" w:eastAsia="zh-CN"/>
                <w14:textFill>
                  <w14:solidFill>
                    <w14:schemeClr w14:val="tx1"/>
                  </w14:solidFill>
                </w14:textFill>
              </w:rPr>
            </w:pPr>
          </w:p>
          <w:p w14:paraId="649EAFAA">
            <w:pPr>
              <w:pStyle w:val="8"/>
              <w:rPr>
                <w:rFonts w:hint="default"/>
                <w:color w:val="000000" w:themeColor="text1"/>
                <w:lang w:val="en-US" w:eastAsia="zh-CN"/>
                <w14:textFill>
                  <w14:solidFill>
                    <w14:schemeClr w14:val="tx1"/>
                  </w14:solidFill>
                </w14:textFill>
              </w:rPr>
            </w:pPr>
          </w:p>
          <w:p w14:paraId="0376015A">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eastAsia="宋体" w:cs="Times New Roman"/>
                <w:color w:val="000000" w:themeColor="text1"/>
                <w:lang w:eastAsia="zh-CN"/>
                <w14:textFill>
                  <w14:solidFill>
                    <w14:schemeClr w14:val="tx1"/>
                  </w14:solidFill>
                </w14:textFill>
              </w:rPr>
              <w:drawing>
                <wp:inline distT="0" distB="0" distL="114300" distR="114300">
                  <wp:extent cx="4855845" cy="2604770"/>
                  <wp:effectExtent l="0" t="0" r="0" b="0"/>
                  <wp:docPr id="11" name="ECB019B1-382A-4266-B25C-5B523AA43C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ECB019B1-382A-4266-B25C-5B523AA43C14-1"/>
                          <pic:cNvPicPr>
                            <a:picLocks noChangeAspect="1"/>
                          </pic:cNvPicPr>
                        </pic:nvPicPr>
                        <pic:blipFill>
                          <a:blip r:embed="rId11"/>
                          <a:stretch>
                            <a:fillRect/>
                          </a:stretch>
                        </pic:blipFill>
                        <pic:spPr>
                          <a:xfrm>
                            <a:off x="0" y="0"/>
                            <a:ext cx="4855845" cy="2604770"/>
                          </a:xfrm>
                          <a:prstGeom prst="rect">
                            <a:avLst/>
                          </a:prstGeom>
                        </pic:spPr>
                      </pic:pic>
                    </a:graphicData>
                  </a:graphic>
                </wp:inline>
              </w:drawing>
            </w:r>
          </w:p>
          <w:p w14:paraId="0F61873D">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b/>
                <w:bCs/>
                <w:color w:val="000000" w:themeColor="text1"/>
                <w:sz w:val="21"/>
                <w:szCs w:val="21"/>
                <w:lang w:val="en-US" w:eastAsia="zh-CN"/>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图2-1蓝莓、三七、羊肚菌种植项目施工流程图</w:t>
            </w:r>
          </w:p>
          <w:p w14:paraId="0ACB9606">
            <w:pPr>
              <w:bidi w:val="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注：G表示废气；N表示噪声；S表示固体废弃物</w:t>
            </w:r>
          </w:p>
          <w:p w14:paraId="46E91A17">
            <w:pPr>
              <w:bidi w:val="0"/>
              <w:jc w:val="both"/>
              <w:rPr>
                <w:rFonts w:hint="default"/>
                <w:b/>
                <w:bCs/>
                <w:color w:val="000000" w:themeColor="text1"/>
                <w:lang w:val="en-US" w:eastAsia="zh-CN"/>
                <w14:textFill>
                  <w14:solidFill>
                    <w14:schemeClr w14:val="tx1"/>
                  </w14:solidFill>
                </w14:textFill>
              </w:rPr>
            </w:pPr>
            <w:r>
              <w:rPr>
                <w:rFonts w:hint="default"/>
                <w:b/>
                <w:bCs/>
                <w:color w:val="000000" w:themeColor="text1"/>
                <w:lang w:val="en-US" w:eastAsia="zh-CN"/>
                <w14:textFill>
                  <w14:solidFill>
                    <w14:schemeClr w14:val="tx1"/>
                  </w14:solidFill>
                </w14:textFill>
              </w:rPr>
              <w:t>蓝莓、三七、羊肚菌种植项目施工流程简介：</w:t>
            </w:r>
          </w:p>
          <w:p w14:paraId="543A7CC3">
            <w:pPr>
              <w:bidi w:val="0"/>
              <w:jc w:val="both"/>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（1）平整土地：该工序主要为清除地表植被、杂物与障碍物，按设计标高进行初步土方挖填与造型，对耕作层进行精细平整以形成稳定、均匀的标准化地块。</w:t>
            </w:r>
          </w:p>
          <w:p w14:paraId="57E8152F">
            <w:pPr>
              <w:bidi w:val="0"/>
              <w:jc w:val="both"/>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（2）主体工程建设：</w:t>
            </w:r>
            <w:r>
              <w:rPr>
                <w:rFonts w:hint="default" w:ascii="Times New Roman" w:hAnsi="Times New Roman" w:cs="Times New Roman"/>
                <w:color w:val="000000" w:themeColor="text1"/>
                <w14:textFill>
                  <w14:solidFill>
                    <w14:schemeClr w14:val="tx1"/>
                  </w14:solidFill>
                </w14:textFill>
              </w:rPr>
              <w:t>全面推进各类种植大棚的主体框架建设，包括</w:t>
            </w:r>
            <w:r>
              <w:rPr>
                <w:rFonts w:hint="default" w:ascii="Times New Roman" w:hAnsi="Times New Roman" w:cs="Times New Roman"/>
                <w:color w:val="000000" w:themeColor="text1"/>
                <w:lang w:val="en-US" w:eastAsia="zh-CN"/>
                <w14:textFill>
                  <w14:solidFill>
                    <w14:schemeClr w14:val="tx1"/>
                  </w14:solidFill>
                </w14:textFill>
              </w:rPr>
              <w:t>标准大棚</w:t>
            </w:r>
            <w:r>
              <w:rPr>
                <w:rFonts w:hint="default" w:ascii="Times New Roman" w:hAnsi="Times New Roman" w:cs="Times New Roman"/>
                <w:color w:val="000000" w:themeColor="text1"/>
                <w14:textFill>
                  <w14:solidFill>
                    <w14:schemeClr w14:val="tx1"/>
                  </w14:solidFill>
                </w14:textFill>
              </w:rPr>
              <w:t>钢构安装与结构固定，</w:t>
            </w:r>
            <w:r>
              <w:rPr>
                <w:rFonts w:hint="default" w:ascii="Times New Roman" w:hAnsi="Times New Roman" w:cs="Times New Roman"/>
                <w:color w:val="000000" w:themeColor="text1"/>
                <w:lang w:val="en-US" w:eastAsia="zh-CN"/>
                <w14:textFill>
                  <w14:solidFill>
                    <w14:schemeClr w14:val="tx1"/>
                  </w14:solidFill>
                </w14:textFill>
              </w:rPr>
              <w:t>简易大棚拱杆</w:t>
            </w:r>
            <w:r>
              <w:rPr>
                <w:rFonts w:hint="default" w:ascii="Times New Roman" w:hAnsi="Times New Roman" w:cs="Times New Roman"/>
                <w:color w:val="000000" w:themeColor="text1"/>
                <w14:textFill>
                  <w14:solidFill>
                    <w14:schemeClr w14:val="tx1"/>
                  </w14:solidFill>
                </w14:textFill>
              </w:rPr>
              <w:t>的精准安装与固定</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确保其强度与稳定性符合农业生产及环境调控的长期要求</w:t>
            </w:r>
            <w:r>
              <w:rPr>
                <w:rFonts w:hint="default" w:ascii="Times New Roman" w:hAnsi="Times New Roman" w:cs="Times New Roman"/>
                <w:color w:val="000000" w:themeColor="text1"/>
                <w:lang w:eastAsia="zh-CN"/>
                <w14:textFill>
                  <w14:solidFill>
                    <w14:schemeClr w14:val="tx1"/>
                  </w14:solidFill>
                </w14:textFill>
              </w:rPr>
              <w:t>。</w:t>
            </w:r>
          </w:p>
          <w:p w14:paraId="776A36E8">
            <w:pPr>
              <w:bidi w:val="0"/>
              <w:jc w:val="both"/>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（3）辅助工程建设：主要为沉淀池、水肥中心、管理用房的建设以及完</w:t>
            </w:r>
            <w:r>
              <w:rPr>
                <w:rFonts w:hint="default" w:ascii="Times New Roman" w:hAnsi="Times New Roman" w:cs="Times New Roman"/>
                <w:color w:val="000000" w:themeColor="text1"/>
                <w14:textFill>
                  <w14:solidFill>
                    <w14:schemeClr w14:val="tx1"/>
                  </w14:solidFill>
                </w14:textFill>
              </w:rPr>
              <w:t>善各级道路硬化。</w:t>
            </w:r>
          </w:p>
          <w:p w14:paraId="537DA368">
            <w:pPr>
              <w:bidi w:val="0"/>
              <w:jc w:val="both"/>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（4）竣工验收、投入使用：项目建设完成后申请自主验收后投入使用运营。</w:t>
            </w:r>
          </w:p>
          <w:p w14:paraId="757CC580">
            <w:pPr>
              <w:bidi w:val="0"/>
              <w:jc w:val="both"/>
              <w:rPr>
                <w:rFonts w:hint="default" w:ascii="Times New Roman" w:hAnsi="Times New Roman" w:cs="Times New Roman"/>
                <w:color w:val="000000" w:themeColor="text1"/>
                <w:lang w:val="en-US" w:eastAsia="zh-CN"/>
                <w14:textFill>
                  <w14:solidFill>
                    <w14:schemeClr w14:val="tx1"/>
                  </w14:solidFill>
                </w14:textFill>
              </w:rPr>
            </w:pPr>
          </w:p>
          <w:p w14:paraId="06F1B980">
            <w:pPr>
              <w:bidi w:val="0"/>
              <w:jc w:val="both"/>
              <w:rPr>
                <w:rFonts w:hint="default" w:ascii="Times New Roman" w:hAnsi="Times New Roman" w:cs="Times New Roman"/>
                <w:color w:val="000000" w:themeColor="text1"/>
                <w:lang w:val="en-US" w:eastAsia="zh-CN"/>
                <w14:textFill>
                  <w14:solidFill>
                    <w14:schemeClr w14:val="tx1"/>
                  </w14:solidFill>
                </w14:textFill>
              </w:rPr>
            </w:pPr>
          </w:p>
          <w:p w14:paraId="5D3C4311">
            <w:pPr>
              <w:bidi w:val="0"/>
              <w:jc w:val="both"/>
              <w:rPr>
                <w:rFonts w:hint="default" w:ascii="Times New Roman" w:hAnsi="Times New Roman" w:cs="Times New Roman"/>
                <w:color w:val="000000" w:themeColor="text1"/>
                <w:lang w:val="en-US" w:eastAsia="zh-CN"/>
                <w14:textFill>
                  <w14:solidFill>
                    <w14:schemeClr w14:val="tx1"/>
                  </w14:solidFill>
                </w14:textFill>
              </w:rPr>
            </w:pPr>
          </w:p>
          <w:p w14:paraId="6B7C63B9">
            <w:pPr>
              <w:bidi w:val="0"/>
              <w:jc w:val="both"/>
              <w:rPr>
                <w:rFonts w:hint="default" w:ascii="Times New Roman" w:hAnsi="Times New Roman" w:cs="Times New Roman"/>
                <w:color w:val="000000" w:themeColor="text1"/>
                <w:lang w:val="en-US" w:eastAsia="zh-CN"/>
                <w14:textFill>
                  <w14:solidFill>
                    <w14:schemeClr w14:val="tx1"/>
                  </w14:solidFill>
                </w14:textFill>
              </w:rPr>
            </w:pPr>
          </w:p>
          <w:p w14:paraId="2C350A20">
            <w:pPr>
              <w:bidi w:val="0"/>
              <w:jc w:val="both"/>
              <w:rPr>
                <w:rFonts w:hint="default" w:ascii="Times New Roman" w:hAnsi="Times New Roman" w:cs="Times New Roman"/>
                <w:color w:val="000000" w:themeColor="text1"/>
                <w:lang w:val="en-US" w:eastAsia="zh-CN"/>
                <w14:textFill>
                  <w14:solidFill>
                    <w14:schemeClr w14:val="tx1"/>
                  </w14:solidFill>
                </w14:textFill>
              </w:rPr>
            </w:pPr>
          </w:p>
          <w:p w14:paraId="7663C929">
            <w:pPr>
              <w:bidi w:val="0"/>
              <w:jc w:val="both"/>
              <w:rPr>
                <w:rFonts w:hint="default" w:ascii="Times New Roman" w:hAnsi="Times New Roman" w:cs="Times New Roman"/>
                <w:color w:val="000000" w:themeColor="text1"/>
                <w:lang w:val="en-US" w:eastAsia="zh-CN"/>
                <w14:textFill>
                  <w14:solidFill>
                    <w14:schemeClr w14:val="tx1"/>
                  </w14:solidFill>
                </w14:textFill>
              </w:rPr>
            </w:pPr>
          </w:p>
          <w:p w14:paraId="1764268F">
            <w:pPr>
              <w:bidi w:val="0"/>
              <w:jc w:val="both"/>
              <w:rPr>
                <w:rFonts w:hint="default" w:ascii="Times New Roman" w:hAnsi="Times New Roman" w:cs="Times New Roman"/>
                <w:color w:val="000000" w:themeColor="text1"/>
                <w:lang w:val="en-US" w:eastAsia="zh-CN"/>
                <w14:textFill>
                  <w14:solidFill>
                    <w14:schemeClr w14:val="tx1"/>
                  </w14:solidFill>
                </w14:textFill>
              </w:rPr>
            </w:pPr>
          </w:p>
          <w:p w14:paraId="3C3CBA43">
            <w:pPr>
              <w:bidi w:val="0"/>
              <w:jc w:val="both"/>
              <w:rPr>
                <w:rFonts w:hint="default" w:ascii="Times New Roman" w:hAnsi="Times New Roman" w:cs="Times New Roman"/>
                <w:color w:val="000000" w:themeColor="text1"/>
                <w:lang w:val="en-US" w:eastAsia="zh-CN"/>
                <w14:textFill>
                  <w14:solidFill>
                    <w14:schemeClr w14:val="tx1"/>
                  </w14:solidFill>
                </w14:textFill>
              </w:rPr>
            </w:pPr>
          </w:p>
          <w:p w14:paraId="1FB2E6EC">
            <w:pPr>
              <w:pStyle w:val="37"/>
              <w:jc w:val="both"/>
              <w:rPr>
                <w:rFonts w:hint="default"/>
                <w:color w:val="000000" w:themeColor="text1"/>
                <w14:textFill>
                  <w14:solidFill>
                    <w14:schemeClr w14:val="tx1"/>
                  </w14:solidFill>
                </w14:textFill>
              </w:rPr>
            </w:pPr>
            <w:r>
              <w:rPr>
                <w:rFonts w:hint="default"/>
                <w:color w:val="000000" w:themeColor="text1"/>
                <w:lang w:val="en-US" w:eastAsia="zh-CN"/>
                <w14:textFill>
                  <w14:solidFill>
                    <w14:schemeClr w14:val="tx1"/>
                  </w14:solidFill>
                </w14:textFill>
              </w:rPr>
              <w:drawing>
                <wp:inline distT="0" distB="0" distL="114300" distR="114300">
                  <wp:extent cx="4464050" cy="2844800"/>
                  <wp:effectExtent l="0" t="0" r="0" b="0"/>
                  <wp:docPr id="13" name="ECB019B1-382A-4266-B25C-5B523AA43C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ECB019B1-382A-4266-B25C-5B523AA43C14-2"/>
                          <pic:cNvPicPr>
                            <a:picLocks noChangeAspect="1"/>
                          </pic:cNvPicPr>
                        </pic:nvPicPr>
                        <pic:blipFill>
                          <a:blip r:embed="rId12"/>
                          <a:stretch>
                            <a:fillRect/>
                          </a:stretch>
                        </pic:blipFill>
                        <pic:spPr>
                          <a:xfrm>
                            <a:off x="0" y="0"/>
                            <a:ext cx="4464050" cy="2844800"/>
                          </a:xfrm>
                          <a:prstGeom prst="rect">
                            <a:avLst/>
                          </a:prstGeom>
                        </pic:spPr>
                      </pic:pic>
                    </a:graphicData>
                  </a:graphic>
                </wp:inline>
              </w:drawing>
            </w:r>
          </w:p>
          <w:p w14:paraId="7C893A23">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b/>
                <w:bCs/>
                <w:color w:val="000000" w:themeColor="text1"/>
                <w:sz w:val="21"/>
                <w:szCs w:val="21"/>
                <w:lang w:val="en-US" w:eastAsia="zh-CN"/>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图2-2苹果树、桃树种植项目施工流程图</w:t>
            </w:r>
          </w:p>
          <w:p w14:paraId="01D38595">
            <w:pPr>
              <w:bidi w:val="0"/>
              <w:jc w:val="both"/>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注：G表示废气；N表示噪声；S表示固体废弃物</w:t>
            </w:r>
          </w:p>
          <w:p w14:paraId="731E4954">
            <w:pPr>
              <w:bidi w:val="0"/>
              <w:jc w:val="both"/>
              <w:rPr>
                <w:rFonts w:hint="default" w:ascii="Times New Roman" w:hAnsi="Times New Roman" w:cs="Times New Roman"/>
                <w:b/>
                <w:bCs/>
                <w:color w:val="000000" w:themeColor="text1"/>
                <w:lang w:val="en-US" w:eastAsia="zh-CN"/>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苹果树、桃树种植项目施工流程简介：</w:t>
            </w:r>
          </w:p>
          <w:p w14:paraId="6A558F4E">
            <w:pPr>
              <w:bidi w:val="0"/>
              <w:jc w:val="both"/>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（1）平整土地：该工序主要为清除地表植被、杂物与障碍物，按设计标高进行初步土方挖填与造型，对耕作层进行精细平整以形成稳定、均匀的标准化地块。</w:t>
            </w:r>
          </w:p>
          <w:p w14:paraId="2D19328B">
            <w:pPr>
              <w:bidi w:val="0"/>
              <w:jc w:val="both"/>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（2）辅助工程建设：主要为沉淀池、水肥中心、管理用房的建设以及完善各级道路硬化。</w:t>
            </w:r>
          </w:p>
          <w:p w14:paraId="265FF45E">
            <w:pPr>
              <w:bidi w:val="0"/>
              <w:jc w:val="both"/>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（3）竣工验收、投入使用：项目建设完成后申请自主验收后投入使用运营。</w:t>
            </w:r>
          </w:p>
          <w:p w14:paraId="581643A8">
            <w:pPr>
              <w:bidi w:val="0"/>
              <w:jc w:val="both"/>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项目施工采用机械与人工结合的施工方法，施工机械主要有挖掘机、推土机等。项目施工工程主要产生的污染物有施工扬尘、施工机械尾气、施工噪声、施工人员生活污水、生活垃圾等。</w:t>
            </w:r>
          </w:p>
          <w:p w14:paraId="573323E7">
            <w:pPr>
              <w:bidi w:val="0"/>
              <w:ind w:left="0" w:leftChars="0" w:firstLine="0" w:firstLineChars="0"/>
              <w:jc w:val="both"/>
              <w:rPr>
                <w:rFonts w:hint="default"/>
                <w:b/>
                <w:bCs/>
                <w:color w:val="000000" w:themeColor="text1"/>
                <w:lang w:val="en-US" w:eastAsia="zh-CN"/>
                <w14:textFill>
                  <w14:solidFill>
                    <w14:schemeClr w14:val="tx1"/>
                  </w14:solidFill>
                </w14:textFill>
              </w:rPr>
            </w:pPr>
            <w:r>
              <w:rPr>
                <w:rFonts w:hint="default"/>
                <w:b/>
                <w:bCs/>
                <w:color w:val="000000" w:themeColor="text1"/>
                <w:lang w:val="en-US" w:eastAsia="zh-CN"/>
                <w14:textFill>
                  <w14:solidFill>
                    <w14:schemeClr w14:val="tx1"/>
                  </w14:solidFill>
                </w14:textFill>
              </w:rPr>
              <w:t>四、运营期工艺简要说明</w:t>
            </w:r>
          </w:p>
          <w:p w14:paraId="53046794">
            <w:pPr>
              <w:bidi w:val="0"/>
              <w:jc w:val="both"/>
              <w:rPr>
                <w:rFonts w:hint="default"/>
                <w:b/>
                <w:bCs/>
                <w:color w:val="000000" w:themeColor="text1"/>
                <w:lang w:val="en-US" w:eastAsia="zh-CN"/>
                <w14:textFill>
                  <w14:solidFill>
                    <w14:schemeClr w14:val="tx1"/>
                  </w14:solidFill>
                </w14:textFill>
              </w:rPr>
            </w:pPr>
            <w:r>
              <w:rPr>
                <w:rFonts w:hint="default"/>
                <w:b/>
                <w:bCs/>
                <w:color w:val="000000" w:themeColor="text1"/>
                <w:lang w:val="en-US" w:eastAsia="zh-CN"/>
                <w14:textFill>
                  <w14:solidFill>
                    <w14:schemeClr w14:val="tx1"/>
                  </w14:solidFill>
                </w14:textFill>
              </w:rPr>
              <w:t>1、蓝莓种植工艺流程</w:t>
            </w:r>
          </w:p>
          <w:p w14:paraId="495839CB">
            <w:pPr>
              <w:numPr>
                <w:ilvl w:val="0"/>
                <w:numId w:val="0"/>
              </w:numPr>
              <w:jc w:val="both"/>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drawing>
                <wp:inline distT="0" distB="0" distL="114300" distR="114300">
                  <wp:extent cx="4951730" cy="685800"/>
                  <wp:effectExtent l="0" t="0" r="0" b="0"/>
                  <wp:docPr id="28" name="ECB019B1-382A-4266-B25C-5B523AA43C14-3" descr="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ECB019B1-382A-4266-B25C-5B523AA43C14-3" descr="wps"/>
                          <pic:cNvPicPr>
                            <a:picLocks noChangeAspect="1"/>
                          </pic:cNvPicPr>
                        </pic:nvPicPr>
                        <pic:blipFill>
                          <a:blip r:embed="rId13"/>
                          <a:stretch>
                            <a:fillRect/>
                          </a:stretch>
                        </pic:blipFill>
                        <pic:spPr>
                          <a:xfrm>
                            <a:off x="0" y="0"/>
                            <a:ext cx="4951730" cy="685800"/>
                          </a:xfrm>
                          <a:prstGeom prst="rect">
                            <a:avLst/>
                          </a:prstGeom>
                        </pic:spPr>
                      </pic:pic>
                    </a:graphicData>
                  </a:graphic>
                </wp:inline>
              </w:drawing>
            </w:r>
          </w:p>
          <w:p w14:paraId="2212629A">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b/>
                <w:bCs/>
                <w:color w:val="000000" w:themeColor="text1"/>
                <w:sz w:val="21"/>
                <w:szCs w:val="21"/>
                <w:lang w:val="en-US" w:eastAsia="zh-CN"/>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图2-3蓝莓种植工艺流程图</w:t>
            </w:r>
          </w:p>
          <w:p w14:paraId="7BBE6004">
            <w:pPr>
              <w:keepNext w:val="0"/>
              <w:keepLines w:val="0"/>
              <w:pageBreakBefore w:val="0"/>
              <w:widowControl w:val="0"/>
              <w:kinsoku/>
              <w:wordWrap/>
              <w:overflowPunct/>
              <w:topLinePunct w:val="0"/>
              <w:autoSpaceDE/>
              <w:autoSpaceDN/>
              <w:bidi w:val="0"/>
              <w:adjustRightInd w:val="0"/>
              <w:snapToGrid w:val="0"/>
              <w:jc w:val="both"/>
              <w:textAlignment w:val="auto"/>
              <w:rPr>
                <w:rFonts w:hint="default"/>
                <w:b/>
                <w:bCs/>
                <w:color w:val="000000" w:themeColor="text1"/>
                <w:lang w:val="en-US" w:eastAsia="zh-CN"/>
                <w14:textFill>
                  <w14:solidFill>
                    <w14:schemeClr w14:val="tx1"/>
                  </w14:solidFill>
                </w14:textFill>
              </w:rPr>
            </w:pPr>
            <w:r>
              <w:rPr>
                <w:rFonts w:hint="default"/>
                <w:b/>
                <w:bCs/>
                <w:color w:val="000000" w:themeColor="text1"/>
                <w:lang w:val="en-US" w:eastAsia="zh-CN"/>
                <w14:textFill>
                  <w14:solidFill>
                    <w14:schemeClr w14:val="tx1"/>
                  </w14:solidFill>
                </w14:textFill>
              </w:rPr>
              <w:t>工艺流程简述：</w:t>
            </w:r>
          </w:p>
          <w:p w14:paraId="7DACD693">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1）基质装填：</w:t>
            </w:r>
            <w:r>
              <w:rPr>
                <w:rFonts w:hint="default" w:ascii="Times New Roman" w:hAnsi="Times New Roman" w:cs="Times New Roman"/>
                <w:color w:val="000000" w:themeColor="text1"/>
                <w:lang w:val="en-US" w:eastAsia="zh-CN"/>
                <w14:textFill>
                  <w14:solidFill>
                    <w14:schemeClr w14:val="tx1"/>
                  </w14:solidFill>
                </w14:textFill>
              </w:rPr>
              <w:t>栽培基质为重要的介质，本文件的栽培基质为固体栽培基质，包含：泥炭土、珍珠岩、蛭石、陶粒、椰糠。配比以疏松、深厚、通透性好为宜，pH值在4.0～5.5之间，有机质含量≥3%较好。</w:t>
            </w:r>
          </w:p>
          <w:p w14:paraId="1DFD1AE8">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cs="Times New Roman"/>
                <w:b/>
                <w:bCs/>
                <w:color w:val="000000" w:themeColor="text1"/>
                <w:lang w:val="en-US" w:eastAsia="zh-CN"/>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2）苗木筛选：</w:t>
            </w:r>
          </w:p>
          <w:p w14:paraId="18003477">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①宜选择组培钵苗，植株高20cm以上，地茎粗≧0.2cm。</w:t>
            </w:r>
          </w:p>
          <w:p w14:paraId="01CD048B">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②选择产量高、果型大、风味好、耐储运、抗病性和抗逆性强的鲜食蓝莓品种。</w:t>
            </w:r>
          </w:p>
          <w:p w14:paraId="78863F52">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③根系舒展，无盘根、绕根，从根基部到根尖无缠绕，无打折，无向上生长，无病根，无死根，无病虫、多数为白色新生根，根系健康，老化根系较少，活力较强等现象。</w:t>
            </w:r>
          </w:p>
          <w:p w14:paraId="224694B3">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④保证2枝以上的基生枝，枝条健壮，叶片健康，芽饱满。</w:t>
            </w:r>
          </w:p>
          <w:p w14:paraId="1A9A608C">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⑤无病害、虫害及机械损伤的健壮苗木。</w:t>
            </w:r>
          </w:p>
          <w:p w14:paraId="190F29CA">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cs="Times New Roman"/>
                <w:b/>
                <w:bCs/>
                <w:color w:val="000000" w:themeColor="text1"/>
                <w:lang w:val="en-US" w:eastAsia="zh-CN"/>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3）定植：</w:t>
            </w:r>
          </w:p>
          <w:p w14:paraId="79C9EA04">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蓝莓营养钵苗全年皆可以种植，但需要避开高温天气和雨季、寒潮等时期种植。采用盆栽种植，种植盆填放基质土，挖20cm×20cm大小、深度10cm～15cm的定植穴。将营养钵苗的根团用手破开，注意不能过度损伤根部。破开的蓝莓苗放入定植穴，再覆盖好基质，向上轻提苗木，让苗木根系舒展开，与盖入的基质充分接触，再轻轻按实，浇透水。</w:t>
            </w:r>
          </w:p>
          <w:p w14:paraId="4C1844C4">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cs="Times New Roman"/>
                <w:b/>
                <w:bCs/>
                <w:color w:val="000000" w:themeColor="text1"/>
                <w:lang w:val="en-US" w:eastAsia="zh-CN"/>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4）施肥：</w:t>
            </w:r>
          </w:p>
          <w:p w14:paraId="4EC3F13A">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采用平衡施肥原则。提倡以水溶肥为主，叶面肥为辅的施肥方式，不应使用含氯和钠过高的化肥。除每日少量多次施肥外，蓝莓花期可适当提高磷钾肥的含量及硼的含量，蓝莓果期以钾肥为主施用，蓝莓的树体恢复生长阶段适当提高氮肥用量。利用智能水肥一体化系统来精确控制盆栽蓝莓的水分。在每个种植盆中放置4个滴箭，每天灌溉频率为固定的每1h或每40min浇水1次，每次2min～5min。在雨季和高温干旱季节，可以适当根据气候减少或增加滴灌的次数和时间。</w:t>
            </w:r>
          </w:p>
          <w:p w14:paraId="19B42B92">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cs="Times New Roman"/>
                <w:b/>
                <w:bCs/>
                <w:color w:val="000000" w:themeColor="text1"/>
                <w:lang w:val="en-US" w:eastAsia="zh-CN"/>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5）采收：</w:t>
            </w:r>
          </w:p>
          <w:p w14:paraId="1BED6C81">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果实成熟期，采用人工采摘，采摘后包装外售。</w:t>
            </w:r>
          </w:p>
          <w:p w14:paraId="391A14DA">
            <w:pPr>
              <w:bidi w:val="0"/>
              <w:jc w:val="both"/>
              <w:rPr>
                <w:rFonts w:hint="default"/>
                <w:b/>
                <w:bCs/>
                <w:color w:val="000000" w:themeColor="text1"/>
                <w:lang w:val="en-US" w:eastAsia="zh-CN"/>
                <w14:textFill>
                  <w14:solidFill>
                    <w14:schemeClr w14:val="tx1"/>
                  </w14:solidFill>
                </w14:textFill>
              </w:rPr>
            </w:pPr>
            <w:r>
              <w:rPr>
                <w:rFonts w:hint="default"/>
                <w:b/>
                <w:bCs/>
                <w:color w:val="000000" w:themeColor="text1"/>
                <w:lang w:val="en-US" w:eastAsia="zh-CN"/>
                <w14:textFill>
                  <w14:solidFill>
                    <w14:schemeClr w14:val="tx1"/>
                  </w14:solidFill>
                </w14:textFill>
              </w:rPr>
              <w:t>2、三七种植工艺流程</w:t>
            </w:r>
          </w:p>
          <w:p w14:paraId="620878FC">
            <w:pPr>
              <w:jc w:val="both"/>
              <w:rPr>
                <w:rFonts w:hint="default"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eastAsia="宋体" w:cs="Times New Roman"/>
                <w:color w:val="000000" w:themeColor="text1"/>
                <w:lang w:eastAsia="zh-CN"/>
                <w14:textFill>
                  <w14:solidFill>
                    <w14:schemeClr w14:val="tx1"/>
                  </w14:solidFill>
                </w14:textFill>
              </w:rPr>
              <w:drawing>
                <wp:inline distT="0" distB="0" distL="114300" distR="114300">
                  <wp:extent cx="4318635" cy="2851785"/>
                  <wp:effectExtent l="0" t="0" r="0" b="0"/>
                  <wp:docPr id="34" name="ECB019B1-382A-4266-B25C-5B523AA43C14-4" descr="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ECB019B1-382A-4266-B25C-5B523AA43C14-4" descr="wps"/>
                          <pic:cNvPicPr>
                            <a:picLocks noChangeAspect="1"/>
                          </pic:cNvPicPr>
                        </pic:nvPicPr>
                        <pic:blipFill>
                          <a:blip r:embed="rId14"/>
                          <a:stretch>
                            <a:fillRect/>
                          </a:stretch>
                        </pic:blipFill>
                        <pic:spPr>
                          <a:xfrm>
                            <a:off x="0" y="0"/>
                            <a:ext cx="4318635" cy="2851785"/>
                          </a:xfrm>
                          <a:prstGeom prst="rect">
                            <a:avLst/>
                          </a:prstGeom>
                        </pic:spPr>
                      </pic:pic>
                    </a:graphicData>
                  </a:graphic>
                </wp:inline>
              </w:drawing>
            </w:r>
          </w:p>
          <w:p w14:paraId="31A555E6">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b/>
                <w:bCs/>
                <w:color w:val="000000" w:themeColor="text1"/>
                <w:sz w:val="21"/>
                <w:szCs w:val="21"/>
                <w:lang w:val="en-US" w:eastAsia="zh-CN"/>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图2-4</w:t>
            </w:r>
            <w:r>
              <w:rPr>
                <w:rFonts w:hint="eastAsia" w:ascii="Times New Roman" w:hAnsi="Times New Roman" w:cs="Times New Roman"/>
                <w:b/>
                <w:bCs/>
                <w:color w:val="000000" w:themeColor="text1"/>
                <w:sz w:val="21"/>
                <w:szCs w:val="21"/>
                <w:lang w:val="en-US" w:eastAsia="zh-CN"/>
                <w14:textFill>
                  <w14:solidFill>
                    <w14:schemeClr w14:val="tx1"/>
                  </w14:solidFill>
                </w14:textFill>
              </w:rPr>
              <w:t xml:space="preserve">   </w:t>
            </w:r>
            <w:r>
              <w:rPr>
                <w:rFonts w:hint="default" w:ascii="Times New Roman" w:hAnsi="Times New Roman" w:cs="Times New Roman"/>
                <w:b/>
                <w:bCs/>
                <w:color w:val="000000" w:themeColor="text1"/>
                <w:sz w:val="21"/>
                <w:szCs w:val="21"/>
                <w:lang w:val="en-US" w:eastAsia="zh-CN"/>
                <w14:textFill>
                  <w14:solidFill>
                    <w14:schemeClr w14:val="tx1"/>
                  </w14:solidFill>
                </w14:textFill>
              </w:rPr>
              <w:t>三七种植工艺流程图</w:t>
            </w:r>
          </w:p>
          <w:p w14:paraId="63F6FB35">
            <w:pPr>
              <w:keepNext w:val="0"/>
              <w:keepLines w:val="0"/>
              <w:pageBreakBefore w:val="0"/>
              <w:widowControl w:val="0"/>
              <w:kinsoku/>
              <w:wordWrap/>
              <w:overflowPunct/>
              <w:topLinePunct w:val="0"/>
              <w:autoSpaceDE/>
              <w:autoSpaceDN/>
              <w:bidi w:val="0"/>
              <w:adjustRightInd w:val="0"/>
              <w:snapToGrid w:val="0"/>
              <w:jc w:val="both"/>
              <w:textAlignment w:val="auto"/>
              <w:rPr>
                <w:rFonts w:hint="default"/>
                <w:b/>
                <w:bCs/>
                <w:color w:val="000000" w:themeColor="text1"/>
                <w:lang w:val="en-US" w:eastAsia="zh-CN"/>
                <w14:textFill>
                  <w14:solidFill>
                    <w14:schemeClr w14:val="tx1"/>
                  </w14:solidFill>
                </w14:textFill>
              </w:rPr>
            </w:pPr>
            <w:r>
              <w:rPr>
                <w:rFonts w:hint="default"/>
                <w:b/>
                <w:bCs/>
                <w:color w:val="000000" w:themeColor="text1"/>
                <w:lang w:val="en-US" w:eastAsia="zh-CN"/>
                <w14:textFill>
                  <w14:solidFill>
                    <w14:schemeClr w14:val="tx1"/>
                  </w14:solidFill>
                </w14:textFill>
              </w:rPr>
              <w:t>工艺流程简述：</w:t>
            </w:r>
          </w:p>
          <w:p w14:paraId="3EA289C1">
            <w:pPr>
              <w:keepNext w:val="0"/>
              <w:keepLines w:val="0"/>
              <w:pageBreakBefore w:val="0"/>
              <w:widowControl w:val="0"/>
              <w:kinsoku/>
              <w:wordWrap/>
              <w:overflowPunct/>
              <w:topLinePunct w:val="0"/>
              <w:autoSpaceDE/>
              <w:autoSpaceDN/>
              <w:bidi w:val="0"/>
              <w:adjustRightInd w:val="0"/>
              <w:snapToGrid w:val="0"/>
              <w:jc w:val="both"/>
              <w:textAlignment w:val="auto"/>
              <w:rPr>
                <w:rFonts w:hint="default"/>
                <w:b/>
                <w:bCs/>
                <w:color w:val="000000" w:themeColor="text1"/>
                <w14:textFill>
                  <w14:solidFill>
                    <w14:schemeClr w14:val="tx1"/>
                  </w14:solidFill>
                </w14:textFill>
              </w:rPr>
            </w:pPr>
            <w:r>
              <w:rPr>
                <w:rFonts w:hint="default"/>
                <w:b/>
                <w:bCs/>
                <w:color w:val="000000" w:themeColor="text1"/>
                <w14:textFill>
                  <w14:solidFill>
                    <w14:schemeClr w14:val="tx1"/>
                  </w14:solidFill>
                </w14:textFill>
              </w:rPr>
              <w:t>1）整地和架棚</w:t>
            </w:r>
            <w:r>
              <w:rPr>
                <w:rFonts w:hint="default"/>
                <w:b/>
                <w:bCs/>
                <w:color w:val="000000" w:themeColor="text1"/>
                <w:lang w:eastAsia="zh-CN"/>
                <w14:textFill>
                  <w14:solidFill>
                    <w14:schemeClr w14:val="tx1"/>
                  </w14:solidFill>
                </w14:textFill>
              </w:rPr>
              <w:t>（</w:t>
            </w:r>
            <w:r>
              <w:rPr>
                <w:rFonts w:hint="default"/>
                <w:b/>
                <w:bCs/>
                <w:color w:val="000000" w:themeColor="text1"/>
                <w:lang w:val="en-US" w:eastAsia="zh-CN"/>
                <w14:textFill>
                  <w14:solidFill>
                    <w14:schemeClr w14:val="tx1"/>
                  </w14:solidFill>
                </w14:textFill>
              </w:rPr>
              <w:t>简易避雨棚</w:t>
            </w:r>
            <w:r>
              <w:rPr>
                <w:rFonts w:hint="default"/>
                <w:b/>
                <w:bCs/>
                <w:color w:val="000000" w:themeColor="text1"/>
                <w:lang w:eastAsia="zh-CN"/>
                <w14:textFill>
                  <w14:solidFill>
                    <w14:schemeClr w14:val="tx1"/>
                  </w14:solidFill>
                </w14:textFill>
              </w:rPr>
              <w:t>）</w:t>
            </w:r>
            <w:r>
              <w:rPr>
                <w:rFonts w:hint="default"/>
                <w:b/>
                <w:bCs/>
                <w:color w:val="000000" w:themeColor="text1"/>
                <w14:textFill>
                  <w14:solidFill>
                    <w14:schemeClr w14:val="tx1"/>
                  </w14:solidFill>
                </w14:textFill>
              </w:rPr>
              <w:t>：</w:t>
            </w:r>
          </w:p>
          <w:p w14:paraId="6145B58D">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①翻耕</w:t>
            </w:r>
          </w:p>
          <w:p w14:paraId="39797C51">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用人工或小型旋耕机对种植区域的土壤旋耕2~3次，深度20cm~30cm。</w:t>
            </w:r>
          </w:p>
          <w:p w14:paraId="1DF74F07">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②起垄</w:t>
            </w:r>
          </w:p>
          <w:p w14:paraId="3D7FA114">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按自然地形或树木排列顺序规划确定种植区域和起垄方向：平地根据林地树木种植的方向起垄。坡地顺着林地等高线起垄。垄底宽一般保持120cm~150 cm，垄顶80cm~100cm，垄面整理为圆弧形，垄与树根的距离&gt;20cm。</w:t>
            </w:r>
          </w:p>
          <w:p w14:paraId="387DDBCC">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③排水，防洪沟渠的设置</w:t>
            </w:r>
          </w:p>
          <w:p w14:paraId="61F222B6">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林下起垄的时候根据不同坡度不同地形</w:t>
            </w:r>
            <w:r>
              <w:rPr>
                <w:rFonts w:hint="eastAsia" w:ascii="Times New Roman" w:hAnsi="Times New Roman" w:cs="Times New Roman"/>
                <w:color w:val="000000" w:themeColor="text1"/>
                <w:lang w:eastAsia="zh-CN"/>
                <w14:textFill>
                  <w14:solidFill>
                    <w14:schemeClr w14:val="tx1"/>
                  </w14:solidFill>
                </w14:textFill>
              </w:rPr>
              <w:t>设置</w:t>
            </w:r>
            <w:r>
              <w:rPr>
                <w:rFonts w:hint="default" w:ascii="Times New Roman" w:hAnsi="Times New Roman" w:cs="Times New Roman"/>
                <w:color w:val="000000" w:themeColor="text1"/>
                <w14:textFill>
                  <w14:solidFill>
                    <w14:schemeClr w14:val="tx1"/>
                  </w14:solidFill>
                </w14:textFill>
              </w:rPr>
              <w:t>好排水沟，15m~20m留一个排水口。雨季应适时清理排水口，以防有树枝或泥土堆积阻碍排水口。</w:t>
            </w:r>
          </w:p>
          <w:p w14:paraId="6CAC6D48">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④搭建避雨棚</w:t>
            </w:r>
          </w:p>
          <w:p w14:paraId="191FD740">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在林下的垄面上搭建简易的避雨棚，调控环境温度，物理防控病害。</w:t>
            </w:r>
          </w:p>
          <w:p w14:paraId="4CCB900D">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b/>
                <w:bCs/>
                <w:color w:val="000000" w:themeColor="text1"/>
                <w14:textFill>
                  <w14:solidFill>
                    <w14:schemeClr w14:val="tx1"/>
                  </w14:solidFill>
                </w14:textFill>
              </w:rPr>
            </w:pPr>
            <w:r>
              <w:rPr>
                <w:rFonts w:hint="default" w:ascii="Times New Roman" w:hAnsi="Times New Roman" w:eastAsia="宋体" w:cs="Times New Roman"/>
                <w:b/>
                <w:bCs/>
                <w:color w:val="000000" w:themeColor="text1"/>
                <w14:textFill>
                  <w14:solidFill>
                    <w14:schemeClr w14:val="tx1"/>
                  </w14:solidFill>
                </w14:textFill>
              </w:rPr>
              <w:t>2）播种</w:t>
            </w:r>
          </w:p>
          <w:p w14:paraId="71544465">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b w:val="0"/>
                <w:bCs w:val="0"/>
                <w:color w:val="000000" w:themeColor="text1"/>
                <w14:textFill>
                  <w14:solidFill>
                    <w14:schemeClr w14:val="tx1"/>
                  </w14:solidFill>
                </w14:textFill>
              </w:rPr>
            </w:pPr>
            <w:r>
              <w:rPr>
                <w:rFonts w:hint="default" w:ascii="Times New Roman" w:hAnsi="Times New Roman" w:eastAsia="宋体" w:cs="Times New Roman"/>
                <w:b w:val="0"/>
                <w:bCs w:val="0"/>
                <w:color w:val="000000" w:themeColor="text1"/>
                <w14:textFill>
                  <w14:solidFill>
                    <w14:schemeClr w14:val="tx1"/>
                  </w14:solidFill>
                </w14:textFill>
              </w:rPr>
              <w:t>①播种：</w:t>
            </w:r>
          </w:p>
          <w:p w14:paraId="242FAEC5">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b w:val="0"/>
                <w:bCs w:val="0"/>
                <w:color w:val="000000" w:themeColor="text1"/>
                <w14:textFill>
                  <w14:solidFill>
                    <w14:schemeClr w14:val="tx1"/>
                  </w14:solidFill>
                </w14:textFill>
              </w:rPr>
            </w:pPr>
            <w:r>
              <w:rPr>
                <w:rFonts w:hint="default" w:ascii="Times New Roman" w:hAnsi="Times New Roman" w:eastAsia="宋体" w:cs="Times New Roman"/>
                <w:b w:val="0"/>
                <w:bCs w:val="0"/>
                <w:color w:val="000000" w:themeColor="text1"/>
                <w14:textFill>
                  <w14:solidFill>
                    <w14:schemeClr w14:val="tx1"/>
                  </w14:solidFill>
                </w14:textFill>
              </w:rPr>
              <w:t>种子储藏：果实（红籽）采收后除去果皮，种子晾干后用湿砂保存备用。</w:t>
            </w:r>
          </w:p>
          <w:p w14:paraId="6DDB469C">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b w:val="0"/>
                <w:bCs w:val="0"/>
                <w:color w:val="000000" w:themeColor="text1"/>
                <w14:textFill>
                  <w14:solidFill>
                    <w14:schemeClr w14:val="tx1"/>
                  </w14:solidFill>
                </w14:textFill>
              </w:rPr>
            </w:pPr>
            <w:r>
              <w:rPr>
                <w:rFonts w:hint="default" w:ascii="Times New Roman" w:hAnsi="Times New Roman" w:eastAsia="宋体" w:cs="Times New Roman"/>
                <w:b w:val="0"/>
                <w:bCs w:val="0"/>
                <w:color w:val="000000" w:themeColor="text1"/>
                <w14:textFill>
                  <w14:solidFill>
                    <w14:schemeClr w14:val="tx1"/>
                  </w14:solidFill>
                </w14:textFill>
              </w:rPr>
              <w:t>种子选择与分级：三七种子按要求优选与分级，三级以上种子才能在生产中使用，并根据种子等级分别播种。</w:t>
            </w:r>
          </w:p>
          <w:p w14:paraId="229A9E01">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b w:val="0"/>
                <w:bCs w:val="0"/>
                <w:color w:val="000000" w:themeColor="text1"/>
                <w14:textFill>
                  <w14:solidFill>
                    <w14:schemeClr w14:val="tx1"/>
                  </w14:solidFill>
                </w14:textFill>
              </w:rPr>
            </w:pPr>
            <w:r>
              <w:rPr>
                <w:rFonts w:hint="default" w:ascii="Times New Roman" w:hAnsi="Times New Roman" w:eastAsia="宋体" w:cs="Times New Roman"/>
                <w:b w:val="0"/>
                <w:bCs w:val="0"/>
                <w:color w:val="000000" w:themeColor="text1"/>
                <w14:textFill>
                  <w14:solidFill>
                    <w14:schemeClr w14:val="tx1"/>
                  </w14:solidFill>
                </w14:textFill>
              </w:rPr>
              <w:t>播种时间：12月中下旬至翌年1月中下旬。</w:t>
            </w:r>
          </w:p>
          <w:p w14:paraId="3D19BEBD">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b w:val="0"/>
                <w:bCs w:val="0"/>
                <w:color w:val="000000" w:themeColor="text1"/>
                <w14:textFill>
                  <w14:solidFill>
                    <w14:schemeClr w14:val="tx1"/>
                  </w14:solidFill>
                </w14:textFill>
              </w:rPr>
            </w:pPr>
            <w:r>
              <w:rPr>
                <w:rFonts w:hint="default" w:ascii="Times New Roman" w:hAnsi="Times New Roman" w:eastAsia="宋体" w:cs="Times New Roman"/>
                <w:b w:val="0"/>
                <w:bCs w:val="0"/>
                <w:color w:val="000000" w:themeColor="text1"/>
                <w14:textFill>
                  <w14:solidFill>
                    <w14:schemeClr w14:val="tx1"/>
                  </w14:solidFill>
                </w14:textFill>
              </w:rPr>
              <w:t>播种密度：播种密度为4cm×4cm，或5cm×5cm，每亩播种量</w:t>
            </w:r>
            <w:r>
              <w:rPr>
                <w:rFonts w:hint="eastAsia" w:ascii="Times New Roman" w:hAnsi="Times New Roman" w:cs="Times New Roman"/>
                <w:b w:val="0"/>
                <w:bCs w:val="0"/>
                <w:color w:val="000000" w:themeColor="text1"/>
                <w:lang w:eastAsia="zh-CN"/>
                <w14:textFill>
                  <w14:solidFill>
                    <w14:schemeClr w14:val="tx1"/>
                  </w14:solidFill>
                </w14:textFill>
              </w:rPr>
              <w:t>18万—20万</w:t>
            </w:r>
            <w:r>
              <w:rPr>
                <w:rFonts w:hint="default" w:ascii="Times New Roman" w:hAnsi="Times New Roman" w:eastAsia="宋体" w:cs="Times New Roman"/>
                <w:b w:val="0"/>
                <w:bCs w:val="0"/>
                <w:color w:val="000000" w:themeColor="text1"/>
                <w14:textFill>
                  <w14:solidFill>
                    <w14:schemeClr w14:val="tx1"/>
                  </w14:solidFill>
                </w14:textFill>
              </w:rPr>
              <w:t>粒。</w:t>
            </w:r>
          </w:p>
          <w:p w14:paraId="1F392C1C">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b w:val="0"/>
                <w:bCs w:val="0"/>
                <w:color w:val="000000" w:themeColor="text1"/>
                <w14:textFill>
                  <w14:solidFill>
                    <w14:schemeClr w14:val="tx1"/>
                  </w14:solidFill>
                </w14:textFill>
              </w:rPr>
            </w:pPr>
            <w:r>
              <w:rPr>
                <w:rFonts w:hint="default" w:ascii="Times New Roman" w:hAnsi="Times New Roman" w:eastAsia="宋体" w:cs="Times New Roman"/>
                <w:b w:val="0"/>
                <w:bCs w:val="0"/>
                <w:color w:val="000000" w:themeColor="text1"/>
                <w14:textFill>
                  <w14:solidFill>
                    <w14:schemeClr w14:val="tx1"/>
                  </w14:solidFill>
                </w14:textFill>
              </w:rPr>
              <w:t>播种方法：用打穴器在床面打出浅穴人工点播，或用三七专用播种机机播。</w:t>
            </w:r>
          </w:p>
          <w:p w14:paraId="6E601551">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b w:val="0"/>
                <w:bCs w:val="0"/>
                <w:color w:val="000000" w:themeColor="text1"/>
                <w14:textFill>
                  <w14:solidFill>
                    <w14:schemeClr w14:val="tx1"/>
                  </w14:solidFill>
                </w14:textFill>
              </w:rPr>
            </w:pPr>
            <w:r>
              <w:rPr>
                <w:rFonts w:hint="default" w:ascii="Times New Roman" w:hAnsi="Times New Roman" w:eastAsia="宋体" w:cs="Times New Roman"/>
                <w:b w:val="0"/>
                <w:bCs w:val="0"/>
                <w:color w:val="000000" w:themeColor="text1"/>
                <w14:textFill>
                  <w14:solidFill>
                    <w14:schemeClr w14:val="tx1"/>
                  </w14:solidFill>
                </w14:textFill>
              </w:rPr>
              <w:t>覆土和施肥：用细土覆盖三七种子，以见不到种子为准。覆土后，用三七专用有机肥均匀撒施于床面，施用技术：播种盖土后，直接撒施于床面，加盖松毛，每亩施用量为20</w:t>
            </w:r>
            <w:r>
              <w:rPr>
                <w:rFonts w:hint="eastAsia" w:ascii="Times New Roman" w:hAnsi="Times New Roman" w:cs="Times New Roman"/>
                <w:b w:val="0"/>
                <w:bCs w:val="0"/>
                <w:color w:val="000000" w:themeColor="text1"/>
                <w:lang w:eastAsia="zh-CN"/>
                <w14:textFill>
                  <w14:solidFill>
                    <w14:schemeClr w14:val="tx1"/>
                  </w14:solidFill>
                </w14:textFill>
              </w:rPr>
              <w:t>—</w:t>
            </w:r>
            <w:r>
              <w:rPr>
                <w:rFonts w:hint="default" w:ascii="Times New Roman" w:hAnsi="Times New Roman" w:eastAsia="宋体" w:cs="Times New Roman"/>
                <w:b w:val="0"/>
                <w:bCs w:val="0"/>
                <w:color w:val="000000" w:themeColor="text1"/>
                <w14:textFill>
                  <w14:solidFill>
                    <w14:schemeClr w14:val="tx1"/>
                  </w14:solidFill>
                </w14:textFill>
              </w:rPr>
              <w:t>25kg。</w:t>
            </w:r>
          </w:p>
          <w:p w14:paraId="3168BD5F">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b w:val="0"/>
                <w:bCs w:val="0"/>
                <w:color w:val="000000" w:themeColor="text1"/>
                <w14:textFill>
                  <w14:solidFill>
                    <w14:schemeClr w14:val="tx1"/>
                  </w14:solidFill>
                </w14:textFill>
              </w:rPr>
            </w:pPr>
            <w:r>
              <w:rPr>
                <w:rFonts w:hint="default" w:ascii="Times New Roman" w:hAnsi="Times New Roman" w:eastAsia="宋体" w:cs="Times New Roman"/>
                <w:b w:val="0"/>
                <w:bCs w:val="0"/>
                <w:color w:val="000000" w:themeColor="text1"/>
                <w14:textFill>
                  <w14:solidFill>
                    <w14:schemeClr w14:val="tx1"/>
                  </w14:solidFill>
                </w14:textFill>
              </w:rPr>
              <w:t>盖松毛：将松毛均匀铺盖于床面，以床面土不外露为准。</w:t>
            </w:r>
          </w:p>
          <w:p w14:paraId="16871802">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b w:val="0"/>
                <w:bCs w:val="0"/>
                <w:color w:val="000000" w:themeColor="text1"/>
                <w14:textFill>
                  <w14:solidFill>
                    <w14:schemeClr w14:val="tx1"/>
                  </w14:solidFill>
                </w14:textFill>
              </w:rPr>
            </w:pPr>
            <w:r>
              <w:rPr>
                <w:rFonts w:hint="default" w:ascii="Times New Roman" w:hAnsi="Times New Roman" w:eastAsia="宋体" w:cs="Times New Roman"/>
                <w:b w:val="0"/>
                <w:bCs w:val="0"/>
                <w:color w:val="000000" w:themeColor="text1"/>
                <w14:textFill>
                  <w14:solidFill>
                    <w14:schemeClr w14:val="tx1"/>
                  </w14:solidFill>
                </w14:textFill>
              </w:rPr>
              <w:t>地膜育苗：播种后用白色地膜覆盖，有利于改善土壤环境，提高土壤温度，提早出苗，促进种苗地下部分生长，还可以防霜冻。</w:t>
            </w:r>
          </w:p>
          <w:p w14:paraId="1A07D475">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b w:val="0"/>
                <w:bCs w:val="0"/>
                <w:color w:val="000000" w:themeColor="text1"/>
                <w14:textFill>
                  <w14:solidFill>
                    <w14:schemeClr w14:val="tx1"/>
                  </w14:solidFill>
                </w14:textFill>
              </w:rPr>
            </w:pPr>
            <w:r>
              <w:rPr>
                <w:rFonts w:hint="default" w:ascii="Times New Roman" w:hAnsi="Times New Roman" w:eastAsia="宋体" w:cs="Times New Roman"/>
                <w:b w:val="0"/>
                <w:bCs w:val="0"/>
                <w:color w:val="000000" w:themeColor="text1"/>
                <w14:textFill>
                  <w14:solidFill>
                    <w14:schemeClr w14:val="tx1"/>
                  </w14:solidFill>
                </w14:textFill>
              </w:rPr>
              <w:t>浇水：播种后浇水一次，之后每隔5</w:t>
            </w:r>
            <w:r>
              <w:rPr>
                <w:rFonts w:hint="eastAsia" w:ascii="Times New Roman" w:hAnsi="Times New Roman" w:cs="Times New Roman"/>
                <w:b w:val="0"/>
                <w:bCs w:val="0"/>
                <w:color w:val="000000" w:themeColor="text1"/>
                <w:lang w:eastAsia="zh-CN"/>
                <w14:textFill>
                  <w14:solidFill>
                    <w14:schemeClr w14:val="tx1"/>
                  </w14:solidFill>
                </w14:textFill>
              </w:rPr>
              <w:t>—</w:t>
            </w:r>
            <w:r>
              <w:rPr>
                <w:rFonts w:hint="default" w:ascii="Times New Roman" w:hAnsi="Times New Roman" w:eastAsia="宋体" w:cs="Times New Roman"/>
                <w:b w:val="0"/>
                <w:bCs w:val="0"/>
                <w:color w:val="000000" w:themeColor="text1"/>
                <w14:textFill>
                  <w14:solidFill>
                    <w14:schemeClr w14:val="tx1"/>
                  </w14:solidFill>
                </w14:textFill>
              </w:rPr>
              <w:t>7天浇水一次，保持土壤湿度在</w:t>
            </w:r>
            <w:r>
              <w:rPr>
                <w:rFonts w:hint="eastAsia" w:ascii="Times New Roman" w:hAnsi="Times New Roman" w:cs="Times New Roman"/>
                <w:b w:val="0"/>
                <w:bCs w:val="0"/>
                <w:color w:val="000000" w:themeColor="text1"/>
                <w:lang w:eastAsia="zh-CN"/>
                <w14:textFill>
                  <w14:solidFill>
                    <w14:schemeClr w14:val="tx1"/>
                  </w14:solidFill>
                </w14:textFill>
              </w:rPr>
              <w:t>25%—30%</w:t>
            </w:r>
            <w:r>
              <w:rPr>
                <w:rFonts w:hint="default" w:ascii="Times New Roman" w:hAnsi="Times New Roman" w:eastAsia="宋体" w:cs="Times New Roman"/>
                <w:b w:val="0"/>
                <w:bCs w:val="0"/>
                <w:color w:val="000000" w:themeColor="text1"/>
                <w14:textFill>
                  <w14:solidFill>
                    <w14:schemeClr w14:val="tx1"/>
                  </w14:solidFill>
                </w14:textFill>
              </w:rPr>
              <w:t>之间，直至雨季来临。</w:t>
            </w:r>
          </w:p>
          <w:p w14:paraId="66D2D5FB">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b w:val="0"/>
                <w:bCs w:val="0"/>
                <w:color w:val="000000" w:themeColor="text1"/>
                <w14:textFill>
                  <w14:solidFill>
                    <w14:schemeClr w14:val="tx1"/>
                  </w14:solidFill>
                </w14:textFill>
              </w:rPr>
            </w:pPr>
            <w:r>
              <w:rPr>
                <w:rFonts w:hint="default" w:ascii="Times New Roman" w:hAnsi="Times New Roman" w:eastAsia="宋体" w:cs="Times New Roman"/>
                <w:b w:val="0"/>
                <w:bCs w:val="0"/>
                <w:color w:val="000000" w:themeColor="text1"/>
                <w14:textFill>
                  <w14:solidFill>
                    <w14:schemeClr w14:val="tx1"/>
                  </w14:solidFill>
                </w14:textFill>
              </w:rPr>
              <w:t>②田间管理：</w:t>
            </w:r>
          </w:p>
          <w:p w14:paraId="11D806D4">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b w:val="0"/>
                <w:bCs w:val="0"/>
                <w:color w:val="000000" w:themeColor="text1"/>
                <w14:textFill>
                  <w14:solidFill>
                    <w14:schemeClr w14:val="tx1"/>
                  </w14:solidFill>
                </w14:textFill>
              </w:rPr>
            </w:pPr>
            <w:r>
              <w:rPr>
                <w:rFonts w:hint="default" w:ascii="Times New Roman" w:hAnsi="Times New Roman" w:eastAsia="宋体" w:cs="Times New Roman"/>
                <w:b w:val="0"/>
                <w:bCs w:val="0"/>
                <w:color w:val="000000" w:themeColor="text1"/>
                <w14:textFill>
                  <w14:solidFill>
                    <w14:schemeClr w14:val="tx1"/>
                  </w14:solidFill>
                </w14:textFill>
              </w:rPr>
              <w:t>除草：播种后，每隔7</w:t>
            </w:r>
            <w:r>
              <w:rPr>
                <w:rFonts w:hint="eastAsia" w:ascii="Times New Roman" w:hAnsi="Times New Roman" w:cs="Times New Roman"/>
                <w:b w:val="0"/>
                <w:bCs w:val="0"/>
                <w:color w:val="000000" w:themeColor="text1"/>
                <w:lang w:eastAsia="zh-CN"/>
                <w14:textFill>
                  <w14:solidFill>
                    <w14:schemeClr w14:val="tx1"/>
                  </w14:solidFill>
                </w14:textFill>
              </w:rPr>
              <w:t>—</w:t>
            </w:r>
            <w:r>
              <w:rPr>
                <w:rFonts w:hint="default" w:ascii="Times New Roman" w:hAnsi="Times New Roman" w:eastAsia="宋体" w:cs="Times New Roman"/>
                <w:b w:val="0"/>
                <w:bCs w:val="0"/>
                <w:color w:val="000000" w:themeColor="text1"/>
                <w14:textFill>
                  <w14:solidFill>
                    <w14:schemeClr w14:val="tx1"/>
                  </w14:solidFill>
                </w14:textFill>
              </w:rPr>
              <w:t>10天除草一次，保持床面及作业道清洁无杂草。禁止使用化学除草剂。</w:t>
            </w:r>
          </w:p>
          <w:p w14:paraId="55DD4505">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b w:val="0"/>
                <w:bCs w:val="0"/>
                <w:color w:val="000000" w:themeColor="text1"/>
                <w14:textFill>
                  <w14:solidFill>
                    <w14:schemeClr w14:val="tx1"/>
                  </w14:solidFill>
                </w14:textFill>
              </w:rPr>
            </w:pPr>
            <w:r>
              <w:rPr>
                <w:rFonts w:hint="default" w:ascii="Times New Roman" w:hAnsi="Times New Roman" w:eastAsia="宋体" w:cs="Times New Roman"/>
                <w:b w:val="0"/>
                <w:bCs w:val="0"/>
                <w:color w:val="000000" w:themeColor="text1"/>
                <w14:textFill>
                  <w14:solidFill>
                    <w14:schemeClr w14:val="tx1"/>
                  </w14:solidFill>
                </w14:textFill>
              </w:rPr>
              <w:t>追肥：苗期肥料以三七专用有机肥为主。出苗展叶30%左右即可第一次追肥，每亩施用20</w:t>
            </w:r>
            <w:r>
              <w:rPr>
                <w:rFonts w:hint="eastAsia" w:ascii="Times New Roman" w:hAnsi="Times New Roman" w:cs="Times New Roman"/>
                <w:b w:val="0"/>
                <w:bCs w:val="0"/>
                <w:color w:val="000000" w:themeColor="text1"/>
                <w:lang w:eastAsia="zh-CN"/>
                <w14:textFill>
                  <w14:solidFill>
                    <w14:schemeClr w14:val="tx1"/>
                  </w14:solidFill>
                </w14:textFill>
              </w:rPr>
              <w:t>—</w:t>
            </w:r>
            <w:r>
              <w:rPr>
                <w:rFonts w:hint="default" w:ascii="Times New Roman" w:hAnsi="Times New Roman" w:eastAsia="宋体" w:cs="Times New Roman"/>
                <w:b w:val="0"/>
                <w:bCs w:val="0"/>
                <w:color w:val="000000" w:themeColor="text1"/>
                <w14:textFill>
                  <w14:solidFill>
                    <w14:schemeClr w14:val="tx1"/>
                  </w14:solidFill>
                </w14:textFill>
              </w:rPr>
              <w:t>25kg。隔30</w:t>
            </w:r>
            <w:r>
              <w:rPr>
                <w:rFonts w:hint="eastAsia" w:ascii="Times New Roman" w:hAnsi="Times New Roman" w:cs="Times New Roman"/>
                <w:b w:val="0"/>
                <w:bCs w:val="0"/>
                <w:color w:val="000000" w:themeColor="text1"/>
                <w:lang w:eastAsia="zh-CN"/>
                <w14:textFill>
                  <w14:solidFill>
                    <w14:schemeClr w14:val="tx1"/>
                  </w14:solidFill>
                </w14:textFill>
              </w:rPr>
              <w:t>—</w:t>
            </w:r>
            <w:r>
              <w:rPr>
                <w:rFonts w:hint="default" w:ascii="Times New Roman" w:hAnsi="Times New Roman" w:eastAsia="宋体" w:cs="Times New Roman"/>
                <w:b w:val="0"/>
                <w:bCs w:val="0"/>
                <w:color w:val="000000" w:themeColor="text1"/>
                <w14:textFill>
                  <w14:solidFill>
                    <w14:schemeClr w14:val="tx1"/>
                  </w14:solidFill>
                </w14:textFill>
              </w:rPr>
              <w:t>35天追施一次。</w:t>
            </w:r>
          </w:p>
          <w:p w14:paraId="6BDF8DA8">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b w:val="0"/>
                <w:bCs w:val="0"/>
                <w:color w:val="000000" w:themeColor="text1"/>
                <w14:textFill>
                  <w14:solidFill>
                    <w14:schemeClr w14:val="tx1"/>
                  </w14:solidFill>
                </w14:textFill>
              </w:rPr>
            </w:pPr>
            <w:r>
              <w:rPr>
                <w:rFonts w:hint="default" w:ascii="Times New Roman" w:hAnsi="Times New Roman" w:eastAsia="宋体" w:cs="Times New Roman"/>
                <w:b w:val="0"/>
                <w:bCs w:val="0"/>
                <w:color w:val="000000" w:themeColor="text1"/>
                <w14:textFill>
                  <w14:solidFill>
                    <w14:schemeClr w14:val="tx1"/>
                  </w14:solidFill>
                </w14:textFill>
              </w:rPr>
              <w:t>修补荫棚：因日晒雨淋荫棚时常破损，应及时</w:t>
            </w:r>
            <w:r>
              <w:rPr>
                <w:rFonts w:hint="eastAsia" w:ascii="Times New Roman" w:hAnsi="Times New Roman" w:cs="Times New Roman"/>
                <w:b w:val="0"/>
                <w:bCs w:val="0"/>
                <w:color w:val="000000" w:themeColor="text1"/>
                <w:lang w:eastAsia="zh-CN"/>
                <w14:textFill>
                  <w14:solidFill>
                    <w14:schemeClr w14:val="tx1"/>
                  </w14:solidFill>
                </w14:textFill>
              </w:rPr>
              <w:t>修补</w:t>
            </w:r>
            <w:r>
              <w:rPr>
                <w:rFonts w:hint="default" w:ascii="Times New Roman" w:hAnsi="Times New Roman" w:eastAsia="宋体" w:cs="Times New Roman"/>
                <w:b w:val="0"/>
                <w:bCs w:val="0"/>
                <w:color w:val="000000" w:themeColor="text1"/>
                <w14:textFill>
                  <w14:solidFill>
                    <w14:schemeClr w14:val="tx1"/>
                  </w14:solidFill>
                </w14:textFill>
              </w:rPr>
              <w:t>，保证透光均匀。</w:t>
            </w:r>
          </w:p>
          <w:p w14:paraId="12240009">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b w:val="0"/>
                <w:bCs w:val="0"/>
                <w:color w:val="000000" w:themeColor="text1"/>
                <w14:textFill>
                  <w14:solidFill>
                    <w14:schemeClr w14:val="tx1"/>
                  </w14:solidFill>
                </w14:textFill>
              </w:rPr>
            </w:pPr>
            <w:r>
              <w:rPr>
                <w:rFonts w:hint="default" w:ascii="Times New Roman" w:hAnsi="Times New Roman" w:eastAsia="宋体" w:cs="Times New Roman"/>
                <w:b w:val="0"/>
                <w:bCs w:val="0"/>
                <w:color w:val="000000" w:themeColor="text1"/>
                <w14:textFill>
                  <w14:solidFill>
                    <w14:schemeClr w14:val="tx1"/>
                  </w14:solidFill>
                </w14:textFill>
              </w:rPr>
              <w:t>防涝：雨季随时检查三七园，及时排水。</w:t>
            </w:r>
          </w:p>
          <w:p w14:paraId="036835C8">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b/>
                <w:bCs/>
                <w:color w:val="000000" w:themeColor="text1"/>
                <w:lang w:eastAsia="zh-CN"/>
                <w14:textFill>
                  <w14:solidFill>
                    <w14:schemeClr w14:val="tx1"/>
                  </w14:solidFill>
                </w14:textFill>
              </w:rPr>
            </w:pPr>
            <w:bookmarkStart w:id="7" w:name="_Toc294209836"/>
            <w:r>
              <w:rPr>
                <w:rFonts w:hint="default" w:ascii="Times New Roman" w:hAnsi="Times New Roman" w:eastAsia="宋体" w:cs="Times New Roman"/>
                <w:b/>
                <w:bCs/>
                <w:color w:val="000000" w:themeColor="text1"/>
                <w14:textFill>
                  <w14:solidFill>
                    <w14:schemeClr w14:val="tx1"/>
                  </w14:solidFill>
                </w14:textFill>
              </w:rPr>
              <w:t>3）移栽</w:t>
            </w:r>
            <w:bookmarkEnd w:id="7"/>
            <w:r>
              <w:rPr>
                <w:rFonts w:hint="default" w:ascii="Times New Roman" w:hAnsi="Times New Roman" w:eastAsia="宋体" w:cs="Times New Roman"/>
                <w:b/>
                <w:bCs/>
                <w:color w:val="000000" w:themeColor="text1"/>
                <w:lang w:eastAsia="zh-CN"/>
                <w14:textFill>
                  <w14:solidFill>
                    <w14:schemeClr w14:val="tx1"/>
                  </w14:solidFill>
                </w14:textFill>
              </w:rPr>
              <w:t>：</w:t>
            </w:r>
          </w:p>
          <w:p w14:paraId="7AEC937A">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b w:val="0"/>
                <w:bCs w:val="0"/>
                <w:color w:val="000000" w:themeColor="text1"/>
                <w14:textFill>
                  <w14:solidFill>
                    <w14:schemeClr w14:val="tx1"/>
                  </w14:solidFill>
                </w14:textFill>
              </w:rPr>
            </w:pPr>
            <w:r>
              <w:rPr>
                <w:rFonts w:hint="default" w:ascii="Times New Roman" w:hAnsi="Times New Roman" w:eastAsia="宋体" w:cs="Times New Roman"/>
                <w:b w:val="0"/>
                <w:bCs w:val="0"/>
                <w:color w:val="000000" w:themeColor="text1"/>
                <w14:textFill>
                  <w14:solidFill>
                    <w14:schemeClr w14:val="tx1"/>
                  </w14:solidFill>
                </w14:textFill>
              </w:rPr>
              <w:t>①起挖：</w:t>
            </w:r>
          </w:p>
          <w:p w14:paraId="07CF6F19">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b w:val="0"/>
                <w:bCs w:val="0"/>
                <w:color w:val="000000" w:themeColor="text1"/>
                <w14:textFill>
                  <w14:solidFill>
                    <w14:schemeClr w14:val="tx1"/>
                  </w14:solidFill>
                </w14:textFill>
              </w:rPr>
            </w:pPr>
            <w:r>
              <w:rPr>
                <w:rFonts w:hint="default" w:ascii="Times New Roman" w:hAnsi="Times New Roman" w:eastAsia="宋体" w:cs="Times New Roman"/>
                <w:b w:val="0"/>
                <w:bCs w:val="0"/>
                <w:color w:val="000000" w:themeColor="text1"/>
                <w14:textFill>
                  <w14:solidFill>
                    <w14:schemeClr w14:val="tx1"/>
                  </w14:solidFill>
                </w14:textFill>
              </w:rPr>
              <w:t>起挖时间：12月中下旬至翌年1月中下旬。</w:t>
            </w:r>
          </w:p>
          <w:p w14:paraId="45408DF5">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b w:val="0"/>
                <w:bCs w:val="0"/>
                <w:color w:val="000000" w:themeColor="text1"/>
                <w14:textFill>
                  <w14:solidFill>
                    <w14:schemeClr w14:val="tx1"/>
                  </w14:solidFill>
                </w14:textFill>
              </w:rPr>
            </w:pPr>
            <w:r>
              <w:rPr>
                <w:rFonts w:hint="default" w:ascii="Times New Roman" w:hAnsi="Times New Roman" w:eastAsia="宋体" w:cs="Times New Roman"/>
                <w:b w:val="0"/>
                <w:bCs w:val="0"/>
                <w:color w:val="000000" w:themeColor="text1"/>
                <w14:textFill>
                  <w14:solidFill>
                    <w14:schemeClr w14:val="tx1"/>
                  </w14:solidFill>
                </w14:textFill>
              </w:rPr>
              <w:t>起挖方法：用削尖的竹条或木棍，从苗床面的一边向另一边，将一年生种苗挖起。如土壤干燥板结，应浇水后隔三天采挖。起挖时避免损伤种苗。清除损伤、瘦弱和病虫危害的种苗。</w:t>
            </w:r>
          </w:p>
          <w:p w14:paraId="4A375645">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b w:val="0"/>
                <w:bCs w:val="0"/>
                <w:color w:val="000000" w:themeColor="text1"/>
                <w14:textFill>
                  <w14:solidFill>
                    <w14:schemeClr w14:val="tx1"/>
                  </w14:solidFill>
                </w14:textFill>
              </w:rPr>
            </w:pPr>
            <w:r>
              <w:rPr>
                <w:rFonts w:hint="default" w:ascii="Times New Roman" w:hAnsi="Times New Roman" w:eastAsia="宋体" w:cs="Times New Roman"/>
                <w:b w:val="0"/>
                <w:bCs w:val="0"/>
                <w:color w:val="000000" w:themeColor="text1"/>
                <w14:textFill>
                  <w14:solidFill>
                    <w14:schemeClr w14:val="tx1"/>
                  </w14:solidFill>
                </w14:textFill>
              </w:rPr>
              <w:t>②定植：</w:t>
            </w:r>
          </w:p>
          <w:p w14:paraId="1A619DC9">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b w:val="0"/>
                <w:bCs w:val="0"/>
                <w:color w:val="000000" w:themeColor="text1"/>
                <w14:textFill>
                  <w14:solidFill>
                    <w14:schemeClr w14:val="tx1"/>
                  </w14:solidFill>
                </w14:textFill>
              </w:rPr>
            </w:pPr>
            <w:r>
              <w:rPr>
                <w:rFonts w:hint="default" w:ascii="Times New Roman" w:hAnsi="Times New Roman" w:eastAsia="宋体" w:cs="Times New Roman"/>
                <w:b w:val="0"/>
                <w:bCs w:val="0"/>
                <w:color w:val="000000" w:themeColor="text1"/>
                <w14:textFill>
                  <w14:solidFill>
                    <w14:schemeClr w14:val="tx1"/>
                  </w14:solidFill>
                </w14:textFill>
              </w:rPr>
              <w:t>移栽时间：起挖后尽快移栽定植，避免种苗放置时间过长。</w:t>
            </w:r>
          </w:p>
          <w:p w14:paraId="4D5808C0">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b w:val="0"/>
                <w:bCs w:val="0"/>
                <w:color w:val="000000" w:themeColor="text1"/>
                <w:highlight w:val="yellow"/>
                <w14:textFill>
                  <w14:solidFill>
                    <w14:schemeClr w14:val="tx1"/>
                  </w14:solidFill>
                </w14:textFill>
              </w:rPr>
            </w:pPr>
            <w:r>
              <w:rPr>
                <w:rFonts w:hint="default" w:ascii="Times New Roman" w:hAnsi="Times New Roman" w:eastAsia="宋体" w:cs="Times New Roman"/>
                <w:b w:val="0"/>
                <w:bCs w:val="0"/>
                <w:color w:val="000000" w:themeColor="text1"/>
                <w14:textFill>
                  <w14:solidFill>
                    <w14:schemeClr w14:val="tx1"/>
                  </w14:solidFill>
                </w14:textFill>
              </w:rPr>
              <w:t>种苗分级：</w:t>
            </w:r>
            <w:r>
              <w:rPr>
                <w:rFonts w:hint="default" w:ascii="Times New Roman" w:hAnsi="Times New Roman" w:eastAsia="宋体" w:cs="Times New Roman"/>
                <w:b w:val="0"/>
                <w:bCs w:val="0"/>
                <w:color w:val="000000" w:themeColor="text1"/>
                <w:highlight w:val="none"/>
                <w14:textFill>
                  <w14:solidFill>
                    <w14:schemeClr w14:val="tx1"/>
                  </w14:solidFill>
                </w14:textFill>
              </w:rPr>
              <w:t>种苗按照单株重量‌、‌休眠芽状态‌及‌根系健康状况‌三项核心指标，分为三个等级</w:t>
            </w:r>
            <w:r>
              <w:rPr>
                <w:rFonts w:hint="eastAsia" w:ascii="Times New Roman" w:hAnsi="Times New Roman" w:cs="Times New Roman"/>
                <w:b w:val="0"/>
                <w:bCs w:val="0"/>
                <w:color w:val="000000" w:themeColor="text1"/>
                <w:highlight w:val="none"/>
                <w:lang w:val="en-US" w:eastAsia="zh-CN"/>
                <w14:textFill>
                  <w14:solidFill>
                    <w14:schemeClr w14:val="tx1"/>
                  </w14:solidFill>
                </w14:textFill>
              </w:rPr>
              <w:t>后</w:t>
            </w:r>
            <w:r>
              <w:rPr>
                <w:rFonts w:hint="default" w:ascii="Times New Roman" w:hAnsi="Times New Roman" w:eastAsia="宋体" w:cs="Times New Roman"/>
                <w:b w:val="0"/>
                <w:bCs w:val="0"/>
                <w:color w:val="000000" w:themeColor="text1"/>
                <w:highlight w:val="none"/>
                <w14:textFill>
                  <w14:solidFill>
                    <w14:schemeClr w14:val="tx1"/>
                  </w14:solidFill>
                </w14:textFill>
              </w:rPr>
              <w:t>分级移栽</w:t>
            </w:r>
            <w:r>
              <w:rPr>
                <w:rFonts w:hint="eastAsia" w:ascii="Times New Roman" w:hAnsi="Times New Roman" w:cs="Times New Roman"/>
                <w:b w:val="0"/>
                <w:bCs w:val="0"/>
                <w:color w:val="000000" w:themeColor="text1"/>
                <w:highlight w:val="none"/>
                <w:lang w:eastAsia="zh-CN"/>
                <w14:textFill>
                  <w14:solidFill>
                    <w14:schemeClr w14:val="tx1"/>
                  </w14:solidFill>
                </w14:textFill>
              </w:rPr>
              <w:t>，</w:t>
            </w:r>
            <w:r>
              <w:rPr>
                <w:rFonts w:hint="eastAsia" w:ascii="Times New Roman" w:hAnsi="Times New Roman" w:cs="Times New Roman"/>
                <w:b w:val="0"/>
                <w:bCs w:val="0"/>
                <w:color w:val="000000" w:themeColor="text1"/>
                <w:highlight w:val="none"/>
                <w:lang w:val="en-US" w:eastAsia="zh-CN"/>
                <w14:textFill>
                  <w14:solidFill>
                    <w14:schemeClr w14:val="tx1"/>
                  </w14:solidFill>
                </w14:textFill>
              </w:rPr>
              <w:t>过程中剔除劣苗</w:t>
            </w:r>
            <w:r>
              <w:rPr>
                <w:rFonts w:hint="default" w:ascii="Times New Roman" w:hAnsi="Times New Roman" w:eastAsia="宋体" w:cs="Times New Roman"/>
                <w:b w:val="0"/>
                <w:bCs w:val="0"/>
                <w:color w:val="000000" w:themeColor="text1"/>
                <w:highlight w:val="none"/>
                <w14:textFill>
                  <w14:solidFill>
                    <w14:schemeClr w14:val="tx1"/>
                  </w14:solidFill>
                </w14:textFill>
              </w:rPr>
              <w:t>。</w:t>
            </w:r>
            <w:r>
              <w:rPr>
                <w:rFonts w:hint="eastAsia" w:ascii="Times New Roman" w:hAnsi="Times New Roman" w:cs="Times New Roman"/>
                <w:b w:val="0"/>
                <w:bCs w:val="0"/>
                <w:color w:val="000000" w:themeColor="text1"/>
                <w:highlight w:val="none"/>
                <w:lang w:eastAsia="zh-CN"/>
                <w14:textFill>
                  <w14:solidFill>
                    <w14:schemeClr w14:val="tx1"/>
                  </w14:solidFill>
                </w14:textFill>
              </w:rPr>
              <w:t>（</w:t>
            </w:r>
            <w:r>
              <w:rPr>
                <w:rFonts w:hint="eastAsia" w:ascii="Times New Roman" w:hAnsi="Times New Roman" w:cs="Times New Roman"/>
                <w:b w:val="0"/>
                <w:bCs w:val="0"/>
                <w:color w:val="000000" w:themeColor="text1"/>
                <w:highlight w:val="none"/>
                <w:lang w:val="en-US" w:eastAsia="zh-CN"/>
                <w14:textFill>
                  <w14:solidFill>
                    <w14:schemeClr w14:val="tx1"/>
                  </w14:solidFill>
                </w14:textFill>
              </w:rPr>
              <w:t>具体分级：</w:t>
            </w:r>
            <w:r>
              <w:rPr>
                <w:rFonts w:hint="default" w:ascii="Times New Roman" w:hAnsi="Times New Roman" w:eastAsia="宋体" w:cs="Times New Roman"/>
                <w:b w:val="0"/>
                <w:bCs w:val="0"/>
                <w:color w:val="000000" w:themeColor="text1"/>
                <w:highlight w:val="none"/>
                <w14:textFill>
                  <w14:solidFill>
                    <w14:schemeClr w14:val="tx1"/>
                  </w14:solidFill>
                </w14:textFill>
              </w:rPr>
              <w:t>一级种苗‌：单株重‌≥2.5g‌，休眠芽肥壮，根系生长良好，无病虫感染和机械损伤</w:t>
            </w:r>
            <w:r>
              <w:rPr>
                <w:rFonts w:hint="eastAsia" w:ascii="Times New Roman" w:hAnsi="Times New Roman" w:cs="Times New Roman"/>
                <w:b w:val="0"/>
                <w:bCs w:val="0"/>
                <w:color w:val="000000" w:themeColor="text1"/>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highlight w:val="none"/>
                <w14:textFill>
                  <w14:solidFill>
                    <w14:schemeClr w14:val="tx1"/>
                  </w14:solidFill>
                </w14:textFill>
              </w:rPr>
              <w:t>‌二级种苗‌：单株重‌1.25g～2.5g‌，休眠芽肥壮，根系生长良好，无病虫感染和机械损伤</w:t>
            </w:r>
            <w:r>
              <w:rPr>
                <w:rFonts w:hint="eastAsia" w:ascii="Times New Roman" w:hAnsi="Times New Roman" w:cs="Times New Roman"/>
                <w:b w:val="0"/>
                <w:bCs w:val="0"/>
                <w:color w:val="000000" w:themeColor="text1"/>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highlight w:val="none"/>
                <w14:textFill>
                  <w14:solidFill>
                    <w14:schemeClr w14:val="tx1"/>
                  </w14:solidFill>
                </w14:textFill>
              </w:rPr>
              <w:t>‌三级种苗‌：单株重‌0.75g～1.25g‌，休眠芽生长一般，根系生长一般，无病虫感染和机械损伤</w:t>
            </w:r>
            <w:r>
              <w:rPr>
                <w:rFonts w:hint="eastAsia" w:ascii="Times New Roman" w:hAnsi="Times New Roman" w:cs="Times New Roman"/>
                <w:b w:val="0"/>
                <w:bCs w:val="0"/>
                <w:color w:val="000000" w:themeColor="text1"/>
                <w:highlight w:val="none"/>
                <w:lang w:eastAsia="zh-CN"/>
                <w14:textFill>
                  <w14:solidFill>
                    <w14:schemeClr w14:val="tx1"/>
                  </w14:solidFill>
                </w14:textFill>
              </w:rPr>
              <w:t>。）</w:t>
            </w:r>
          </w:p>
          <w:p w14:paraId="7498225E">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b w:val="0"/>
                <w:bCs w:val="0"/>
                <w:color w:val="000000" w:themeColor="text1"/>
                <w14:textFill>
                  <w14:solidFill>
                    <w14:schemeClr w14:val="tx1"/>
                  </w14:solidFill>
                </w14:textFill>
              </w:rPr>
            </w:pPr>
            <w:r>
              <w:rPr>
                <w:rFonts w:hint="default" w:ascii="Times New Roman" w:hAnsi="Times New Roman" w:eastAsia="宋体" w:cs="Times New Roman"/>
                <w:b w:val="0"/>
                <w:bCs w:val="0"/>
                <w:color w:val="000000" w:themeColor="text1"/>
                <w14:textFill>
                  <w14:solidFill>
                    <w14:schemeClr w14:val="tx1"/>
                  </w14:solidFill>
                </w14:textFill>
              </w:rPr>
              <w:t>移栽方法：移栽时，第一行和第一列种苗的根部向床内方，芽向沟方向放置。种苗放置方向一致，以便管理。</w:t>
            </w:r>
          </w:p>
          <w:p w14:paraId="501CDFDF">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b w:val="0"/>
                <w:bCs w:val="0"/>
                <w:color w:val="000000" w:themeColor="text1"/>
                <w14:textFill>
                  <w14:solidFill>
                    <w14:schemeClr w14:val="tx1"/>
                  </w14:solidFill>
                </w14:textFill>
              </w:rPr>
            </w:pPr>
            <w:r>
              <w:rPr>
                <w:rFonts w:hint="default" w:ascii="Times New Roman" w:hAnsi="Times New Roman" w:eastAsia="宋体" w:cs="Times New Roman"/>
                <w:b w:val="0"/>
                <w:bCs w:val="0"/>
                <w:color w:val="000000" w:themeColor="text1"/>
                <w14:textFill>
                  <w14:solidFill>
                    <w14:schemeClr w14:val="tx1"/>
                  </w14:solidFill>
                </w14:textFill>
              </w:rPr>
              <w:t>覆土和施肥：用细土覆盖，覆土后，用三七专用有机肥均匀撒施于床面，每亩施用量为20</w:t>
            </w:r>
            <w:r>
              <w:rPr>
                <w:rFonts w:hint="eastAsia" w:ascii="Times New Roman" w:hAnsi="Times New Roman" w:cs="Times New Roman"/>
                <w:b w:val="0"/>
                <w:bCs w:val="0"/>
                <w:color w:val="000000" w:themeColor="text1"/>
                <w:lang w:eastAsia="zh-CN"/>
                <w14:textFill>
                  <w14:solidFill>
                    <w14:schemeClr w14:val="tx1"/>
                  </w14:solidFill>
                </w14:textFill>
              </w:rPr>
              <w:t>—</w:t>
            </w:r>
            <w:r>
              <w:rPr>
                <w:rFonts w:hint="default" w:ascii="Times New Roman" w:hAnsi="Times New Roman" w:eastAsia="宋体" w:cs="Times New Roman"/>
                <w:b w:val="0"/>
                <w:bCs w:val="0"/>
                <w:color w:val="000000" w:themeColor="text1"/>
                <w14:textFill>
                  <w14:solidFill>
                    <w14:schemeClr w14:val="tx1"/>
                  </w14:solidFill>
                </w14:textFill>
              </w:rPr>
              <w:t>25kg。</w:t>
            </w:r>
          </w:p>
          <w:p w14:paraId="2A840E0E">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b w:val="0"/>
                <w:bCs w:val="0"/>
                <w:color w:val="000000" w:themeColor="text1"/>
                <w14:textFill>
                  <w14:solidFill>
                    <w14:schemeClr w14:val="tx1"/>
                  </w14:solidFill>
                </w14:textFill>
              </w:rPr>
            </w:pPr>
            <w:r>
              <w:rPr>
                <w:rFonts w:hint="default" w:ascii="Times New Roman" w:hAnsi="Times New Roman" w:eastAsia="宋体" w:cs="Times New Roman"/>
                <w:b w:val="0"/>
                <w:bCs w:val="0"/>
                <w:color w:val="000000" w:themeColor="text1"/>
                <w14:textFill>
                  <w14:solidFill>
                    <w14:schemeClr w14:val="tx1"/>
                  </w14:solidFill>
                </w14:textFill>
              </w:rPr>
              <w:t>盖松毛：将松毛均匀铺盖于床面，以床面土不外露为准。</w:t>
            </w:r>
          </w:p>
          <w:p w14:paraId="1C9911F4">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b w:val="0"/>
                <w:bCs w:val="0"/>
                <w:color w:val="000000" w:themeColor="text1"/>
                <w14:textFill>
                  <w14:solidFill>
                    <w14:schemeClr w14:val="tx1"/>
                  </w14:solidFill>
                </w14:textFill>
              </w:rPr>
            </w:pPr>
            <w:r>
              <w:rPr>
                <w:rFonts w:hint="default" w:ascii="Times New Roman" w:hAnsi="Times New Roman" w:eastAsia="宋体" w:cs="Times New Roman"/>
                <w:b w:val="0"/>
                <w:bCs w:val="0"/>
                <w:color w:val="000000" w:themeColor="text1"/>
                <w14:textFill>
                  <w14:solidFill>
                    <w14:schemeClr w14:val="tx1"/>
                  </w14:solidFill>
                </w14:textFill>
              </w:rPr>
              <w:t>地膜育苗：播种后用白色地膜覆盖，有利于改善土壤环境，提高土壤温度，提早出苗，促进种苗地下部分生长，还可以防霜冻。</w:t>
            </w:r>
          </w:p>
          <w:p w14:paraId="174762A6">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b w:val="0"/>
                <w:bCs w:val="0"/>
                <w:color w:val="000000" w:themeColor="text1"/>
                <w14:textFill>
                  <w14:solidFill>
                    <w14:schemeClr w14:val="tx1"/>
                  </w14:solidFill>
                </w14:textFill>
              </w:rPr>
            </w:pPr>
            <w:r>
              <w:rPr>
                <w:rFonts w:hint="default" w:ascii="Times New Roman" w:hAnsi="Times New Roman" w:eastAsia="宋体" w:cs="Times New Roman"/>
                <w:b w:val="0"/>
                <w:bCs w:val="0"/>
                <w:color w:val="000000" w:themeColor="text1"/>
                <w14:textFill>
                  <w14:solidFill>
                    <w14:schemeClr w14:val="tx1"/>
                  </w14:solidFill>
                </w14:textFill>
              </w:rPr>
              <w:t>浇水：移栽后浇水一次，之后每隔7</w:t>
            </w:r>
            <w:r>
              <w:rPr>
                <w:rFonts w:hint="eastAsia" w:ascii="Times New Roman" w:hAnsi="Times New Roman" w:cs="Times New Roman"/>
                <w:b w:val="0"/>
                <w:bCs w:val="0"/>
                <w:color w:val="000000" w:themeColor="text1"/>
                <w:lang w:eastAsia="zh-CN"/>
                <w14:textFill>
                  <w14:solidFill>
                    <w14:schemeClr w14:val="tx1"/>
                  </w14:solidFill>
                </w14:textFill>
              </w:rPr>
              <w:t>—</w:t>
            </w:r>
            <w:r>
              <w:rPr>
                <w:rFonts w:hint="default" w:ascii="Times New Roman" w:hAnsi="Times New Roman" w:eastAsia="宋体" w:cs="Times New Roman"/>
                <w:b w:val="0"/>
                <w:bCs w:val="0"/>
                <w:color w:val="000000" w:themeColor="text1"/>
                <w14:textFill>
                  <w14:solidFill>
                    <w14:schemeClr w14:val="tx1"/>
                  </w14:solidFill>
                </w14:textFill>
              </w:rPr>
              <w:t>10天浇水一次，保持土壤湿度在25%左右，直至雨季来临。</w:t>
            </w:r>
          </w:p>
          <w:p w14:paraId="7891C3DF">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b/>
                <w:bCs/>
                <w:color w:val="000000" w:themeColor="text1"/>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4）日常</w:t>
            </w:r>
            <w:r>
              <w:rPr>
                <w:rFonts w:hint="default" w:ascii="Times New Roman" w:hAnsi="Times New Roman" w:eastAsia="宋体" w:cs="Times New Roman"/>
                <w:b/>
                <w:bCs/>
                <w:color w:val="000000" w:themeColor="text1"/>
                <w14:textFill>
                  <w14:solidFill>
                    <w14:schemeClr w14:val="tx1"/>
                  </w14:solidFill>
                </w14:textFill>
              </w:rPr>
              <w:t>管理：</w:t>
            </w:r>
          </w:p>
          <w:p w14:paraId="493621F5">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b w:val="0"/>
                <w:bCs w:val="0"/>
                <w:color w:val="000000" w:themeColor="text1"/>
                <w14:textFill>
                  <w14:solidFill>
                    <w14:schemeClr w14:val="tx1"/>
                  </w14:solidFill>
                </w14:textFill>
              </w:rPr>
            </w:pPr>
            <w:r>
              <w:rPr>
                <w:rFonts w:hint="default" w:ascii="Times New Roman" w:hAnsi="Times New Roman" w:eastAsia="宋体" w:cs="Times New Roman"/>
                <w:b w:val="0"/>
                <w:bCs w:val="0"/>
                <w:color w:val="000000" w:themeColor="text1"/>
                <w14:textFill>
                  <w14:solidFill>
                    <w14:schemeClr w14:val="tx1"/>
                  </w14:solidFill>
                </w14:textFill>
              </w:rPr>
              <w:t>除草：移栽定植后，每隔7</w:t>
            </w:r>
            <w:r>
              <w:rPr>
                <w:rFonts w:hint="eastAsia" w:ascii="Times New Roman" w:hAnsi="Times New Roman" w:cs="Times New Roman"/>
                <w:b w:val="0"/>
                <w:bCs w:val="0"/>
                <w:color w:val="000000" w:themeColor="text1"/>
                <w:lang w:eastAsia="zh-CN"/>
                <w14:textFill>
                  <w14:solidFill>
                    <w14:schemeClr w14:val="tx1"/>
                  </w14:solidFill>
                </w14:textFill>
              </w:rPr>
              <w:t>—</w:t>
            </w:r>
            <w:r>
              <w:rPr>
                <w:rFonts w:hint="default" w:ascii="Times New Roman" w:hAnsi="Times New Roman" w:eastAsia="宋体" w:cs="Times New Roman"/>
                <w:b w:val="0"/>
                <w:bCs w:val="0"/>
                <w:color w:val="000000" w:themeColor="text1"/>
                <w14:textFill>
                  <w14:solidFill>
                    <w14:schemeClr w14:val="tx1"/>
                  </w14:solidFill>
                </w14:textFill>
              </w:rPr>
              <w:t>10天人工除草一次，保持床面及作业道清洁无杂草。禁止使用化学除草剂。</w:t>
            </w:r>
          </w:p>
          <w:p w14:paraId="027D2222">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b w:val="0"/>
                <w:bCs w:val="0"/>
                <w:color w:val="000000" w:themeColor="text1"/>
                <w14:textFill>
                  <w14:solidFill>
                    <w14:schemeClr w14:val="tx1"/>
                  </w14:solidFill>
                </w14:textFill>
              </w:rPr>
            </w:pPr>
            <w:r>
              <w:rPr>
                <w:rFonts w:hint="default" w:ascii="Times New Roman" w:hAnsi="Times New Roman" w:eastAsia="宋体" w:cs="Times New Roman"/>
                <w:b w:val="0"/>
                <w:bCs w:val="0"/>
                <w:color w:val="000000" w:themeColor="text1"/>
                <w14:textFill>
                  <w14:solidFill>
                    <w14:schemeClr w14:val="tx1"/>
                  </w14:solidFill>
                </w14:textFill>
              </w:rPr>
              <w:t>追肥：三七为喜钾植物，肥料的合理施用是三七栽培的关键技术。移栽定植后施用三七专用有机肥。出苗展叶30%左右即可第一次追肥，每亩施用20</w:t>
            </w:r>
            <w:r>
              <w:rPr>
                <w:rFonts w:hint="eastAsia" w:ascii="Times New Roman" w:hAnsi="Times New Roman" w:cs="Times New Roman"/>
                <w:b w:val="0"/>
                <w:bCs w:val="0"/>
                <w:color w:val="000000" w:themeColor="text1"/>
                <w:lang w:eastAsia="zh-CN"/>
                <w14:textFill>
                  <w14:solidFill>
                    <w14:schemeClr w14:val="tx1"/>
                  </w14:solidFill>
                </w14:textFill>
              </w:rPr>
              <w:t>—</w:t>
            </w:r>
            <w:r>
              <w:rPr>
                <w:rFonts w:hint="default" w:ascii="Times New Roman" w:hAnsi="Times New Roman" w:eastAsia="宋体" w:cs="Times New Roman"/>
                <w:b w:val="0"/>
                <w:bCs w:val="0"/>
                <w:color w:val="000000" w:themeColor="text1"/>
                <w14:textFill>
                  <w14:solidFill>
                    <w14:schemeClr w14:val="tx1"/>
                  </w14:solidFill>
                </w14:textFill>
              </w:rPr>
              <w:t>25kg。隔30</w:t>
            </w:r>
            <w:r>
              <w:rPr>
                <w:rFonts w:hint="eastAsia" w:ascii="Times New Roman" w:hAnsi="Times New Roman" w:cs="Times New Roman"/>
                <w:b w:val="0"/>
                <w:bCs w:val="0"/>
                <w:color w:val="000000" w:themeColor="text1"/>
                <w:lang w:eastAsia="zh-CN"/>
                <w14:textFill>
                  <w14:solidFill>
                    <w14:schemeClr w14:val="tx1"/>
                  </w14:solidFill>
                </w14:textFill>
              </w:rPr>
              <w:t>—</w:t>
            </w:r>
            <w:r>
              <w:rPr>
                <w:rFonts w:hint="default" w:ascii="Times New Roman" w:hAnsi="Times New Roman" w:eastAsia="宋体" w:cs="Times New Roman"/>
                <w:b w:val="0"/>
                <w:bCs w:val="0"/>
                <w:color w:val="000000" w:themeColor="text1"/>
                <w14:textFill>
                  <w14:solidFill>
                    <w14:schemeClr w14:val="tx1"/>
                  </w14:solidFill>
                </w14:textFill>
              </w:rPr>
              <w:t>35天追施第二次。8月（开花期）至10月（结果期）是三七最重要的需肥时期。</w:t>
            </w:r>
          </w:p>
          <w:p w14:paraId="4AC09C79">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b w:val="0"/>
                <w:bCs w:val="0"/>
                <w:color w:val="000000" w:themeColor="text1"/>
                <w14:textFill>
                  <w14:solidFill>
                    <w14:schemeClr w14:val="tx1"/>
                  </w14:solidFill>
                </w14:textFill>
              </w:rPr>
            </w:pPr>
            <w:r>
              <w:rPr>
                <w:rFonts w:hint="default" w:ascii="Times New Roman" w:hAnsi="Times New Roman" w:eastAsia="宋体" w:cs="Times New Roman"/>
                <w:b w:val="0"/>
                <w:bCs w:val="0"/>
                <w:color w:val="000000" w:themeColor="text1"/>
                <w14:textFill>
                  <w14:solidFill>
                    <w14:schemeClr w14:val="tx1"/>
                  </w14:solidFill>
                </w14:textFill>
              </w:rPr>
              <w:t>调整荫棚：根据生长季节调整荫棚透光度，中海拔地区不超过15%，高海拔地区不超过20%。荫棚破损应及时补修，保证透光均匀。注意调节园内温湿度。</w:t>
            </w:r>
          </w:p>
          <w:p w14:paraId="744FE495">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b w:val="0"/>
                <w:bCs w:val="0"/>
                <w:color w:val="000000" w:themeColor="text1"/>
                <w14:textFill>
                  <w14:solidFill>
                    <w14:schemeClr w14:val="tx1"/>
                  </w14:solidFill>
                </w14:textFill>
              </w:rPr>
            </w:pPr>
            <w:r>
              <w:rPr>
                <w:rFonts w:hint="default" w:ascii="Times New Roman" w:hAnsi="Times New Roman" w:eastAsia="宋体" w:cs="Times New Roman"/>
                <w:b w:val="0"/>
                <w:bCs w:val="0"/>
                <w:color w:val="000000" w:themeColor="text1"/>
                <w14:textFill>
                  <w14:solidFill>
                    <w14:schemeClr w14:val="tx1"/>
                  </w14:solidFill>
                </w14:textFill>
              </w:rPr>
              <w:t>防涝：雨季注意随时检查七园，及时排水。</w:t>
            </w:r>
          </w:p>
          <w:p w14:paraId="0008B770">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b w:val="0"/>
                <w:bCs w:val="0"/>
                <w:color w:val="000000" w:themeColor="text1"/>
                <w14:textFill>
                  <w14:solidFill>
                    <w14:schemeClr w14:val="tx1"/>
                  </w14:solidFill>
                </w14:textFill>
              </w:rPr>
            </w:pPr>
            <w:r>
              <w:rPr>
                <w:rFonts w:hint="default" w:ascii="Times New Roman" w:hAnsi="Times New Roman" w:eastAsia="宋体" w:cs="Times New Roman"/>
                <w:b w:val="0"/>
                <w:bCs w:val="0"/>
                <w:color w:val="000000" w:themeColor="text1"/>
                <w14:textFill>
                  <w14:solidFill>
                    <w14:schemeClr w14:val="tx1"/>
                  </w14:solidFill>
                </w14:textFill>
              </w:rPr>
              <w:t>摘蕾：非留种三七应在7月中上旬摘除花蕾。</w:t>
            </w:r>
          </w:p>
          <w:p w14:paraId="6DDC9C36">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b/>
                <w:bCs/>
                <w:color w:val="000000" w:themeColor="text1"/>
                <w14:textFill>
                  <w14:solidFill>
                    <w14:schemeClr w14:val="tx1"/>
                  </w14:solidFill>
                </w14:textFill>
              </w:rPr>
            </w:pPr>
            <w:bookmarkStart w:id="8" w:name="_Toc294209837"/>
            <w:r>
              <w:rPr>
                <w:rFonts w:hint="default" w:ascii="Times New Roman" w:hAnsi="Times New Roman" w:eastAsia="宋体" w:cs="Times New Roman"/>
                <w:b/>
                <w:bCs/>
                <w:color w:val="000000" w:themeColor="text1"/>
                <w:lang w:val="en-US" w:eastAsia="zh-CN"/>
                <w14:textFill>
                  <w14:solidFill>
                    <w14:schemeClr w14:val="tx1"/>
                  </w14:solidFill>
                </w14:textFill>
              </w:rPr>
              <w:t>5</w:t>
            </w:r>
            <w:r>
              <w:rPr>
                <w:rFonts w:hint="default" w:ascii="Times New Roman" w:hAnsi="Times New Roman" w:eastAsia="宋体" w:cs="Times New Roman"/>
                <w:b/>
                <w:bCs/>
                <w:color w:val="000000" w:themeColor="text1"/>
                <w14:textFill>
                  <w14:solidFill>
                    <w14:schemeClr w14:val="tx1"/>
                  </w14:solidFill>
                </w14:textFill>
              </w:rPr>
              <w:t>）采收</w:t>
            </w:r>
            <w:bookmarkEnd w:id="8"/>
            <w:r>
              <w:rPr>
                <w:rFonts w:hint="default" w:ascii="Times New Roman" w:hAnsi="Times New Roman" w:eastAsia="宋体" w:cs="Times New Roman"/>
                <w:b/>
                <w:bCs/>
                <w:color w:val="000000" w:themeColor="text1"/>
                <w14:textFill>
                  <w14:solidFill>
                    <w14:schemeClr w14:val="tx1"/>
                  </w14:solidFill>
                </w14:textFill>
              </w:rPr>
              <w:t>：</w:t>
            </w:r>
          </w:p>
          <w:p w14:paraId="3E49DAEE">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b w:val="0"/>
                <w:bCs w:val="0"/>
                <w:color w:val="000000" w:themeColor="text1"/>
                <w14:textFill>
                  <w14:solidFill>
                    <w14:schemeClr w14:val="tx1"/>
                  </w14:solidFill>
                </w14:textFill>
              </w:rPr>
            </w:pPr>
            <w:r>
              <w:rPr>
                <w:rFonts w:hint="default" w:ascii="Times New Roman" w:hAnsi="Times New Roman" w:eastAsia="宋体" w:cs="Times New Roman"/>
                <w:b w:val="0"/>
                <w:bCs w:val="0"/>
                <w:color w:val="000000" w:themeColor="text1"/>
                <w14:textFill>
                  <w14:solidFill>
                    <w14:schemeClr w14:val="tx1"/>
                  </w14:solidFill>
                </w14:textFill>
              </w:rPr>
              <w:t>①采收时间：</w:t>
            </w:r>
          </w:p>
          <w:p w14:paraId="2DB15F68">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b w:val="0"/>
                <w:bCs w:val="0"/>
                <w:color w:val="000000" w:themeColor="text1"/>
                <w14:textFill>
                  <w14:solidFill>
                    <w14:schemeClr w14:val="tx1"/>
                  </w14:solidFill>
                </w14:textFill>
              </w:rPr>
            </w:pPr>
            <w:r>
              <w:rPr>
                <w:rFonts w:hint="default" w:ascii="Times New Roman" w:hAnsi="Times New Roman" w:eastAsia="宋体" w:cs="Times New Roman"/>
                <w:b w:val="0"/>
                <w:bCs w:val="0"/>
                <w:color w:val="000000" w:themeColor="text1"/>
                <w14:textFill>
                  <w14:solidFill>
                    <w14:schemeClr w14:val="tx1"/>
                  </w14:solidFill>
                </w14:textFill>
              </w:rPr>
              <w:t>三七根采挖一般在9月下旬至12月下旬。三七果实于10-11月采摘。留种田摘除果实（红籽）后20</w:t>
            </w:r>
            <w:r>
              <w:rPr>
                <w:rFonts w:hint="eastAsia" w:ascii="Times New Roman" w:hAnsi="Times New Roman" w:cs="Times New Roman"/>
                <w:b w:val="0"/>
                <w:bCs w:val="0"/>
                <w:color w:val="000000" w:themeColor="text1"/>
                <w:lang w:eastAsia="zh-CN"/>
                <w14:textFill>
                  <w14:solidFill>
                    <w14:schemeClr w14:val="tx1"/>
                  </w14:solidFill>
                </w14:textFill>
              </w:rPr>
              <w:t>—</w:t>
            </w:r>
            <w:r>
              <w:rPr>
                <w:rFonts w:hint="default" w:ascii="Times New Roman" w:hAnsi="Times New Roman" w:eastAsia="宋体" w:cs="Times New Roman"/>
                <w:b w:val="0"/>
                <w:bCs w:val="0"/>
                <w:color w:val="000000" w:themeColor="text1"/>
                <w14:textFill>
                  <w14:solidFill>
                    <w14:schemeClr w14:val="tx1"/>
                  </w14:solidFill>
                </w14:textFill>
              </w:rPr>
              <w:t>30天采挖。三七茎叶采收与三七根采挖时间相同。三七花采收时间为7月中下旬。</w:t>
            </w:r>
          </w:p>
          <w:p w14:paraId="43837F56">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b w:val="0"/>
                <w:bCs w:val="0"/>
                <w:color w:val="000000" w:themeColor="text1"/>
                <w14:textFill>
                  <w14:solidFill>
                    <w14:schemeClr w14:val="tx1"/>
                  </w14:solidFill>
                </w14:textFill>
              </w:rPr>
            </w:pPr>
            <w:r>
              <w:rPr>
                <w:rFonts w:hint="default" w:ascii="Times New Roman" w:hAnsi="Times New Roman" w:eastAsia="宋体" w:cs="Times New Roman"/>
                <w:b w:val="0"/>
                <w:bCs w:val="0"/>
                <w:color w:val="000000" w:themeColor="text1"/>
                <w14:textFill>
                  <w14:solidFill>
                    <w14:schemeClr w14:val="tx1"/>
                  </w14:solidFill>
                </w14:textFill>
              </w:rPr>
              <w:t>②采收方法：</w:t>
            </w:r>
          </w:p>
          <w:p w14:paraId="21A04410">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b w:val="0"/>
                <w:bCs w:val="0"/>
                <w:color w:val="000000" w:themeColor="text1"/>
                <w14:textFill>
                  <w14:solidFill>
                    <w14:schemeClr w14:val="tx1"/>
                  </w14:solidFill>
                </w14:textFill>
              </w:rPr>
            </w:pPr>
            <w:r>
              <w:rPr>
                <w:rFonts w:hint="default" w:ascii="Times New Roman" w:hAnsi="Times New Roman" w:eastAsia="宋体" w:cs="Times New Roman"/>
                <w:b w:val="0"/>
                <w:bCs w:val="0"/>
                <w:color w:val="000000" w:themeColor="text1"/>
                <w14:textFill>
                  <w14:solidFill>
                    <w14:schemeClr w14:val="tx1"/>
                  </w14:solidFill>
                </w14:textFill>
              </w:rPr>
              <w:t>采摘果实：三七果实由</w:t>
            </w:r>
            <w:r>
              <w:rPr>
                <w:rFonts w:hint="eastAsia" w:ascii="Times New Roman" w:hAnsi="Times New Roman" w:cs="Times New Roman"/>
                <w:b w:val="0"/>
                <w:bCs w:val="0"/>
                <w:color w:val="000000" w:themeColor="text1"/>
                <w:lang w:eastAsia="zh-CN"/>
                <w14:textFill>
                  <w14:solidFill>
                    <w14:schemeClr w14:val="tx1"/>
                  </w14:solidFill>
                </w14:textFill>
              </w:rPr>
              <w:t>绿色</w:t>
            </w:r>
            <w:r>
              <w:rPr>
                <w:rFonts w:hint="default" w:ascii="Times New Roman" w:hAnsi="Times New Roman" w:eastAsia="宋体" w:cs="Times New Roman"/>
                <w:b w:val="0"/>
                <w:bCs w:val="0"/>
                <w:color w:val="000000" w:themeColor="text1"/>
                <w14:textFill>
                  <w14:solidFill>
                    <w14:schemeClr w14:val="tx1"/>
                  </w14:solidFill>
                </w14:textFill>
              </w:rPr>
              <w:t>转成红色，具光泽时即成熟，可分批采摘、分批贮藏，也可全红后统一采摘。</w:t>
            </w:r>
          </w:p>
          <w:p w14:paraId="55F982BA">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b w:val="0"/>
                <w:bCs w:val="0"/>
                <w:color w:val="000000" w:themeColor="text1"/>
                <w14:textFill>
                  <w14:solidFill>
                    <w14:schemeClr w14:val="tx1"/>
                  </w14:solidFill>
                </w14:textFill>
              </w:rPr>
            </w:pPr>
            <w:r>
              <w:rPr>
                <w:rFonts w:hint="default" w:ascii="Times New Roman" w:hAnsi="Times New Roman" w:eastAsia="宋体" w:cs="Times New Roman"/>
                <w:b w:val="0"/>
                <w:bCs w:val="0"/>
                <w:color w:val="000000" w:themeColor="text1"/>
                <w14:textFill>
                  <w14:solidFill>
                    <w14:schemeClr w14:val="tx1"/>
                  </w14:solidFill>
                </w14:textFill>
              </w:rPr>
              <w:t>采挖三七根：用削尖的竹条或木棍，从苗床面的一边向另一边顺序采挖。如土壤干燥板结，浇透水后隔三天采挖，采挖时防伤根，保证根系完好无损。受损根或病根应清除或单独存放。</w:t>
            </w:r>
          </w:p>
          <w:p w14:paraId="5FEA1EEE">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b w:val="0"/>
                <w:bCs w:val="0"/>
                <w:color w:val="000000" w:themeColor="text1"/>
                <w14:textFill>
                  <w14:solidFill>
                    <w14:schemeClr w14:val="tx1"/>
                  </w14:solidFill>
                </w14:textFill>
              </w:rPr>
            </w:pPr>
            <w:r>
              <w:rPr>
                <w:rFonts w:hint="default" w:ascii="Times New Roman" w:hAnsi="Times New Roman" w:eastAsia="宋体" w:cs="Times New Roman"/>
                <w:b w:val="0"/>
                <w:bCs w:val="0"/>
                <w:color w:val="000000" w:themeColor="text1"/>
                <w14:textFill>
                  <w14:solidFill>
                    <w14:schemeClr w14:val="tx1"/>
                  </w14:solidFill>
                </w14:textFill>
              </w:rPr>
              <w:t>采收三七茎叶：选择健康的三七茎叶，距离地面2</w:t>
            </w:r>
            <w:r>
              <w:rPr>
                <w:rFonts w:hint="eastAsia" w:ascii="Times New Roman" w:hAnsi="Times New Roman" w:cs="Times New Roman"/>
                <w:b w:val="0"/>
                <w:bCs w:val="0"/>
                <w:color w:val="000000" w:themeColor="text1"/>
                <w:lang w:eastAsia="zh-CN"/>
                <w14:textFill>
                  <w14:solidFill>
                    <w14:schemeClr w14:val="tx1"/>
                  </w14:solidFill>
                </w14:textFill>
              </w:rPr>
              <w:t>—</w:t>
            </w:r>
            <w:r>
              <w:rPr>
                <w:rFonts w:hint="default" w:ascii="Times New Roman" w:hAnsi="Times New Roman" w:eastAsia="宋体" w:cs="Times New Roman"/>
                <w:b w:val="0"/>
                <w:bCs w:val="0"/>
                <w:color w:val="000000" w:themeColor="text1"/>
                <w14:textFill>
                  <w14:solidFill>
                    <w14:schemeClr w14:val="tx1"/>
                  </w14:solidFill>
                </w14:textFill>
              </w:rPr>
              <w:t>4cm处剪断。</w:t>
            </w:r>
          </w:p>
          <w:p w14:paraId="701BB138">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b w:val="0"/>
                <w:bCs w:val="0"/>
                <w:color w:val="000000" w:themeColor="text1"/>
                <w14:textFill>
                  <w14:solidFill>
                    <w14:schemeClr w14:val="tx1"/>
                  </w14:solidFill>
                </w14:textFill>
              </w:rPr>
            </w:pPr>
            <w:r>
              <w:rPr>
                <w:rFonts w:hint="default" w:ascii="Times New Roman" w:hAnsi="Times New Roman" w:eastAsia="宋体" w:cs="Times New Roman"/>
                <w:b w:val="0"/>
                <w:bCs w:val="0"/>
                <w:color w:val="000000" w:themeColor="text1"/>
                <w14:textFill>
                  <w14:solidFill>
                    <w14:schemeClr w14:val="tx1"/>
                  </w14:solidFill>
                </w14:textFill>
              </w:rPr>
              <w:t>采收三七花：在三七花蕾生长到直径3</w:t>
            </w:r>
            <w:r>
              <w:rPr>
                <w:rFonts w:hint="eastAsia" w:ascii="Times New Roman" w:hAnsi="Times New Roman" w:cs="Times New Roman"/>
                <w:b w:val="0"/>
                <w:bCs w:val="0"/>
                <w:color w:val="000000" w:themeColor="text1"/>
                <w:lang w:eastAsia="zh-CN"/>
                <w14:textFill>
                  <w14:solidFill>
                    <w14:schemeClr w14:val="tx1"/>
                  </w14:solidFill>
                </w14:textFill>
              </w:rPr>
              <w:t>—</w:t>
            </w:r>
            <w:r>
              <w:rPr>
                <w:rFonts w:hint="default" w:ascii="Times New Roman" w:hAnsi="Times New Roman" w:eastAsia="宋体" w:cs="Times New Roman"/>
                <w:b w:val="0"/>
                <w:bCs w:val="0"/>
                <w:color w:val="000000" w:themeColor="text1"/>
                <w14:textFill>
                  <w14:solidFill>
                    <w14:schemeClr w14:val="tx1"/>
                  </w14:solidFill>
                </w14:textFill>
              </w:rPr>
              <w:t>5cm时，用手从花蕾基部摘除。</w:t>
            </w:r>
          </w:p>
          <w:p w14:paraId="027D0FBB">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6）挑拣：</w:t>
            </w:r>
          </w:p>
          <w:p w14:paraId="054AF9A5">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b w:val="0"/>
                <w:bCs w:val="0"/>
                <w:color w:val="000000" w:themeColor="text1"/>
                <w:lang w:val="en-US" w:eastAsia="zh-CN"/>
                <w14:textFill>
                  <w14:solidFill>
                    <w14:schemeClr w14:val="tx1"/>
                  </w14:solidFill>
                </w14:textFill>
              </w:rPr>
            </w:pPr>
            <w:r>
              <w:rPr>
                <w:rFonts w:hint="default" w:ascii="Times New Roman" w:hAnsi="Times New Roman" w:eastAsia="宋体" w:cs="Times New Roman"/>
                <w:b w:val="0"/>
                <w:bCs w:val="0"/>
                <w:color w:val="000000" w:themeColor="text1"/>
                <w:lang w:val="en-US" w:eastAsia="zh-CN"/>
                <w14:textFill>
                  <w14:solidFill>
                    <w14:schemeClr w14:val="tx1"/>
                  </w14:solidFill>
                </w14:textFill>
              </w:rPr>
              <w:t>三七种植最后一步挑拣，是将清洗烘干至水分达标的三七平铺整理、去除残留杂物与破损个体后，按大小、外观、形态进行分级筛选，剔除发霉、虫蛀、变质、畸形等劣品及异物，经抽样校验确认规格统一、品质达标后，按等级分装并转入干燥通风仓库储存等待外运。</w:t>
            </w:r>
          </w:p>
          <w:p w14:paraId="3E3F71B6">
            <w:pPr>
              <w:numPr>
                <w:ilvl w:val="0"/>
                <w:numId w:val="0"/>
              </w:numPr>
              <w:ind w:leftChars="200"/>
              <w:jc w:val="both"/>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3、</w:t>
            </w:r>
            <w:r>
              <w:rPr>
                <w:rFonts w:hint="default" w:ascii="Times New Roman" w:hAnsi="Times New Roman" w:eastAsia="宋体" w:cs="Times New Roman"/>
                <w:b/>
                <w:bCs/>
                <w:color w:val="000000" w:themeColor="text1"/>
                <w:lang w:val="en-US" w:eastAsia="zh-CN"/>
                <w14:textFill>
                  <w14:solidFill>
                    <w14:schemeClr w14:val="tx1"/>
                  </w14:solidFill>
                </w14:textFill>
              </w:rPr>
              <w:t>羊肚菌种植工艺</w:t>
            </w:r>
          </w:p>
          <w:p w14:paraId="4A1B2BA9">
            <w:pPr>
              <w:bidi w:val="0"/>
              <w:jc w:val="both"/>
              <w:rPr>
                <w:rFonts w:hint="default"/>
                <w:color w:val="000000" w:themeColor="text1"/>
                <w:lang w:eastAsia="zh-CN"/>
                <w14:textFill>
                  <w14:solidFill>
                    <w14:schemeClr w14:val="tx1"/>
                  </w14:solidFill>
                </w14:textFill>
              </w:rPr>
            </w:pPr>
            <w:r>
              <w:rPr>
                <w:rFonts w:hint="default"/>
                <w:color w:val="000000" w:themeColor="text1"/>
                <w:lang w:eastAsia="zh-CN"/>
                <w14:textFill>
                  <w14:solidFill>
                    <w14:schemeClr w14:val="tx1"/>
                  </w14:solidFill>
                </w14:textFill>
              </w:rPr>
              <w:drawing>
                <wp:inline distT="0" distB="0" distL="114300" distR="114300">
                  <wp:extent cx="4429760" cy="1057275"/>
                  <wp:effectExtent l="0" t="0" r="0" b="0"/>
                  <wp:docPr id="36" name="ECB019B1-382A-4266-B25C-5B523AA43C14-5" descr="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ECB019B1-382A-4266-B25C-5B523AA43C14-5" descr="wps"/>
                          <pic:cNvPicPr>
                            <a:picLocks noChangeAspect="1"/>
                          </pic:cNvPicPr>
                        </pic:nvPicPr>
                        <pic:blipFill>
                          <a:blip r:embed="rId15"/>
                          <a:stretch>
                            <a:fillRect/>
                          </a:stretch>
                        </pic:blipFill>
                        <pic:spPr>
                          <a:xfrm>
                            <a:off x="0" y="0"/>
                            <a:ext cx="4429760" cy="1057275"/>
                          </a:xfrm>
                          <a:prstGeom prst="rect">
                            <a:avLst/>
                          </a:prstGeom>
                        </pic:spPr>
                      </pic:pic>
                    </a:graphicData>
                  </a:graphic>
                </wp:inline>
              </w:drawing>
            </w:r>
          </w:p>
          <w:p w14:paraId="1C7F54F1">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b/>
                <w:bCs/>
                <w:color w:val="000000" w:themeColor="text1"/>
                <w:sz w:val="21"/>
                <w:szCs w:val="21"/>
                <w:lang w:val="en-US" w:eastAsia="zh-CN"/>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图2-5羊肚菌种植工艺流程图</w:t>
            </w:r>
          </w:p>
          <w:p w14:paraId="25021916">
            <w:pPr>
              <w:jc w:val="both"/>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工艺流程简述：</w:t>
            </w:r>
          </w:p>
          <w:p w14:paraId="3B53D83F">
            <w:pPr>
              <w:jc w:val="both"/>
              <w:rPr>
                <w:rFonts w:hint="default" w:ascii="Times New Roman" w:hAnsi="Times New Roman" w:eastAsia="宋体" w:cs="Times New Roman"/>
                <w:b/>
                <w:bCs/>
                <w:color w:val="000000" w:themeColor="text1"/>
                <w:lang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1）</w:t>
            </w:r>
            <w:r>
              <w:rPr>
                <w:rFonts w:hint="default" w:ascii="Times New Roman" w:hAnsi="Times New Roman" w:eastAsia="宋体" w:cs="Times New Roman"/>
                <w:b/>
                <w:bCs/>
                <w:color w:val="000000" w:themeColor="text1"/>
                <w:lang w:eastAsia="zh-CN"/>
                <w14:textFill>
                  <w14:solidFill>
                    <w14:schemeClr w14:val="tx1"/>
                  </w14:solidFill>
                </w14:textFill>
              </w:rPr>
              <w:t>场地准备​</w:t>
            </w:r>
          </w:p>
          <w:p w14:paraId="26F0490C">
            <w:pPr>
              <w:jc w:val="both"/>
              <w:rPr>
                <w:rFonts w:hint="default"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eastAsia="宋体" w:cs="Times New Roman"/>
                <w:color w:val="000000" w:themeColor="text1"/>
                <w:lang w:eastAsia="zh-CN"/>
                <w14:textFill>
                  <w14:solidFill>
                    <w14:schemeClr w14:val="tx1"/>
                  </w14:solidFill>
                </w14:textFill>
              </w:rPr>
              <w:t>核心是为羊肚菌创造适宜的生长环境。选择靠近水源、排水良好且土壤pH值6.0-8.5的地块，清除杂草后撒生石灰消毒，旋耕使土壤疏松，按0.6</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lang w:eastAsia="zh-CN"/>
                <w14:textFill>
                  <w14:solidFill>
                    <w14:schemeClr w14:val="tx1"/>
                  </w14:solidFill>
                </w14:textFill>
              </w:rPr>
              <w:t>0.8米宽作畦（高10厘米），畦间距30厘米留沟便于排水。大棚需高2</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lang w:eastAsia="zh-CN"/>
                <w14:textFill>
                  <w14:solidFill>
                    <w14:schemeClr w14:val="tx1"/>
                  </w14:solidFill>
                </w14:textFill>
              </w:rPr>
              <w:t>3米，配备可调节通风口（距地面0.5</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lang w:eastAsia="zh-CN"/>
                <w14:textFill>
                  <w14:solidFill>
                    <w14:schemeClr w14:val="tx1"/>
                  </w14:solidFill>
                </w14:textFill>
              </w:rPr>
              <w:t>1米），覆盖塑料膜防雨并加4-6针遮荫网（透光率</w:t>
            </w:r>
            <w:r>
              <w:rPr>
                <w:rFonts w:hint="eastAsia" w:ascii="Times New Roman" w:hAnsi="Times New Roman" w:cs="Times New Roman"/>
                <w:color w:val="000000" w:themeColor="text1"/>
                <w:lang w:eastAsia="zh-CN"/>
                <w14:textFill>
                  <w14:solidFill>
                    <w14:schemeClr w14:val="tx1"/>
                  </w14:solidFill>
                </w14:textFill>
              </w:rPr>
              <w:t>10%—15%</w:t>
            </w:r>
            <w:r>
              <w:rPr>
                <w:rFonts w:hint="default" w:ascii="Times New Roman" w:hAnsi="Times New Roman" w:eastAsia="宋体" w:cs="Times New Roman"/>
                <w:color w:val="000000" w:themeColor="text1"/>
                <w:lang w:eastAsia="zh-CN"/>
                <w14:textFill>
                  <w14:solidFill>
                    <w14:schemeClr w14:val="tx1"/>
                  </w14:solidFill>
                </w14:textFill>
              </w:rPr>
              <w:t>），同时通风口加装防虫网防虫害。</w:t>
            </w:r>
          </w:p>
          <w:p w14:paraId="3065401C">
            <w:pPr>
              <w:jc w:val="both"/>
              <w:rPr>
                <w:rFonts w:hint="default" w:ascii="Times New Roman" w:hAnsi="Times New Roman" w:eastAsia="宋体" w:cs="Times New Roman"/>
                <w:b/>
                <w:bCs/>
                <w:color w:val="000000" w:themeColor="text1"/>
                <w:lang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2）</w:t>
            </w:r>
            <w:r>
              <w:rPr>
                <w:rFonts w:hint="default" w:ascii="Times New Roman" w:hAnsi="Times New Roman" w:eastAsia="宋体" w:cs="Times New Roman"/>
                <w:b/>
                <w:bCs/>
                <w:color w:val="000000" w:themeColor="text1"/>
                <w:lang w:eastAsia="zh-CN"/>
                <w14:textFill>
                  <w14:solidFill>
                    <w14:schemeClr w14:val="tx1"/>
                  </w14:solidFill>
                </w14:textFill>
              </w:rPr>
              <w:t>菌种准备​</w:t>
            </w:r>
          </w:p>
          <w:p w14:paraId="14C9A895">
            <w:pPr>
              <w:jc w:val="both"/>
              <w:rPr>
                <w:rFonts w:hint="default"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eastAsia="宋体" w:cs="Times New Roman"/>
                <w:color w:val="000000" w:themeColor="text1"/>
                <w:lang w:eastAsia="zh-CN"/>
                <w14:textFill>
                  <w14:solidFill>
                    <w14:schemeClr w14:val="tx1"/>
                  </w14:solidFill>
                </w14:textFill>
              </w:rPr>
              <w:t>直接影响产量和品质。选用经本地示范验证的优质高产菌种，按配方（如小麦40%、杂木屑30%、谷壳20%等）混合培养料，装袋后常压灭菌。冷却至25℃时无菌接种，接种后在20-22℃、湿度</w:t>
            </w:r>
            <w:r>
              <w:rPr>
                <w:rFonts w:hint="eastAsia" w:ascii="Times New Roman" w:hAnsi="Times New Roman" w:cs="Times New Roman"/>
                <w:color w:val="000000" w:themeColor="text1"/>
                <w:lang w:eastAsia="zh-CN"/>
                <w14:textFill>
                  <w14:solidFill>
                    <w14:schemeClr w14:val="tx1"/>
                  </w14:solidFill>
                </w14:textFill>
              </w:rPr>
              <w:t>55%—65%</w:t>
            </w:r>
            <w:r>
              <w:rPr>
                <w:rFonts w:hint="default" w:ascii="Times New Roman" w:hAnsi="Times New Roman" w:eastAsia="宋体" w:cs="Times New Roman"/>
                <w:color w:val="000000" w:themeColor="text1"/>
                <w:lang w:eastAsia="zh-CN"/>
                <w14:textFill>
                  <w14:solidFill>
                    <w14:schemeClr w14:val="tx1"/>
                  </w14:solidFill>
                </w14:textFill>
              </w:rPr>
              <w:t>的避光培养室培养，</w:t>
            </w:r>
            <w:r>
              <w:rPr>
                <w:rFonts w:hint="eastAsia" w:ascii="Times New Roman" w:hAnsi="Times New Roman" w:cs="Times New Roman"/>
                <w:color w:val="000000" w:themeColor="text1"/>
                <w:lang w:eastAsia="zh-CN"/>
                <w14:textFill>
                  <w14:solidFill>
                    <w14:schemeClr w14:val="tx1"/>
                  </w14:solidFill>
                </w14:textFill>
              </w:rPr>
              <w:t>期间</w:t>
            </w:r>
            <w:r>
              <w:rPr>
                <w:rFonts w:hint="default" w:ascii="Times New Roman" w:hAnsi="Times New Roman" w:eastAsia="宋体" w:cs="Times New Roman"/>
                <w:color w:val="000000" w:themeColor="text1"/>
                <w:lang w:eastAsia="zh-CN"/>
                <w14:textFill>
                  <w14:solidFill>
                    <w14:schemeClr w14:val="tx1"/>
                  </w14:solidFill>
                </w14:textFill>
              </w:rPr>
              <w:t>定期通风并检查菌种纯度，避免污染。​</w:t>
            </w:r>
          </w:p>
          <w:p w14:paraId="44A71711">
            <w:pPr>
              <w:jc w:val="both"/>
              <w:rPr>
                <w:rFonts w:hint="default"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3）</w:t>
            </w:r>
            <w:r>
              <w:rPr>
                <w:rFonts w:hint="default" w:ascii="Times New Roman" w:hAnsi="Times New Roman" w:eastAsia="宋体" w:cs="Times New Roman"/>
                <w:b/>
                <w:bCs/>
                <w:color w:val="000000" w:themeColor="text1"/>
                <w:lang w:eastAsia="zh-CN"/>
                <w14:textFill>
                  <w14:solidFill>
                    <w14:schemeClr w14:val="tx1"/>
                  </w14:solidFill>
                </w14:textFill>
              </w:rPr>
              <w:t>播种</w:t>
            </w:r>
            <w:r>
              <w:rPr>
                <w:rFonts w:hint="default" w:ascii="Times New Roman" w:hAnsi="Times New Roman" w:eastAsia="宋体" w:cs="Times New Roman"/>
                <w:color w:val="000000" w:themeColor="text1"/>
                <w:lang w:eastAsia="zh-CN"/>
                <w14:textFill>
                  <w14:solidFill>
                    <w14:schemeClr w14:val="tx1"/>
                  </w14:solidFill>
                </w14:textFill>
              </w:rPr>
              <w:t>​</w:t>
            </w:r>
          </w:p>
          <w:p w14:paraId="5F6D1F0D">
            <w:pPr>
              <w:jc w:val="both"/>
              <w:rPr>
                <w:rFonts w:hint="default"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eastAsia="宋体" w:cs="Times New Roman"/>
                <w:color w:val="000000" w:themeColor="text1"/>
                <w:lang w:eastAsia="zh-CN"/>
                <w14:textFill>
                  <w14:solidFill>
                    <w14:schemeClr w14:val="tx1"/>
                  </w14:solidFill>
                </w14:textFill>
              </w:rPr>
              <w:t>把握时机和操作细节。当自然气温降至18-25℃、地温20℃以下时播种。将菌种粉碎至直径1</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lang w:eastAsia="zh-CN"/>
                <w14:textFill>
                  <w14:solidFill>
                    <w14:schemeClr w14:val="tx1"/>
                  </w14:solidFill>
                </w14:textFill>
              </w:rPr>
              <w:t>1.5厘米，采用撒播或沟播均匀分布于畦面，覆土后立即覆盖黑色地膜，膜上每20厘米打孔透气，既保墒又防杂菌。</w:t>
            </w:r>
          </w:p>
          <w:p w14:paraId="2BF38B92">
            <w:pPr>
              <w:jc w:val="both"/>
              <w:rPr>
                <w:rFonts w:hint="default" w:ascii="Times New Roman" w:hAnsi="Times New Roman" w:eastAsia="宋体" w:cs="Times New Roman"/>
                <w:b/>
                <w:bCs/>
                <w:color w:val="000000" w:themeColor="text1"/>
                <w:lang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4</w:t>
            </w:r>
            <w:r>
              <w:rPr>
                <w:rFonts w:hint="default" w:ascii="Times New Roman" w:hAnsi="Times New Roman" w:eastAsia="宋体" w:cs="Times New Roman"/>
                <w:b/>
                <w:bCs/>
                <w:color w:val="000000" w:themeColor="text1"/>
                <w:lang w:eastAsia="zh-CN"/>
                <w14:textFill>
                  <w14:solidFill>
                    <w14:schemeClr w14:val="tx1"/>
                  </w14:solidFill>
                </w14:textFill>
              </w:rPr>
              <w:t>）发菌管理​</w:t>
            </w:r>
          </w:p>
          <w:p w14:paraId="4C59748A">
            <w:pPr>
              <w:jc w:val="both"/>
              <w:rPr>
                <w:rFonts w:hint="default"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eastAsia="宋体" w:cs="Times New Roman"/>
                <w:color w:val="000000" w:themeColor="text1"/>
                <w:lang w:eastAsia="zh-CN"/>
                <w14:textFill>
                  <w14:solidFill>
                    <w14:schemeClr w14:val="tx1"/>
                  </w14:solidFill>
                </w14:textFill>
              </w:rPr>
              <w:t>关键是促进菌丝健壮生长。控制棚内温度5-15℃（</w:t>
            </w:r>
            <w:r>
              <w:rPr>
                <w:rFonts w:hint="eastAsia" w:ascii="Times New Roman" w:hAnsi="Times New Roman" w:cs="Times New Roman"/>
                <w:color w:val="000000" w:themeColor="text1"/>
                <w:lang w:eastAsia="zh-CN"/>
                <w14:textFill>
                  <w14:solidFill>
                    <w14:schemeClr w14:val="tx1"/>
                  </w14:solidFill>
                </w14:textFill>
              </w:rPr>
              <w:t>棚内</w:t>
            </w:r>
            <w:r>
              <w:rPr>
                <w:rFonts w:hint="default" w:ascii="Times New Roman" w:hAnsi="Times New Roman" w:eastAsia="宋体" w:cs="Times New Roman"/>
                <w:color w:val="000000" w:themeColor="text1"/>
                <w:lang w:eastAsia="zh-CN"/>
                <w14:textFill>
                  <w14:solidFill>
                    <w14:schemeClr w14:val="tx1"/>
                  </w14:solidFill>
                </w14:textFill>
              </w:rPr>
              <w:t>不</w:t>
            </w:r>
            <w:r>
              <w:rPr>
                <w:rFonts w:hint="eastAsia" w:ascii="Times New Roman" w:hAnsi="Times New Roman" w:cs="Times New Roman"/>
                <w:color w:val="000000" w:themeColor="text1"/>
                <w:lang w:eastAsia="zh-CN"/>
                <w14:textFill>
                  <w14:solidFill>
                    <w14:schemeClr w14:val="tx1"/>
                  </w14:solidFill>
                </w14:textFill>
              </w:rPr>
              <w:t>超过</w:t>
            </w:r>
            <w:r>
              <w:rPr>
                <w:rFonts w:hint="default" w:ascii="Times New Roman" w:hAnsi="Times New Roman" w:eastAsia="宋体" w:cs="Times New Roman"/>
                <w:color w:val="000000" w:themeColor="text1"/>
                <w:lang w:eastAsia="zh-CN"/>
                <w14:textFill>
                  <w14:solidFill>
                    <w14:schemeClr w14:val="tx1"/>
                  </w14:solidFill>
                </w14:textFill>
              </w:rPr>
              <w:t>20℃），土壤含水量</w:t>
            </w:r>
            <w:r>
              <w:rPr>
                <w:rFonts w:hint="eastAsia" w:ascii="Times New Roman" w:hAnsi="Times New Roman" w:cs="Times New Roman"/>
                <w:color w:val="000000" w:themeColor="text1"/>
                <w:lang w:eastAsia="zh-CN"/>
                <w14:textFill>
                  <w14:solidFill>
                    <w14:schemeClr w14:val="tx1"/>
                  </w14:solidFill>
                </w14:textFill>
              </w:rPr>
              <w:t>30%—40%</w:t>
            </w:r>
            <w:r>
              <w:rPr>
                <w:rFonts w:hint="default" w:ascii="Times New Roman" w:hAnsi="Times New Roman" w:eastAsia="宋体" w:cs="Times New Roman"/>
                <w:color w:val="000000" w:themeColor="text1"/>
                <w:lang w:eastAsia="zh-CN"/>
                <w14:textFill>
                  <w14:solidFill>
                    <w14:schemeClr w14:val="tx1"/>
                  </w14:solidFill>
                </w14:textFill>
              </w:rPr>
              <w:t>，每天通风调节空气，避免强光直射。播种7</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lang w:eastAsia="zh-CN"/>
                <w14:textFill>
                  <w14:solidFill>
                    <w14:schemeClr w14:val="tx1"/>
                  </w14:solidFill>
                </w14:textFill>
              </w:rPr>
              <w:t>15天后，当菌丝出土、畦面泛白时，将划口的营养袋开口面紧贴土壤摆放，为菌丝补充营养。​</w:t>
            </w:r>
          </w:p>
          <w:p w14:paraId="3EFF8ACB">
            <w:pPr>
              <w:jc w:val="both"/>
              <w:rPr>
                <w:rFonts w:hint="default" w:ascii="Times New Roman" w:hAnsi="Times New Roman" w:eastAsia="宋体" w:cs="Times New Roman"/>
                <w:b/>
                <w:bCs/>
                <w:color w:val="000000" w:themeColor="text1"/>
                <w:lang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5）</w:t>
            </w:r>
            <w:r>
              <w:rPr>
                <w:rFonts w:hint="default" w:ascii="Times New Roman" w:hAnsi="Times New Roman" w:eastAsia="宋体" w:cs="Times New Roman"/>
                <w:b/>
                <w:bCs/>
                <w:color w:val="000000" w:themeColor="text1"/>
                <w:lang w:eastAsia="zh-CN"/>
                <w14:textFill>
                  <w14:solidFill>
                    <w14:schemeClr w14:val="tx1"/>
                  </w14:solidFill>
                </w14:textFill>
              </w:rPr>
              <w:t>催菇​</w:t>
            </w:r>
          </w:p>
          <w:p w14:paraId="2BF9CF9E">
            <w:pPr>
              <w:jc w:val="both"/>
              <w:rPr>
                <w:rFonts w:hint="default"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eastAsia="宋体" w:cs="Times New Roman"/>
                <w:color w:val="000000" w:themeColor="text1"/>
                <w:lang w:eastAsia="zh-CN"/>
                <w14:textFill>
                  <w14:solidFill>
                    <w14:schemeClr w14:val="tx1"/>
                  </w14:solidFill>
                </w14:textFill>
              </w:rPr>
              <w:t>通过环境调控诱导原基形成。出菇前15</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lang w:eastAsia="zh-CN"/>
                <w14:textFill>
                  <w14:solidFill>
                    <w14:schemeClr w14:val="tx1"/>
                  </w14:solidFill>
                </w14:textFill>
              </w:rPr>
              <w:t>20天移走营养袋，移除地膜后大水浇灌至土壤湿透（含水量</w:t>
            </w:r>
            <w:r>
              <w:rPr>
                <w:rFonts w:hint="eastAsia" w:ascii="Times New Roman" w:hAnsi="Times New Roman" w:cs="Times New Roman"/>
                <w:color w:val="000000" w:themeColor="text1"/>
                <w:lang w:eastAsia="zh-CN"/>
                <w14:textFill>
                  <w14:solidFill>
                    <w14:schemeClr w14:val="tx1"/>
                  </w14:solidFill>
                </w14:textFill>
              </w:rPr>
              <w:t>80%—90%</w:t>
            </w:r>
            <w:r>
              <w:rPr>
                <w:rFonts w:hint="default" w:ascii="Times New Roman" w:hAnsi="Times New Roman" w:eastAsia="宋体" w:cs="Times New Roman"/>
                <w:color w:val="000000" w:themeColor="text1"/>
                <w:lang w:eastAsia="zh-CN"/>
                <w14:textFill>
                  <w14:solidFill>
                    <w14:schemeClr w14:val="tx1"/>
                  </w14:solidFill>
                </w14:textFill>
              </w:rPr>
              <w:t>），及时排净积水，此后保持土壤含水量</w:t>
            </w:r>
            <w:r>
              <w:rPr>
                <w:rFonts w:hint="eastAsia" w:ascii="Times New Roman" w:hAnsi="Times New Roman" w:cs="Times New Roman"/>
                <w:color w:val="000000" w:themeColor="text1"/>
                <w:lang w:eastAsia="zh-CN"/>
                <w14:textFill>
                  <w14:solidFill>
                    <w14:schemeClr w14:val="tx1"/>
                  </w14:solidFill>
                </w14:textFill>
              </w:rPr>
              <w:t>20%—28%</w:t>
            </w:r>
            <w:r>
              <w:rPr>
                <w:rFonts w:hint="default" w:ascii="Times New Roman" w:hAnsi="Times New Roman" w:eastAsia="宋体" w:cs="Times New Roman"/>
                <w:color w:val="000000" w:themeColor="text1"/>
                <w:lang w:eastAsia="zh-CN"/>
                <w14:textFill>
                  <w14:solidFill>
                    <w14:schemeClr w14:val="tx1"/>
                  </w14:solidFill>
                </w14:textFill>
              </w:rPr>
              <w:t>、空气湿度</w:t>
            </w:r>
            <w:r>
              <w:rPr>
                <w:rFonts w:hint="eastAsia" w:ascii="Times New Roman" w:hAnsi="Times New Roman" w:cs="Times New Roman"/>
                <w:color w:val="000000" w:themeColor="text1"/>
                <w:lang w:eastAsia="zh-CN"/>
                <w14:textFill>
                  <w14:solidFill>
                    <w14:schemeClr w14:val="tx1"/>
                  </w14:solidFill>
                </w14:textFill>
              </w:rPr>
              <w:t>85%—90%</w:t>
            </w:r>
            <w:r>
              <w:rPr>
                <w:rFonts w:hint="default" w:ascii="Times New Roman" w:hAnsi="Times New Roman" w:eastAsia="宋体" w:cs="Times New Roman"/>
                <w:color w:val="000000" w:themeColor="text1"/>
                <w:lang w:eastAsia="zh-CN"/>
                <w14:textFill>
                  <w14:solidFill>
                    <w14:schemeClr w14:val="tx1"/>
                  </w14:solidFill>
                </w14:textFill>
              </w:rPr>
              <w:t>。利用昼夜温差（10-15℃）刺激，白天闭棚增温、夜间通风降温，同时增加散射光照射，促进原基分化。​</w:t>
            </w:r>
          </w:p>
          <w:p w14:paraId="784E9AC3">
            <w:pPr>
              <w:jc w:val="both"/>
              <w:rPr>
                <w:rFonts w:hint="default"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6）</w:t>
            </w:r>
            <w:r>
              <w:rPr>
                <w:rFonts w:hint="default" w:ascii="Times New Roman" w:hAnsi="Times New Roman" w:eastAsia="宋体" w:cs="Times New Roman"/>
                <w:b/>
                <w:bCs/>
                <w:color w:val="000000" w:themeColor="text1"/>
                <w:lang w:eastAsia="zh-CN"/>
                <w14:textFill>
                  <w14:solidFill>
                    <w14:schemeClr w14:val="tx1"/>
                  </w14:solidFill>
                </w14:textFill>
              </w:rPr>
              <w:t>出菇管理</w:t>
            </w:r>
            <w:r>
              <w:rPr>
                <w:rFonts w:hint="default" w:ascii="Times New Roman" w:hAnsi="Times New Roman" w:eastAsia="宋体" w:cs="Times New Roman"/>
                <w:color w:val="000000" w:themeColor="text1"/>
                <w:lang w:eastAsia="zh-CN"/>
                <w14:textFill>
                  <w14:solidFill>
                    <w14:schemeClr w14:val="tx1"/>
                  </w14:solidFill>
                </w14:textFill>
              </w:rPr>
              <w:t>​</w:t>
            </w:r>
          </w:p>
          <w:p w14:paraId="43F6537C">
            <w:pPr>
              <w:jc w:val="both"/>
              <w:rPr>
                <w:rFonts w:hint="default"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eastAsia="宋体" w:cs="Times New Roman"/>
                <w:color w:val="000000" w:themeColor="text1"/>
                <w:lang w:eastAsia="zh-CN"/>
                <w14:textFill>
                  <w14:solidFill>
                    <w14:schemeClr w14:val="tx1"/>
                  </w14:solidFill>
                </w14:textFill>
              </w:rPr>
              <w:t>保障子实体正常发育。棚内温度控制在10-16℃，土壤含水量</w:t>
            </w:r>
            <w:r>
              <w:rPr>
                <w:rFonts w:hint="eastAsia" w:ascii="Times New Roman" w:hAnsi="Times New Roman" w:cs="Times New Roman"/>
                <w:color w:val="000000" w:themeColor="text1"/>
                <w:lang w:eastAsia="zh-CN"/>
                <w14:textFill>
                  <w14:solidFill>
                    <w14:schemeClr w14:val="tx1"/>
                  </w14:solidFill>
                </w14:textFill>
              </w:rPr>
              <w:t>40%—50%</w:t>
            </w:r>
            <w:r>
              <w:rPr>
                <w:rFonts w:hint="default" w:ascii="Times New Roman" w:hAnsi="Times New Roman" w:eastAsia="宋体" w:cs="Times New Roman"/>
                <w:color w:val="000000" w:themeColor="text1"/>
                <w:lang w:eastAsia="zh-CN"/>
                <w14:textFill>
                  <w14:solidFill>
                    <w14:schemeClr w14:val="tx1"/>
                  </w14:solidFill>
                </w14:textFill>
              </w:rPr>
              <w:t>，空气湿度</w:t>
            </w:r>
            <w:r>
              <w:rPr>
                <w:rFonts w:hint="eastAsia" w:ascii="Times New Roman" w:hAnsi="Times New Roman" w:cs="Times New Roman"/>
                <w:color w:val="000000" w:themeColor="text1"/>
                <w:lang w:eastAsia="zh-CN"/>
                <w14:textFill>
                  <w14:solidFill>
                    <w14:schemeClr w14:val="tx1"/>
                  </w14:solidFill>
                </w14:textFill>
              </w:rPr>
              <w:t>70%—80%</w:t>
            </w:r>
            <w:r>
              <w:rPr>
                <w:rFonts w:hint="default" w:ascii="Times New Roman" w:hAnsi="Times New Roman" w:eastAsia="宋体" w:cs="Times New Roman"/>
                <w:color w:val="000000" w:themeColor="text1"/>
                <w:lang w:eastAsia="zh-CN"/>
                <w14:textFill>
                  <w14:solidFill>
                    <w14:schemeClr w14:val="tx1"/>
                  </w14:solidFill>
                </w14:textFill>
              </w:rPr>
              <w:t>。加强通风保持空气新鲜，二氧化碳浓度控制在400-600ppm，随子实体生长逐步增加通风次数和时长，维持适宜散射光，防止畸形。​</w:t>
            </w:r>
          </w:p>
          <w:p w14:paraId="07C24E39">
            <w:pPr>
              <w:jc w:val="both"/>
              <w:rPr>
                <w:rFonts w:hint="default"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7）</w:t>
            </w:r>
            <w:r>
              <w:rPr>
                <w:rFonts w:hint="default" w:ascii="Times New Roman" w:hAnsi="Times New Roman" w:eastAsia="宋体" w:cs="Times New Roman"/>
                <w:b/>
                <w:bCs/>
                <w:color w:val="000000" w:themeColor="text1"/>
                <w:lang w:eastAsia="zh-CN"/>
                <w14:textFill>
                  <w14:solidFill>
                    <w14:schemeClr w14:val="tx1"/>
                  </w14:solidFill>
                </w14:textFill>
              </w:rPr>
              <w:t>采收</w:t>
            </w:r>
            <w:r>
              <w:rPr>
                <w:rFonts w:hint="default" w:ascii="Times New Roman" w:hAnsi="Times New Roman" w:eastAsia="宋体" w:cs="Times New Roman"/>
                <w:color w:val="000000" w:themeColor="text1"/>
                <w:lang w:eastAsia="zh-CN"/>
                <w14:textFill>
                  <w14:solidFill>
                    <w14:schemeClr w14:val="tx1"/>
                  </w14:solidFill>
                </w14:textFill>
              </w:rPr>
              <w:t>​</w:t>
            </w:r>
          </w:p>
          <w:p w14:paraId="7EF4D590">
            <w:pPr>
              <w:jc w:val="both"/>
              <w:rPr>
                <w:rFonts w:hint="default"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eastAsia="宋体" w:cs="Times New Roman"/>
                <w:color w:val="000000" w:themeColor="text1"/>
                <w:lang w:eastAsia="zh-CN"/>
                <w14:textFill>
                  <w14:solidFill>
                    <w14:schemeClr w14:val="tx1"/>
                  </w14:solidFill>
                </w14:textFill>
              </w:rPr>
              <w:t>把握最佳采收期与方法。当羊肚菌长至7</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lang w:eastAsia="zh-CN"/>
                <w14:textFill>
                  <w14:solidFill>
                    <w14:schemeClr w14:val="tx1"/>
                  </w14:solidFill>
                </w14:textFill>
              </w:rPr>
              <w:t>12厘米、菌帽网眼充分张开、质地由硬变软时，用手捏住菌柄基部轻轻扭转拔起（或用小刀齐土面割下），遵循“采大留小”原则，避免损伤未成熟子实体。</w:t>
            </w:r>
          </w:p>
          <w:p w14:paraId="19E2A392">
            <w:pPr>
              <w:bidi w:val="0"/>
              <w:jc w:val="both"/>
              <w:rPr>
                <w:rFonts w:hint="default"/>
                <w:b/>
                <w:bCs/>
                <w:color w:val="000000" w:themeColor="text1"/>
                <w:lang w:val="en-US" w:eastAsia="zh-CN"/>
                <w14:textFill>
                  <w14:solidFill>
                    <w14:schemeClr w14:val="tx1"/>
                  </w14:solidFill>
                </w14:textFill>
              </w:rPr>
            </w:pPr>
            <w:r>
              <w:rPr>
                <w:rFonts w:hint="default"/>
                <w:b/>
                <w:bCs/>
                <w:color w:val="000000" w:themeColor="text1"/>
                <w:lang w:val="en-US" w:eastAsia="zh-CN"/>
                <w14:textFill>
                  <w14:solidFill>
                    <w14:schemeClr w14:val="tx1"/>
                  </w14:solidFill>
                </w14:textFill>
              </w:rPr>
              <w:t>4、桃树、苹果树种植工艺</w:t>
            </w:r>
          </w:p>
          <w:p w14:paraId="6CAD31E7">
            <w:pPr>
              <w:jc w:val="both"/>
              <w:rPr>
                <w:rFonts w:hint="default"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eastAsia="宋体" w:cs="Times New Roman"/>
                <w:color w:val="000000" w:themeColor="text1"/>
                <w:lang w:eastAsia="zh-CN"/>
                <w14:textFill>
                  <w14:solidFill>
                    <w14:schemeClr w14:val="tx1"/>
                  </w14:solidFill>
                </w14:textFill>
              </w:rPr>
              <w:drawing>
                <wp:inline distT="0" distB="0" distL="114300" distR="114300">
                  <wp:extent cx="4571365" cy="855980"/>
                  <wp:effectExtent l="0" t="0" r="0" b="0"/>
                  <wp:docPr id="9" name="ECB019B1-382A-4266-B25C-5B523AA43C14-6" descr="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CB019B1-382A-4266-B25C-5B523AA43C14-6" descr="wps"/>
                          <pic:cNvPicPr>
                            <a:picLocks noChangeAspect="1"/>
                          </pic:cNvPicPr>
                        </pic:nvPicPr>
                        <pic:blipFill>
                          <a:blip r:embed="rId16"/>
                          <a:stretch>
                            <a:fillRect/>
                          </a:stretch>
                        </pic:blipFill>
                        <pic:spPr>
                          <a:xfrm>
                            <a:off x="0" y="0"/>
                            <a:ext cx="4571365" cy="855980"/>
                          </a:xfrm>
                          <a:prstGeom prst="rect">
                            <a:avLst/>
                          </a:prstGeom>
                        </pic:spPr>
                      </pic:pic>
                    </a:graphicData>
                  </a:graphic>
                </wp:inline>
              </w:drawing>
            </w:r>
          </w:p>
          <w:p w14:paraId="5D8FBD49">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b/>
                <w:bCs/>
                <w:color w:val="000000" w:themeColor="text1"/>
                <w:sz w:val="21"/>
                <w:szCs w:val="21"/>
                <w:lang w:val="en-US" w:eastAsia="zh-CN"/>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图2-6果树种植工艺流程图</w:t>
            </w:r>
          </w:p>
          <w:p w14:paraId="19B42D52">
            <w:pPr>
              <w:keepNext w:val="0"/>
              <w:keepLines w:val="0"/>
              <w:pageBreakBefore w:val="0"/>
              <w:widowControl w:val="0"/>
              <w:kinsoku/>
              <w:wordWrap/>
              <w:overflowPunct/>
              <w:topLinePunct w:val="0"/>
              <w:autoSpaceDE/>
              <w:autoSpaceDN/>
              <w:bidi w:val="0"/>
              <w:adjustRightInd w:val="0"/>
              <w:snapToGrid w:val="0"/>
              <w:jc w:val="both"/>
              <w:textAlignment w:val="auto"/>
              <w:rPr>
                <w:rFonts w:hint="default"/>
                <w:b/>
                <w:bCs/>
                <w:color w:val="000000" w:themeColor="text1"/>
                <w:lang w:val="en-US" w:eastAsia="zh-CN"/>
                <w14:textFill>
                  <w14:solidFill>
                    <w14:schemeClr w14:val="tx1"/>
                  </w14:solidFill>
                </w14:textFill>
              </w:rPr>
            </w:pPr>
            <w:r>
              <w:rPr>
                <w:rFonts w:hint="default"/>
                <w:b/>
                <w:bCs/>
                <w:color w:val="000000" w:themeColor="text1"/>
                <w:lang w:val="en-US" w:eastAsia="zh-CN"/>
                <w14:textFill>
                  <w14:solidFill>
                    <w14:schemeClr w14:val="tx1"/>
                  </w14:solidFill>
                </w14:textFill>
              </w:rPr>
              <w:t>工艺流程简述：</w:t>
            </w:r>
          </w:p>
          <w:p w14:paraId="128D98B8">
            <w:pPr>
              <w:keepNext w:val="0"/>
              <w:keepLines w:val="0"/>
              <w:pageBreakBefore w:val="0"/>
              <w:widowControl w:val="0"/>
              <w:kinsoku/>
              <w:wordWrap/>
              <w:overflowPunct/>
              <w:topLinePunct w:val="0"/>
              <w:autoSpaceDE/>
              <w:autoSpaceDN/>
              <w:bidi w:val="0"/>
              <w:adjustRightInd w:val="0"/>
              <w:snapToGrid w:val="0"/>
              <w:jc w:val="both"/>
              <w:textAlignment w:val="auto"/>
              <w:rPr>
                <w:rFonts w:hint="default"/>
                <w:b/>
                <w:bCs/>
                <w:color w:val="000000" w:themeColor="text1"/>
                <w14:textFill>
                  <w14:solidFill>
                    <w14:schemeClr w14:val="tx1"/>
                  </w14:solidFill>
                </w14:textFill>
              </w:rPr>
            </w:pPr>
            <w:r>
              <w:rPr>
                <w:rFonts w:hint="default"/>
                <w:b/>
                <w:bCs/>
                <w:color w:val="000000" w:themeColor="text1"/>
                <w:lang w:val="en-US" w:eastAsia="zh-CN"/>
                <w14:textFill>
                  <w14:solidFill>
                    <w14:schemeClr w14:val="tx1"/>
                  </w14:solidFill>
                </w14:textFill>
              </w:rPr>
              <w:t>1）</w:t>
            </w:r>
            <w:r>
              <w:rPr>
                <w:rFonts w:hint="default"/>
                <w:b/>
                <w:bCs/>
                <w:color w:val="000000" w:themeColor="text1"/>
                <w14:textFill>
                  <w14:solidFill>
                    <w14:schemeClr w14:val="tx1"/>
                  </w14:solidFill>
                </w14:textFill>
              </w:rPr>
              <w:t>选苗选地（运营期基础保障，决定后期管理效率）</w:t>
            </w:r>
          </w:p>
          <w:p w14:paraId="3C0F08B7">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cs="Times New Roman"/>
                <w:color w:val="000000" w:themeColor="text1"/>
                <w:lang w:eastAsia="zh-CN"/>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①选苗标准</w:t>
            </w:r>
            <w:r>
              <w:rPr>
                <w:rFonts w:hint="default" w:ascii="Times New Roman" w:hAnsi="Times New Roman" w:cs="Times New Roman"/>
                <w:color w:val="000000" w:themeColor="text1"/>
                <w:lang w:eastAsia="zh-CN"/>
                <w14:textFill>
                  <w14:solidFill>
                    <w14:schemeClr w14:val="tx1"/>
                  </w14:solidFill>
                </w14:textFill>
              </w:rPr>
              <w:t>：</w:t>
            </w:r>
          </w:p>
          <w:p w14:paraId="785FC2EA">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苗木规格：优先选择1</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2年生嫁接苗，苗高1</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1.2米，地径0.8</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1厘米，根系发达且无损伤（主根长度≥20厘米，须根数量≥15条），避免选择老化苗、病弱苗（叶片发黄、枝干有虫孔或霉变的苗木直接淘汰）。</w:t>
            </w:r>
          </w:p>
          <w:p w14:paraId="1AD6B225">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b w:val="0"/>
                <w:bCs w:val="0"/>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品种适配：根据种植区域气候选品种，南方多雨地区选抗裂果、抗病性强的品种</w:t>
            </w:r>
            <w:r>
              <w:rPr>
                <w:rFonts w:hint="default" w:ascii="Times New Roman" w:hAnsi="Times New Roman" w:eastAsia="宋体"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同时兼顾市场需求，优先选果形端正、甜度高（糖度≥12）的品种。</w:t>
            </w:r>
          </w:p>
          <w:p w14:paraId="3160AA96">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b w:val="0"/>
                <w:bCs w:val="0"/>
                <w:color w:val="000000" w:themeColor="text1"/>
                <w:lang w:eastAsia="zh-CN"/>
                <w14:textFill>
                  <w14:solidFill>
                    <w14:schemeClr w14:val="tx1"/>
                  </w14:solidFill>
                </w14:textFill>
              </w:rPr>
            </w:pPr>
            <w:r>
              <w:rPr>
                <w:rFonts w:hint="default" w:ascii="Times New Roman" w:hAnsi="Times New Roman" w:eastAsia="宋体" w:cs="Times New Roman"/>
                <w:b w:val="0"/>
                <w:bCs w:val="0"/>
                <w:color w:val="000000" w:themeColor="text1"/>
                <w14:textFill>
                  <w14:solidFill>
                    <w14:schemeClr w14:val="tx1"/>
                  </w14:solidFill>
                </w14:textFill>
              </w:rPr>
              <w:t>②选地要求</w:t>
            </w:r>
            <w:r>
              <w:rPr>
                <w:rFonts w:hint="default" w:ascii="Times New Roman" w:hAnsi="Times New Roman" w:eastAsia="宋体" w:cs="Times New Roman"/>
                <w:b w:val="0"/>
                <w:bCs w:val="0"/>
                <w:color w:val="000000" w:themeColor="text1"/>
                <w:lang w:eastAsia="zh-CN"/>
                <w14:textFill>
                  <w14:solidFill>
                    <w14:schemeClr w14:val="tx1"/>
                  </w14:solidFill>
                </w14:textFill>
              </w:rPr>
              <w:t>：</w:t>
            </w:r>
          </w:p>
          <w:p w14:paraId="5420B7A7">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土壤条件：选土层深厚（≥80厘米）、疏松透气的沙壤土或壤土，pH值6.0-7.5，避免重黏土（易积水烂根）和盐碱地（pH＞8.0时需提前用石膏改良）；前茬作物为</w:t>
            </w:r>
            <w:r>
              <w:rPr>
                <w:rFonts w:hint="default" w:ascii="Times New Roman" w:hAnsi="Times New Roman" w:eastAsia="宋体" w:cs="Times New Roman"/>
                <w:color w:val="000000" w:themeColor="text1"/>
                <w:lang w:eastAsia="zh-CN"/>
                <w14:textFill>
                  <w14:solidFill>
                    <w14:schemeClr w14:val="tx1"/>
                  </w14:solidFill>
                </w14:textFill>
              </w:rPr>
              <w:t>桃树、苹果树</w:t>
            </w:r>
            <w:r>
              <w:rPr>
                <w:rFonts w:hint="default" w:ascii="Times New Roman" w:hAnsi="Times New Roman" w:eastAsia="宋体" w:cs="Times New Roman"/>
                <w:color w:val="000000" w:themeColor="text1"/>
                <w14:textFill>
                  <w14:solidFill>
                    <w14:schemeClr w14:val="tx1"/>
                  </w14:solidFill>
                </w14:textFill>
              </w:rPr>
              <w:t>、李树的地块需间隔3年以上再种植，防止重茬病害。</w:t>
            </w:r>
          </w:p>
          <w:p w14:paraId="42D44BD9">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环境条件：保证光照充足（每天光照≥6小时），避开低洼积水区（需提前起垄，垄高30</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40厘米）；地块需远离工业污染源，且有便利灌溉条件（如靠近水井、蓄水池），便于后期水分调控。</w:t>
            </w:r>
          </w:p>
          <w:p w14:paraId="1A6124C0">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2）</w:t>
            </w:r>
            <w:r>
              <w:rPr>
                <w:rFonts w:hint="default" w:ascii="Times New Roman" w:hAnsi="Times New Roman" w:eastAsia="宋体" w:cs="Times New Roman"/>
                <w:b/>
                <w:bCs/>
                <w:color w:val="000000" w:themeColor="text1"/>
                <w14:textFill>
                  <w14:solidFill>
                    <w14:schemeClr w14:val="tx1"/>
                  </w14:solidFill>
                </w14:textFill>
              </w:rPr>
              <w:t>整地挖坑</w:t>
            </w:r>
            <w:r>
              <w:rPr>
                <w:rFonts w:hint="default" w:ascii="Times New Roman" w:hAnsi="Times New Roman" w:eastAsia="宋体" w:cs="Times New Roman"/>
                <w:color w:val="000000" w:themeColor="text1"/>
                <w14:textFill>
                  <w14:solidFill>
                    <w14:schemeClr w14:val="tx1"/>
                  </w14:solidFill>
                </w14:textFill>
              </w:rPr>
              <w:t>（为根系生长创造良好环境，提升成活率）</w:t>
            </w:r>
          </w:p>
          <w:p w14:paraId="509B1B16">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b w:val="0"/>
                <w:bCs w:val="0"/>
                <w:color w:val="000000" w:themeColor="text1"/>
                <w:lang w:eastAsia="zh-CN"/>
                <w14:textFill>
                  <w14:solidFill>
                    <w14:schemeClr w14:val="tx1"/>
                  </w14:solidFill>
                </w14:textFill>
              </w:rPr>
            </w:pPr>
            <w:r>
              <w:rPr>
                <w:rFonts w:hint="default" w:ascii="Times New Roman" w:hAnsi="Times New Roman" w:eastAsia="宋体" w:cs="Times New Roman"/>
                <w:b w:val="0"/>
                <w:bCs w:val="0"/>
                <w:color w:val="000000" w:themeColor="text1"/>
                <w14:textFill>
                  <w14:solidFill>
                    <w14:schemeClr w14:val="tx1"/>
                  </w14:solidFill>
                </w14:textFill>
              </w:rPr>
              <w:t>①整地操作</w:t>
            </w:r>
            <w:r>
              <w:rPr>
                <w:rFonts w:hint="default" w:ascii="Times New Roman" w:hAnsi="Times New Roman" w:eastAsia="宋体" w:cs="Times New Roman"/>
                <w:b w:val="0"/>
                <w:bCs w:val="0"/>
                <w:color w:val="000000" w:themeColor="text1"/>
                <w:lang w:eastAsia="zh-CN"/>
                <w14:textFill>
                  <w14:solidFill>
                    <w14:schemeClr w14:val="tx1"/>
                  </w14:solidFill>
                </w14:textFill>
              </w:rPr>
              <w:t>：</w:t>
            </w:r>
          </w:p>
          <w:p w14:paraId="51800B1F">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提前深耕：种植前1-2个月，对地块全面深耕，结合深耕施入基肥，每亩施腐熟有机肥2000</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3000公斤+过磷酸钙50公斤，将肥料与土壤充分混合，打破板结层，提高土壤肥力。</w:t>
            </w:r>
          </w:p>
          <w:p w14:paraId="5F585236">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起垄作畦：若地块排水较差，按行距</w:t>
            </w:r>
            <w:r>
              <w:rPr>
                <w:rFonts w:hint="eastAsia" w:ascii="Times New Roman" w:hAnsi="Times New Roman" w:cs="Times New Roman"/>
                <w:color w:val="000000" w:themeColor="text1"/>
                <w:lang w:eastAsia="zh-CN"/>
                <w14:textFill>
                  <w14:solidFill>
                    <w14:schemeClr w14:val="tx1"/>
                  </w14:solidFill>
                </w14:textFill>
              </w:rPr>
              <w:t>3～4米</w:t>
            </w:r>
            <w:r>
              <w:rPr>
                <w:rFonts w:hint="default" w:ascii="Times New Roman" w:hAnsi="Times New Roman" w:eastAsia="宋体" w:cs="Times New Roman"/>
                <w:color w:val="000000" w:themeColor="text1"/>
                <w14:textFill>
                  <w14:solidFill>
                    <w14:schemeClr w14:val="tx1"/>
                  </w14:solidFill>
                </w14:textFill>
              </w:rPr>
              <w:t>起垄，垄面宽1.2</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1.5米，垄沟宽30</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40厘米、深20</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30厘米，确保雨季能及时排水；平地可直接作畦，畦宽2</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3米，便于后期田间管理（如施肥、修剪）。</w:t>
            </w:r>
          </w:p>
          <w:p w14:paraId="29B253F2">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b w:val="0"/>
                <w:bCs w:val="0"/>
                <w:color w:val="000000" w:themeColor="text1"/>
                <w:lang w:eastAsia="zh-CN"/>
                <w14:textFill>
                  <w14:solidFill>
                    <w14:schemeClr w14:val="tx1"/>
                  </w14:solidFill>
                </w14:textFill>
              </w:rPr>
            </w:pPr>
            <w:r>
              <w:rPr>
                <w:rFonts w:hint="default" w:ascii="Times New Roman" w:hAnsi="Times New Roman" w:eastAsia="宋体" w:cs="Times New Roman"/>
                <w:b w:val="0"/>
                <w:bCs w:val="0"/>
                <w:color w:val="000000" w:themeColor="text1"/>
                <w14:textFill>
                  <w14:solidFill>
                    <w14:schemeClr w14:val="tx1"/>
                  </w14:solidFill>
                </w14:textFill>
              </w:rPr>
              <w:t>②挖坑规范</w:t>
            </w:r>
            <w:r>
              <w:rPr>
                <w:rFonts w:hint="default" w:ascii="Times New Roman" w:hAnsi="Times New Roman" w:eastAsia="宋体" w:cs="Times New Roman"/>
                <w:b w:val="0"/>
                <w:bCs w:val="0"/>
                <w:color w:val="000000" w:themeColor="text1"/>
                <w:lang w:eastAsia="zh-CN"/>
                <w14:textFill>
                  <w14:solidFill>
                    <w14:schemeClr w14:val="tx1"/>
                  </w14:solidFill>
                </w14:textFill>
              </w:rPr>
              <w:t>：</w:t>
            </w:r>
          </w:p>
          <w:p w14:paraId="24B1BBA9">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坑体尺寸：按株距2</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3米确定坑位，坑深60</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70厘米、直径60厘米，坑壁需垂直，避免上宽下窄；挖好后将表土和底土分开堆放，便于后期回填。</w:t>
            </w:r>
          </w:p>
          <w:p w14:paraId="4CE057F5">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基肥填埋：在坑底铺10</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15厘米厚的腐熟秸秆或碎木屑，再填入混合好的表土+有机肥，回填至坑深的2/3处，轻轻压实，避免后期土壤沉降导致苗木倒伏。</w:t>
            </w:r>
          </w:p>
          <w:p w14:paraId="4270F3E8">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3）</w:t>
            </w:r>
            <w:r>
              <w:rPr>
                <w:rFonts w:hint="default" w:ascii="Times New Roman" w:hAnsi="Times New Roman" w:eastAsia="宋体" w:cs="Times New Roman"/>
                <w:b/>
                <w:bCs/>
                <w:color w:val="000000" w:themeColor="text1"/>
                <w14:textFill>
                  <w14:solidFill>
                    <w14:schemeClr w14:val="tx1"/>
                  </w14:solidFill>
                </w14:textFill>
              </w:rPr>
              <w:t>定植树苗</w:t>
            </w:r>
            <w:r>
              <w:rPr>
                <w:rFonts w:hint="default" w:ascii="Times New Roman" w:hAnsi="Times New Roman" w:eastAsia="宋体" w:cs="Times New Roman"/>
                <w:color w:val="000000" w:themeColor="text1"/>
                <w14:textFill>
                  <w14:solidFill>
                    <w14:schemeClr w14:val="tx1"/>
                  </w14:solidFill>
                </w14:textFill>
              </w:rPr>
              <w:t>（把控种植细节，提高定植成活率）</w:t>
            </w:r>
          </w:p>
          <w:p w14:paraId="687FCA25">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b w:val="0"/>
                <w:bCs w:val="0"/>
                <w:color w:val="000000" w:themeColor="text1"/>
                <w:lang w:eastAsia="zh-CN"/>
                <w14:textFill>
                  <w14:solidFill>
                    <w14:schemeClr w14:val="tx1"/>
                  </w14:solidFill>
                </w14:textFill>
              </w:rPr>
            </w:pPr>
            <w:r>
              <w:rPr>
                <w:rFonts w:hint="default" w:ascii="Times New Roman" w:hAnsi="Times New Roman" w:eastAsia="宋体" w:cs="Times New Roman"/>
                <w:b w:val="0"/>
                <w:bCs w:val="0"/>
                <w:color w:val="000000" w:themeColor="text1"/>
                <w14:textFill>
                  <w14:solidFill>
                    <w14:schemeClr w14:val="tx1"/>
                  </w14:solidFill>
                </w14:textFill>
              </w:rPr>
              <w:t>①定植时间</w:t>
            </w:r>
            <w:r>
              <w:rPr>
                <w:rFonts w:hint="default" w:ascii="Times New Roman" w:hAnsi="Times New Roman" w:eastAsia="宋体" w:cs="Times New Roman"/>
                <w:b w:val="0"/>
                <w:bCs w:val="0"/>
                <w:color w:val="000000" w:themeColor="text1"/>
                <w:lang w:eastAsia="zh-CN"/>
                <w14:textFill>
                  <w14:solidFill>
                    <w14:schemeClr w14:val="tx1"/>
                  </w14:solidFill>
                </w14:textFill>
              </w:rPr>
              <w:t>：</w:t>
            </w:r>
          </w:p>
          <w:p w14:paraId="6710469B">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南方地区</w:t>
            </w:r>
            <w:r>
              <w:rPr>
                <w:rFonts w:hint="default" w:ascii="Times New Roman" w:hAnsi="Times New Roman" w:eastAsia="宋体" w:cs="Times New Roman"/>
                <w:color w:val="000000" w:themeColor="text1"/>
                <w:lang w:val="en-US" w:eastAsia="zh-CN"/>
                <w14:textFill>
                  <w14:solidFill>
                    <w14:schemeClr w14:val="tx1"/>
                  </w14:solidFill>
                </w14:textFill>
              </w:rPr>
              <w:t>应</w:t>
            </w:r>
            <w:r>
              <w:rPr>
                <w:rFonts w:hint="default" w:ascii="Times New Roman" w:hAnsi="Times New Roman" w:eastAsia="宋体" w:cs="Times New Roman"/>
                <w:color w:val="000000" w:themeColor="text1"/>
                <w14:textFill>
                  <w14:solidFill>
                    <w14:schemeClr w14:val="tx1"/>
                  </w14:solidFill>
                </w14:textFill>
              </w:rPr>
              <w:t>在秋季或春季定植，秋季定植根系能提前恢复，次年长势更旺</w:t>
            </w:r>
            <w:r>
              <w:rPr>
                <w:rFonts w:hint="default" w:ascii="Times New Roman" w:hAnsi="Times New Roman" w:eastAsia="宋体" w:cs="Times New Roman"/>
                <w:color w:val="000000" w:themeColor="text1"/>
                <w:lang w:eastAsia="zh-CN"/>
                <w14:textFill>
                  <w14:solidFill>
                    <w14:schemeClr w14:val="tx1"/>
                  </w14:solidFill>
                </w14:textFill>
              </w:rPr>
              <w:t>。</w:t>
            </w:r>
          </w:p>
          <w:p w14:paraId="5C638944">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b w:val="0"/>
                <w:bCs w:val="0"/>
                <w:color w:val="000000" w:themeColor="text1"/>
                <w:lang w:eastAsia="zh-CN"/>
                <w14:textFill>
                  <w14:solidFill>
                    <w14:schemeClr w14:val="tx1"/>
                  </w14:solidFill>
                </w14:textFill>
              </w:rPr>
            </w:pPr>
            <w:r>
              <w:rPr>
                <w:rFonts w:hint="default" w:ascii="Times New Roman" w:hAnsi="Times New Roman" w:eastAsia="宋体" w:cs="Times New Roman"/>
                <w:b w:val="0"/>
                <w:bCs w:val="0"/>
                <w:color w:val="000000" w:themeColor="text1"/>
                <w14:textFill>
                  <w14:solidFill>
                    <w14:schemeClr w14:val="tx1"/>
                  </w14:solidFill>
                </w14:textFill>
              </w:rPr>
              <w:t>②定植步骤</w:t>
            </w:r>
            <w:r>
              <w:rPr>
                <w:rFonts w:hint="default" w:ascii="Times New Roman" w:hAnsi="Times New Roman" w:eastAsia="宋体" w:cs="Times New Roman"/>
                <w:b w:val="0"/>
                <w:bCs w:val="0"/>
                <w:color w:val="000000" w:themeColor="text1"/>
                <w:lang w:eastAsia="zh-CN"/>
                <w14:textFill>
                  <w14:solidFill>
                    <w14:schemeClr w14:val="tx1"/>
                  </w14:solidFill>
                </w14:textFill>
              </w:rPr>
              <w:t>：</w:t>
            </w:r>
          </w:p>
          <w:p w14:paraId="18007182">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苗木处理：定植前修剪破损根系，将苗木根系放入500倍多菌灵溶液中浸泡15</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20分钟，消毒杀菌；若苗木失水，可提前用清水浸泡根系2</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3小时，补充水分。</w:t>
            </w:r>
          </w:p>
          <w:p w14:paraId="05C802F7">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定植操作：将苗木放入坑中央，调整根系使其自然舒展，回填底土至根系完全覆盖，轻提苗木，再回填剩余土壤，压实土壤（避免根系周围有空隙），定植深度以嫁接口高出地面5</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10厘米为宜（防止嫁接口埋入土中腐烂）。</w:t>
            </w:r>
          </w:p>
          <w:p w14:paraId="51CFAF83">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b/>
                <w:bCs/>
                <w:color w:val="000000" w:themeColor="text1"/>
                <w:lang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4）</w:t>
            </w:r>
            <w:r>
              <w:rPr>
                <w:rFonts w:hint="default" w:ascii="Times New Roman" w:hAnsi="Times New Roman" w:eastAsia="宋体" w:cs="Times New Roman"/>
                <w:b/>
                <w:bCs/>
                <w:color w:val="000000" w:themeColor="text1"/>
                <w14:textFill>
                  <w14:solidFill>
                    <w14:schemeClr w14:val="tx1"/>
                  </w14:solidFill>
                </w14:textFill>
              </w:rPr>
              <w:t>浇水定根</w:t>
            </w:r>
          </w:p>
          <w:p w14:paraId="00A0830D">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b w:val="0"/>
                <w:bCs w:val="0"/>
                <w:color w:val="000000" w:themeColor="text1"/>
                <w:lang w:eastAsia="zh-CN"/>
                <w14:textFill>
                  <w14:solidFill>
                    <w14:schemeClr w14:val="tx1"/>
                  </w14:solidFill>
                </w14:textFill>
              </w:rPr>
            </w:pPr>
            <w:r>
              <w:rPr>
                <w:rFonts w:hint="default" w:ascii="Times New Roman" w:hAnsi="Times New Roman" w:eastAsia="宋体" w:cs="Times New Roman"/>
                <w:b w:val="0"/>
                <w:bCs w:val="0"/>
                <w:color w:val="000000" w:themeColor="text1"/>
                <w14:textFill>
                  <w14:solidFill>
                    <w14:schemeClr w14:val="tx1"/>
                  </w14:solidFill>
                </w14:textFill>
              </w:rPr>
              <w:t>①定根水浇灌</w:t>
            </w:r>
            <w:r>
              <w:rPr>
                <w:rFonts w:hint="default" w:ascii="Times New Roman" w:hAnsi="Times New Roman" w:eastAsia="宋体" w:cs="Times New Roman"/>
                <w:b w:val="0"/>
                <w:bCs w:val="0"/>
                <w:color w:val="000000" w:themeColor="text1"/>
                <w:lang w:eastAsia="zh-CN"/>
                <w14:textFill>
                  <w14:solidFill>
                    <w14:schemeClr w14:val="tx1"/>
                  </w14:solidFill>
                </w14:textFill>
              </w:rPr>
              <w:t>：</w:t>
            </w:r>
          </w:p>
          <w:p w14:paraId="51306932">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浇灌时机：定植后立即浇定根水，采用小水慢灌，确保水分渗透至坑底，使土壤与根系紧密贴合，避免大水漫灌导致土壤板结。</w:t>
            </w:r>
          </w:p>
          <w:p w14:paraId="7D62FD71">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用量控制：每棵树浇定根水20</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30公斤，可在水中加入500倍生根剂（如萘乙酸），促进新根萌发；浇水后观察坑内土壤，若出现下沉，及时补填土壤。</w:t>
            </w:r>
          </w:p>
          <w:p w14:paraId="0967E0F2">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b w:val="0"/>
                <w:bCs w:val="0"/>
                <w:color w:val="000000" w:themeColor="text1"/>
                <w:lang w:eastAsia="zh-CN"/>
                <w14:textFill>
                  <w14:solidFill>
                    <w14:schemeClr w14:val="tx1"/>
                  </w14:solidFill>
                </w14:textFill>
              </w:rPr>
            </w:pPr>
            <w:r>
              <w:rPr>
                <w:rFonts w:hint="default" w:ascii="Times New Roman" w:hAnsi="Times New Roman" w:eastAsia="宋体" w:cs="Times New Roman"/>
                <w:b w:val="0"/>
                <w:bCs w:val="0"/>
                <w:color w:val="000000" w:themeColor="text1"/>
                <w14:textFill>
                  <w14:solidFill>
                    <w14:schemeClr w14:val="tx1"/>
                  </w14:solidFill>
                </w14:textFill>
              </w:rPr>
              <w:t>②后期水分管理</w:t>
            </w:r>
            <w:r>
              <w:rPr>
                <w:rFonts w:hint="default" w:ascii="Times New Roman" w:hAnsi="Times New Roman" w:eastAsia="宋体" w:cs="Times New Roman"/>
                <w:b w:val="0"/>
                <w:bCs w:val="0"/>
                <w:color w:val="000000" w:themeColor="text1"/>
                <w:lang w:eastAsia="zh-CN"/>
                <w14:textFill>
                  <w14:solidFill>
                    <w14:schemeClr w14:val="tx1"/>
                  </w14:solidFill>
                </w14:textFill>
              </w:rPr>
              <w:t>：</w:t>
            </w:r>
          </w:p>
          <w:p w14:paraId="6EB0F313">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定植后1个月：保持土壤湿润（土壤含水量</w:t>
            </w:r>
            <w:r>
              <w:rPr>
                <w:rFonts w:hint="eastAsia" w:ascii="Times New Roman" w:hAnsi="Times New Roman" w:cs="Times New Roman"/>
                <w:color w:val="000000" w:themeColor="text1"/>
                <w:lang w:eastAsia="zh-CN"/>
                <w14:textFill>
                  <w14:solidFill>
                    <w14:schemeClr w14:val="tx1"/>
                  </w14:solidFill>
                </w14:textFill>
              </w:rPr>
              <w:t>60%—70%</w:t>
            </w:r>
            <w:r>
              <w:rPr>
                <w:rFonts w:hint="default" w:ascii="Times New Roman" w:hAnsi="Times New Roman" w:eastAsia="宋体" w:cs="Times New Roman"/>
                <w:color w:val="000000" w:themeColor="text1"/>
                <w14:textFill>
                  <w14:solidFill>
                    <w14:schemeClr w14:val="tx1"/>
                  </w14:solidFill>
                </w14:textFill>
              </w:rPr>
              <w:t>，用手捏土能成团不散），干旱时每7</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10天浇一次水，避免苗木缺水萎蔫；雨季及时排出坑内积水，防止根系腐烂。</w:t>
            </w:r>
          </w:p>
          <w:p w14:paraId="0492E8C7">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覆盖保墒：浇水后在树盘周围覆盖10</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15厘米厚的秸秆或地膜，减少水分蒸发，同时抑制杂草生长（地膜需在四周扎小孔，防止积水）。</w:t>
            </w:r>
          </w:p>
          <w:p w14:paraId="78197E6F">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5）</w:t>
            </w:r>
            <w:r>
              <w:rPr>
                <w:rFonts w:hint="default" w:ascii="Times New Roman" w:hAnsi="Times New Roman" w:eastAsia="宋体" w:cs="Times New Roman"/>
                <w:b/>
                <w:bCs/>
                <w:color w:val="000000" w:themeColor="text1"/>
                <w14:textFill>
                  <w14:solidFill>
                    <w14:schemeClr w14:val="tx1"/>
                  </w14:solidFill>
                </w14:textFill>
              </w:rPr>
              <w:t>日常养护</w:t>
            </w:r>
            <w:r>
              <w:rPr>
                <w:rFonts w:hint="default" w:ascii="Times New Roman" w:hAnsi="Times New Roman" w:eastAsia="宋体" w:cs="Times New Roman"/>
                <w:color w:val="000000" w:themeColor="text1"/>
                <w14:textFill>
                  <w14:solidFill>
                    <w14:schemeClr w14:val="tx1"/>
                  </w14:solidFill>
                </w14:textFill>
              </w:rPr>
              <w:t>（贯穿运营期，维持树体健康生长）</w:t>
            </w:r>
          </w:p>
          <w:p w14:paraId="23477997">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b w:val="0"/>
                <w:bCs w:val="0"/>
                <w:color w:val="000000" w:themeColor="text1"/>
                <w:lang w:eastAsia="zh-CN"/>
                <w14:textFill>
                  <w14:solidFill>
                    <w14:schemeClr w14:val="tx1"/>
                  </w14:solidFill>
                </w14:textFill>
              </w:rPr>
            </w:pPr>
            <w:r>
              <w:rPr>
                <w:rFonts w:hint="default" w:ascii="Times New Roman" w:hAnsi="Times New Roman" w:eastAsia="宋体" w:cs="Times New Roman"/>
                <w:b w:val="0"/>
                <w:bCs w:val="0"/>
                <w:color w:val="000000" w:themeColor="text1"/>
                <w14:textFill>
                  <w14:solidFill>
                    <w14:schemeClr w14:val="tx1"/>
                  </w14:solidFill>
                </w14:textFill>
              </w:rPr>
              <w:t>①肥料管理</w:t>
            </w:r>
            <w:r>
              <w:rPr>
                <w:rFonts w:hint="default" w:ascii="Times New Roman" w:hAnsi="Times New Roman" w:eastAsia="宋体" w:cs="Times New Roman"/>
                <w:b w:val="0"/>
                <w:bCs w:val="0"/>
                <w:color w:val="000000" w:themeColor="text1"/>
                <w:lang w:eastAsia="zh-CN"/>
                <w14:textFill>
                  <w14:solidFill>
                    <w14:schemeClr w14:val="tx1"/>
                  </w14:solidFill>
                </w14:textFill>
              </w:rPr>
              <w:t>：</w:t>
            </w:r>
          </w:p>
          <w:p w14:paraId="65262C8A">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生长期施肥：春季萌芽前，每棵树施氮磷钾复合肥1</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1.5公斤，促进新梢生长；夏季果实膨大期，施高钾复合肥1.5</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2公斤，搭配0.2%磷酸二氢钾叶面肥喷施2</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3次，间隔10天，提升果实品质；秋季采果后，每棵树施腐熟有机肥30</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50公斤+过磷酸钙1公斤，恢复树势，为越冬做准备。</w:t>
            </w:r>
          </w:p>
          <w:p w14:paraId="64B9FD01">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施肥方式：采用环状沟施或穴施，环状沟施在树冠投影外围挖宽20</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30厘米、深15</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20厘米的沟，将肥料均匀撒入后回填；穴施在树冠周围挖4</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6个深20厘米的穴，填入肥料后浇水，避免肥料直接接触根系导致烧根。</w:t>
            </w:r>
          </w:p>
          <w:p w14:paraId="70A1DB3C">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b w:val="0"/>
                <w:bCs w:val="0"/>
                <w:color w:val="000000" w:themeColor="text1"/>
                <w:lang w:eastAsia="zh-CN"/>
                <w14:textFill>
                  <w14:solidFill>
                    <w14:schemeClr w14:val="tx1"/>
                  </w14:solidFill>
                </w14:textFill>
              </w:rPr>
            </w:pPr>
            <w:r>
              <w:rPr>
                <w:rFonts w:hint="default" w:ascii="Times New Roman" w:hAnsi="Times New Roman" w:eastAsia="宋体" w:cs="Times New Roman"/>
                <w:b w:val="0"/>
                <w:bCs w:val="0"/>
                <w:color w:val="000000" w:themeColor="text1"/>
                <w14:textFill>
                  <w14:solidFill>
                    <w14:schemeClr w14:val="tx1"/>
                  </w14:solidFill>
                </w14:textFill>
              </w:rPr>
              <w:t>②修剪管理</w:t>
            </w:r>
            <w:r>
              <w:rPr>
                <w:rFonts w:hint="default" w:ascii="Times New Roman" w:hAnsi="Times New Roman" w:eastAsia="宋体" w:cs="Times New Roman"/>
                <w:b w:val="0"/>
                <w:bCs w:val="0"/>
                <w:color w:val="000000" w:themeColor="text1"/>
                <w:lang w:eastAsia="zh-CN"/>
                <w14:textFill>
                  <w14:solidFill>
                    <w14:schemeClr w14:val="tx1"/>
                  </w14:solidFill>
                </w14:textFill>
              </w:rPr>
              <w:t>：</w:t>
            </w:r>
          </w:p>
          <w:p w14:paraId="2346D179">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生长期修剪：春季新梢长至20</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30厘米时，疏除过密梢、徒长梢，保留健壮结果梢；夏季对徒长枝摘心（留20</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30厘米），控制枝条旺长，改善树冠通风透光条件；及时疏除萌蘖枝（树干基部萌发的枝条），减少养分消耗。</w:t>
            </w:r>
          </w:p>
          <w:p w14:paraId="1F741E27">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休眠期修剪：疏除病虫枝、交叉枝、重叠枝，保持树冠通风；短截结果枝，中长结果枝留5</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8个芽，短结果枝留</w:t>
            </w:r>
            <w:r>
              <w:rPr>
                <w:rFonts w:hint="eastAsia" w:ascii="Times New Roman" w:hAnsi="Times New Roman" w:cs="Times New Roman"/>
                <w:color w:val="000000" w:themeColor="text1"/>
                <w:lang w:eastAsia="zh-CN"/>
                <w14:textFill>
                  <w14:solidFill>
                    <w14:schemeClr w14:val="tx1"/>
                  </w14:solidFill>
                </w14:textFill>
              </w:rPr>
              <w:t>2～3个</w:t>
            </w:r>
            <w:r>
              <w:rPr>
                <w:rFonts w:hint="default" w:ascii="Times New Roman" w:hAnsi="Times New Roman" w:eastAsia="宋体" w:cs="Times New Roman"/>
                <w:color w:val="000000" w:themeColor="text1"/>
                <w14:textFill>
                  <w14:solidFill>
                    <w14:schemeClr w14:val="tx1"/>
                  </w14:solidFill>
                </w14:textFill>
              </w:rPr>
              <w:t>芽，培养新的结果枝组；控制树冠高度（保持2.5</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3米），便于后期采摘和管理。</w:t>
            </w:r>
          </w:p>
          <w:p w14:paraId="0B7F9CA9">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b w:val="0"/>
                <w:bCs w:val="0"/>
                <w:color w:val="000000" w:themeColor="text1"/>
                <w:lang w:eastAsia="zh-CN"/>
                <w14:textFill>
                  <w14:solidFill>
                    <w14:schemeClr w14:val="tx1"/>
                  </w14:solidFill>
                </w14:textFill>
              </w:rPr>
            </w:pPr>
            <w:r>
              <w:rPr>
                <w:rFonts w:hint="default" w:ascii="Times New Roman" w:hAnsi="Times New Roman" w:eastAsia="宋体" w:cs="Times New Roman"/>
                <w:b w:val="0"/>
                <w:bCs w:val="0"/>
                <w:color w:val="000000" w:themeColor="text1"/>
                <w14:textFill>
                  <w14:solidFill>
                    <w14:schemeClr w14:val="tx1"/>
                  </w14:solidFill>
                </w14:textFill>
              </w:rPr>
              <w:t>③病虫害防治</w:t>
            </w:r>
            <w:r>
              <w:rPr>
                <w:rFonts w:hint="default" w:ascii="Times New Roman" w:hAnsi="Times New Roman" w:eastAsia="宋体" w:cs="Times New Roman"/>
                <w:b w:val="0"/>
                <w:bCs w:val="0"/>
                <w:color w:val="000000" w:themeColor="text1"/>
                <w:lang w:eastAsia="zh-CN"/>
                <w14:textFill>
                  <w14:solidFill>
                    <w14:schemeClr w14:val="tx1"/>
                  </w14:solidFill>
                </w14:textFill>
              </w:rPr>
              <w:t>：</w:t>
            </w:r>
          </w:p>
          <w:p w14:paraId="23E87BCF">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常见病害防治：炭疽病（叶片出现褐色斑点、果实腐烂），发病初期喷施70%甲基托布津800倍液；穿孔病（叶片出现穿孔、枝干流胶），喷施2%春雷霉素500倍液，间隔10</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15天喷一次，连喷2</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3次。</w:t>
            </w:r>
          </w:p>
          <w:p w14:paraId="3B735032">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常见虫害防治：蚜虫（危害新梢和叶片，导致叶片卷曲），用10%吡虫啉2000倍液喷雾；桃蛀螟（蛀食果实，导致果实脱落），在果实膨大期用2.5%溴氰菊酯3000倍液喷雾，采收前15天停止用药；红蜘蛛（危害叶片，导致叶片失绿），用1.8%阿维菌素3000倍液喷雾。</w:t>
            </w:r>
          </w:p>
          <w:p w14:paraId="095E9B8B">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日常预防：定期清理园内枯枝、落叶、病果，集中烧毁或深埋，减少病虫害越冬基数；每年冬季全园对树干、地面消毒，降低病虫害发生概率。</w:t>
            </w:r>
          </w:p>
          <w:p w14:paraId="07F825F3">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b w:val="0"/>
                <w:bCs w:val="0"/>
                <w:color w:val="000000" w:themeColor="text1"/>
                <w:lang w:eastAsia="zh-CN"/>
                <w14:textFill>
                  <w14:solidFill>
                    <w14:schemeClr w14:val="tx1"/>
                  </w14:solidFill>
                </w14:textFill>
              </w:rPr>
            </w:pPr>
            <w:r>
              <w:rPr>
                <w:rFonts w:hint="default" w:ascii="Times New Roman" w:hAnsi="Times New Roman" w:eastAsia="宋体" w:cs="Times New Roman"/>
                <w:b w:val="0"/>
                <w:bCs w:val="0"/>
                <w:color w:val="000000" w:themeColor="text1"/>
                <w14:textFill>
                  <w14:solidFill>
                    <w14:schemeClr w14:val="tx1"/>
                  </w14:solidFill>
                </w14:textFill>
              </w:rPr>
              <w:t>④土壤管理</w:t>
            </w:r>
            <w:r>
              <w:rPr>
                <w:rFonts w:hint="default" w:ascii="Times New Roman" w:hAnsi="Times New Roman" w:eastAsia="宋体" w:cs="Times New Roman"/>
                <w:b w:val="0"/>
                <w:bCs w:val="0"/>
                <w:color w:val="000000" w:themeColor="text1"/>
                <w:lang w:eastAsia="zh-CN"/>
                <w14:textFill>
                  <w14:solidFill>
                    <w14:schemeClr w14:val="tx1"/>
                  </w14:solidFill>
                </w14:textFill>
              </w:rPr>
              <w:t>：</w:t>
            </w:r>
          </w:p>
          <w:p w14:paraId="1BC8007D">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中耕松土：生长期（3-9月）每月中耕一次，深度5</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10厘米，破除土壤板结，促进根系呼吸；雨季过后及时中耕，防止土壤积水。</w:t>
            </w:r>
          </w:p>
          <w:p w14:paraId="5648C18D">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杂草防除：采用人工除草或化学除草，人工除草在杂草幼苗期进行，避免杂草与</w:t>
            </w:r>
            <w:r>
              <w:rPr>
                <w:rFonts w:hint="default" w:ascii="Times New Roman" w:hAnsi="Times New Roman" w:eastAsia="宋体" w:cs="Times New Roman"/>
                <w:color w:val="000000" w:themeColor="text1"/>
                <w:lang w:eastAsia="zh-CN"/>
                <w14:textFill>
                  <w14:solidFill>
                    <w14:schemeClr w14:val="tx1"/>
                  </w14:solidFill>
                </w14:textFill>
              </w:rPr>
              <w:t>桃树、苹果树</w:t>
            </w:r>
            <w:r>
              <w:rPr>
                <w:rFonts w:hint="default" w:ascii="Times New Roman" w:hAnsi="Times New Roman" w:eastAsia="宋体" w:cs="Times New Roman"/>
                <w:color w:val="000000" w:themeColor="text1"/>
                <w14:textFill>
                  <w14:solidFill>
                    <w14:schemeClr w14:val="tx1"/>
                  </w14:solidFill>
                </w14:textFill>
              </w:rPr>
              <w:t>争夺养分；化学除草可选用百草枯（定向喷雾，避免喷到</w:t>
            </w:r>
            <w:r>
              <w:rPr>
                <w:rFonts w:hint="default" w:ascii="Times New Roman" w:hAnsi="Times New Roman" w:eastAsia="宋体" w:cs="Times New Roman"/>
                <w:color w:val="000000" w:themeColor="text1"/>
                <w:lang w:eastAsia="zh-CN"/>
                <w14:textFill>
                  <w14:solidFill>
                    <w14:schemeClr w14:val="tx1"/>
                  </w14:solidFill>
                </w14:textFill>
              </w:rPr>
              <w:t>桃树、苹果树</w:t>
            </w:r>
            <w:r>
              <w:rPr>
                <w:rFonts w:hint="default" w:ascii="Times New Roman" w:hAnsi="Times New Roman" w:eastAsia="宋体" w:cs="Times New Roman"/>
                <w:color w:val="000000" w:themeColor="text1"/>
                <w14:textFill>
                  <w14:solidFill>
                    <w14:schemeClr w14:val="tx1"/>
                  </w14:solidFill>
                </w14:textFill>
              </w:rPr>
              <w:t>叶片），在杂草旺盛期喷施，注意遵守农药使用规范。</w:t>
            </w:r>
          </w:p>
          <w:p w14:paraId="0A69141B">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6）</w:t>
            </w:r>
            <w:r>
              <w:rPr>
                <w:rFonts w:hint="default" w:ascii="Times New Roman" w:hAnsi="Times New Roman" w:eastAsia="宋体" w:cs="Times New Roman"/>
                <w:b/>
                <w:bCs/>
                <w:color w:val="000000" w:themeColor="text1"/>
                <w14:textFill>
                  <w14:solidFill>
                    <w14:schemeClr w14:val="tx1"/>
                  </w14:solidFill>
                </w14:textFill>
              </w:rPr>
              <w:t>花果管理</w:t>
            </w:r>
            <w:r>
              <w:rPr>
                <w:rFonts w:hint="default" w:ascii="Times New Roman" w:hAnsi="Times New Roman" w:eastAsia="宋体" w:cs="Times New Roman"/>
                <w:b w:val="0"/>
                <w:bCs w:val="0"/>
                <w:color w:val="000000" w:themeColor="text1"/>
                <w14:textFill>
                  <w14:solidFill>
                    <w14:schemeClr w14:val="tx1"/>
                  </w14:solidFill>
                </w14:textFill>
              </w:rPr>
              <w:t>（提升果实产量与品质，保障种植收益）</w:t>
            </w:r>
          </w:p>
          <w:p w14:paraId="6F8172F4">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b w:val="0"/>
                <w:bCs w:val="0"/>
                <w:color w:val="000000" w:themeColor="text1"/>
                <w:lang w:eastAsia="zh-CN"/>
                <w14:textFill>
                  <w14:solidFill>
                    <w14:schemeClr w14:val="tx1"/>
                  </w14:solidFill>
                </w14:textFill>
              </w:rPr>
            </w:pPr>
            <w:r>
              <w:rPr>
                <w:rFonts w:hint="default" w:ascii="Times New Roman" w:hAnsi="Times New Roman" w:eastAsia="宋体" w:cs="Times New Roman"/>
                <w:b w:val="0"/>
                <w:bCs w:val="0"/>
                <w:color w:val="000000" w:themeColor="text1"/>
                <w14:textFill>
                  <w14:solidFill>
                    <w14:schemeClr w14:val="tx1"/>
                  </w14:solidFill>
                </w14:textFill>
              </w:rPr>
              <w:t>①疏花疏果</w:t>
            </w:r>
            <w:r>
              <w:rPr>
                <w:rFonts w:hint="default" w:ascii="Times New Roman" w:hAnsi="Times New Roman" w:eastAsia="宋体" w:cs="Times New Roman"/>
                <w:b w:val="0"/>
                <w:bCs w:val="0"/>
                <w:color w:val="000000" w:themeColor="text1"/>
                <w:lang w:eastAsia="zh-CN"/>
                <w14:textFill>
                  <w14:solidFill>
                    <w14:schemeClr w14:val="tx1"/>
                  </w14:solidFill>
                </w14:textFill>
              </w:rPr>
              <w:t>：</w:t>
            </w:r>
          </w:p>
          <w:p w14:paraId="4A7D01C4">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疏花：疏除过密花、畸形花（如双瓣花、无雌蕊花）、弱花，保留健壮花，中长结果枝留8-10朵花，短结果枝留3-5朵花，减少养分浪费，提高坐果率。</w:t>
            </w:r>
          </w:p>
          <w:p w14:paraId="5104F72E">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疏果：第一次疏果在花后2周，疏除小果、双果、畸形果；第二次疏果在花后4周（定果），根据树势和品种确定留果量，中长结果枝留</w:t>
            </w:r>
            <w:r>
              <w:rPr>
                <w:rFonts w:hint="eastAsia" w:ascii="Times New Roman" w:hAnsi="Times New Roman" w:cs="Times New Roman"/>
                <w:color w:val="000000" w:themeColor="text1"/>
                <w:lang w:eastAsia="zh-CN"/>
                <w14:textFill>
                  <w14:solidFill>
                    <w14:schemeClr w14:val="tx1"/>
                  </w14:solidFill>
                </w14:textFill>
              </w:rPr>
              <w:t>2～3个</w:t>
            </w:r>
            <w:r>
              <w:rPr>
                <w:rFonts w:hint="default" w:ascii="Times New Roman" w:hAnsi="Times New Roman" w:eastAsia="宋体" w:cs="Times New Roman"/>
                <w:color w:val="000000" w:themeColor="text1"/>
                <w14:textFill>
                  <w14:solidFill>
                    <w14:schemeClr w14:val="tx1"/>
                  </w14:solidFill>
                </w14:textFill>
              </w:rPr>
              <w:t>果，短结果枝留1个果，果间距保持15</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20厘米，避免果实相互挤压影响膨大。</w:t>
            </w:r>
          </w:p>
          <w:p w14:paraId="64F95CEE">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b w:val="0"/>
                <w:bCs w:val="0"/>
                <w:color w:val="000000" w:themeColor="text1"/>
                <w:lang w:eastAsia="zh-CN"/>
                <w14:textFill>
                  <w14:solidFill>
                    <w14:schemeClr w14:val="tx1"/>
                  </w14:solidFill>
                </w14:textFill>
              </w:rPr>
            </w:pPr>
            <w:r>
              <w:rPr>
                <w:rFonts w:hint="default" w:ascii="Times New Roman" w:hAnsi="Times New Roman" w:eastAsia="宋体" w:cs="Times New Roman"/>
                <w:b w:val="0"/>
                <w:bCs w:val="0"/>
                <w:color w:val="000000" w:themeColor="text1"/>
                <w14:textFill>
                  <w14:solidFill>
                    <w14:schemeClr w14:val="tx1"/>
                  </w14:solidFill>
                </w14:textFill>
              </w:rPr>
              <w:t>②果实提质</w:t>
            </w:r>
            <w:r>
              <w:rPr>
                <w:rFonts w:hint="default" w:ascii="Times New Roman" w:hAnsi="Times New Roman" w:eastAsia="宋体" w:cs="Times New Roman"/>
                <w:b w:val="0"/>
                <w:bCs w:val="0"/>
                <w:color w:val="000000" w:themeColor="text1"/>
                <w:lang w:eastAsia="zh-CN"/>
                <w14:textFill>
                  <w14:solidFill>
                    <w14:schemeClr w14:val="tx1"/>
                  </w14:solidFill>
                </w14:textFill>
              </w:rPr>
              <w:t>：</w:t>
            </w:r>
          </w:p>
          <w:p w14:paraId="03912072">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套袋防护：定果后进行果实套袋，选择透气性好的纸袋（如单层木浆纸袋），套袋前喷施一次杀菌剂，待药液干后套袋，袋口扎紧，防止害虫进入；采收前15</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20天摘袋，促进果实着色。</w:t>
            </w:r>
          </w:p>
          <w:p w14:paraId="2E88550C">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水分调控：果实膨大期保持土壤湿润，干旱时及时浇水（采用滴灌或喷灌，避免大水漫灌导致裂果）；采收前10</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15天控制浇水，若遇雨天及时排水，减少裂果，提升果实甜度。</w:t>
            </w:r>
          </w:p>
          <w:p w14:paraId="3CEF7B7E">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b w:val="0"/>
                <w:bCs w:val="0"/>
                <w:color w:val="000000" w:themeColor="text1"/>
                <w:lang w:eastAsia="zh-CN"/>
                <w14:textFill>
                  <w14:solidFill>
                    <w14:schemeClr w14:val="tx1"/>
                  </w14:solidFill>
                </w14:textFill>
              </w:rPr>
            </w:pPr>
            <w:r>
              <w:rPr>
                <w:rFonts w:hint="default" w:ascii="Times New Roman" w:hAnsi="Times New Roman" w:eastAsia="宋体" w:cs="Times New Roman"/>
                <w:b w:val="0"/>
                <w:bCs w:val="0"/>
                <w:color w:val="000000" w:themeColor="text1"/>
                <w14:textFill>
                  <w14:solidFill>
                    <w14:schemeClr w14:val="tx1"/>
                  </w14:solidFill>
                </w14:textFill>
              </w:rPr>
              <w:t>③采收管理</w:t>
            </w:r>
            <w:r>
              <w:rPr>
                <w:rFonts w:hint="default" w:ascii="Times New Roman" w:hAnsi="Times New Roman" w:eastAsia="宋体" w:cs="Times New Roman"/>
                <w:b w:val="0"/>
                <w:bCs w:val="0"/>
                <w:color w:val="000000" w:themeColor="text1"/>
                <w:lang w:eastAsia="zh-CN"/>
                <w14:textFill>
                  <w14:solidFill>
                    <w14:schemeClr w14:val="tx1"/>
                  </w14:solidFill>
                </w14:textFill>
              </w:rPr>
              <w:t>：</w:t>
            </w:r>
          </w:p>
          <w:p w14:paraId="04223FC3">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采收时机：根据品种成熟度确定采收时间，成熟果实果皮颜色鲜艳、果肉微软、甜度达标（糖度≥12），过早采收果实口感差，过晚采收易脱落、腐烂。</w:t>
            </w:r>
          </w:p>
          <w:p w14:paraId="46A9B143">
            <w:pPr>
              <w:pStyle w:val="37"/>
              <w:keepNext w:val="0"/>
              <w:keepLines w:val="0"/>
              <w:pageBreakBefore w:val="0"/>
              <w:widowControl w:val="0"/>
              <w:kinsoku/>
              <w:wordWrap/>
              <w:overflowPunct/>
              <w:topLinePunct w:val="0"/>
              <w:autoSpaceDE/>
              <w:autoSpaceDN/>
              <w:bidi w:val="0"/>
              <w:adjustRightInd w:val="0"/>
              <w:snapToGrid w:val="0"/>
              <w:jc w:val="both"/>
              <w:textAlignment w:val="auto"/>
              <w:rPr>
                <w:rFonts w:hint="default"/>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采收方法：人工采收，用手托住果实，拇指和食指捏住果柄，轻轻向上掰动，避免用力拉扯导致果实损伤；采收后将果实轻放入筐，避免挤压，分级包装（按果实大小、色泽分级），提高商品价值</w:t>
            </w:r>
          </w:p>
          <w:p w14:paraId="41179555">
            <w:pPr>
              <w:pStyle w:val="37"/>
              <w:jc w:val="both"/>
              <w:rPr>
                <w:rFonts w:hint="default"/>
                <w:color w:val="000000" w:themeColor="text1"/>
                <w14:textFill>
                  <w14:solidFill>
                    <w14:schemeClr w14:val="tx1"/>
                  </w14:solidFill>
                </w14:textFill>
              </w:rPr>
            </w:pPr>
          </w:p>
        </w:tc>
      </w:tr>
      <w:tr w14:paraId="631D22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97" w:hRule="atLeast"/>
          <w:jc w:val="center"/>
        </w:trPr>
        <w:tc>
          <w:tcPr>
            <w:tcW w:w="448" w:type="pct"/>
            <w:vAlign w:val="center"/>
          </w:tcPr>
          <w:p w14:paraId="723D6DD1">
            <w:pPr>
              <w:adjustRightInd w:val="0"/>
              <w:snapToGrid w:val="0"/>
              <w:ind w:firstLine="0" w:firstLineChars="0"/>
              <w:jc w:val="both"/>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其他</w:t>
            </w:r>
          </w:p>
        </w:tc>
        <w:tc>
          <w:tcPr>
            <w:tcW w:w="4551" w:type="pct"/>
            <w:vAlign w:val="center"/>
          </w:tcPr>
          <w:p w14:paraId="1B459FA3">
            <w:pPr>
              <w:pStyle w:val="37"/>
              <w:jc w:val="both"/>
              <w:rPr>
                <w:rFonts w:hint="default"/>
                <w:color w:val="000000" w:themeColor="text1"/>
                <w14:textFill>
                  <w14:solidFill>
                    <w14:schemeClr w14:val="tx1"/>
                  </w14:solidFill>
                </w14:textFill>
              </w:rPr>
            </w:pPr>
          </w:p>
          <w:p w14:paraId="2EE86F04">
            <w:pPr>
              <w:pStyle w:val="37"/>
              <w:jc w:val="both"/>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无</w:t>
            </w:r>
          </w:p>
          <w:p w14:paraId="6E1201F5">
            <w:pPr>
              <w:pStyle w:val="37"/>
              <w:jc w:val="both"/>
              <w:rPr>
                <w:rFonts w:hint="default"/>
                <w:color w:val="000000" w:themeColor="text1"/>
                <w14:textFill>
                  <w14:solidFill>
                    <w14:schemeClr w14:val="tx1"/>
                  </w14:solidFill>
                </w14:textFill>
              </w:rPr>
            </w:pPr>
          </w:p>
        </w:tc>
      </w:tr>
    </w:tbl>
    <w:p w14:paraId="1542C74E">
      <w:pPr>
        <w:jc w:val="both"/>
        <w:rPr>
          <w:rFonts w:hint="default" w:ascii="Times New Roman" w:hAnsi="Times New Roman" w:eastAsia="宋体" w:cs="Times New Roman"/>
          <w:snapToGrid w:val="0"/>
          <w:color w:val="000000" w:themeColor="text1"/>
          <w:sz w:val="30"/>
          <w:szCs w:val="30"/>
          <w14:textFill>
            <w14:solidFill>
              <w14:schemeClr w14:val="tx1"/>
            </w14:solidFill>
          </w14:textFill>
        </w:rPr>
        <w:sectPr>
          <w:pgSz w:w="11906" w:h="16838"/>
          <w:pgMar w:top="1440" w:right="1800" w:bottom="1440" w:left="1800" w:header="851" w:footer="1077" w:gutter="0"/>
          <w:pgBorders>
            <w:top w:val="none" w:sz="0" w:space="0"/>
            <w:left w:val="none" w:sz="0" w:space="0"/>
            <w:bottom w:val="none" w:sz="0" w:space="0"/>
            <w:right w:val="none" w:sz="0" w:space="0"/>
          </w:pgBorders>
          <w:pgNumType w:fmt="decimal"/>
          <w:cols w:space="425" w:num="1"/>
          <w:docGrid w:linePitch="312" w:charSpace="0"/>
        </w:sectPr>
      </w:pPr>
      <w:bookmarkStart w:id="9" w:name="_Toc87899390"/>
    </w:p>
    <w:p w14:paraId="105DB15D">
      <w:pPr>
        <w:pStyle w:val="2"/>
        <w:bidi w:val="0"/>
        <w:ind w:firstLine="904" w:firstLineChars="300"/>
        <w:jc w:val="both"/>
        <w:rPr>
          <w:rFonts w:hint="eastAsia" w:ascii="宋体" w:hAnsi="宋体" w:eastAsia="宋体" w:cs="宋体"/>
          <w:color w:val="000000" w:themeColor="text1"/>
          <w:lang w:eastAsia="zh-CN"/>
          <w14:textFill>
            <w14:solidFill>
              <w14:schemeClr w14:val="tx1"/>
            </w14:solidFill>
          </w14:textFill>
        </w:rPr>
      </w:pPr>
      <w:bookmarkStart w:id="10" w:name="_Toc14531"/>
      <w:r>
        <w:rPr>
          <w:rFonts w:hint="eastAsia" w:ascii="宋体" w:hAnsi="宋体" w:eastAsia="宋体" w:cs="宋体"/>
          <w:color w:val="000000" w:themeColor="text1"/>
          <w14:textFill>
            <w14:solidFill>
              <w14:schemeClr w14:val="tx1"/>
            </w14:solidFill>
          </w14:textFill>
        </w:rPr>
        <w:t>三、生态环境现状、保护目标及评价标准</w:t>
      </w:r>
      <w:bookmarkEnd w:id="9"/>
      <w:bookmarkEnd w:id="10"/>
      <w:r>
        <w:rPr>
          <w:rFonts w:hint="eastAsia" w:ascii="宋体" w:hAnsi="宋体" w:eastAsia="宋体" w:cs="宋体"/>
          <w:color w:val="000000" w:themeColor="text1"/>
          <w:lang w:eastAsia="zh-CN"/>
          <w14:textFill>
            <w14:solidFill>
              <w14:schemeClr w14:val="tx1"/>
            </w14:solidFill>
          </w14:textFill>
        </w:rPr>
        <w:tab/>
      </w:r>
    </w:p>
    <w:tbl>
      <w:tblPr>
        <w:tblStyle w:val="26"/>
        <w:tblW w:w="5132"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92"/>
        <w:gridCol w:w="7955"/>
      </w:tblGrid>
      <w:tr w14:paraId="1EE2B4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3" w:type="pct"/>
            <w:vAlign w:val="center"/>
          </w:tcPr>
          <w:p w14:paraId="48FBA724">
            <w:pPr>
              <w:adjustRightInd w:val="0"/>
              <w:snapToGrid w:val="0"/>
              <w:ind w:firstLine="0" w:firstLineChars="0"/>
              <w:jc w:val="both"/>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生态环境现状</w:t>
            </w:r>
          </w:p>
        </w:tc>
        <w:tc>
          <w:tcPr>
            <w:tcW w:w="4546" w:type="pct"/>
            <w:vAlign w:val="center"/>
          </w:tcPr>
          <w:p w14:paraId="7DB43324">
            <w:pPr>
              <w:keepNext w:val="0"/>
              <w:keepLines w:val="0"/>
              <w:pageBreakBefore w:val="0"/>
              <w:widowControl w:val="0"/>
              <w:kinsoku/>
              <w:wordWrap/>
              <w:overflowPunct/>
              <w:topLinePunct w:val="0"/>
              <w:autoSpaceDE/>
              <w:autoSpaceDN/>
              <w:bidi w:val="0"/>
              <w:adjustRightInd w:val="0"/>
              <w:snapToGrid w:val="0"/>
              <w:ind w:leftChars="0" w:firstLine="482" w:firstLineChars="200"/>
              <w:jc w:val="both"/>
              <w:textAlignment w:val="auto"/>
              <w:rPr>
                <w:rFonts w:hint="default" w:ascii="Times New Roman" w:hAnsi="Times New Roman" w:eastAsia="宋体" w:cs="Times New Roman"/>
                <w:b/>
                <w:bCs/>
                <w:color w:val="000000" w:themeColor="text1"/>
                <w14:textFill>
                  <w14:solidFill>
                    <w14:schemeClr w14:val="tx1"/>
                  </w14:solidFill>
                </w14:textFill>
              </w:rPr>
            </w:pPr>
            <w:r>
              <w:rPr>
                <w:rFonts w:hint="default" w:ascii="Times New Roman" w:hAnsi="Times New Roman" w:eastAsia="宋体" w:cs="Times New Roman"/>
                <w:b/>
                <w:bCs/>
                <w:color w:val="000000" w:themeColor="text1"/>
                <w14:textFill>
                  <w14:solidFill>
                    <w14:schemeClr w14:val="tx1"/>
                  </w14:solidFill>
                </w14:textFill>
              </w:rPr>
              <w:t>一、生态环境质量</w:t>
            </w:r>
          </w:p>
          <w:p w14:paraId="0770BD08">
            <w:pPr>
              <w:keepNext w:val="0"/>
              <w:keepLines w:val="0"/>
              <w:pageBreakBefore w:val="0"/>
              <w:widowControl w:val="0"/>
              <w:numPr>
                <w:ilvl w:val="0"/>
                <w:numId w:val="7"/>
              </w:numPr>
              <w:kinsoku/>
              <w:wordWrap/>
              <w:overflowPunct/>
              <w:topLinePunct w:val="0"/>
              <w:autoSpaceDE/>
              <w:autoSpaceDN/>
              <w:bidi w:val="0"/>
              <w:adjustRightInd w:val="0"/>
              <w:snapToGrid w:val="0"/>
              <w:ind w:leftChars="0" w:firstLine="482" w:firstLineChars="200"/>
              <w:jc w:val="both"/>
              <w:textAlignment w:val="auto"/>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主体功能区划</w:t>
            </w:r>
          </w:p>
          <w:p w14:paraId="3633873C">
            <w:pPr>
              <w:keepNext w:val="0"/>
              <w:keepLines w:val="0"/>
              <w:pageBreakBefore w:val="0"/>
              <w:widowControl w:val="0"/>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eastAsia="宋体" w:cs="Times New Roman"/>
                <w:color w:val="000000" w:themeColor="text1"/>
                <w:lang w:val="zh-CN"/>
                <w14:textFill>
                  <w14:solidFill>
                    <w14:schemeClr w14:val="tx1"/>
                  </w14:solidFill>
                </w14:textFill>
              </w:rPr>
            </w:pPr>
            <w:r>
              <w:rPr>
                <w:rFonts w:hint="default" w:ascii="Times New Roman" w:hAnsi="Times New Roman" w:eastAsia="宋体" w:cs="Times New Roman"/>
                <w:color w:val="000000" w:themeColor="text1"/>
                <w:lang w:val="zh-CN"/>
                <w14:textFill>
                  <w14:solidFill>
                    <w14:schemeClr w14:val="tx1"/>
                  </w14:solidFill>
                </w14:textFill>
              </w:rPr>
              <w:t>根据云南省人民政府2014年1月6日印发的《云南省主体功能区规划》（云政发</w:t>
            </w:r>
            <w:r>
              <w:rPr>
                <w:rFonts w:hint="eastAsia" w:ascii="Times New Roman" w:hAnsi="Times New Roman" w:cs="Times New Roman"/>
                <w:color w:val="000000" w:themeColor="text1"/>
                <w:lang w:val="zh-CN"/>
                <w14:textFill>
                  <w14:solidFill>
                    <w14:schemeClr w14:val="tx1"/>
                  </w14:solidFill>
                </w14:textFill>
              </w:rPr>
              <w:t>〔2014〕1号</w:t>
            </w:r>
            <w:r>
              <w:rPr>
                <w:rFonts w:hint="default" w:ascii="Times New Roman" w:hAnsi="Times New Roman" w:eastAsia="宋体" w:cs="Times New Roman"/>
                <w:color w:val="000000" w:themeColor="text1"/>
                <w:lang w:val="zh-CN"/>
                <w14:textFill>
                  <w14:solidFill>
                    <w14:schemeClr w14:val="tx1"/>
                  </w14:solidFill>
                </w14:textFill>
              </w:rPr>
              <w:t>文），将云南省</w:t>
            </w:r>
            <w:r>
              <w:rPr>
                <w:rFonts w:hint="default" w:ascii="Times New Roman" w:hAnsi="Times New Roman" w:eastAsia="宋体" w:cs="Times New Roman"/>
                <w:color w:val="000000" w:themeColor="text1"/>
                <w:lang w:val="en-US"/>
                <w14:textFill>
                  <w14:solidFill>
                    <w14:schemeClr w14:val="tx1"/>
                  </w14:solidFill>
                </w14:textFill>
              </w:rPr>
              <w:t>国土</w:t>
            </w:r>
            <w:r>
              <w:rPr>
                <w:rFonts w:hint="default" w:ascii="Times New Roman" w:hAnsi="Times New Roman" w:eastAsia="宋体" w:cs="Times New Roman"/>
                <w:color w:val="000000" w:themeColor="text1"/>
                <w:lang w:val="zh-CN"/>
                <w14:textFill>
                  <w14:solidFill>
                    <w14:schemeClr w14:val="tx1"/>
                  </w14:solidFill>
                </w14:textFill>
              </w:rPr>
              <w:t>空间分为重点开发区、限制开</w:t>
            </w:r>
            <w:r>
              <w:rPr>
                <w:rFonts w:hint="eastAsia" w:ascii="Times New Roman" w:hAnsi="Times New Roman" w:cs="Times New Roman"/>
                <w:color w:val="000000" w:themeColor="text1"/>
                <w:lang w:val="zh-CN"/>
                <w14:textFill>
                  <w14:solidFill>
                    <w14:schemeClr w14:val="tx1"/>
                  </w14:solidFill>
                </w14:textFill>
              </w:rPr>
              <w:t>发区</w:t>
            </w:r>
            <w:r>
              <w:rPr>
                <w:rFonts w:hint="default" w:ascii="Times New Roman" w:hAnsi="Times New Roman" w:eastAsia="宋体" w:cs="Times New Roman"/>
                <w:color w:val="000000" w:themeColor="text1"/>
                <w:lang w:val="zh-CN"/>
                <w14:textFill>
                  <w14:solidFill>
                    <w14:schemeClr w14:val="tx1"/>
                  </w14:solidFill>
                </w14:textFill>
              </w:rPr>
              <w:t>和禁止开发区三种区域。云南省重点开发的区域集中连片重点开发区域和其他重点开发的区域两类；云南省限制开发的区域主要为保障农产品供给和生态安全的重要区域，包括农产品主产区和重点生态功能区2类；云南省的禁止开发区域分为国家级和省级，具体包括：自然保护区、世界遗产、风景名胜区、森林公园、地质公园、城市饮用水源保护区、湿地公园、水产种质资源保护区、牛栏江流域上游保护区水源保护核心区等。</w:t>
            </w:r>
          </w:p>
          <w:p w14:paraId="33B76F66">
            <w:pPr>
              <w:keepNext w:val="0"/>
              <w:keepLines w:val="0"/>
              <w:pageBreakBefore w:val="0"/>
              <w:widowControl w:val="0"/>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根据云南省主体功能区划分总图（详见附图</w:t>
            </w:r>
            <w:r>
              <w:rPr>
                <w:rFonts w:hint="default" w:ascii="Times New Roman" w:hAnsi="Times New Roman" w:eastAsia="宋体" w:cs="Times New Roman"/>
                <w:color w:val="000000" w:themeColor="text1"/>
                <w:lang w:val="en-US" w:eastAsia="zh-CN"/>
                <w14:textFill>
                  <w14:solidFill>
                    <w14:schemeClr w14:val="tx1"/>
                  </w14:solidFill>
                </w14:textFill>
              </w:rPr>
              <w:t>4</w:t>
            </w:r>
            <w:r>
              <w:rPr>
                <w:rFonts w:hint="default" w:ascii="Times New Roman" w:hAnsi="Times New Roman" w:eastAsia="宋体" w:cs="Times New Roman"/>
                <w:color w:val="000000" w:themeColor="text1"/>
                <w14:textFill>
                  <w14:solidFill>
                    <w14:schemeClr w14:val="tx1"/>
                  </w14:solidFill>
                </w14:textFill>
              </w:rPr>
              <w:t>），本项目所在的玉溪市峨山彝族自治县，属于《云南省主体功能区划》中国家重点开发区，不属于限制开发区域和禁止开发区域，符合《云南省主体功能区划》</w:t>
            </w:r>
            <w:r>
              <w:rPr>
                <w:rFonts w:hint="default" w:ascii="Times New Roman" w:hAnsi="Times New Roman" w:eastAsia="宋体" w:cs="Times New Roman"/>
                <w:color w:val="000000" w:themeColor="text1"/>
                <w:lang w:val="en-US" w:eastAsia="zh-CN"/>
                <w14:textFill>
                  <w14:solidFill>
                    <w14:schemeClr w14:val="tx1"/>
                  </w14:solidFill>
                </w14:textFill>
              </w:rPr>
              <w:t>相关要求</w:t>
            </w:r>
            <w:r>
              <w:rPr>
                <w:rFonts w:hint="default" w:ascii="Times New Roman" w:hAnsi="Times New Roman" w:eastAsia="宋体" w:cs="Times New Roman"/>
                <w:color w:val="000000" w:themeColor="text1"/>
                <w14:textFill>
                  <w14:solidFill>
                    <w14:schemeClr w14:val="tx1"/>
                  </w14:solidFill>
                </w14:textFill>
              </w:rPr>
              <w:t>。</w:t>
            </w:r>
          </w:p>
          <w:p w14:paraId="58647FDE">
            <w:pPr>
              <w:keepNext w:val="0"/>
              <w:keepLines w:val="0"/>
              <w:pageBreakBefore w:val="0"/>
              <w:widowControl w:val="0"/>
              <w:numPr>
                <w:ilvl w:val="0"/>
                <w:numId w:val="7"/>
              </w:numPr>
              <w:kinsoku/>
              <w:wordWrap/>
              <w:overflowPunct/>
              <w:topLinePunct w:val="0"/>
              <w:autoSpaceDE/>
              <w:autoSpaceDN/>
              <w:bidi w:val="0"/>
              <w:adjustRightInd w:val="0"/>
              <w:snapToGrid w:val="0"/>
              <w:ind w:left="0" w:leftChars="0" w:firstLine="482" w:firstLineChars="200"/>
              <w:jc w:val="both"/>
              <w:textAlignment w:val="auto"/>
              <w:rPr>
                <w:rFonts w:hint="default" w:ascii="Times New Roman" w:hAnsi="Times New Roman" w:eastAsia="宋体" w:cs="Times New Roman"/>
                <w:b/>
                <w:bCs/>
                <w:color w:val="000000" w:themeColor="text1"/>
                <w14:textFill>
                  <w14:solidFill>
                    <w14:schemeClr w14:val="tx1"/>
                  </w14:solidFill>
                </w14:textFill>
              </w:rPr>
            </w:pPr>
            <w:r>
              <w:rPr>
                <w:rFonts w:hint="default" w:ascii="Times New Roman" w:hAnsi="Times New Roman" w:eastAsia="宋体" w:cs="Times New Roman"/>
                <w:b/>
                <w:bCs/>
                <w:color w:val="000000" w:themeColor="text1"/>
                <w14:textFill>
                  <w14:solidFill>
                    <w14:schemeClr w14:val="tx1"/>
                  </w14:solidFill>
                </w14:textFill>
              </w:rPr>
              <w:t>生态环境功能区划</w:t>
            </w:r>
          </w:p>
          <w:p w14:paraId="5C06A5BB">
            <w:pPr>
              <w:keepNext w:val="0"/>
              <w:keepLines w:val="0"/>
              <w:pageBreakBefore w:val="0"/>
              <w:widowControl w:val="0"/>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zh-CN" w:eastAsia="zh-CN"/>
                <w14:textFill>
                  <w14:solidFill>
                    <w14:schemeClr w14:val="tx1"/>
                  </w14:solidFill>
                </w14:textFill>
              </w:rPr>
              <w:t>根据</w:t>
            </w:r>
            <w:r>
              <w:rPr>
                <w:rFonts w:hint="default" w:ascii="Times New Roman" w:hAnsi="Times New Roman" w:eastAsia="宋体" w:cs="Times New Roman"/>
                <w:color w:val="000000" w:themeColor="text1"/>
                <w:lang w:val="zh-CN"/>
                <w14:textFill>
                  <w14:solidFill>
                    <w14:schemeClr w14:val="tx1"/>
                  </w14:solidFill>
                </w14:textFill>
              </w:rPr>
              <w:t>《云南省生态功能区划》</w:t>
            </w:r>
            <w:r>
              <w:rPr>
                <w:rFonts w:hint="default" w:ascii="Times New Roman" w:hAnsi="Times New Roman" w:eastAsia="宋体" w:cs="Times New Roman"/>
                <w:color w:val="000000" w:themeColor="text1"/>
                <w:lang w:val="en-US" w:eastAsia="zh-CN"/>
                <w14:textFill>
                  <w14:solidFill>
                    <w14:schemeClr w14:val="tx1"/>
                  </w14:solidFill>
                </w14:textFill>
              </w:rPr>
              <w:t>以及《</w:t>
            </w:r>
            <w:r>
              <w:rPr>
                <w:rFonts w:hint="default" w:ascii="Times New Roman" w:hAnsi="Times New Roman" w:eastAsia="宋体" w:cs="Times New Roman"/>
                <w:color w:val="000000" w:themeColor="text1"/>
                <w:lang w:val="zh-CN"/>
                <w14:textFill>
                  <w14:solidFill>
                    <w14:schemeClr w14:val="tx1"/>
                  </w14:solidFill>
                </w14:textFill>
              </w:rPr>
              <w:t>云南省生态功能</w:t>
            </w:r>
            <w:r>
              <w:rPr>
                <w:rFonts w:hint="default" w:ascii="Times New Roman" w:hAnsi="Times New Roman" w:eastAsia="宋体" w:cs="Times New Roman"/>
                <w:color w:val="000000" w:themeColor="text1"/>
                <w:lang w:val="en-US" w:eastAsia="zh-CN"/>
                <w14:textFill>
                  <w14:solidFill>
                    <w14:schemeClr w14:val="tx1"/>
                  </w14:solidFill>
                </w14:textFill>
              </w:rPr>
              <w:t>类型图》</w:t>
            </w:r>
            <w:r>
              <w:rPr>
                <w:rFonts w:hint="default" w:ascii="Times New Roman" w:hAnsi="Times New Roman" w:eastAsia="宋体" w:cs="Times New Roman"/>
                <w:color w:val="000000" w:themeColor="text1"/>
                <w:lang w:val="zh-CN"/>
                <w14:textFill>
                  <w14:solidFill>
                    <w14:schemeClr w14:val="tx1"/>
                  </w14:solidFill>
                </w14:textFill>
              </w:rPr>
              <w:t>（详见附图</w:t>
            </w:r>
            <w:r>
              <w:rPr>
                <w:rFonts w:hint="default" w:ascii="Times New Roman" w:hAnsi="Times New Roman" w:eastAsia="宋体" w:cs="Times New Roman"/>
                <w:color w:val="000000" w:themeColor="text1"/>
                <w:lang w:val="en-US" w:eastAsia="zh-CN"/>
                <w14:textFill>
                  <w14:solidFill>
                    <w14:schemeClr w14:val="tx1"/>
                  </w14:solidFill>
                </w14:textFill>
              </w:rPr>
              <w:t>3</w:t>
            </w:r>
            <w:r>
              <w:rPr>
                <w:rFonts w:hint="default" w:ascii="Times New Roman" w:hAnsi="Times New Roman" w:eastAsia="宋体" w:cs="Times New Roman"/>
                <w:color w:val="000000" w:themeColor="text1"/>
                <w:lang w:val="zh-CN"/>
                <w14:textFill>
                  <w14:solidFill>
                    <w14:schemeClr w14:val="tx1"/>
                  </w14:solidFill>
                </w14:textFill>
              </w:rPr>
              <w:t>）的符合性分析</w:t>
            </w:r>
            <w:r>
              <w:rPr>
                <w:rFonts w:hint="default" w:ascii="Times New Roman" w:hAnsi="Times New Roman" w:eastAsia="宋体" w:cs="Times New Roman"/>
                <w:color w:val="000000" w:themeColor="text1"/>
                <w:lang w:val="zh-CN" w:eastAsia="zh-CN"/>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本项目为农产品、药材种植项目，主要种植蓝莓、三七、羊肚菌、桃树、苹果树。项目的建设可以一定程度的解决</w:t>
            </w:r>
            <w:r>
              <w:rPr>
                <w:rFonts w:hint="default" w:ascii="Times New Roman" w:hAnsi="Times New Roman" w:eastAsia="宋体" w:cs="Times New Roman"/>
                <w:color w:val="000000" w:themeColor="text1"/>
                <w:lang w:val="zh-CN"/>
                <w14:textFill>
                  <w14:solidFill>
                    <w14:schemeClr w14:val="tx1"/>
                  </w14:solidFill>
                </w14:textFill>
              </w:rPr>
              <w:t>Ⅲ1滇中高原谷盆半湿润常绿阔叶林、暖性针叶林生态亚区</w:t>
            </w:r>
            <w:r>
              <w:rPr>
                <w:rFonts w:hint="default" w:ascii="Times New Roman" w:hAnsi="Times New Roman" w:eastAsia="宋体" w:cs="Times New Roman"/>
                <w:color w:val="000000" w:themeColor="text1"/>
                <w:lang w:val="zh-CN" w:eastAsia="zh-CN"/>
                <w14:textFill>
                  <w14:solidFill>
                    <w14:schemeClr w14:val="tx1"/>
                  </w14:solidFill>
                </w14:textFill>
              </w:rPr>
              <w:t>，</w:t>
            </w:r>
            <w:r>
              <w:rPr>
                <w:rFonts w:hint="default" w:ascii="Times New Roman" w:hAnsi="Times New Roman" w:eastAsia="宋体" w:cs="Times New Roman"/>
                <w:color w:val="000000" w:themeColor="text1"/>
                <w:lang w:val="zh-CN"/>
                <w14:textFill>
                  <w14:solidFill>
                    <w14:schemeClr w14:val="tx1"/>
                  </w14:solidFill>
                </w14:textFill>
              </w:rPr>
              <w:t>Ⅲ1-5绿汁江河谷水土保持生态功能区</w:t>
            </w:r>
            <w:r>
              <w:rPr>
                <w:rFonts w:hint="default" w:ascii="Times New Roman" w:hAnsi="Times New Roman" w:eastAsia="宋体" w:cs="Times New Roman"/>
                <w:color w:val="000000" w:themeColor="text1"/>
                <w:lang w:val="en-US" w:eastAsia="zh-CN"/>
                <w14:textFill>
                  <w14:solidFill>
                    <w14:schemeClr w14:val="tx1"/>
                  </w14:solidFill>
                </w14:textFill>
              </w:rPr>
              <w:t>中</w:t>
            </w:r>
            <w:r>
              <w:rPr>
                <w:rFonts w:hint="default" w:ascii="Times New Roman" w:hAnsi="Times New Roman" w:eastAsia="宋体" w:cs="Times New Roman"/>
                <w:color w:val="000000" w:themeColor="text1"/>
                <w:lang w:val="zh-CN"/>
                <w14:textFill>
                  <w14:solidFill>
                    <w14:schemeClr w14:val="tx1"/>
                  </w14:solidFill>
                </w14:textFill>
              </w:rPr>
              <w:t>不合理的土地利用带来的水土流失严重</w:t>
            </w:r>
            <w:r>
              <w:rPr>
                <w:rFonts w:hint="default" w:ascii="Times New Roman" w:hAnsi="Times New Roman" w:eastAsia="宋体" w:cs="Times New Roman"/>
                <w:color w:val="000000" w:themeColor="text1"/>
                <w:lang w:val="en-US" w:eastAsia="zh-CN"/>
                <w14:textFill>
                  <w14:solidFill>
                    <w14:schemeClr w14:val="tx1"/>
                  </w14:solidFill>
                </w14:textFill>
              </w:rPr>
              <w:t>的生态问题，还可以发展农产品基地项目，改善土壤环境，减少土地的过度利用带来的土地退化，</w:t>
            </w:r>
            <w:r>
              <w:rPr>
                <w:rFonts w:hint="default" w:ascii="Times New Roman" w:hAnsi="Times New Roman" w:eastAsia="宋体" w:cs="Times New Roman"/>
                <w:color w:val="000000" w:themeColor="text1"/>
                <w:lang w:val="zh-CN"/>
                <w14:textFill>
                  <w14:solidFill>
                    <w14:schemeClr w14:val="tx1"/>
                  </w14:solidFill>
                </w14:textFill>
              </w:rPr>
              <w:t>符合《云南省生态功能区划》</w:t>
            </w:r>
            <w:r>
              <w:rPr>
                <w:rFonts w:hint="default" w:ascii="Times New Roman" w:hAnsi="Times New Roman" w:eastAsia="宋体" w:cs="Times New Roman"/>
                <w:color w:val="000000" w:themeColor="text1"/>
                <w:lang w:val="en-US" w:eastAsia="zh-CN"/>
                <w14:textFill>
                  <w14:solidFill>
                    <w14:schemeClr w14:val="tx1"/>
                  </w14:solidFill>
                </w14:textFill>
              </w:rPr>
              <w:t>相关要求</w:t>
            </w:r>
            <w:r>
              <w:rPr>
                <w:rFonts w:hint="default" w:ascii="Times New Roman" w:hAnsi="Times New Roman" w:eastAsia="宋体" w:cs="Times New Roman"/>
                <w:color w:val="000000" w:themeColor="text1"/>
                <w:lang w:val="zh-CN"/>
                <w14:textFill>
                  <w14:solidFill>
                    <w14:schemeClr w14:val="tx1"/>
                  </w14:solidFill>
                </w14:textFill>
              </w:rPr>
              <w:t>。</w:t>
            </w:r>
          </w:p>
          <w:p w14:paraId="471484B8">
            <w:pPr>
              <w:keepNext w:val="0"/>
              <w:keepLines w:val="0"/>
              <w:pageBreakBefore w:val="0"/>
              <w:widowControl w:val="0"/>
              <w:numPr>
                <w:ilvl w:val="0"/>
                <w:numId w:val="0"/>
              </w:numPr>
              <w:kinsoku/>
              <w:wordWrap/>
              <w:overflowPunct/>
              <w:topLinePunct w:val="0"/>
              <w:autoSpaceDE/>
              <w:autoSpaceDN/>
              <w:bidi w:val="0"/>
              <w:adjustRightInd w:val="0"/>
              <w:snapToGrid w:val="0"/>
              <w:ind w:leftChars="0" w:firstLine="482" w:firstLineChars="200"/>
              <w:jc w:val="both"/>
              <w:textAlignment w:val="auto"/>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3、土地利用现状</w:t>
            </w:r>
          </w:p>
          <w:p w14:paraId="405315AF">
            <w:pPr>
              <w:keepNext w:val="0"/>
              <w:keepLines w:val="0"/>
              <w:pageBreakBefore w:val="0"/>
              <w:widowControl w:val="0"/>
              <w:kinsoku/>
              <w:wordWrap/>
              <w:overflowPunct/>
              <w:topLinePunct w:val="0"/>
              <w:autoSpaceDE/>
              <w:autoSpaceDN/>
              <w:bidi w:val="0"/>
              <w:adjustRightInd w:val="0"/>
              <w:snapToGrid w:val="0"/>
              <w:ind w:leftChars="0" w:firstLine="482" w:firstLineChars="200"/>
              <w:jc w:val="both"/>
              <w:textAlignment w:val="auto"/>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（1）区域土地利用现状</w:t>
            </w:r>
          </w:p>
          <w:p w14:paraId="76CC4DC3">
            <w:pPr>
              <w:keepNext w:val="0"/>
              <w:keepLines w:val="0"/>
              <w:pageBreakBefore w:val="0"/>
              <w:widowControl w:val="0"/>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根据《峨山县土地利用动态分析》（农村经济与科技2017年第28卷第24期），2014年，全县土地总面积193206.29hm²，占全市总面积的12.93%。其中：农用地178729.55hm²，占土地总面积的92.51%；建设用地8179.03hm²，占土地总面积的4.23%；其他土地6297.71hm²，通过对《峨山县土地利用动态分析》的调查了解，峨山县土地利用动态变化的定量与定性的分析，从而得到近年来峨山县发展中的土地利用整体的变化情况，具体表现为土地利用结构整体变化不大；土地利用数量变化幅度较小；土地利用及其多样性保持相对稳定的状态。通过对结果为分析峨山县未来土地利用动态变化趋势及有效推动峨山县土地资源的合理有效利用提供了依据。</w:t>
            </w:r>
          </w:p>
          <w:p w14:paraId="72215BBC">
            <w:pPr>
              <w:keepNext w:val="0"/>
              <w:keepLines w:val="0"/>
              <w:pageBreakBefore w:val="0"/>
              <w:widowControl w:val="0"/>
              <w:kinsoku/>
              <w:wordWrap/>
              <w:overflowPunct/>
              <w:topLinePunct w:val="0"/>
              <w:autoSpaceDE/>
              <w:autoSpaceDN/>
              <w:bidi w:val="0"/>
              <w:adjustRightInd w:val="0"/>
              <w:snapToGrid w:val="0"/>
              <w:ind w:leftChars="0" w:firstLine="482" w:firstLineChars="200"/>
              <w:jc w:val="both"/>
              <w:textAlignment w:val="auto"/>
              <w:rPr>
                <w:rFonts w:hint="default" w:ascii="Times New Roman" w:hAnsi="Times New Roman" w:eastAsia="宋体" w:cs="Times New Roman"/>
                <w:b/>
                <w:bCs/>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highlight w:val="none"/>
                <w:lang w:val="en-US" w:eastAsia="zh-CN"/>
                <w14:textFill>
                  <w14:solidFill>
                    <w14:schemeClr w14:val="tx1"/>
                  </w14:solidFill>
                </w14:textFill>
              </w:rPr>
              <w:t>（2）</w:t>
            </w:r>
            <w:r>
              <w:rPr>
                <w:rFonts w:hint="eastAsia" w:ascii="Times New Roman" w:hAnsi="Times New Roman" w:cs="Times New Roman"/>
                <w:b/>
                <w:bCs/>
                <w:color w:val="000000" w:themeColor="text1"/>
                <w:highlight w:val="none"/>
                <w:lang w:val="en-US" w:eastAsia="zh-CN"/>
                <w14:textFill>
                  <w14:solidFill>
                    <w14:schemeClr w14:val="tx1"/>
                  </w14:solidFill>
                </w14:textFill>
              </w:rPr>
              <w:t>项目</w:t>
            </w:r>
            <w:r>
              <w:rPr>
                <w:rFonts w:hint="default" w:ascii="Times New Roman" w:hAnsi="Times New Roman" w:eastAsia="宋体" w:cs="Times New Roman"/>
                <w:b/>
                <w:bCs/>
                <w:color w:val="000000" w:themeColor="text1"/>
                <w:highlight w:val="none"/>
                <w:lang w:val="en-US" w:eastAsia="zh-CN"/>
                <w14:textFill>
                  <w14:solidFill>
                    <w14:schemeClr w14:val="tx1"/>
                  </w14:solidFill>
                </w14:textFill>
              </w:rPr>
              <w:t>区土地利用现状</w:t>
            </w:r>
          </w:p>
          <w:p w14:paraId="51D4371E">
            <w:pPr>
              <w:keepNext w:val="0"/>
              <w:keepLines w:val="0"/>
              <w:pageBreakBefore w:val="0"/>
              <w:widowControl w:val="0"/>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ascii="Times New Roman" w:hAnsi="Times New Roman" w:cs="Times New Roman"/>
                <w:color w:val="000000" w:themeColor="text1"/>
                <w:highlight w:val="none"/>
                <w:lang w:val="en-US" w:eastAsia="zh-CN"/>
                <w14:textFill>
                  <w14:solidFill>
                    <w14:schemeClr w14:val="tx1"/>
                  </w14:solidFill>
                </w14:textFill>
              </w:rPr>
              <w:t>根据峨山彝族自治县出具的《峨山县塔甸镇大西村委会大西山的农林种植基地建设项目占地范围内土地利用现状》说明，项目区占地范围内的土地利用现状见下表。</w:t>
            </w:r>
          </w:p>
          <w:p w14:paraId="5103B5F9">
            <w:pPr>
              <w:pStyle w:val="74"/>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宋体" w:cs="Times New Roman"/>
                <w:b/>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color w:val="000000" w:themeColor="text1"/>
                <w:sz w:val="21"/>
                <w:szCs w:val="21"/>
                <w:highlight w:val="none"/>
                <w:lang w:val="en-US" w:eastAsia="zh-CN"/>
                <w14:textFill>
                  <w14:solidFill>
                    <w14:schemeClr w14:val="tx1"/>
                  </w14:solidFill>
                </w14:textFill>
              </w:rPr>
              <w:t>表3-1</w:t>
            </w:r>
            <w:r>
              <w:rPr>
                <w:rFonts w:hint="eastAsia" w:ascii="Times New Roman" w:hAnsi="Times New Roman" w:cs="Times New Roman"/>
                <w:b/>
                <w:color w:val="000000" w:themeColor="text1"/>
                <w:sz w:val="21"/>
                <w:szCs w:val="21"/>
                <w:highlight w:val="none"/>
                <w:lang w:val="en-US" w:eastAsia="zh-CN"/>
                <w14:textFill>
                  <w14:solidFill>
                    <w14:schemeClr w14:val="tx1"/>
                  </w14:solidFill>
                </w14:textFill>
              </w:rPr>
              <w:t xml:space="preserve">   一片</w:t>
            </w:r>
            <w:r>
              <w:rPr>
                <w:rFonts w:hint="default" w:ascii="Times New Roman" w:hAnsi="Times New Roman" w:eastAsia="宋体" w:cs="Times New Roman"/>
                <w:b/>
                <w:color w:val="000000" w:themeColor="text1"/>
                <w:sz w:val="21"/>
                <w:szCs w:val="21"/>
                <w:highlight w:val="none"/>
                <w:lang w:val="en-US" w:eastAsia="zh-CN"/>
                <w14:textFill>
                  <w14:solidFill>
                    <w14:schemeClr w14:val="tx1"/>
                  </w14:solidFill>
                </w14:textFill>
              </w:rPr>
              <w:t>区土地利用现状</w:t>
            </w:r>
            <w:r>
              <w:rPr>
                <w:rFonts w:hint="eastAsia" w:ascii="Times New Roman" w:hAnsi="Times New Roman" w:cs="Times New Roman"/>
                <w:b/>
                <w:color w:val="000000" w:themeColor="text1"/>
                <w:sz w:val="21"/>
                <w:szCs w:val="21"/>
                <w:highlight w:val="none"/>
                <w:lang w:val="en-US" w:eastAsia="zh-CN"/>
                <w14:textFill>
                  <w14:solidFill>
                    <w14:schemeClr w14:val="tx1"/>
                  </w14:solidFill>
                </w14:textFill>
              </w:rPr>
              <w:t>类型及面积一览表</w:t>
            </w:r>
          </w:p>
          <w:tbl>
            <w:tblPr>
              <w:tblStyle w:val="26"/>
              <w:tblW w:w="773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162"/>
              <w:gridCol w:w="2572"/>
              <w:gridCol w:w="1639"/>
              <w:gridCol w:w="1366"/>
            </w:tblGrid>
            <w:tr w14:paraId="260043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1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6B11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一级分类</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E92D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二级分类</w:t>
                  </w:r>
                </w:p>
              </w:tc>
              <w:tc>
                <w:tcPr>
                  <w:tcW w:w="10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C986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面积</w:t>
                  </w:r>
                  <w:r>
                    <w:rPr>
                      <w:rFonts w:hint="eastAsia" w:ascii="Times New Roman" w:hAnsi="Times New Roman" w:cs="Times New Roman"/>
                      <w:b/>
                      <w:bCs/>
                      <w:i w:val="0"/>
                      <w:iCs w:val="0"/>
                      <w:color w:val="000000" w:themeColor="text1"/>
                      <w:kern w:val="0"/>
                      <w:sz w:val="21"/>
                      <w:szCs w:val="21"/>
                      <w:highlight w:val="none"/>
                      <w:u w:val="none"/>
                      <w:lang w:val="en-US" w:eastAsia="zh-CN" w:bidi="ar"/>
                      <w14:textFill>
                        <w14:solidFill>
                          <w14:schemeClr w14:val="tx1"/>
                        </w14:solidFill>
                      </w14:textFill>
                    </w:rPr>
                    <w:t>（</w:t>
                  </w: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m²</w:t>
                  </w:r>
                  <w:r>
                    <w:rPr>
                      <w:rFonts w:hint="eastAsia" w:ascii="Times New Roman" w:hAnsi="Times New Roman" w:cs="Times New Roman"/>
                      <w:b/>
                      <w:bCs/>
                      <w:i w:val="0"/>
                      <w:iCs w:val="0"/>
                      <w:color w:val="000000" w:themeColor="text1"/>
                      <w:kern w:val="0"/>
                      <w:sz w:val="21"/>
                      <w:szCs w:val="21"/>
                      <w:highlight w:val="none"/>
                      <w:u w:val="none"/>
                      <w:lang w:val="en-US" w:eastAsia="zh-CN" w:bidi="ar"/>
                      <w14:textFill>
                        <w14:solidFill>
                          <w14:schemeClr w14:val="tx1"/>
                        </w14:solidFill>
                      </w14:textFill>
                    </w:rPr>
                    <w:t>）</w:t>
                  </w:r>
                </w:p>
              </w:tc>
              <w:tc>
                <w:tcPr>
                  <w:tcW w:w="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D616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占比%</w:t>
                  </w:r>
                </w:p>
              </w:tc>
            </w:tr>
            <w:tr w14:paraId="61D9EC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139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B8DF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林地</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3A25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乔木林地</w:t>
                  </w:r>
                </w:p>
              </w:tc>
              <w:tc>
                <w:tcPr>
                  <w:tcW w:w="10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5E48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44380.19</w:t>
                  </w:r>
                </w:p>
              </w:tc>
              <w:tc>
                <w:tcPr>
                  <w:tcW w:w="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F0BA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r>
                    <w:rPr>
                      <w:rFonts w:hint="eastAsia" w:ascii="Times New Roman" w:hAnsi="Times New Roman" w:cs="Times New Roman"/>
                      <w:i w:val="0"/>
                      <w:iCs w:val="0"/>
                      <w:color w:val="000000" w:themeColor="text1"/>
                      <w:sz w:val="21"/>
                      <w:szCs w:val="21"/>
                      <w:highlight w:val="none"/>
                      <w:u w:val="none"/>
                      <w:lang w:val="en-US" w:eastAsia="zh-CN"/>
                      <w14:textFill>
                        <w14:solidFill>
                          <w14:schemeClr w14:val="tx1"/>
                        </w14:solidFill>
                      </w14:textFill>
                    </w:rPr>
                    <w:t>20.01</w:t>
                  </w:r>
                </w:p>
              </w:tc>
            </w:tr>
            <w:tr w14:paraId="6A338E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139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5BDD0">
                  <w:pPr>
                    <w:keepNext w:val="0"/>
                    <w:keepLines w:val="0"/>
                    <w:pageBreakBefore w:val="0"/>
                    <w:widowControl/>
                    <w:kinsoku/>
                    <w:wordWrap/>
                    <w:overflowPunct/>
                    <w:topLinePunct w:val="0"/>
                    <w:autoSpaceDE/>
                    <w:autoSpaceDN/>
                    <w:bidi w:val="0"/>
                    <w:adjustRightInd/>
                    <w:snapToGrid/>
                    <w:spacing w:line="240" w:lineRule="auto"/>
                    <w:ind w:firstLine="0" w:firstLineChars="0"/>
                    <w:jc w:val="both"/>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2AC7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灌木林地</w:t>
                  </w:r>
                </w:p>
              </w:tc>
              <w:tc>
                <w:tcPr>
                  <w:tcW w:w="10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86D9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555.44</w:t>
                  </w:r>
                </w:p>
              </w:tc>
              <w:tc>
                <w:tcPr>
                  <w:tcW w:w="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D877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r>
                    <w:rPr>
                      <w:rFonts w:hint="eastAsia" w:ascii="Times New Roman" w:hAnsi="Times New Roman" w:cs="Times New Roman"/>
                      <w:i w:val="0"/>
                      <w:iCs w:val="0"/>
                      <w:color w:val="000000" w:themeColor="text1"/>
                      <w:sz w:val="21"/>
                      <w:szCs w:val="21"/>
                      <w:highlight w:val="none"/>
                      <w:u w:val="none"/>
                      <w:lang w:val="en-US" w:eastAsia="zh-CN"/>
                      <w14:textFill>
                        <w14:solidFill>
                          <w14:schemeClr w14:val="tx1"/>
                        </w14:solidFill>
                      </w14:textFill>
                    </w:rPr>
                    <w:t>0.25</w:t>
                  </w:r>
                </w:p>
              </w:tc>
            </w:tr>
            <w:tr w14:paraId="009602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1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2F5D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草地</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4D2F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其他草地</w:t>
                  </w:r>
                </w:p>
              </w:tc>
              <w:tc>
                <w:tcPr>
                  <w:tcW w:w="1058"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224DDCB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1116.8</w:t>
                  </w:r>
                </w:p>
              </w:tc>
              <w:tc>
                <w:tcPr>
                  <w:tcW w:w="882"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31972EF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r>
                    <w:rPr>
                      <w:rFonts w:hint="eastAsia" w:ascii="Times New Roman" w:hAnsi="Times New Roman" w:cs="Times New Roman"/>
                      <w:i w:val="0"/>
                      <w:iCs w:val="0"/>
                      <w:color w:val="000000" w:themeColor="text1"/>
                      <w:sz w:val="21"/>
                      <w:szCs w:val="21"/>
                      <w:highlight w:val="none"/>
                      <w:u w:val="none"/>
                      <w:lang w:val="en-US" w:eastAsia="zh-CN"/>
                      <w14:textFill>
                        <w14:solidFill>
                          <w14:schemeClr w14:val="tx1"/>
                        </w14:solidFill>
                      </w14:textFill>
                    </w:rPr>
                    <w:t>0.5</w:t>
                  </w:r>
                </w:p>
              </w:tc>
            </w:tr>
            <w:tr w14:paraId="2A581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1396" w:type="pct"/>
                  <w:vMerge w:val="restart"/>
                  <w:tcBorders>
                    <w:top w:val="single" w:color="000000" w:sz="4" w:space="0"/>
                    <w:left w:val="single" w:color="000000" w:sz="4" w:space="0"/>
                    <w:right w:val="single" w:color="000000" w:sz="4" w:space="0"/>
                  </w:tcBorders>
                  <w:shd w:val="clear" w:color="auto" w:fill="auto"/>
                  <w:noWrap/>
                  <w:vAlign w:val="center"/>
                </w:tcPr>
                <w:p w14:paraId="43129E4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园地</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8EEC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果园</w:t>
                  </w:r>
                </w:p>
              </w:tc>
              <w:tc>
                <w:tcPr>
                  <w:tcW w:w="1058"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411B96C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34475.62</w:t>
                  </w:r>
                </w:p>
              </w:tc>
              <w:tc>
                <w:tcPr>
                  <w:tcW w:w="882"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047F848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cs="Times New Roman"/>
                      <w:i w:val="0"/>
                      <w:iCs w:val="0"/>
                      <w:color w:val="000000" w:themeColor="text1"/>
                      <w:kern w:val="0"/>
                      <w:sz w:val="21"/>
                      <w:szCs w:val="21"/>
                      <w:highlight w:val="none"/>
                      <w:u w:val="none"/>
                      <w:lang w:val="en-US" w:eastAsia="zh-CN" w:bidi="ar"/>
                      <w14:textFill>
                        <w14:solidFill>
                          <w14:schemeClr w14:val="tx1"/>
                        </w14:solidFill>
                      </w14:textFill>
                    </w:rPr>
                    <w:t>15.54</w:t>
                  </w:r>
                </w:p>
              </w:tc>
            </w:tr>
            <w:tr w14:paraId="419721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1396" w:type="pct"/>
                  <w:vMerge w:val="continue"/>
                  <w:tcBorders>
                    <w:left w:val="single" w:color="000000" w:sz="4" w:space="0"/>
                    <w:bottom w:val="single" w:color="000000" w:sz="4" w:space="0"/>
                    <w:right w:val="single" w:color="000000" w:sz="4" w:space="0"/>
                  </w:tcBorders>
                  <w:shd w:val="clear" w:color="auto" w:fill="auto"/>
                  <w:noWrap/>
                  <w:vAlign w:val="center"/>
                </w:tcPr>
                <w:p w14:paraId="7D057A8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6097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cs="Times New Roman"/>
                      <w:i w:val="0"/>
                      <w:iCs w:val="0"/>
                      <w:color w:val="000000" w:themeColor="text1"/>
                      <w:kern w:val="0"/>
                      <w:sz w:val="21"/>
                      <w:szCs w:val="21"/>
                      <w:highlight w:val="none"/>
                      <w:u w:val="none"/>
                      <w:lang w:val="en-US" w:eastAsia="zh-CN" w:bidi="ar"/>
                      <w14:textFill>
                        <w14:solidFill>
                          <w14:schemeClr w14:val="tx1"/>
                        </w14:solidFill>
                      </w14:textFill>
                    </w:rPr>
                    <w:t>其他园地</w:t>
                  </w:r>
                </w:p>
              </w:tc>
              <w:tc>
                <w:tcPr>
                  <w:tcW w:w="1058"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0FDC026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86074.92</w:t>
                  </w:r>
                </w:p>
              </w:tc>
              <w:tc>
                <w:tcPr>
                  <w:tcW w:w="882"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4654080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cs="Times New Roman"/>
                      <w:i w:val="0"/>
                      <w:iCs w:val="0"/>
                      <w:color w:val="000000" w:themeColor="text1"/>
                      <w:kern w:val="0"/>
                      <w:sz w:val="21"/>
                      <w:szCs w:val="21"/>
                      <w:highlight w:val="none"/>
                      <w:u w:val="none"/>
                      <w:lang w:val="en-US" w:eastAsia="zh-CN" w:bidi="ar"/>
                      <w14:textFill>
                        <w14:solidFill>
                          <w14:schemeClr w14:val="tx1"/>
                        </w14:solidFill>
                      </w14:textFill>
                    </w:rPr>
                    <w:t>38.81</w:t>
                  </w:r>
                </w:p>
              </w:tc>
            </w:tr>
            <w:tr w14:paraId="3D04A7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1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EA4E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交通运输用地</w:t>
                  </w:r>
                </w:p>
              </w:tc>
              <w:tc>
                <w:tcPr>
                  <w:tcW w:w="1661"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13E71C4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农村道路</w:t>
                  </w:r>
                </w:p>
              </w:tc>
              <w:tc>
                <w:tcPr>
                  <w:tcW w:w="1058" w:type="pct"/>
                  <w:tcBorders>
                    <w:top w:val="single" w:color="000000" w:sz="4" w:space="0"/>
                    <w:left w:val="single" w:color="auto" w:sz="4" w:space="0"/>
                    <w:bottom w:val="single" w:color="000000" w:sz="4" w:space="0"/>
                    <w:right w:val="single" w:color="auto" w:sz="4" w:space="0"/>
                  </w:tcBorders>
                  <w:shd w:val="clear" w:color="auto" w:fill="auto"/>
                  <w:noWrap/>
                  <w:vAlign w:val="center"/>
                </w:tcPr>
                <w:p w14:paraId="3D26583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4534.49</w:t>
                  </w:r>
                </w:p>
              </w:tc>
              <w:tc>
                <w:tcPr>
                  <w:tcW w:w="882" w:type="pct"/>
                  <w:tcBorders>
                    <w:top w:val="single" w:color="000000" w:sz="4" w:space="0"/>
                    <w:left w:val="single" w:color="auto" w:sz="4" w:space="0"/>
                    <w:bottom w:val="single" w:color="000000" w:sz="4" w:space="0"/>
                    <w:right w:val="single" w:color="auto" w:sz="4" w:space="0"/>
                  </w:tcBorders>
                  <w:shd w:val="clear" w:color="auto" w:fill="auto"/>
                  <w:noWrap/>
                  <w:vAlign w:val="center"/>
                </w:tcPr>
                <w:p w14:paraId="40BE7D0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cs="Times New Roman"/>
                      <w:i w:val="0"/>
                      <w:iCs w:val="0"/>
                      <w:color w:val="000000" w:themeColor="text1"/>
                      <w:kern w:val="0"/>
                      <w:sz w:val="21"/>
                      <w:szCs w:val="21"/>
                      <w:highlight w:val="none"/>
                      <w:u w:val="none"/>
                      <w:lang w:val="en-US" w:eastAsia="zh-CN" w:bidi="ar"/>
                      <w14:textFill>
                        <w14:solidFill>
                          <w14:schemeClr w14:val="tx1"/>
                        </w14:solidFill>
                      </w14:textFill>
                    </w:rPr>
                    <w:t>2.04</w:t>
                  </w:r>
                </w:p>
              </w:tc>
            </w:tr>
            <w:tr w14:paraId="1A844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1396" w:type="pct"/>
                  <w:tcBorders>
                    <w:top w:val="single" w:color="000000" w:sz="4" w:space="0"/>
                    <w:left w:val="single" w:color="000000" w:sz="4" w:space="0"/>
                    <w:right w:val="single" w:color="000000" w:sz="4" w:space="0"/>
                  </w:tcBorders>
                  <w:shd w:val="clear" w:color="auto" w:fill="auto"/>
                  <w:noWrap/>
                  <w:vAlign w:val="center"/>
                </w:tcPr>
                <w:p w14:paraId="769A07E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Times New Roman"/>
                      <w:i w:val="0"/>
                      <w:iCs w:val="0"/>
                      <w:color w:val="000000" w:themeColor="text1"/>
                      <w:sz w:val="21"/>
                      <w:szCs w:val="21"/>
                      <w:highlight w:val="none"/>
                      <w:u w:val="none"/>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水域用地</w:t>
                  </w:r>
                </w:p>
              </w:tc>
              <w:tc>
                <w:tcPr>
                  <w:tcW w:w="1661" w:type="pct"/>
                  <w:tcBorders>
                    <w:top w:val="single" w:color="000000" w:sz="4" w:space="0"/>
                    <w:left w:val="single" w:color="000000" w:sz="4" w:space="0"/>
                    <w:bottom w:val="single" w:color="auto" w:sz="4" w:space="0"/>
                    <w:right w:val="single" w:color="000000" w:sz="4" w:space="0"/>
                  </w:tcBorders>
                  <w:shd w:val="clear" w:color="auto" w:fill="auto"/>
                  <w:noWrap/>
                  <w:vAlign w:val="center"/>
                </w:tcPr>
                <w:p w14:paraId="5B1CC4D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Times New Roman"/>
                      <w:i w:val="0"/>
                      <w:iCs w:val="0"/>
                      <w:color w:val="000000" w:themeColor="text1"/>
                      <w:sz w:val="21"/>
                      <w:szCs w:val="21"/>
                      <w:highlight w:val="none"/>
                      <w:u w:val="none"/>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坑塘水面</w:t>
                  </w:r>
                </w:p>
              </w:tc>
              <w:tc>
                <w:tcPr>
                  <w:tcW w:w="1058" w:type="pct"/>
                  <w:tcBorders>
                    <w:top w:val="single" w:color="000000" w:sz="4" w:space="0"/>
                    <w:left w:val="single" w:color="000000" w:sz="4" w:space="0"/>
                    <w:bottom w:val="single" w:color="auto" w:sz="4" w:space="0"/>
                    <w:right w:val="single" w:color="000000" w:sz="4" w:space="0"/>
                  </w:tcBorders>
                  <w:shd w:val="clear" w:color="auto" w:fill="auto"/>
                  <w:noWrap/>
                  <w:vAlign w:val="center"/>
                </w:tcPr>
                <w:p w14:paraId="08630DF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1427.56</w:t>
                  </w:r>
                </w:p>
              </w:tc>
              <w:tc>
                <w:tcPr>
                  <w:tcW w:w="882" w:type="pct"/>
                  <w:tcBorders>
                    <w:top w:val="single" w:color="000000" w:sz="4" w:space="0"/>
                    <w:left w:val="single" w:color="000000" w:sz="4" w:space="0"/>
                    <w:bottom w:val="single" w:color="auto" w:sz="4" w:space="0"/>
                    <w:right w:val="single" w:color="000000" w:sz="4" w:space="0"/>
                  </w:tcBorders>
                  <w:shd w:val="clear" w:color="auto" w:fill="auto"/>
                  <w:noWrap/>
                  <w:vAlign w:val="center"/>
                </w:tcPr>
                <w:p w14:paraId="0CB9E84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r>
                    <w:rPr>
                      <w:rFonts w:hint="eastAsia" w:ascii="Times New Roman" w:hAnsi="Times New Roman" w:cs="Times New Roman"/>
                      <w:i w:val="0"/>
                      <w:iCs w:val="0"/>
                      <w:color w:val="000000" w:themeColor="text1"/>
                      <w:sz w:val="21"/>
                      <w:szCs w:val="21"/>
                      <w:highlight w:val="none"/>
                      <w:u w:val="none"/>
                      <w:lang w:val="en-US" w:eastAsia="zh-CN"/>
                      <w14:textFill>
                        <w14:solidFill>
                          <w14:schemeClr w14:val="tx1"/>
                        </w14:solidFill>
                      </w14:textFill>
                    </w:rPr>
                    <w:t>0.64</w:t>
                  </w:r>
                </w:p>
              </w:tc>
            </w:tr>
            <w:tr w14:paraId="5F8F2A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1396" w:type="pct"/>
                  <w:tcBorders>
                    <w:top w:val="single" w:color="000000" w:sz="4" w:space="0"/>
                    <w:left w:val="single" w:color="000000" w:sz="4" w:space="0"/>
                    <w:right w:val="single" w:color="000000" w:sz="4" w:space="0"/>
                  </w:tcBorders>
                  <w:shd w:val="clear" w:color="auto" w:fill="auto"/>
                  <w:noWrap/>
                  <w:vAlign w:val="center"/>
                </w:tcPr>
                <w:p w14:paraId="2C9725D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cs="Times New Roman"/>
                      <w:i w:val="0"/>
                      <w:iCs w:val="0"/>
                      <w:color w:val="000000" w:themeColor="text1"/>
                      <w:kern w:val="0"/>
                      <w:sz w:val="21"/>
                      <w:szCs w:val="21"/>
                      <w:highlight w:val="none"/>
                      <w:u w:val="none"/>
                      <w:lang w:val="en-US" w:eastAsia="zh-CN" w:bidi="ar"/>
                      <w14:textFill>
                        <w14:solidFill>
                          <w14:schemeClr w14:val="tx1"/>
                        </w14:solidFill>
                      </w14:textFill>
                    </w:rPr>
                    <w:t>其他土地</w:t>
                  </w:r>
                </w:p>
              </w:tc>
              <w:tc>
                <w:tcPr>
                  <w:tcW w:w="1661" w:type="pct"/>
                  <w:tcBorders>
                    <w:top w:val="single" w:color="000000" w:sz="4" w:space="0"/>
                    <w:left w:val="single" w:color="000000" w:sz="4" w:space="0"/>
                    <w:bottom w:val="single" w:color="auto" w:sz="4" w:space="0"/>
                    <w:right w:val="single" w:color="000000" w:sz="4" w:space="0"/>
                  </w:tcBorders>
                  <w:shd w:val="clear" w:color="auto" w:fill="auto"/>
                  <w:noWrap/>
                  <w:vAlign w:val="center"/>
                </w:tcPr>
                <w:p w14:paraId="116026D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cs="Times New Roman"/>
                      <w:i w:val="0"/>
                      <w:iCs w:val="0"/>
                      <w:color w:val="000000" w:themeColor="text1"/>
                      <w:kern w:val="0"/>
                      <w:sz w:val="21"/>
                      <w:szCs w:val="21"/>
                      <w:highlight w:val="none"/>
                      <w:u w:val="none"/>
                      <w:lang w:val="en-US" w:eastAsia="zh-CN" w:bidi="ar"/>
                      <w14:textFill>
                        <w14:solidFill>
                          <w14:schemeClr w14:val="tx1"/>
                        </w14:solidFill>
                      </w14:textFill>
                    </w:rPr>
                    <w:t>设施农用地</w:t>
                  </w:r>
                </w:p>
              </w:tc>
              <w:tc>
                <w:tcPr>
                  <w:tcW w:w="1058" w:type="pct"/>
                  <w:tcBorders>
                    <w:top w:val="single" w:color="000000" w:sz="4" w:space="0"/>
                    <w:left w:val="single" w:color="000000" w:sz="4" w:space="0"/>
                    <w:bottom w:val="single" w:color="auto" w:sz="4" w:space="0"/>
                    <w:right w:val="single" w:color="000000" w:sz="4" w:space="0"/>
                  </w:tcBorders>
                  <w:shd w:val="clear" w:color="auto" w:fill="auto"/>
                  <w:noWrap/>
                  <w:vAlign w:val="center"/>
                </w:tcPr>
                <w:p w14:paraId="127CD57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48790.63</w:t>
                  </w:r>
                </w:p>
              </w:tc>
              <w:tc>
                <w:tcPr>
                  <w:tcW w:w="882" w:type="pct"/>
                  <w:tcBorders>
                    <w:top w:val="single" w:color="000000" w:sz="4" w:space="0"/>
                    <w:left w:val="single" w:color="000000" w:sz="4" w:space="0"/>
                    <w:bottom w:val="single" w:color="auto" w:sz="4" w:space="0"/>
                    <w:right w:val="single" w:color="000000" w:sz="4" w:space="0"/>
                  </w:tcBorders>
                  <w:shd w:val="clear" w:color="auto" w:fill="auto"/>
                  <w:noWrap/>
                  <w:vAlign w:val="center"/>
                </w:tcPr>
                <w:p w14:paraId="3578EFC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r>
                    <w:rPr>
                      <w:rFonts w:hint="eastAsia" w:ascii="Times New Roman" w:hAnsi="Times New Roman" w:cs="Times New Roman"/>
                      <w:i w:val="0"/>
                      <w:iCs w:val="0"/>
                      <w:color w:val="000000" w:themeColor="text1"/>
                      <w:sz w:val="21"/>
                      <w:szCs w:val="21"/>
                      <w:highlight w:val="none"/>
                      <w:u w:val="none"/>
                      <w:lang w:val="en-US" w:eastAsia="zh-CN"/>
                      <w14:textFill>
                        <w14:solidFill>
                          <w14:schemeClr w14:val="tx1"/>
                        </w14:solidFill>
                      </w14:textFill>
                    </w:rPr>
                    <w:t>22</w:t>
                  </w:r>
                </w:p>
              </w:tc>
            </w:tr>
            <w:tr w14:paraId="6AE84E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1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3480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r>
                    <w:rPr>
                      <w:rFonts w:hint="eastAsia" w:ascii="Times New Roman" w:hAnsi="Times New Roman" w:cs="Times New Roman"/>
                      <w:i w:val="0"/>
                      <w:iCs w:val="0"/>
                      <w:color w:val="000000" w:themeColor="text1"/>
                      <w:sz w:val="21"/>
                      <w:szCs w:val="21"/>
                      <w:highlight w:val="none"/>
                      <w:u w:val="none"/>
                      <w:lang w:val="en-US" w:eastAsia="zh-CN"/>
                      <w14:textFill>
                        <w14:solidFill>
                          <w14:schemeClr w14:val="tx1"/>
                        </w14:solidFill>
                      </w14:textFill>
                    </w:rPr>
                    <w:t>住宅用地</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59F6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r>
                    <w:rPr>
                      <w:rFonts w:hint="eastAsia" w:ascii="Times New Roman" w:hAnsi="Times New Roman" w:cs="Times New Roman"/>
                      <w:i w:val="0"/>
                      <w:iCs w:val="0"/>
                      <w:color w:val="000000" w:themeColor="text1"/>
                      <w:sz w:val="21"/>
                      <w:szCs w:val="21"/>
                      <w:highlight w:val="none"/>
                      <w:u w:val="none"/>
                      <w:lang w:val="en-US" w:eastAsia="zh-CN"/>
                      <w14:textFill>
                        <w14:solidFill>
                          <w14:schemeClr w14:val="tx1"/>
                        </w14:solidFill>
                      </w14:textFill>
                    </w:rPr>
                    <w:t>农村宅基地</w:t>
                  </w:r>
                </w:p>
              </w:tc>
              <w:tc>
                <w:tcPr>
                  <w:tcW w:w="10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984B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449.42</w:t>
                  </w:r>
                </w:p>
              </w:tc>
              <w:tc>
                <w:tcPr>
                  <w:tcW w:w="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6E62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r>
                    <w:rPr>
                      <w:rFonts w:hint="eastAsia" w:ascii="Times New Roman" w:hAnsi="Times New Roman" w:cs="Times New Roman"/>
                      <w:i w:val="0"/>
                      <w:iCs w:val="0"/>
                      <w:color w:val="000000" w:themeColor="text1"/>
                      <w:sz w:val="21"/>
                      <w:szCs w:val="21"/>
                      <w:highlight w:val="none"/>
                      <w:u w:val="none"/>
                      <w:lang w:val="en-US" w:eastAsia="zh-CN"/>
                      <w14:textFill>
                        <w14:solidFill>
                          <w14:schemeClr w14:val="tx1"/>
                        </w14:solidFill>
                      </w14:textFill>
                    </w:rPr>
                    <w:t>0.21</w:t>
                  </w:r>
                </w:p>
              </w:tc>
            </w:tr>
            <w:tr w14:paraId="06850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1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D730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总计</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A1ED2">
                  <w:pPr>
                    <w:keepNext w:val="0"/>
                    <w:keepLines w:val="0"/>
                    <w:pageBreakBefore w:val="0"/>
                    <w:widowControl/>
                    <w:kinsoku/>
                    <w:wordWrap/>
                    <w:overflowPunct/>
                    <w:topLinePunct w:val="0"/>
                    <w:autoSpaceDE/>
                    <w:autoSpaceDN/>
                    <w:bidi w:val="0"/>
                    <w:adjustRightInd/>
                    <w:snapToGrid/>
                    <w:spacing w:line="240" w:lineRule="auto"/>
                    <w:ind w:firstLine="0" w:firstLineChars="0"/>
                    <w:jc w:val="both"/>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r>
                    <w:rPr>
                      <w:rFonts w:hint="eastAsia" w:ascii="Times New Roman" w:hAnsi="Times New Roman" w:cs="Times New Roman"/>
                      <w:i w:val="0"/>
                      <w:iCs w:val="0"/>
                      <w:color w:val="000000" w:themeColor="text1"/>
                      <w:sz w:val="21"/>
                      <w:szCs w:val="21"/>
                      <w:highlight w:val="none"/>
                      <w:u w:val="none"/>
                      <w:lang w:val="en-US" w:eastAsia="zh-CN"/>
                      <w14:textFill>
                        <w14:solidFill>
                          <w14:schemeClr w14:val="tx1"/>
                        </w14:solidFill>
                      </w14:textFill>
                    </w:rPr>
                    <w:t>/</w:t>
                  </w:r>
                </w:p>
              </w:tc>
              <w:tc>
                <w:tcPr>
                  <w:tcW w:w="10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1001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221805.07</w:t>
                  </w:r>
                </w:p>
              </w:tc>
              <w:tc>
                <w:tcPr>
                  <w:tcW w:w="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F807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100</w:t>
                  </w:r>
                </w:p>
              </w:tc>
            </w:tr>
          </w:tbl>
          <w:p w14:paraId="130E8D96">
            <w:pPr>
              <w:bidi w:val="0"/>
              <w:jc w:val="both"/>
              <w:rPr>
                <w:rFonts w:hint="default" w:ascii="Times New Roman" w:hAnsi="Times New Roman" w:eastAsia="宋体" w:cs="Times New Roman"/>
                <w:color w:val="000000" w:themeColor="text1"/>
                <w:highlight w:val="none"/>
                <w14:textFill>
                  <w14:solidFill>
                    <w14:schemeClr w14:val="tx1"/>
                  </w14:solidFill>
                </w14:textFill>
              </w:rPr>
            </w:pPr>
          </w:p>
          <w:p w14:paraId="0E19BB60">
            <w:pPr>
              <w:pStyle w:val="74"/>
              <w:bidi w:val="0"/>
              <w:jc w:val="center"/>
              <w:rPr>
                <w:rFonts w:hint="default" w:ascii="Times New Roman" w:hAnsi="Times New Roman" w:eastAsia="宋体" w:cs="Times New Roman"/>
                <w:b/>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color w:val="000000" w:themeColor="text1"/>
                <w:sz w:val="21"/>
                <w:szCs w:val="21"/>
                <w:highlight w:val="none"/>
                <w:lang w:val="en-US" w:eastAsia="zh-CN"/>
                <w14:textFill>
                  <w14:solidFill>
                    <w14:schemeClr w14:val="tx1"/>
                  </w14:solidFill>
                </w14:textFill>
              </w:rPr>
              <w:t>表3-</w:t>
            </w:r>
            <w:r>
              <w:rPr>
                <w:rFonts w:hint="eastAsia" w:ascii="Times New Roman" w:hAnsi="Times New Roman" w:cs="Times New Roman"/>
                <w:b/>
                <w:color w:val="000000" w:themeColor="text1"/>
                <w:sz w:val="21"/>
                <w:szCs w:val="21"/>
                <w:highlight w:val="none"/>
                <w:lang w:val="en-US" w:eastAsia="zh-CN"/>
                <w14:textFill>
                  <w14:solidFill>
                    <w14:schemeClr w14:val="tx1"/>
                  </w14:solidFill>
                </w14:textFill>
              </w:rPr>
              <w:t>2   二片区</w:t>
            </w:r>
            <w:r>
              <w:rPr>
                <w:rFonts w:hint="default" w:ascii="Times New Roman" w:hAnsi="Times New Roman" w:eastAsia="宋体" w:cs="Times New Roman"/>
                <w:b/>
                <w:color w:val="000000" w:themeColor="text1"/>
                <w:sz w:val="21"/>
                <w:szCs w:val="21"/>
                <w:highlight w:val="none"/>
                <w:lang w:val="en-US" w:eastAsia="zh-CN"/>
                <w14:textFill>
                  <w14:solidFill>
                    <w14:schemeClr w14:val="tx1"/>
                  </w14:solidFill>
                </w14:textFill>
              </w:rPr>
              <w:t>土地利用现状</w:t>
            </w:r>
            <w:r>
              <w:rPr>
                <w:rFonts w:hint="eastAsia" w:ascii="Times New Roman" w:hAnsi="Times New Roman" w:cs="Times New Roman"/>
                <w:b/>
                <w:color w:val="000000" w:themeColor="text1"/>
                <w:sz w:val="21"/>
                <w:szCs w:val="21"/>
                <w:highlight w:val="none"/>
                <w:lang w:val="en-US" w:eastAsia="zh-CN"/>
                <w14:textFill>
                  <w14:solidFill>
                    <w14:schemeClr w14:val="tx1"/>
                  </w14:solidFill>
                </w14:textFill>
              </w:rPr>
              <w:t>类型及面积一览表</w:t>
            </w:r>
          </w:p>
          <w:tbl>
            <w:tblPr>
              <w:tblStyle w:val="26"/>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162"/>
              <w:gridCol w:w="2572"/>
              <w:gridCol w:w="1639"/>
              <w:gridCol w:w="1366"/>
            </w:tblGrid>
            <w:tr w14:paraId="31E65B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1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5DA9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一级分类</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0D7D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二级分类</w:t>
                  </w:r>
                </w:p>
              </w:tc>
              <w:tc>
                <w:tcPr>
                  <w:tcW w:w="10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9C23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面积</w:t>
                  </w:r>
                  <w:r>
                    <w:rPr>
                      <w:rFonts w:hint="eastAsia" w:ascii="Times New Roman" w:hAnsi="Times New Roman" w:cs="Times New Roman"/>
                      <w:b/>
                      <w:bCs/>
                      <w:i w:val="0"/>
                      <w:iCs w:val="0"/>
                      <w:color w:val="000000" w:themeColor="text1"/>
                      <w:kern w:val="0"/>
                      <w:sz w:val="21"/>
                      <w:szCs w:val="21"/>
                      <w:highlight w:val="none"/>
                      <w:u w:val="none"/>
                      <w:lang w:val="en-US" w:eastAsia="zh-CN" w:bidi="ar"/>
                      <w14:textFill>
                        <w14:solidFill>
                          <w14:schemeClr w14:val="tx1"/>
                        </w14:solidFill>
                      </w14:textFill>
                    </w:rPr>
                    <w:t>（</w:t>
                  </w: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m²</w:t>
                  </w:r>
                  <w:r>
                    <w:rPr>
                      <w:rFonts w:hint="eastAsia" w:ascii="Times New Roman" w:hAnsi="Times New Roman" w:cs="Times New Roman"/>
                      <w:b/>
                      <w:bCs/>
                      <w:i w:val="0"/>
                      <w:iCs w:val="0"/>
                      <w:color w:val="000000" w:themeColor="text1"/>
                      <w:kern w:val="0"/>
                      <w:sz w:val="21"/>
                      <w:szCs w:val="21"/>
                      <w:highlight w:val="none"/>
                      <w:u w:val="none"/>
                      <w:lang w:val="en-US" w:eastAsia="zh-CN" w:bidi="ar"/>
                      <w14:textFill>
                        <w14:solidFill>
                          <w14:schemeClr w14:val="tx1"/>
                        </w14:solidFill>
                      </w14:textFill>
                    </w:rPr>
                    <w:t>）</w:t>
                  </w:r>
                </w:p>
              </w:tc>
              <w:tc>
                <w:tcPr>
                  <w:tcW w:w="8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23BF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占比%</w:t>
                  </w:r>
                </w:p>
              </w:tc>
            </w:tr>
            <w:tr w14:paraId="5C180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139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2DAD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林地</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1142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乔木林地</w:t>
                  </w:r>
                </w:p>
              </w:tc>
              <w:tc>
                <w:tcPr>
                  <w:tcW w:w="10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73B0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583282.23</w:t>
                  </w:r>
                </w:p>
              </w:tc>
              <w:tc>
                <w:tcPr>
                  <w:tcW w:w="13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1C5D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cs="Times New Roman"/>
                      <w:i w:val="0"/>
                      <w:iCs w:val="0"/>
                      <w:color w:val="000000" w:themeColor="text1"/>
                      <w:sz w:val="21"/>
                      <w:szCs w:val="21"/>
                      <w:highlight w:val="none"/>
                      <w:u w:val="none"/>
                      <w:lang w:val="en-US" w:eastAsia="zh-CN"/>
                      <w14:textFill>
                        <w14:solidFill>
                          <w14:schemeClr w14:val="tx1"/>
                        </w14:solidFill>
                      </w14:textFill>
                    </w:rPr>
                  </w:pPr>
                  <w:r>
                    <w:rPr>
                      <w:rFonts w:hint="default" w:ascii="Times New Roman" w:hAnsi="Times New Roman" w:cs="Times New Roman"/>
                      <w:i w:val="0"/>
                      <w:iCs w:val="0"/>
                      <w:color w:val="000000" w:themeColor="text1"/>
                      <w:sz w:val="21"/>
                      <w:szCs w:val="21"/>
                      <w:highlight w:val="none"/>
                      <w:u w:val="none"/>
                      <w:lang w:val="en-US" w:eastAsia="zh-CN"/>
                      <w14:textFill>
                        <w14:solidFill>
                          <w14:schemeClr w14:val="tx1"/>
                        </w14:solidFill>
                      </w14:textFill>
                    </w:rPr>
                    <w:t>75.82</w:t>
                  </w:r>
                </w:p>
              </w:tc>
            </w:tr>
            <w:tr w14:paraId="680CD3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139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5EDB0">
                  <w:pPr>
                    <w:keepNext w:val="0"/>
                    <w:keepLines w:val="0"/>
                    <w:pageBreakBefore w:val="0"/>
                    <w:widowControl/>
                    <w:kinsoku/>
                    <w:wordWrap/>
                    <w:overflowPunct/>
                    <w:topLinePunct w:val="0"/>
                    <w:autoSpaceDE/>
                    <w:autoSpaceDN/>
                    <w:bidi w:val="0"/>
                    <w:adjustRightInd/>
                    <w:snapToGrid/>
                    <w:spacing w:line="240" w:lineRule="auto"/>
                    <w:ind w:firstLine="0" w:firstLineChars="0"/>
                    <w:jc w:val="both"/>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5AC0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灌木林地</w:t>
                  </w:r>
                </w:p>
              </w:tc>
              <w:tc>
                <w:tcPr>
                  <w:tcW w:w="10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7B41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66853.36</w:t>
                  </w:r>
                </w:p>
              </w:tc>
              <w:tc>
                <w:tcPr>
                  <w:tcW w:w="13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3704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cs="Times New Roman"/>
                      <w:i w:val="0"/>
                      <w:iCs w:val="0"/>
                      <w:color w:val="000000" w:themeColor="text1"/>
                      <w:sz w:val="21"/>
                      <w:szCs w:val="21"/>
                      <w:highlight w:val="none"/>
                      <w:u w:val="none"/>
                      <w:lang w:val="en-US" w:eastAsia="zh-CN"/>
                      <w14:textFill>
                        <w14:solidFill>
                          <w14:schemeClr w14:val="tx1"/>
                        </w14:solidFill>
                      </w14:textFill>
                    </w:rPr>
                  </w:pPr>
                  <w:r>
                    <w:rPr>
                      <w:rFonts w:hint="default" w:ascii="Times New Roman" w:hAnsi="Times New Roman" w:cs="Times New Roman"/>
                      <w:i w:val="0"/>
                      <w:iCs w:val="0"/>
                      <w:color w:val="000000" w:themeColor="text1"/>
                      <w:sz w:val="21"/>
                      <w:szCs w:val="21"/>
                      <w:highlight w:val="none"/>
                      <w:u w:val="none"/>
                      <w:lang w:val="en-US" w:eastAsia="zh-CN"/>
                      <w14:textFill>
                        <w14:solidFill>
                          <w14:schemeClr w14:val="tx1"/>
                        </w14:solidFill>
                      </w14:textFill>
                    </w:rPr>
                    <w:t>8.69</w:t>
                  </w:r>
                </w:p>
              </w:tc>
            </w:tr>
            <w:tr w14:paraId="6E603F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1396" w:type="pct"/>
                  <w:vMerge w:val="restart"/>
                  <w:tcBorders>
                    <w:top w:val="single" w:color="000000" w:sz="4" w:space="0"/>
                    <w:left w:val="single" w:color="000000" w:sz="4" w:space="0"/>
                    <w:right w:val="single" w:color="000000" w:sz="4" w:space="0"/>
                  </w:tcBorders>
                  <w:shd w:val="clear" w:color="auto" w:fill="auto"/>
                  <w:noWrap/>
                  <w:vAlign w:val="center"/>
                </w:tcPr>
                <w:p w14:paraId="300B8EC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园地</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7774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果园</w:t>
                  </w:r>
                </w:p>
              </w:tc>
              <w:tc>
                <w:tcPr>
                  <w:tcW w:w="1058"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2657E39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99921.46</w:t>
                  </w:r>
                </w:p>
              </w:tc>
              <w:tc>
                <w:tcPr>
                  <w:tcW w:w="1366"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1874683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cs="Times New Roman"/>
                      <w:i w:val="0"/>
                      <w:iCs w:val="0"/>
                      <w:color w:val="000000" w:themeColor="text1"/>
                      <w:sz w:val="21"/>
                      <w:szCs w:val="21"/>
                      <w:highlight w:val="none"/>
                      <w:u w:val="none"/>
                      <w:lang w:val="en-US" w:eastAsia="zh-CN"/>
                      <w14:textFill>
                        <w14:solidFill>
                          <w14:schemeClr w14:val="tx1"/>
                        </w14:solidFill>
                      </w14:textFill>
                    </w:rPr>
                  </w:pPr>
                  <w:r>
                    <w:rPr>
                      <w:rFonts w:hint="default" w:ascii="Times New Roman" w:hAnsi="Times New Roman" w:cs="Times New Roman"/>
                      <w:i w:val="0"/>
                      <w:iCs w:val="0"/>
                      <w:color w:val="000000" w:themeColor="text1"/>
                      <w:sz w:val="21"/>
                      <w:szCs w:val="21"/>
                      <w:highlight w:val="none"/>
                      <w:u w:val="none"/>
                      <w:lang w:val="en-US" w:eastAsia="zh-CN"/>
                      <w14:textFill>
                        <w14:solidFill>
                          <w14:schemeClr w14:val="tx1"/>
                        </w14:solidFill>
                      </w14:textFill>
                    </w:rPr>
                    <w:t>12.99</w:t>
                  </w:r>
                </w:p>
              </w:tc>
            </w:tr>
            <w:tr w14:paraId="794776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1396" w:type="pct"/>
                  <w:vMerge w:val="continue"/>
                  <w:tcBorders>
                    <w:left w:val="single" w:color="000000" w:sz="4" w:space="0"/>
                    <w:bottom w:val="single" w:color="000000" w:sz="4" w:space="0"/>
                    <w:right w:val="single" w:color="000000" w:sz="4" w:space="0"/>
                  </w:tcBorders>
                  <w:shd w:val="clear" w:color="auto" w:fill="auto"/>
                  <w:noWrap/>
                  <w:vAlign w:val="center"/>
                </w:tcPr>
                <w:p w14:paraId="0AE41B7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A4A3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cs="Times New Roman"/>
                      <w:i w:val="0"/>
                      <w:iCs w:val="0"/>
                      <w:color w:val="000000" w:themeColor="text1"/>
                      <w:kern w:val="0"/>
                      <w:sz w:val="21"/>
                      <w:szCs w:val="21"/>
                      <w:highlight w:val="none"/>
                      <w:u w:val="none"/>
                      <w:lang w:val="en-US" w:eastAsia="zh-CN" w:bidi="ar"/>
                      <w14:textFill>
                        <w14:solidFill>
                          <w14:schemeClr w14:val="tx1"/>
                        </w14:solidFill>
                      </w14:textFill>
                    </w:rPr>
                    <w:t>其他园地</w:t>
                  </w:r>
                </w:p>
              </w:tc>
              <w:tc>
                <w:tcPr>
                  <w:tcW w:w="1058"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5A20477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2368.92</w:t>
                  </w:r>
                </w:p>
              </w:tc>
              <w:tc>
                <w:tcPr>
                  <w:tcW w:w="1366"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1168FD9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cs="Times New Roman"/>
                      <w:i w:val="0"/>
                      <w:iCs w:val="0"/>
                      <w:color w:val="000000" w:themeColor="text1"/>
                      <w:sz w:val="21"/>
                      <w:szCs w:val="21"/>
                      <w:highlight w:val="none"/>
                      <w:u w:val="none"/>
                      <w:lang w:val="en-US" w:eastAsia="zh-CN"/>
                      <w14:textFill>
                        <w14:solidFill>
                          <w14:schemeClr w14:val="tx1"/>
                        </w14:solidFill>
                      </w14:textFill>
                    </w:rPr>
                  </w:pPr>
                  <w:r>
                    <w:rPr>
                      <w:rFonts w:hint="default" w:ascii="Times New Roman" w:hAnsi="Times New Roman" w:cs="Times New Roman"/>
                      <w:i w:val="0"/>
                      <w:iCs w:val="0"/>
                      <w:color w:val="000000" w:themeColor="text1"/>
                      <w:sz w:val="21"/>
                      <w:szCs w:val="21"/>
                      <w:highlight w:val="none"/>
                      <w:u w:val="none"/>
                      <w:lang w:val="en-US" w:eastAsia="zh-CN"/>
                      <w14:textFill>
                        <w14:solidFill>
                          <w14:schemeClr w14:val="tx1"/>
                        </w14:solidFill>
                      </w14:textFill>
                    </w:rPr>
                    <w:t>0.31</w:t>
                  </w:r>
                </w:p>
              </w:tc>
            </w:tr>
            <w:tr w14:paraId="62FD86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1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37F6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交通运输用地</w:t>
                  </w:r>
                </w:p>
              </w:tc>
              <w:tc>
                <w:tcPr>
                  <w:tcW w:w="1661"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4F20977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农村道路</w:t>
                  </w:r>
                </w:p>
              </w:tc>
              <w:tc>
                <w:tcPr>
                  <w:tcW w:w="1058" w:type="pct"/>
                  <w:tcBorders>
                    <w:top w:val="single" w:color="000000" w:sz="4" w:space="0"/>
                    <w:left w:val="single" w:color="auto" w:sz="4" w:space="0"/>
                    <w:bottom w:val="single" w:color="000000" w:sz="4" w:space="0"/>
                    <w:right w:val="single" w:color="auto" w:sz="4" w:space="0"/>
                  </w:tcBorders>
                  <w:shd w:val="clear" w:color="auto" w:fill="auto"/>
                  <w:noWrap/>
                  <w:vAlign w:val="center"/>
                </w:tcPr>
                <w:p w14:paraId="3F4EA57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6579.57</w:t>
                  </w:r>
                </w:p>
              </w:tc>
              <w:tc>
                <w:tcPr>
                  <w:tcW w:w="1366" w:type="dxa"/>
                  <w:tcBorders>
                    <w:top w:val="single" w:color="000000" w:sz="4" w:space="0"/>
                    <w:left w:val="single" w:color="auto" w:sz="4" w:space="0"/>
                    <w:bottom w:val="single" w:color="000000" w:sz="4" w:space="0"/>
                    <w:right w:val="single" w:color="auto" w:sz="4" w:space="0"/>
                  </w:tcBorders>
                  <w:shd w:val="clear" w:color="auto" w:fill="auto"/>
                  <w:noWrap/>
                  <w:vAlign w:val="center"/>
                </w:tcPr>
                <w:p w14:paraId="6AC148B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cs="Times New Roman"/>
                      <w:i w:val="0"/>
                      <w:iCs w:val="0"/>
                      <w:color w:val="000000" w:themeColor="text1"/>
                      <w:sz w:val="21"/>
                      <w:szCs w:val="21"/>
                      <w:highlight w:val="none"/>
                      <w:u w:val="none"/>
                      <w:lang w:val="en-US" w:eastAsia="zh-CN"/>
                      <w14:textFill>
                        <w14:solidFill>
                          <w14:schemeClr w14:val="tx1"/>
                        </w14:solidFill>
                      </w14:textFill>
                    </w:rPr>
                  </w:pPr>
                  <w:r>
                    <w:rPr>
                      <w:rFonts w:hint="default" w:ascii="Times New Roman" w:hAnsi="Times New Roman" w:cs="Times New Roman"/>
                      <w:i w:val="0"/>
                      <w:iCs w:val="0"/>
                      <w:color w:val="000000" w:themeColor="text1"/>
                      <w:sz w:val="21"/>
                      <w:szCs w:val="21"/>
                      <w:highlight w:val="none"/>
                      <w:u w:val="none"/>
                      <w:lang w:val="en-US" w:eastAsia="zh-CN"/>
                      <w14:textFill>
                        <w14:solidFill>
                          <w14:schemeClr w14:val="tx1"/>
                        </w14:solidFill>
                      </w14:textFill>
                    </w:rPr>
                    <w:t>0.86</w:t>
                  </w:r>
                </w:p>
              </w:tc>
            </w:tr>
            <w:tr w14:paraId="24397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1396" w:type="pct"/>
                  <w:vMerge w:val="restart"/>
                  <w:tcBorders>
                    <w:top w:val="single" w:color="000000" w:sz="4" w:space="0"/>
                    <w:left w:val="single" w:color="000000" w:sz="4" w:space="0"/>
                    <w:right w:val="single" w:color="000000" w:sz="4" w:space="0"/>
                  </w:tcBorders>
                  <w:shd w:val="clear" w:color="auto" w:fill="auto"/>
                  <w:noWrap/>
                  <w:vAlign w:val="center"/>
                </w:tcPr>
                <w:p w14:paraId="7C925E1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Times New Roman"/>
                      <w:i w:val="0"/>
                      <w:iCs w:val="0"/>
                      <w:color w:val="000000" w:themeColor="text1"/>
                      <w:sz w:val="21"/>
                      <w:szCs w:val="21"/>
                      <w:highlight w:val="none"/>
                      <w:u w:val="none"/>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水域用地</w:t>
                  </w:r>
                </w:p>
              </w:tc>
              <w:tc>
                <w:tcPr>
                  <w:tcW w:w="1661" w:type="pct"/>
                  <w:tcBorders>
                    <w:top w:val="single" w:color="000000" w:sz="4" w:space="0"/>
                    <w:left w:val="single" w:color="000000" w:sz="4" w:space="0"/>
                    <w:bottom w:val="single" w:color="auto" w:sz="4" w:space="0"/>
                    <w:right w:val="single" w:color="000000" w:sz="4" w:space="0"/>
                  </w:tcBorders>
                  <w:shd w:val="clear" w:color="auto" w:fill="auto"/>
                  <w:noWrap/>
                  <w:vAlign w:val="center"/>
                </w:tcPr>
                <w:p w14:paraId="3C41181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Times New Roman"/>
                      <w:i w:val="0"/>
                      <w:iCs w:val="0"/>
                      <w:color w:val="000000" w:themeColor="text1"/>
                      <w:sz w:val="21"/>
                      <w:szCs w:val="21"/>
                      <w:highlight w:val="none"/>
                      <w:u w:val="none"/>
                      <w:lang w:val="en-US"/>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坑塘水面</w:t>
                  </w:r>
                </w:p>
              </w:tc>
              <w:tc>
                <w:tcPr>
                  <w:tcW w:w="1058" w:type="pct"/>
                  <w:tcBorders>
                    <w:top w:val="single" w:color="000000" w:sz="4" w:space="0"/>
                    <w:left w:val="single" w:color="000000" w:sz="4" w:space="0"/>
                    <w:bottom w:val="single" w:color="auto" w:sz="4" w:space="0"/>
                    <w:right w:val="single" w:color="000000" w:sz="4" w:space="0"/>
                  </w:tcBorders>
                  <w:shd w:val="clear" w:color="auto" w:fill="auto"/>
                  <w:noWrap/>
                  <w:vAlign w:val="center"/>
                </w:tcPr>
                <w:p w14:paraId="59119C8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1640.9</w:t>
                  </w:r>
                </w:p>
              </w:tc>
              <w:tc>
                <w:tcPr>
                  <w:tcW w:w="136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EB39F2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cs="Times New Roman"/>
                      <w:i w:val="0"/>
                      <w:iCs w:val="0"/>
                      <w:color w:val="000000" w:themeColor="text1"/>
                      <w:sz w:val="21"/>
                      <w:szCs w:val="21"/>
                      <w:highlight w:val="none"/>
                      <w:u w:val="none"/>
                      <w:lang w:val="en-US" w:eastAsia="zh-CN"/>
                      <w14:textFill>
                        <w14:solidFill>
                          <w14:schemeClr w14:val="tx1"/>
                        </w14:solidFill>
                      </w14:textFill>
                    </w:rPr>
                  </w:pPr>
                  <w:r>
                    <w:rPr>
                      <w:rFonts w:hint="default" w:ascii="Times New Roman" w:hAnsi="Times New Roman" w:cs="Times New Roman"/>
                      <w:i w:val="0"/>
                      <w:iCs w:val="0"/>
                      <w:color w:val="000000" w:themeColor="text1"/>
                      <w:sz w:val="21"/>
                      <w:szCs w:val="21"/>
                      <w:highlight w:val="none"/>
                      <w:u w:val="none"/>
                      <w:lang w:val="en-US" w:eastAsia="zh-CN"/>
                      <w14:textFill>
                        <w14:solidFill>
                          <w14:schemeClr w14:val="tx1"/>
                        </w14:solidFill>
                      </w14:textFill>
                    </w:rPr>
                    <w:t>0.21</w:t>
                  </w:r>
                </w:p>
              </w:tc>
            </w:tr>
            <w:tr w14:paraId="23232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1396" w:type="pct"/>
                  <w:vMerge w:val="continue"/>
                  <w:tcBorders>
                    <w:left w:val="single" w:color="000000" w:sz="4" w:space="0"/>
                    <w:right w:val="single" w:color="000000" w:sz="4" w:space="0"/>
                  </w:tcBorders>
                  <w:shd w:val="clear" w:color="auto" w:fill="auto"/>
                  <w:noWrap/>
                  <w:vAlign w:val="center"/>
                </w:tcPr>
                <w:p w14:paraId="6CAB460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p>
              </w:tc>
              <w:tc>
                <w:tcPr>
                  <w:tcW w:w="1661" w:type="pct"/>
                  <w:tcBorders>
                    <w:top w:val="single" w:color="000000" w:sz="4" w:space="0"/>
                    <w:left w:val="single" w:color="000000" w:sz="4" w:space="0"/>
                    <w:bottom w:val="single" w:color="auto" w:sz="4" w:space="0"/>
                    <w:right w:val="single" w:color="000000" w:sz="4" w:space="0"/>
                  </w:tcBorders>
                  <w:shd w:val="clear" w:color="auto" w:fill="auto"/>
                  <w:noWrap/>
                  <w:vAlign w:val="center"/>
                </w:tcPr>
                <w:p w14:paraId="552B6EF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水库库面</w:t>
                  </w:r>
                </w:p>
              </w:tc>
              <w:tc>
                <w:tcPr>
                  <w:tcW w:w="1058" w:type="pct"/>
                  <w:tcBorders>
                    <w:top w:val="single" w:color="000000" w:sz="4" w:space="0"/>
                    <w:left w:val="single" w:color="000000" w:sz="4" w:space="0"/>
                    <w:bottom w:val="single" w:color="auto" w:sz="4" w:space="0"/>
                    <w:right w:val="single" w:color="000000" w:sz="4" w:space="0"/>
                  </w:tcBorders>
                  <w:shd w:val="clear" w:color="auto" w:fill="auto"/>
                  <w:noWrap/>
                  <w:vAlign w:val="center"/>
                </w:tcPr>
                <w:p w14:paraId="5FD0B9C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4898.91</w:t>
                  </w:r>
                </w:p>
              </w:tc>
              <w:tc>
                <w:tcPr>
                  <w:tcW w:w="136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A125A0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cs="Times New Roman"/>
                      <w:i w:val="0"/>
                      <w:iCs w:val="0"/>
                      <w:color w:val="000000" w:themeColor="text1"/>
                      <w:sz w:val="21"/>
                      <w:szCs w:val="21"/>
                      <w:highlight w:val="none"/>
                      <w:u w:val="none"/>
                      <w:lang w:val="en-US" w:eastAsia="zh-CN"/>
                      <w14:textFill>
                        <w14:solidFill>
                          <w14:schemeClr w14:val="tx1"/>
                        </w14:solidFill>
                      </w14:textFill>
                    </w:rPr>
                  </w:pPr>
                  <w:r>
                    <w:rPr>
                      <w:rFonts w:hint="default" w:ascii="Times New Roman" w:hAnsi="Times New Roman" w:cs="Times New Roman"/>
                      <w:i w:val="0"/>
                      <w:iCs w:val="0"/>
                      <w:color w:val="000000" w:themeColor="text1"/>
                      <w:sz w:val="21"/>
                      <w:szCs w:val="21"/>
                      <w:highlight w:val="none"/>
                      <w:u w:val="none"/>
                      <w:lang w:val="en-US" w:eastAsia="zh-CN"/>
                      <w14:textFill>
                        <w14:solidFill>
                          <w14:schemeClr w14:val="tx1"/>
                        </w14:solidFill>
                      </w14:textFill>
                    </w:rPr>
                    <w:t>0.64</w:t>
                  </w:r>
                </w:p>
              </w:tc>
            </w:tr>
            <w:tr w14:paraId="53BB4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1396" w:type="pct"/>
                  <w:vMerge w:val="continue"/>
                  <w:tcBorders>
                    <w:left w:val="single" w:color="000000" w:sz="4" w:space="0"/>
                    <w:right w:val="single" w:color="000000" w:sz="4" w:space="0"/>
                  </w:tcBorders>
                  <w:shd w:val="clear" w:color="auto" w:fill="auto"/>
                  <w:noWrap/>
                  <w:vAlign w:val="center"/>
                </w:tcPr>
                <w:p w14:paraId="274DBA0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p>
              </w:tc>
              <w:tc>
                <w:tcPr>
                  <w:tcW w:w="1661" w:type="pct"/>
                  <w:tcBorders>
                    <w:top w:val="single" w:color="000000" w:sz="4" w:space="0"/>
                    <w:left w:val="single" w:color="000000" w:sz="4" w:space="0"/>
                    <w:bottom w:val="single" w:color="auto" w:sz="4" w:space="0"/>
                    <w:right w:val="single" w:color="000000" w:sz="4" w:space="0"/>
                  </w:tcBorders>
                  <w:shd w:val="clear" w:color="auto" w:fill="auto"/>
                  <w:noWrap/>
                  <w:vAlign w:val="center"/>
                </w:tcPr>
                <w:p w14:paraId="131017D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水工建筑用地</w:t>
                  </w:r>
                </w:p>
              </w:tc>
              <w:tc>
                <w:tcPr>
                  <w:tcW w:w="1058" w:type="pct"/>
                  <w:tcBorders>
                    <w:top w:val="single" w:color="000000" w:sz="4" w:space="0"/>
                    <w:left w:val="single" w:color="000000" w:sz="4" w:space="0"/>
                    <w:bottom w:val="single" w:color="auto" w:sz="4" w:space="0"/>
                    <w:right w:val="single" w:color="000000" w:sz="4" w:space="0"/>
                  </w:tcBorders>
                  <w:shd w:val="clear" w:color="auto" w:fill="auto"/>
                  <w:noWrap/>
                  <w:vAlign w:val="center"/>
                </w:tcPr>
                <w:p w14:paraId="3C93CA2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1232.6</w:t>
                  </w:r>
                </w:p>
              </w:tc>
              <w:tc>
                <w:tcPr>
                  <w:tcW w:w="136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BCB065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cs="Times New Roman"/>
                      <w:i w:val="0"/>
                      <w:iCs w:val="0"/>
                      <w:color w:val="000000" w:themeColor="text1"/>
                      <w:sz w:val="21"/>
                      <w:szCs w:val="21"/>
                      <w:highlight w:val="none"/>
                      <w:u w:val="none"/>
                      <w:lang w:val="en-US" w:eastAsia="zh-CN"/>
                      <w14:textFill>
                        <w14:solidFill>
                          <w14:schemeClr w14:val="tx1"/>
                        </w14:solidFill>
                      </w14:textFill>
                    </w:rPr>
                  </w:pPr>
                  <w:r>
                    <w:rPr>
                      <w:rFonts w:hint="default" w:ascii="Times New Roman" w:hAnsi="Times New Roman" w:cs="Times New Roman"/>
                      <w:i w:val="0"/>
                      <w:iCs w:val="0"/>
                      <w:color w:val="000000" w:themeColor="text1"/>
                      <w:sz w:val="21"/>
                      <w:szCs w:val="21"/>
                      <w:highlight w:val="none"/>
                      <w:u w:val="none"/>
                      <w:lang w:val="en-US" w:eastAsia="zh-CN"/>
                      <w14:textFill>
                        <w14:solidFill>
                          <w14:schemeClr w14:val="tx1"/>
                        </w14:solidFill>
                      </w14:textFill>
                    </w:rPr>
                    <w:t>0.16</w:t>
                  </w:r>
                </w:p>
              </w:tc>
            </w:tr>
            <w:tr w14:paraId="11F0F9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1396" w:type="pct"/>
                  <w:tcBorders>
                    <w:top w:val="single" w:color="000000" w:sz="4" w:space="0"/>
                    <w:left w:val="single" w:color="000000" w:sz="4" w:space="0"/>
                    <w:right w:val="single" w:color="000000" w:sz="4" w:space="0"/>
                  </w:tcBorders>
                  <w:shd w:val="clear" w:color="auto" w:fill="auto"/>
                  <w:noWrap/>
                  <w:vAlign w:val="center"/>
                </w:tcPr>
                <w:p w14:paraId="0DE16DE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耕地</w:t>
                  </w:r>
                </w:p>
              </w:tc>
              <w:tc>
                <w:tcPr>
                  <w:tcW w:w="1661" w:type="pct"/>
                  <w:tcBorders>
                    <w:top w:val="single" w:color="000000" w:sz="4" w:space="0"/>
                    <w:left w:val="single" w:color="000000" w:sz="4" w:space="0"/>
                    <w:bottom w:val="single" w:color="auto" w:sz="4" w:space="0"/>
                    <w:right w:val="single" w:color="000000" w:sz="4" w:space="0"/>
                  </w:tcBorders>
                  <w:shd w:val="clear" w:color="auto" w:fill="auto"/>
                  <w:noWrap/>
                  <w:vAlign w:val="center"/>
                </w:tcPr>
                <w:p w14:paraId="2B8F3FB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旱地</w:t>
                  </w:r>
                </w:p>
              </w:tc>
              <w:tc>
                <w:tcPr>
                  <w:tcW w:w="1058" w:type="pct"/>
                  <w:tcBorders>
                    <w:top w:val="single" w:color="000000" w:sz="4" w:space="0"/>
                    <w:left w:val="single" w:color="000000" w:sz="4" w:space="0"/>
                    <w:bottom w:val="single" w:color="auto" w:sz="4" w:space="0"/>
                    <w:right w:val="single" w:color="000000" w:sz="4" w:space="0"/>
                  </w:tcBorders>
                  <w:shd w:val="clear" w:color="auto" w:fill="auto"/>
                  <w:noWrap/>
                  <w:vAlign w:val="center"/>
                </w:tcPr>
                <w:p w14:paraId="50B0D11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2305.12</w:t>
                  </w:r>
                </w:p>
              </w:tc>
              <w:tc>
                <w:tcPr>
                  <w:tcW w:w="136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B07D2F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cs="Times New Roman"/>
                      <w:i w:val="0"/>
                      <w:iCs w:val="0"/>
                      <w:color w:val="000000" w:themeColor="text1"/>
                      <w:sz w:val="21"/>
                      <w:szCs w:val="21"/>
                      <w:highlight w:val="none"/>
                      <w:u w:val="none"/>
                      <w:lang w:val="en-US" w:eastAsia="zh-CN"/>
                      <w14:textFill>
                        <w14:solidFill>
                          <w14:schemeClr w14:val="tx1"/>
                        </w14:solidFill>
                      </w14:textFill>
                    </w:rPr>
                  </w:pPr>
                  <w:r>
                    <w:rPr>
                      <w:rFonts w:hint="default" w:ascii="Times New Roman" w:hAnsi="Times New Roman" w:cs="Times New Roman"/>
                      <w:i w:val="0"/>
                      <w:iCs w:val="0"/>
                      <w:color w:val="000000" w:themeColor="text1"/>
                      <w:sz w:val="21"/>
                      <w:szCs w:val="21"/>
                      <w:highlight w:val="none"/>
                      <w:u w:val="none"/>
                      <w:lang w:val="en-US" w:eastAsia="zh-CN"/>
                      <w14:textFill>
                        <w14:solidFill>
                          <w14:schemeClr w14:val="tx1"/>
                        </w14:solidFill>
                      </w14:textFill>
                    </w:rPr>
                    <w:t>0.3</w:t>
                  </w:r>
                </w:p>
              </w:tc>
            </w:tr>
            <w:tr w14:paraId="5D453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1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E8A4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住宅用地</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3D40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农村宅基地</w:t>
                  </w:r>
                </w:p>
              </w:tc>
              <w:tc>
                <w:tcPr>
                  <w:tcW w:w="10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7403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181.65</w:t>
                  </w:r>
                </w:p>
              </w:tc>
              <w:tc>
                <w:tcPr>
                  <w:tcW w:w="13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8EF1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cs="Times New Roman"/>
                      <w:i w:val="0"/>
                      <w:iCs w:val="0"/>
                      <w:color w:val="000000" w:themeColor="text1"/>
                      <w:sz w:val="21"/>
                      <w:szCs w:val="21"/>
                      <w:highlight w:val="none"/>
                      <w:u w:val="none"/>
                      <w:lang w:val="en-US" w:eastAsia="zh-CN"/>
                      <w14:textFill>
                        <w14:solidFill>
                          <w14:schemeClr w14:val="tx1"/>
                        </w14:solidFill>
                      </w14:textFill>
                    </w:rPr>
                  </w:pPr>
                  <w:r>
                    <w:rPr>
                      <w:rFonts w:hint="default" w:ascii="Times New Roman" w:hAnsi="Times New Roman" w:cs="Times New Roman"/>
                      <w:i w:val="0"/>
                      <w:iCs w:val="0"/>
                      <w:color w:val="000000" w:themeColor="text1"/>
                      <w:sz w:val="21"/>
                      <w:szCs w:val="21"/>
                      <w:highlight w:val="none"/>
                      <w:u w:val="none"/>
                      <w:lang w:val="en-US" w:eastAsia="zh-CN"/>
                      <w14:textFill>
                        <w14:solidFill>
                          <w14:schemeClr w14:val="tx1"/>
                        </w14:solidFill>
                      </w14:textFill>
                    </w:rPr>
                    <w:t>0.02</w:t>
                  </w:r>
                </w:p>
              </w:tc>
            </w:tr>
            <w:tr w14:paraId="362B6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1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5F1B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总计</w:t>
                  </w:r>
                </w:p>
              </w:tc>
              <w:tc>
                <w:tcPr>
                  <w:tcW w:w="16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3CAF6">
                  <w:pPr>
                    <w:keepNext w:val="0"/>
                    <w:keepLines w:val="0"/>
                    <w:pageBreakBefore w:val="0"/>
                    <w:widowControl/>
                    <w:kinsoku/>
                    <w:wordWrap/>
                    <w:overflowPunct/>
                    <w:topLinePunct w:val="0"/>
                    <w:autoSpaceDE/>
                    <w:autoSpaceDN/>
                    <w:bidi w:val="0"/>
                    <w:adjustRightInd/>
                    <w:snapToGrid/>
                    <w:spacing w:line="240" w:lineRule="auto"/>
                    <w:ind w:firstLine="0" w:firstLineChars="0"/>
                    <w:jc w:val="both"/>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r>
                    <w:rPr>
                      <w:rFonts w:hint="eastAsia" w:ascii="Times New Roman" w:hAnsi="Times New Roman" w:cs="Times New Roman"/>
                      <w:i w:val="0"/>
                      <w:iCs w:val="0"/>
                      <w:color w:val="000000" w:themeColor="text1"/>
                      <w:sz w:val="21"/>
                      <w:szCs w:val="21"/>
                      <w:highlight w:val="none"/>
                      <w:u w:val="none"/>
                      <w:lang w:val="en-US" w:eastAsia="zh-CN"/>
                      <w14:textFill>
                        <w14:solidFill>
                          <w14:schemeClr w14:val="tx1"/>
                        </w14:solidFill>
                      </w14:textFill>
                    </w:rPr>
                    <w:t>/</w:t>
                  </w:r>
                </w:p>
              </w:tc>
              <w:tc>
                <w:tcPr>
                  <w:tcW w:w="10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06CF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769264.72</w:t>
                  </w:r>
                </w:p>
              </w:tc>
              <w:tc>
                <w:tcPr>
                  <w:tcW w:w="13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3B4B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default" w:ascii="Times New Roman" w:hAnsi="Times New Roman" w:cs="Times New Roman"/>
                      <w:i w:val="0"/>
                      <w:iCs w:val="0"/>
                      <w:color w:val="000000" w:themeColor="text1"/>
                      <w:sz w:val="21"/>
                      <w:szCs w:val="21"/>
                      <w:highlight w:val="none"/>
                      <w:u w:val="none"/>
                      <w:lang w:val="en-US" w:eastAsia="zh-CN"/>
                      <w14:textFill>
                        <w14:solidFill>
                          <w14:schemeClr w14:val="tx1"/>
                        </w14:solidFill>
                      </w14:textFill>
                    </w:rPr>
                  </w:pPr>
                  <w:r>
                    <w:rPr>
                      <w:rFonts w:hint="eastAsia" w:ascii="Times New Roman" w:hAnsi="Times New Roman" w:cs="Times New Roman"/>
                      <w:i w:val="0"/>
                      <w:iCs w:val="0"/>
                      <w:color w:val="000000" w:themeColor="text1"/>
                      <w:sz w:val="21"/>
                      <w:szCs w:val="21"/>
                      <w:highlight w:val="none"/>
                      <w:u w:val="none"/>
                      <w:lang w:val="en-US" w:eastAsia="zh-CN"/>
                      <w14:textFill>
                        <w14:solidFill>
                          <w14:schemeClr w14:val="tx1"/>
                        </w14:solidFill>
                      </w14:textFill>
                    </w:rPr>
                    <w:t>100</w:t>
                  </w:r>
                </w:p>
              </w:tc>
            </w:tr>
          </w:tbl>
          <w:p w14:paraId="34DE4B89">
            <w:pPr>
              <w:bidi w:val="0"/>
              <w:jc w:val="both"/>
              <w:rPr>
                <w:rFonts w:hint="default" w:ascii="Times New Roman" w:hAnsi="Times New Roman" w:eastAsia="宋体" w:cs="Times New Roman"/>
                <w:color w:val="000000" w:themeColor="text1"/>
                <w:highlight w:val="none"/>
                <w14:textFill>
                  <w14:solidFill>
                    <w14:schemeClr w14:val="tx1"/>
                  </w14:solidFill>
                </w14:textFill>
              </w:rPr>
            </w:pPr>
          </w:p>
          <w:p w14:paraId="3A8578D1">
            <w:pPr>
              <w:keepNext w:val="0"/>
              <w:keepLines w:val="0"/>
              <w:pageBreakBefore w:val="0"/>
              <w:widowControl w:val="0"/>
              <w:shd w:val="clear"/>
              <w:kinsoku/>
              <w:wordWrap/>
              <w:overflowPunct/>
              <w:topLinePunct w:val="0"/>
              <w:autoSpaceDE/>
              <w:autoSpaceDN/>
              <w:bidi w:val="0"/>
              <w:adjustRightInd w:val="0"/>
              <w:snapToGrid w:val="0"/>
              <w:ind w:firstLine="536" w:firstLineChars="200"/>
              <w:jc w:val="both"/>
              <w:textAlignment w:val="auto"/>
              <w:rPr>
                <w:rFonts w:hint="default" w:ascii="Times New Roman" w:hAnsi="Times New Roman" w:eastAsia="宋体" w:cs="Times New Roman"/>
                <w:color w:val="000000" w:themeColor="text1"/>
                <w:spacing w:val="14"/>
                <w:highlight w:val="none"/>
                <w14:textFill>
                  <w14:solidFill>
                    <w14:schemeClr w14:val="tx1"/>
                  </w14:solidFill>
                </w14:textFill>
              </w:rPr>
            </w:pPr>
            <w:r>
              <w:rPr>
                <w:rFonts w:hint="default" w:ascii="Times New Roman" w:hAnsi="Times New Roman" w:eastAsia="宋体" w:cs="Times New Roman"/>
                <w:color w:val="000000" w:themeColor="text1"/>
                <w:spacing w:val="14"/>
                <w:highlight w:val="none"/>
                <w:lang w:val="en-US" w:eastAsia="zh-CN"/>
                <w14:textFill>
                  <w14:solidFill>
                    <w14:schemeClr w14:val="tx1"/>
                  </w14:solidFill>
                </w14:textFill>
              </w:rPr>
              <w:t>根据上表可知</w:t>
            </w:r>
            <w:r>
              <w:rPr>
                <w:rFonts w:hint="default" w:ascii="Times New Roman" w:hAnsi="Times New Roman" w:eastAsia="宋体" w:cs="Times New Roman"/>
                <w:color w:val="000000" w:themeColor="text1"/>
                <w:spacing w:val="14"/>
                <w:highlight w:val="none"/>
                <w14:textFill>
                  <w14:solidFill>
                    <w14:schemeClr w14:val="tx1"/>
                  </w14:solidFill>
                </w14:textFill>
              </w:rPr>
              <w:t>，</w:t>
            </w:r>
            <w:r>
              <w:rPr>
                <w:rFonts w:hint="eastAsia" w:ascii="Times New Roman" w:hAnsi="Times New Roman" w:cs="Times New Roman"/>
                <w:color w:val="000000" w:themeColor="text1"/>
                <w:spacing w:val="14"/>
                <w:highlight w:val="none"/>
                <w:lang w:val="en-US" w:eastAsia="zh-CN"/>
                <w14:textFill>
                  <w14:solidFill>
                    <w14:schemeClr w14:val="tx1"/>
                  </w14:solidFill>
                </w14:textFill>
              </w:rPr>
              <w:t>项目区一片区其他园地</w:t>
            </w:r>
            <w:r>
              <w:rPr>
                <w:rFonts w:hint="default" w:ascii="Times New Roman" w:hAnsi="Times New Roman" w:eastAsia="宋体" w:cs="Times New Roman"/>
                <w:color w:val="000000" w:themeColor="text1"/>
                <w:spacing w:val="14"/>
                <w:highlight w:val="none"/>
                <w14:textFill>
                  <w14:solidFill>
                    <w14:schemeClr w14:val="tx1"/>
                  </w14:solidFill>
                </w14:textFill>
              </w:rPr>
              <w:t>面积</w:t>
            </w:r>
            <w:r>
              <w:rPr>
                <w:rFonts w:hint="default" w:ascii="Times New Roman" w:hAnsi="Times New Roman" w:eastAsia="宋体" w:cs="Times New Roman"/>
                <w:color w:val="000000" w:themeColor="text1"/>
                <w:spacing w:val="14"/>
                <w:highlight w:val="none"/>
                <w:lang w:val="en-US" w:eastAsia="zh-CN"/>
                <w14:textFill>
                  <w14:solidFill>
                    <w14:schemeClr w14:val="tx1"/>
                  </w14:solidFill>
                </w14:textFill>
              </w:rPr>
              <w:t>最</w:t>
            </w:r>
            <w:r>
              <w:rPr>
                <w:rFonts w:hint="default" w:ascii="Times New Roman" w:hAnsi="Times New Roman" w:eastAsia="宋体" w:cs="Times New Roman"/>
                <w:color w:val="000000" w:themeColor="text1"/>
                <w:spacing w:val="14"/>
                <w:highlight w:val="none"/>
                <w14:textFill>
                  <w14:solidFill>
                    <w14:schemeClr w14:val="tx1"/>
                  </w14:solidFill>
                </w14:textFill>
              </w:rPr>
              <w:t>大</w:t>
            </w:r>
            <w:r>
              <w:rPr>
                <w:rFonts w:hint="eastAsia" w:ascii="Times New Roman" w:hAnsi="Times New Roman" w:cs="Times New Roman"/>
                <w:color w:val="000000" w:themeColor="text1"/>
                <w:spacing w:val="14"/>
                <w:highlight w:val="none"/>
                <w:lang w:eastAsia="zh-CN"/>
                <w14:textFill>
                  <w14:solidFill>
                    <w14:schemeClr w14:val="tx1"/>
                  </w14:solidFill>
                </w14:textFill>
              </w:rPr>
              <w:t>，</w:t>
            </w:r>
            <w:r>
              <w:rPr>
                <w:rFonts w:hint="eastAsia" w:ascii="Times New Roman" w:hAnsi="Times New Roman" w:cs="Times New Roman"/>
                <w:color w:val="000000" w:themeColor="text1"/>
                <w:spacing w:val="14"/>
                <w:highlight w:val="none"/>
                <w:lang w:val="en-US" w:eastAsia="zh-CN"/>
                <w14:textFill>
                  <w14:solidFill>
                    <w14:schemeClr w14:val="tx1"/>
                  </w14:solidFill>
                </w14:textFill>
              </w:rPr>
              <w:t>为86074.92</w:t>
            </w:r>
            <w:r>
              <w:rPr>
                <w:rFonts w:hint="default" w:ascii="Times New Roman" w:hAnsi="Times New Roman" w:eastAsia="宋体" w:cs="Times New Roman"/>
                <w:color w:val="000000" w:themeColor="text1"/>
                <w:spacing w:val="14"/>
                <w:highlight w:val="none"/>
                <w14:textFill>
                  <w14:solidFill>
                    <w14:schemeClr w14:val="tx1"/>
                  </w14:solidFill>
                </w14:textFill>
              </w:rPr>
              <w:t>m²</w:t>
            </w:r>
            <w:r>
              <w:rPr>
                <w:rFonts w:hint="default" w:ascii="Times New Roman" w:hAnsi="Times New Roman" w:eastAsia="宋体" w:cs="Times New Roman"/>
                <w:color w:val="000000" w:themeColor="text1"/>
                <w:spacing w:val="14"/>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14"/>
                <w:highlight w:val="none"/>
                <w14:textFill>
                  <w14:solidFill>
                    <w14:schemeClr w14:val="tx1"/>
                  </w14:solidFill>
                </w14:textFill>
              </w:rPr>
              <w:t>占</w:t>
            </w:r>
            <w:r>
              <w:rPr>
                <w:rFonts w:hint="eastAsia" w:ascii="Times New Roman" w:hAnsi="Times New Roman" w:cs="Times New Roman"/>
                <w:color w:val="000000" w:themeColor="text1"/>
                <w:spacing w:val="14"/>
                <w:highlight w:val="none"/>
                <w:lang w:val="en-US" w:eastAsia="zh-CN"/>
                <w14:textFill>
                  <w14:solidFill>
                    <w14:schemeClr w14:val="tx1"/>
                  </w14:solidFill>
                </w14:textFill>
              </w:rPr>
              <w:t>项目</w:t>
            </w:r>
            <w:r>
              <w:rPr>
                <w:rFonts w:hint="default" w:ascii="Times New Roman" w:hAnsi="Times New Roman" w:eastAsia="宋体" w:cs="Times New Roman"/>
                <w:color w:val="000000" w:themeColor="text1"/>
                <w:spacing w:val="14"/>
                <w:highlight w:val="none"/>
                <w14:textFill>
                  <w14:solidFill>
                    <w14:schemeClr w14:val="tx1"/>
                  </w14:solidFill>
                </w14:textFill>
              </w:rPr>
              <w:t>区面积的</w:t>
            </w:r>
            <w:r>
              <w:rPr>
                <w:rFonts w:hint="eastAsia" w:ascii="Times New Roman" w:hAnsi="Times New Roman" w:cs="Times New Roman"/>
                <w:color w:val="000000" w:themeColor="text1"/>
                <w:spacing w:val="14"/>
                <w:highlight w:val="none"/>
                <w:lang w:val="en-US" w:eastAsia="zh-CN"/>
                <w14:textFill>
                  <w14:solidFill>
                    <w14:schemeClr w14:val="tx1"/>
                  </w14:solidFill>
                </w14:textFill>
              </w:rPr>
              <w:t>38.81</w:t>
            </w:r>
            <w:r>
              <w:rPr>
                <w:rFonts w:hint="default" w:ascii="Times New Roman" w:hAnsi="Times New Roman" w:eastAsia="宋体" w:cs="Times New Roman"/>
                <w:color w:val="000000" w:themeColor="text1"/>
                <w:spacing w:val="14"/>
                <w:highlight w:val="none"/>
                <w14:textFill>
                  <w14:solidFill>
                    <w14:schemeClr w14:val="tx1"/>
                  </w14:solidFill>
                </w14:textFill>
              </w:rPr>
              <w:t>%</w:t>
            </w:r>
            <w:r>
              <w:rPr>
                <w:rFonts w:hint="default" w:ascii="Times New Roman" w:hAnsi="Times New Roman" w:eastAsia="宋体" w:cs="Times New Roman"/>
                <w:i w:val="0"/>
                <w:iCs w:val="0"/>
                <w:color w:val="000000" w:themeColor="text1"/>
                <w:spacing w:val="14"/>
                <w:highlight w:val="none"/>
                <w:lang w:eastAsia="zh-CN"/>
                <w14:textFill>
                  <w14:solidFill>
                    <w14:schemeClr w14:val="tx1"/>
                  </w14:solidFill>
                </w14:textFill>
              </w:rPr>
              <w:t>；</w:t>
            </w:r>
            <w:r>
              <w:rPr>
                <w:rFonts w:hint="default" w:ascii="Times New Roman" w:hAnsi="Times New Roman" w:eastAsia="宋体" w:cs="Times New Roman"/>
                <w:i w:val="0"/>
                <w:iCs w:val="0"/>
                <w:color w:val="000000" w:themeColor="text1"/>
                <w:spacing w:val="14"/>
                <w:highlight w:val="none"/>
                <w:lang w:val="en-US" w:eastAsia="zh-CN"/>
                <w14:textFill>
                  <w14:solidFill>
                    <w14:schemeClr w14:val="tx1"/>
                  </w14:solidFill>
                </w14:textFill>
              </w:rPr>
              <w:t>其次为</w:t>
            </w:r>
            <w:r>
              <w:rPr>
                <w:rFonts w:hint="eastAsia" w:ascii="Times New Roman" w:hAnsi="Times New Roman" w:cs="Times New Roman"/>
                <w:i w:val="0"/>
                <w:iCs w:val="0"/>
                <w:color w:val="000000" w:themeColor="text1"/>
                <w:spacing w:val="14"/>
                <w:highlight w:val="none"/>
                <w:lang w:val="en-US" w:eastAsia="zh-CN"/>
                <w14:textFill>
                  <w14:solidFill>
                    <w14:schemeClr w14:val="tx1"/>
                  </w14:solidFill>
                </w14:textFill>
              </w:rPr>
              <w:t>乔木林地，</w:t>
            </w:r>
            <w:r>
              <w:rPr>
                <w:rFonts w:hint="default" w:ascii="Times New Roman" w:hAnsi="Times New Roman" w:eastAsia="宋体" w:cs="Times New Roman"/>
                <w:i w:val="0"/>
                <w:iCs w:val="0"/>
                <w:color w:val="000000" w:themeColor="text1"/>
                <w:spacing w:val="14"/>
                <w:highlight w:val="none"/>
                <w:lang w:val="en-US" w:eastAsia="zh-CN"/>
                <w14:textFill>
                  <w14:solidFill>
                    <w14:schemeClr w14:val="tx1"/>
                  </w14:solidFill>
                </w14:textFill>
              </w:rPr>
              <w:t>为</w:t>
            </w:r>
            <w:r>
              <w:rPr>
                <w:rFonts w:hint="eastAsia" w:ascii="Times New Roman" w:hAnsi="Times New Roman" w:cs="Times New Roman"/>
                <w:color w:val="000000" w:themeColor="text1"/>
                <w:spacing w:val="14"/>
                <w:highlight w:val="none"/>
                <w:lang w:val="en-US" w:eastAsia="zh-CN"/>
                <w14:textFill>
                  <w14:solidFill>
                    <w14:schemeClr w14:val="tx1"/>
                  </w14:solidFill>
                </w14:textFill>
              </w:rPr>
              <w:t>44380.19</w:t>
            </w:r>
            <w:r>
              <w:rPr>
                <w:rFonts w:hint="default" w:ascii="Times New Roman" w:hAnsi="Times New Roman" w:eastAsia="宋体" w:cs="Times New Roman"/>
                <w:color w:val="000000" w:themeColor="text1"/>
                <w:spacing w:val="14"/>
                <w:highlight w:val="none"/>
                <w14:textFill>
                  <w14:solidFill>
                    <w14:schemeClr w14:val="tx1"/>
                  </w14:solidFill>
                </w14:textFill>
              </w:rPr>
              <w:t>m²，占评价区面积的</w:t>
            </w:r>
            <w:r>
              <w:rPr>
                <w:rFonts w:hint="eastAsia" w:ascii="Times New Roman" w:hAnsi="Times New Roman" w:cs="Times New Roman"/>
                <w:color w:val="000000" w:themeColor="text1"/>
                <w:spacing w:val="14"/>
                <w:highlight w:val="none"/>
                <w:lang w:val="en-US" w:eastAsia="zh-CN"/>
                <w14:textFill>
                  <w14:solidFill>
                    <w14:schemeClr w14:val="tx1"/>
                  </w14:solidFill>
                </w14:textFill>
              </w:rPr>
              <w:t>20.01</w:t>
            </w:r>
            <w:r>
              <w:rPr>
                <w:rFonts w:hint="default" w:ascii="Times New Roman" w:hAnsi="Times New Roman" w:eastAsia="宋体" w:cs="Times New Roman"/>
                <w:color w:val="000000" w:themeColor="text1"/>
                <w:spacing w:val="14"/>
                <w:highlight w:val="none"/>
                <w14:textFill>
                  <w14:solidFill>
                    <w14:schemeClr w14:val="tx1"/>
                  </w14:solidFill>
                </w14:textFill>
              </w:rPr>
              <w:t>%</w:t>
            </w:r>
            <w:r>
              <w:rPr>
                <w:rFonts w:hint="eastAsia" w:ascii="Times New Roman" w:hAnsi="Times New Roman" w:cs="Times New Roman"/>
                <w:color w:val="000000" w:themeColor="text1"/>
                <w:spacing w:val="14"/>
                <w:highlight w:val="none"/>
                <w:lang w:eastAsia="zh-CN"/>
                <w14:textFill>
                  <w14:solidFill>
                    <w14:schemeClr w14:val="tx1"/>
                  </w14:solidFill>
                </w14:textFill>
              </w:rPr>
              <w:t>；</w:t>
            </w:r>
            <w:r>
              <w:rPr>
                <w:rFonts w:hint="eastAsia" w:ascii="Times New Roman" w:hAnsi="Times New Roman" w:cs="Times New Roman"/>
                <w:color w:val="000000" w:themeColor="text1"/>
                <w:spacing w:val="14"/>
                <w:highlight w:val="none"/>
                <w:lang w:val="en-US" w:eastAsia="zh-CN"/>
                <w14:textFill>
                  <w14:solidFill>
                    <w14:schemeClr w14:val="tx1"/>
                  </w14:solidFill>
                </w14:textFill>
              </w:rPr>
              <w:t>二片区</w:t>
            </w:r>
            <w:r>
              <w:rPr>
                <w:rFonts w:hint="eastAsia" w:ascii="Times New Roman" w:hAnsi="Times New Roman" w:cs="Times New Roman"/>
                <w:i w:val="0"/>
                <w:iCs w:val="0"/>
                <w:color w:val="000000" w:themeColor="text1"/>
                <w:spacing w:val="14"/>
                <w:highlight w:val="none"/>
                <w:lang w:val="en-US" w:eastAsia="zh-CN"/>
                <w14:textFill>
                  <w14:solidFill>
                    <w14:schemeClr w14:val="tx1"/>
                  </w14:solidFill>
                </w14:textFill>
              </w:rPr>
              <w:t>乔木林地</w:t>
            </w:r>
            <w:r>
              <w:rPr>
                <w:rFonts w:hint="default" w:ascii="Times New Roman" w:hAnsi="Times New Roman" w:eastAsia="宋体" w:cs="Times New Roman"/>
                <w:color w:val="000000" w:themeColor="text1"/>
                <w:spacing w:val="14"/>
                <w:highlight w:val="none"/>
                <w14:textFill>
                  <w14:solidFill>
                    <w14:schemeClr w14:val="tx1"/>
                  </w14:solidFill>
                </w14:textFill>
              </w:rPr>
              <w:t>面积</w:t>
            </w:r>
            <w:r>
              <w:rPr>
                <w:rFonts w:hint="default" w:ascii="Times New Roman" w:hAnsi="Times New Roman" w:eastAsia="宋体" w:cs="Times New Roman"/>
                <w:color w:val="000000" w:themeColor="text1"/>
                <w:spacing w:val="14"/>
                <w:highlight w:val="none"/>
                <w:lang w:val="en-US" w:eastAsia="zh-CN"/>
                <w14:textFill>
                  <w14:solidFill>
                    <w14:schemeClr w14:val="tx1"/>
                  </w14:solidFill>
                </w14:textFill>
              </w:rPr>
              <w:t>最</w:t>
            </w:r>
            <w:r>
              <w:rPr>
                <w:rFonts w:hint="default" w:ascii="Times New Roman" w:hAnsi="Times New Roman" w:eastAsia="宋体" w:cs="Times New Roman"/>
                <w:color w:val="000000" w:themeColor="text1"/>
                <w:spacing w:val="14"/>
                <w:highlight w:val="none"/>
                <w14:textFill>
                  <w14:solidFill>
                    <w14:schemeClr w14:val="tx1"/>
                  </w14:solidFill>
                </w14:textFill>
              </w:rPr>
              <w:t>大</w:t>
            </w:r>
            <w:r>
              <w:rPr>
                <w:rFonts w:hint="eastAsia" w:ascii="Times New Roman" w:hAnsi="Times New Roman" w:cs="Times New Roman"/>
                <w:color w:val="000000" w:themeColor="text1"/>
                <w:spacing w:val="14"/>
                <w:highlight w:val="none"/>
                <w:lang w:eastAsia="zh-CN"/>
                <w14:textFill>
                  <w14:solidFill>
                    <w14:schemeClr w14:val="tx1"/>
                  </w14:solidFill>
                </w14:textFill>
              </w:rPr>
              <w:t>，</w:t>
            </w:r>
            <w:r>
              <w:rPr>
                <w:rFonts w:hint="eastAsia" w:ascii="Times New Roman" w:hAnsi="Times New Roman" w:cs="Times New Roman"/>
                <w:color w:val="000000" w:themeColor="text1"/>
                <w:spacing w:val="14"/>
                <w:highlight w:val="none"/>
                <w:lang w:val="en-US" w:eastAsia="zh-CN"/>
                <w14:textFill>
                  <w14:solidFill>
                    <w14:schemeClr w14:val="tx1"/>
                  </w14:solidFill>
                </w14:textFill>
              </w:rPr>
              <w:t>为86074.92</w:t>
            </w:r>
            <w:r>
              <w:rPr>
                <w:rFonts w:hint="default" w:ascii="Times New Roman" w:hAnsi="Times New Roman" w:eastAsia="宋体" w:cs="Times New Roman"/>
                <w:color w:val="000000" w:themeColor="text1"/>
                <w:spacing w:val="14"/>
                <w:highlight w:val="none"/>
                <w14:textFill>
                  <w14:solidFill>
                    <w14:schemeClr w14:val="tx1"/>
                  </w14:solidFill>
                </w14:textFill>
              </w:rPr>
              <w:t>m²</w:t>
            </w:r>
            <w:r>
              <w:rPr>
                <w:rFonts w:hint="default" w:ascii="Times New Roman" w:hAnsi="Times New Roman" w:eastAsia="宋体" w:cs="Times New Roman"/>
                <w:color w:val="000000" w:themeColor="text1"/>
                <w:spacing w:val="14"/>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14"/>
                <w:highlight w:val="none"/>
                <w14:textFill>
                  <w14:solidFill>
                    <w14:schemeClr w14:val="tx1"/>
                  </w14:solidFill>
                </w14:textFill>
              </w:rPr>
              <w:t>占</w:t>
            </w:r>
            <w:r>
              <w:rPr>
                <w:rFonts w:hint="eastAsia" w:ascii="Times New Roman" w:hAnsi="Times New Roman" w:cs="Times New Roman"/>
                <w:color w:val="000000" w:themeColor="text1"/>
                <w:spacing w:val="14"/>
                <w:highlight w:val="none"/>
                <w:lang w:val="en-US" w:eastAsia="zh-CN"/>
                <w14:textFill>
                  <w14:solidFill>
                    <w14:schemeClr w14:val="tx1"/>
                  </w14:solidFill>
                </w14:textFill>
              </w:rPr>
              <w:t>项目</w:t>
            </w:r>
            <w:r>
              <w:rPr>
                <w:rFonts w:hint="default" w:ascii="Times New Roman" w:hAnsi="Times New Roman" w:eastAsia="宋体" w:cs="Times New Roman"/>
                <w:color w:val="000000" w:themeColor="text1"/>
                <w:spacing w:val="14"/>
                <w:highlight w:val="none"/>
                <w14:textFill>
                  <w14:solidFill>
                    <w14:schemeClr w14:val="tx1"/>
                  </w14:solidFill>
                </w14:textFill>
              </w:rPr>
              <w:t>区面积的</w:t>
            </w:r>
            <w:r>
              <w:rPr>
                <w:rFonts w:hint="eastAsia" w:ascii="Times New Roman" w:hAnsi="Times New Roman" w:cs="Times New Roman"/>
                <w:color w:val="000000" w:themeColor="text1"/>
                <w:spacing w:val="14"/>
                <w:highlight w:val="none"/>
                <w:lang w:val="en-US" w:eastAsia="zh-CN"/>
                <w14:textFill>
                  <w14:solidFill>
                    <w14:schemeClr w14:val="tx1"/>
                  </w14:solidFill>
                </w14:textFill>
              </w:rPr>
              <w:t>75.82</w:t>
            </w:r>
            <w:r>
              <w:rPr>
                <w:rFonts w:hint="default" w:ascii="Times New Roman" w:hAnsi="Times New Roman" w:eastAsia="宋体" w:cs="Times New Roman"/>
                <w:color w:val="000000" w:themeColor="text1"/>
                <w:spacing w:val="14"/>
                <w:highlight w:val="none"/>
                <w14:textFill>
                  <w14:solidFill>
                    <w14:schemeClr w14:val="tx1"/>
                  </w14:solidFill>
                </w14:textFill>
              </w:rPr>
              <w:t>%</w:t>
            </w:r>
            <w:r>
              <w:rPr>
                <w:rFonts w:hint="default" w:ascii="Times New Roman" w:hAnsi="Times New Roman" w:eastAsia="宋体" w:cs="Times New Roman"/>
                <w:i w:val="0"/>
                <w:iCs w:val="0"/>
                <w:color w:val="000000" w:themeColor="text1"/>
                <w:spacing w:val="14"/>
                <w:highlight w:val="none"/>
                <w:lang w:eastAsia="zh-CN"/>
                <w14:textFill>
                  <w14:solidFill>
                    <w14:schemeClr w14:val="tx1"/>
                  </w14:solidFill>
                </w14:textFill>
              </w:rPr>
              <w:t>；</w:t>
            </w:r>
            <w:r>
              <w:rPr>
                <w:rFonts w:hint="default" w:ascii="Times New Roman" w:hAnsi="Times New Roman" w:eastAsia="宋体" w:cs="Times New Roman"/>
                <w:i w:val="0"/>
                <w:iCs w:val="0"/>
                <w:color w:val="000000" w:themeColor="text1"/>
                <w:spacing w:val="14"/>
                <w:highlight w:val="none"/>
                <w:lang w:val="en-US" w:eastAsia="zh-CN"/>
                <w14:textFill>
                  <w14:solidFill>
                    <w14:schemeClr w14:val="tx1"/>
                  </w14:solidFill>
                </w14:textFill>
              </w:rPr>
              <w:t>其次为</w:t>
            </w:r>
            <w:r>
              <w:rPr>
                <w:rFonts w:hint="eastAsia" w:ascii="Times New Roman" w:hAnsi="Times New Roman" w:cs="Times New Roman"/>
                <w:i w:val="0"/>
                <w:iCs w:val="0"/>
                <w:color w:val="000000" w:themeColor="text1"/>
                <w:spacing w:val="14"/>
                <w:highlight w:val="none"/>
                <w:lang w:val="en-US" w:eastAsia="zh-CN"/>
                <w14:textFill>
                  <w14:solidFill>
                    <w14:schemeClr w14:val="tx1"/>
                  </w14:solidFill>
                </w14:textFill>
              </w:rPr>
              <w:t>果园，</w:t>
            </w:r>
            <w:r>
              <w:rPr>
                <w:rFonts w:hint="default" w:ascii="Times New Roman" w:hAnsi="Times New Roman" w:eastAsia="宋体" w:cs="Times New Roman"/>
                <w:i w:val="0"/>
                <w:iCs w:val="0"/>
                <w:color w:val="000000" w:themeColor="text1"/>
                <w:spacing w:val="14"/>
                <w:highlight w:val="none"/>
                <w:lang w:val="en-US" w:eastAsia="zh-CN"/>
                <w14:textFill>
                  <w14:solidFill>
                    <w14:schemeClr w14:val="tx1"/>
                  </w14:solidFill>
                </w14:textFill>
              </w:rPr>
              <w:t>为</w:t>
            </w:r>
            <w:r>
              <w:rPr>
                <w:rFonts w:hint="eastAsia" w:ascii="Times New Roman" w:hAnsi="Times New Roman" w:cs="Times New Roman"/>
                <w:color w:val="000000" w:themeColor="text1"/>
                <w:spacing w:val="14"/>
                <w:highlight w:val="none"/>
                <w:lang w:val="en-US" w:eastAsia="zh-CN"/>
                <w14:textFill>
                  <w14:solidFill>
                    <w14:schemeClr w14:val="tx1"/>
                  </w14:solidFill>
                </w14:textFill>
              </w:rPr>
              <w:t>99921.46</w:t>
            </w:r>
            <w:r>
              <w:rPr>
                <w:rFonts w:hint="default" w:ascii="Times New Roman" w:hAnsi="Times New Roman" w:eastAsia="宋体" w:cs="Times New Roman"/>
                <w:color w:val="000000" w:themeColor="text1"/>
                <w:spacing w:val="14"/>
                <w:highlight w:val="none"/>
                <w14:textFill>
                  <w14:solidFill>
                    <w14:schemeClr w14:val="tx1"/>
                  </w14:solidFill>
                </w14:textFill>
              </w:rPr>
              <w:t>m²，占评价区面积的</w:t>
            </w:r>
            <w:r>
              <w:rPr>
                <w:rFonts w:hint="eastAsia" w:ascii="Times New Roman" w:hAnsi="Times New Roman" w:cs="Times New Roman"/>
                <w:color w:val="000000" w:themeColor="text1"/>
                <w:spacing w:val="14"/>
                <w:highlight w:val="none"/>
                <w:lang w:val="en-US" w:eastAsia="zh-CN"/>
                <w14:textFill>
                  <w14:solidFill>
                    <w14:schemeClr w14:val="tx1"/>
                  </w14:solidFill>
                </w14:textFill>
              </w:rPr>
              <w:t>12.99</w:t>
            </w:r>
            <w:r>
              <w:rPr>
                <w:rFonts w:hint="default" w:ascii="Times New Roman" w:hAnsi="Times New Roman" w:eastAsia="宋体" w:cs="Times New Roman"/>
                <w:color w:val="000000" w:themeColor="text1"/>
                <w:spacing w:val="14"/>
                <w:highlight w:val="none"/>
                <w14:textFill>
                  <w14:solidFill>
                    <w14:schemeClr w14:val="tx1"/>
                  </w14:solidFill>
                </w14:textFill>
              </w:rPr>
              <w:t>%</w:t>
            </w:r>
            <w:r>
              <w:rPr>
                <w:rFonts w:hint="eastAsia" w:ascii="Times New Roman" w:hAnsi="Times New Roman" w:cs="Times New Roman"/>
                <w:color w:val="000000" w:themeColor="text1"/>
                <w:spacing w:val="14"/>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14"/>
                <w:highlight w:val="none"/>
                <w14:textFill>
                  <w14:solidFill>
                    <w14:schemeClr w14:val="tx1"/>
                  </w14:solidFill>
                </w14:textFill>
              </w:rPr>
              <w:t>其他土地利用类型面积较小。</w:t>
            </w:r>
          </w:p>
          <w:p w14:paraId="310558E7">
            <w:pPr>
              <w:keepNext w:val="0"/>
              <w:keepLines w:val="0"/>
              <w:pageBreakBefore w:val="0"/>
              <w:shd w:val="clear"/>
              <w:kinsoku/>
              <w:wordWrap/>
              <w:overflowPunct/>
              <w:topLinePunct w:val="0"/>
              <w:autoSpaceDE/>
              <w:autoSpaceDN/>
              <w:bidi w:val="0"/>
              <w:adjustRightInd w:val="0"/>
              <w:snapToGrid w:val="0"/>
              <w:ind w:firstLine="536" w:firstLineChars="200"/>
              <w:jc w:val="both"/>
              <w:textAlignment w:val="auto"/>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14"/>
                <w:highlight w:val="none"/>
                <w14:textFill>
                  <w14:solidFill>
                    <w14:schemeClr w14:val="tx1"/>
                  </w14:solidFill>
                </w14:textFill>
              </w:rPr>
              <w:t>从</w:t>
            </w:r>
            <w:r>
              <w:rPr>
                <w:rFonts w:hint="eastAsia" w:ascii="Times New Roman" w:hAnsi="Times New Roman" w:cs="Times New Roman"/>
                <w:color w:val="000000" w:themeColor="text1"/>
                <w:spacing w:val="14"/>
                <w:highlight w:val="none"/>
                <w:lang w:val="en-US" w:eastAsia="zh-CN"/>
                <w14:textFill>
                  <w14:solidFill>
                    <w14:schemeClr w14:val="tx1"/>
                  </w14:solidFill>
                </w14:textFill>
              </w:rPr>
              <w:t>项目区</w:t>
            </w:r>
            <w:r>
              <w:rPr>
                <w:rFonts w:hint="default" w:ascii="Times New Roman" w:hAnsi="Times New Roman" w:eastAsia="宋体" w:cs="Times New Roman"/>
                <w:color w:val="000000" w:themeColor="text1"/>
                <w:spacing w:val="14"/>
                <w:highlight w:val="none"/>
                <w14:textFill>
                  <w14:solidFill>
                    <w14:schemeClr w14:val="tx1"/>
                  </w14:solidFill>
                </w14:textFill>
              </w:rPr>
              <w:t>土地利用现状结构看出，本评价区以</w:t>
            </w:r>
            <w:r>
              <w:rPr>
                <w:rFonts w:hint="default" w:ascii="Times New Roman" w:hAnsi="Times New Roman" w:eastAsia="宋体" w:cs="Times New Roman"/>
                <w:color w:val="000000" w:themeColor="text1"/>
                <w:spacing w:val="14"/>
                <w:highlight w:val="none"/>
                <w:lang w:val="en-US" w:eastAsia="zh-CN"/>
                <w14:textFill>
                  <w14:solidFill>
                    <w14:schemeClr w14:val="tx1"/>
                  </w14:solidFill>
                </w14:textFill>
              </w:rPr>
              <w:t>林地</w:t>
            </w:r>
            <w:r>
              <w:rPr>
                <w:rFonts w:hint="default" w:ascii="Times New Roman" w:hAnsi="Times New Roman" w:eastAsia="宋体" w:cs="Times New Roman"/>
                <w:color w:val="000000" w:themeColor="text1"/>
                <w:spacing w:val="14"/>
                <w:highlight w:val="none"/>
                <w14:textFill>
                  <w14:solidFill>
                    <w14:schemeClr w14:val="tx1"/>
                  </w14:solidFill>
                </w14:textFill>
              </w:rPr>
              <w:t>为优势用地类型，本</w:t>
            </w:r>
            <w:r>
              <w:rPr>
                <w:rFonts w:hint="eastAsia" w:ascii="Times New Roman" w:hAnsi="Times New Roman" w:cs="Times New Roman"/>
                <w:color w:val="000000" w:themeColor="text1"/>
                <w:spacing w:val="14"/>
                <w:highlight w:val="none"/>
                <w:lang w:val="en-US" w:eastAsia="zh-CN"/>
                <w14:textFill>
                  <w14:solidFill>
                    <w14:schemeClr w14:val="tx1"/>
                  </w14:solidFill>
                </w14:textFill>
              </w:rPr>
              <w:t>项目</w:t>
            </w:r>
            <w:r>
              <w:rPr>
                <w:rFonts w:hint="default" w:ascii="Times New Roman" w:hAnsi="Times New Roman" w:eastAsia="宋体" w:cs="Times New Roman"/>
                <w:color w:val="000000" w:themeColor="text1"/>
                <w:spacing w:val="14"/>
                <w:highlight w:val="none"/>
                <w14:textFill>
                  <w14:solidFill>
                    <w14:schemeClr w14:val="tx1"/>
                  </w14:solidFill>
                </w14:textFill>
              </w:rPr>
              <w:t>区</w:t>
            </w:r>
            <w:r>
              <w:rPr>
                <w:rFonts w:hint="eastAsia" w:ascii="Times New Roman" w:hAnsi="Times New Roman" w:cs="Times New Roman"/>
                <w:color w:val="000000" w:themeColor="text1"/>
                <w:spacing w:val="14"/>
                <w:highlight w:val="none"/>
                <w:lang w:val="en-US" w:eastAsia="zh-CN"/>
                <w14:textFill>
                  <w14:solidFill>
                    <w14:schemeClr w14:val="tx1"/>
                  </w14:solidFill>
                </w14:textFill>
              </w:rPr>
              <w:t>内林地</w:t>
            </w:r>
            <w:r>
              <w:rPr>
                <w:rFonts w:hint="default" w:ascii="Times New Roman" w:hAnsi="Times New Roman" w:eastAsia="宋体" w:cs="Times New Roman"/>
                <w:color w:val="000000" w:themeColor="text1"/>
                <w:spacing w:val="14"/>
                <w:highlight w:val="none"/>
                <w:lang w:val="en-US" w:eastAsia="zh-CN"/>
                <w14:textFill>
                  <w14:solidFill>
                    <w14:schemeClr w14:val="tx1"/>
                  </w14:solidFill>
                </w14:textFill>
              </w:rPr>
              <w:t>资源相对丰富</w:t>
            </w:r>
            <w:r>
              <w:rPr>
                <w:rFonts w:hint="default" w:ascii="Times New Roman" w:hAnsi="Times New Roman" w:eastAsia="宋体" w:cs="Times New Roman"/>
                <w:color w:val="000000" w:themeColor="text1"/>
                <w:highlight w:val="none"/>
                <w:lang w:val="en-US" w:eastAsia="zh-CN"/>
                <w14:textFill>
                  <w14:solidFill>
                    <w14:schemeClr w14:val="tx1"/>
                  </w14:solidFill>
                </w14:textFill>
              </w:rPr>
              <w:t>。</w:t>
            </w:r>
          </w:p>
          <w:p w14:paraId="151ECA2F">
            <w:pPr>
              <w:keepNext w:val="0"/>
              <w:keepLines w:val="0"/>
              <w:pageBreakBefore w:val="0"/>
              <w:kinsoku/>
              <w:wordWrap/>
              <w:overflowPunct/>
              <w:topLinePunct w:val="0"/>
              <w:autoSpaceDE/>
              <w:autoSpaceDN/>
              <w:bidi w:val="0"/>
              <w:adjustRightInd w:val="0"/>
              <w:snapToGrid w:val="0"/>
              <w:ind w:left="0" w:leftChars="0" w:firstLine="482" w:firstLineChars="200"/>
              <w:jc w:val="both"/>
              <w:textAlignment w:val="auto"/>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4、生态环境现状</w:t>
            </w:r>
          </w:p>
          <w:p w14:paraId="387F11E8">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2" w:firstLineChars="200"/>
              <w:jc w:val="both"/>
              <w:textAlignment w:val="auto"/>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（1）植被及植被资源现状</w:t>
            </w:r>
          </w:p>
          <w:p w14:paraId="50629E86">
            <w:pPr>
              <w:pStyle w:val="75"/>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2" w:firstLineChars="200"/>
              <w:jc w:val="both"/>
              <w:textAlignment w:val="auto"/>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1）评价范围</w:t>
            </w:r>
          </w:p>
          <w:p w14:paraId="4FAF27DF">
            <w:pPr>
              <w:pStyle w:val="75"/>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000000" w:themeColor="text1"/>
                <w:sz w:val="24"/>
                <w:szCs w:val="24"/>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本次陆生生态评价根据建设单位提供项目区域确定调查范围和调查线路，调查范围包括工程永久范围以及中心线外延300m范围，其中调查重点为工程永久范围线以内。</w:t>
            </w:r>
          </w:p>
          <w:p w14:paraId="2AA02A0E">
            <w:pPr>
              <w:pStyle w:val="75"/>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2" w:firstLineChars="200"/>
              <w:jc w:val="both"/>
              <w:textAlignment w:val="auto"/>
              <w:rPr>
                <w:rFonts w:hint="default" w:ascii="Times New Roman" w:hAnsi="Times New Roman" w:eastAsia="宋体" w:cs="Times New Roman"/>
                <w:b w:val="0"/>
                <w:bCs w:val="0"/>
                <w:color w:val="000000" w:themeColor="text1"/>
                <w:sz w:val="24"/>
                <w:szCs w:val="24"/>
                <w14:textFill>
                  <w14:solidFill>
                    <w14:schemeClr w14:val="tx1"/>
                  </w14:solidFill>
                </w14:textFill>
              </w:rPr>
            </w:pP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2）</w:t>
            </w:r>
            <w:r>
              <w:rPr>
                <w:rFonts w:hint="default" w:ascii="Times New Roman" w:hAnsi="Times New Roman" w:eastAsia="宋体" w:cs="Times New Roman"/>
                <w:b/>
                <w:bCs/>
                <w:color w:val="000000" w:themeColor="text1"/>
                <w:sz w:val="24"/>
                <w:szCs w:val="24"/>
                <w14:textFill>
                  <w14:solidFill>
                    <w14:schemeClr w14:val="tx1"/>
                  </w14:solidFill>
                </w14:textFill>
              </w:rPr>
              <w:t>调查方法</w:t>
            </w:r>
            <w:r>
              <w:rPr>
                <w:rFonts w:hint="default" w:ascii="Times New Roman" w:hAnsi="Times New Roman" w:eastAsia="宋体" w:cs="Times New Roman"/>
                <w:b/>
                <w:bCs/>
                <w:color w:val="000000" w:themeColor="text1"/>
                <w:sz w:val="24"/>
                <w:szCs w:val="24"/>
                <w:lang w:eastAsia="zh-CN"/>
                <w14:textFill>
                  <w14:solidFill>
                    <w14:schemeClr w14:val="tx1"/>
                  </w14:solidFill>
                </w14:textFill>
              </w:rPr>
              <w:t>：</w:t>
            </w:r>
            <w:r>
              <w:rPr>
                <w:rFonts w:hint="default" w:ascii="Times New Roman" w:hAnsi="Times New Roman" w:eastAsia="宋体" w:cs="Times New Roman"/>
                <w:b w:val="0"/>
                <w:bCs w:val="0"/>
                <w:color w:val="000000" w:themeColor="text1"/>
                <w:sz w:val="24"/>
                <w:szCs w:val="24"/>
                <w14:textFill>
                  <w14:solidFill>
                    <w14:schemeClr w14:val="tx1"/>
                  </w14:solidFill>
                </w14:textFill>
              </w:rPr>
              <w:t>项目组通过现场踏勘，走访当地的林业部门和当地群众，以及收集资料的方式了解项目区域内资源情况、野生植物的种类组成和资源情况。</w:t>
            </w:r>
          </w:p>
          <w:p w14:paraId="78154EF1">
            <w:pPr>
              <w:pStyle w:val="75"/>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2" w:firstLineChars="200"/>
              <w:jc w:val="both"/>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3）</w:t>
            </w:r>
            <w:r>
              <w:rPr>
                <w:rFonts w:hint="default" w:ascii="Times New Roman" w:hAnsi="Times New Roman" w:eastAsia="宋体" w:cs="Times New Roman"/>
                <w:b/>
                <w:bCs/>
                <w:color w:val="000000" w:themeColor="text1"/>
                <w:sz w:val="24"/>
                <w:szCs w:val="24"/>
                <w14:textFill>
                  <w14:solidFill>
                    <w14:schemeClr w14:val="tx1"/>
                  </w14:solidFill>
                </w14:textFill>
              </w:rPr>
              <w:t>调查时间</w:t>
            </w:r>
            <w:r>
              <w:rPr>
                <w:rFonts w:hint="default" w:ascii="Times New Roman" w:hAnsi="Times New Roman" w:eastAsia="宋体" w:cs="Times New Roman"/>
                <w:b/>
                <w:bCs/>
                <w:color w:val="000000" w:themeColor="text1"/>
                <w:sz w:val="24"/>
                <w:szCs w:val="24"/>
                <w:lang w:eastAsia="zh-CN"/>
                <w14:textFill>
                  <w14:solidFill>
                    <w14:schemeClr w14:val="tx1"/>
                  </w14:solidFill>
                </w14:textFill>
              </w:rPr>
              <w:t>：</w:t>
            </w:r>
            <w:r>
              <w:rPr>
                <w:rFonts w:hint="default" w:ascii="Times New Roman" w:hAnsi="Times New Roman" w:eastAsia="宋体" w:cs="Times New Roman"/>
                <w:b w:val="0"/>
                <w:bCs w:val="0"/>
                <w:color w:val="000000" w:themeColor="text1"/>
                <w:sz w:val="24"/>
                <w:szCs w:val="24"/>
                <w14:textFill>
                  <w14:solidFill>
                    <w14:schemeClr w14:val="tx1"/>
                  </w14:solidFill>
                </w14:textFill>
              </w:rPr>
              <w:t>202</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5</w:t>
            </w:r>
            <w:r>
              <w:rPr>
                <w:rFonts w:hint="default" w:ascii="Times New Roman" w:hAnsi="Times New Roman" w:eastAsia="宋体" w:cs="Times New Roman"/>
                <w:b w:val="0"/>
                <w:bCs w:val="0"/>
                <w:color w:val="000000" w:themeColor="text1"/>
                <w:sz w:val="24"/>
                <w:szCs w:val="24"/>
                <w14:textFill>
                  <w14:solidFill>
                    <w14:schemeClr w14:val="tx1"/>
                  </w14:solidFill>
                </w14:textFill>
              </w:rPr>
              <w:t>年</w:t>
            </w:r>
            <w:r>
              <w:rPr>
                <w:rFonts w:hint="eastAsia" w:ascii="Times New Roman" w:hAnsi="Times New Roman" w:cs="Times New Roman"/>
                <w:b w:val="0"/>
                <w:bCs w:val="0"/>
                <w:color w:val="000000" w:themeColor="text1"/>
                <w:sz w:val="24"/>
                <w:szCs w:val="24"/>
                <w:lang w:val="en-US" w:eastAsia="zh-CN"/>
                <w14:textFill>
                  <w14:solidFill>
                    <w14:schemeClr w14:val="tx1"/>
                  </w14:solidFill>
                </w14:textFill>
              </w:rPr>
              <w:t>10</w:t>
            </w:r>
            <w:r>
              <w:rPr>
                <w:rFonts w:hint="default" w:ascii="Times New Roman" w:hAnsi="Times New Roman" w:eastAsia="宋体" w:cs="Times New Roman"/>
                <w:b w:val="0"/>
                <w:bCs w:val="0"/>
                <w:color w:val="000000" w:themeColor="text1"/>
                <w:sz w:val="24"/>
                <w:szCs w:val="24"/>
                <w14:textFill>
                  <w14:solidFill>
                    <w14:schemeClr w14:val="tx1"/>
                  </w14:solidFill>
                </w14:textFill>
              </w:rPr>
              <w:t>月，项目组到评价现场进行了实地踏勘，踏勘了项目区及评价范围内的植被类型、野生动植物种类。</w:t>
            </w:r>
          </w:p>
          <w:p w14:paraId="4F803B55">
            <w:pPr>
              <w:pStyle w:val="75"/>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2" w:firstLineChars="200"/>
              <w:jc w:val="both"/>
              <w:textAlignment w:val="auto"/>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4）植被分类原则</w:t>
            </w:r>
          </w:p>
          <w:p w14:paraId="3AC6ED43">
            <w:pPr>
              <w:pStyle w:val="75"/>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依据《云南植被》专著中采用的分类系统，遵循群落学—生态学的分类原则，采用3个主级分类单位，即植被型（高级分类单位）、群系（中级分类单位）和群丛（低级分类单位），各级再设亚级或辅助单位。</w:t>
            </w:r>
          </w:p>
          <w:p w14:paraId="2AF5FAA3">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42" w:firstLineChars="200"/>
              <w:jc w:val="both"/>
              <w:textAlignment w:val="auto"/>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sz w:val="22"/>
                <w:szCs w:val="22"/>
                <w:lang w:val="en-US" w:eastAsia="zh-CN"/>
                <w14:textFill>
                  <w14:solidFill>
                    <w14:schemeClr w14:val="tx1"/>
                  </w14:solidFill>
                </w14:textFill>
              </w:rPr>
              <w:t>5）</w:t>
            </w: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植被类型分布</w:t>
            </w:r>
          </w:p>
          <w:p w14:paraId="264E7B0E">
            <w:pPr>
              <w:keepNext w:val="0"/>
              <w:keepLines w:val="0"/>
              <w:pageBreakBefore w:val="0"/>
              <w:widowControl/>
              <w:suppressLineNumbers w:val="0"/>
              <w:kinsoku/>
              <w:wordWrap/>
              <w:overflowPunct/>
              <w:topLinePunct w:val="0"/>
              <w:autoSpaceDE/>
              <w:autoSpaceDN/>
              <w:bidi w:val="0"/>
              <w:adjustRightInd w:val="0"/>
              <w:snapToGrid w:val="0"/>
              <w:ind w:firstLine="482" w:firstLineChars="200"/>
              <w:jc w:val="both"/>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b/>
                <w:bCs/>
                <w:color w:val="000000" w:themeColor="text1"/>
                <w:kern w:val="0"/>
                <w:sz w:val="24"/>
                <w:szCs w:val="24"/>
                <w:lang w:val="en-US" w:eastAsia="zh-CN" w:bidi="ar"/>
                <w14:textFill>
                  <w14:solidFill>
                    <w14:schemeClr w14:val="tx1"/>
                  </w14:solidFill>
                </w14:textFill>
              </w:rPr>
              <w:t>①评价区植被分类系统及其分布特点</w:t>
            </w:r>
          </w:p>
          <w:p w14:paraId="0DCBAC64">
            <w:pPr>
              <w:keepNext w:val="0"/>
              <w:keepLines w:val="0"/>
              <w:pageBreakBefore w:val="0"/>
              <w:widowControl/>
              <w:suppressLineNumbers w:val="0"/>
              <w:kinsoku/>
              <w:wordWrap/>
              <w:overflowPunct/>
              <w:topLinePunct w:val="0"/>
              <w:autoSpaceDE/>
              <w:autoSpaceDN/>
              <w:bidi w:val="0"/>
              <w:adjustRightInd w:val="0"/>
              <w:snapToGrid w:val="0"/>
              <w:ind w:firstLine="480" w:firstLineChars="200"/>
              <w:jc w:val="both"/>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根据现场踏勘与调查，按《云南植被》分类系统，评价区自然植被共</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有</w:t>
            </w:r>
            <w:r>
              <w:rPr>
                <w:rFonts w:hint="eastAsia" w:ascii="Times New Roman" w:hAnsi="Times New Roman" w:cs="Times New Roman"/>
                <w:color w:val="000000" w:themeColor="text1"/>
                <w:kern w:val="0"/>
                <w:sz w:val="24"/>
                <w:szCs w:val="24"/>
                <w:lang w:val="en-US" w:eastAsia="zh-CN" w:bidi="ar"/>
                <w14:textFill>
                  <w14:solidFill>
                    <w14:schemeClr w14:val="tx1"/>
                  </w14:solidFill>
                </w14:textFill>
              </w:rPr>
              <w:t>3</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个植被型，</w:t>
            </w:r>
            <w:r>
              <w:rPr>
                <w:rFonts w:hint="eastAsia" w:ascii="Times New Roman" w:hAnsi="Times New Roman" w:cs="Times New Roman"/>
                <w:color w:val="000000" w:themeColor="text1"/>
                <w:kern w:val="0"/>
                <w:sz w:val="24"/>
                <w:szCs w:val="24"/>
                <w:lang w:val="en-US" w:eastAsia="zh-CN" w:bidi="ar"/>
                <w14:textFill>
                  <w14:solidFill>
                    <w14:schemeClr w14:val="tx1"/>
                  </w14:solidFill>
                </w14:textFill>
              </w:rPr>
              <w:t>3</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个群落，人工植被1类。详见</w:t>
            </w:r>
            <w:r>
              <w:rPr>
                <w:rFonts w:hint="eastAsia" w:ascii="Times New Roman" w:hAnsi="Times New Roman" w:cs="Times New Roman"/>
                <w:color w:val="000000" w:themeColor="text1"/>
                <w:kern w:val="0"/>
                <w:sz w:val="24"/>
                <w:szCs w:val="24"/>
                <w:lang w:val="en-US" w:eastAsia="zh-CN" w:bidi="ar"/>
                <w14:textFill>
                  <w14:solidFill>
                    <w14:schemeClr w14:val="tx1"/>
                  </w14:solidFill>
                </w14:textFill>
              </w:rPr>
              <w:t>下</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表。</w:t>
            </w:r>
          </w:p>
          <w:p w14:paraId="7FEC4237">
            <w:pPr>
              <w:keepNext w:val="0"/>
              <w:keepLines w:val="0"/>
              <w:pageBreakBefore w:val="0"/>
              <w:widowControl/>
              <w:suppressLineNumbers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b/>
                <w:bCs/>
                <w:color w:val="000000" w:themeColor="text1"/>
                <w:kern w:val="0"/>
                <w:sz w:val="21"/>
                <w:szCs w:val="21"/>
                <w:lang w:val="en-US" w:eastAsia="zh-CN" w:bidi="ar"/>
                <w14:textFill>
                  <w14:solidFill>
                    <w14:schemeClr w14:val="tx1"/>
                  </w14:solidFill>
                </w14:textFill>
              </w:rPr>
            </w:pPr>
          </w:p>
          <w:p w14:paraId="3C2C6898">
            <w:pPr>
              <w:keepNext w:val="0"/>
              <w:keepLines w:val="0"/>
              <w:pageBreakBefore w:val="0"/>
              <w:widowControl/>
              <w:suppressLineNumbers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b/>
                <w:bCs/>
                <w:color w:val="000000" w:themeColor="text1"/>
                <w:kern w:val="0"/>
                <w:sz w:val="21"/>
                <w:szCs w:val="21"/>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0"/>
                <w:sz w:val="21"/>
                <w:szCs w:val="21"/>
                <w:lang w:val="en-US" w:eastAsia="zh-CN" w:bidi="ar"/>
                <w14:textFill>
                  <w14:solidFill>
                    <w14:schemeClr w14:val="tx1"/>
                  </w14:solidFill>
                </w14:textFill>
              </w:rPr>
              <w:t>表3-</w:t>
            </w:r>
            <w:r>
              <w:rPr>
                <w:rFonts w:hint="eastAsia" w:ascii="Times New Roman" w:hAnsi="Times New Roman" w:cs="Times New Roman"/>
                <w:b/>
                <w:bCs/>
                <w:color w:val="000000" w:themeColor="text1"/>
                <w:kern w:val="0"/>
                <w:sz w:val="21"/>
                <w:szCs w:val="21"/>
                <w:lang w:val="en-US" w:eastAsia="zh-CN" w:bidi="ar"/>
                <w14:textFill>
                  <w14:solidFill>
                    <w14:schemeClr w14:val="tx1"/>
                  </w14:solidFill>
                </w14:textFill>
              </w:rPr>
              <w:t xml:space="preserve">3  </w:t>
            </w:r>
            <w:r>
              <w:rPr>
                <w:rFonts w:hint="default" w:ascii="Times New Roman" w:hAnsi="Times New Roman" w:eastAsia="宋体" w:cs="Times New Roman"/>
                <w:b/>
                <w:bCs/>
                <w:color w:val="000000" w:themeColor="text1"/>
                <w:kern w:val="0"/>
                <w:sz w:val="21"/>
                <w:szCs w:val="21"/>
                <w:lang w:val="en-US" w:eastAsia="zh-CN" w:bidi="ar"/>
                <w14:textFill>
                  <w14:solidFill>
                    <w14:schemeClr w14:val="tx1"/>
                  </w14:solidFill>
                </w14:textFill>
              </w:rPr>
              <w:t>评价区典型植被分类系统</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7210F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vAlign w:val="center"/>
                </w:tcPr>
                <w:p w14:paraId="5FF86DFB">
                  <w:pPr>
                    <w:keepNext w:val="0"/>
                    <w:keepLines w:val="0"/>
                    <w:pageBreakBefore w:val="0"/>
                    <w:widowControl/>
                    <w:suppressLineNumbers w:val="0"/>
                    <w:kinsoku/>
                    <w:wordWrap/>
                    <w:overflowPunct/>
                    <w:topLinePunct w:val="0"/>
                    <w:autoSpaceDE/>
                    <w:autoSpaceDN/>
                    <w:bidi w:val="0"/>
                    <w:adjustRightInd w:val="0"/>
                    <w:snapToGrid w:val="0"/>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A、自然植被</w:t>
                  </w:r>
                </w:p>
              </w:tc>
            </w:tr>
            <w:tr w14:paraId="02826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vAlign w:val="center"/>
                </w:tcPr>
                <w:p w14:paraId="7BBF0814">
                  <w:pPr>
                    <w:keepNext w:val="0"/>
                    <w:keepLines w:val="0"/>
                    <w:pageBreakBefore w:val="0"/>
                    <w:widowControl/>
                    <w:suppressLineNumbers w:val="0"/>
                    <w:kinsoku/>
                    <w:wordWrap/>
                    <w:overflowPunct/>
                    <w:topLinePunct w:val="0"/>
                    <w:autoSpaceDE/>
                    <w:autoSpaceDN/>
                    <w:bidi w:val="0"/>
                    <w:adjustRightInd w:val="0"/>
                    <w:snapToGrid w:val="0"/>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Ⅰ常绿阔叶林</w:t>
                  </w:r>
                </w:p>
              </w:tc>
            </w:tr>
            <w:tr w14:paraId="713B0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vAlign w:val="center"/>
                </w:tcPr>
                <w:p w14:paraId="1F595AFB">
                  <w:pPr>
                    <w:keepNext w:val="0"/>
                    <w:keepLines w:val="0"/>
                    <w:pageBreakBefore w:val="0"/>
                    <w:widowControl/>
                    <w:suppressLineNumbers w:val="0"/>
                    <w:kinsoku/>
                    <w:wordWrap/>
                    <w:overflowPunct/>
                    <w:topLinePunct w:val="0"/>
                    <w:autoSpaceDE/>
                    <w:autoSpaceDN/>
                    <w:bidi w:val="0"/>
                    <w:adjustRightInd w:val="0"/>
                    <w:snapToGrid w:val="0"/>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1、高山栲群系</w:t>
                  </w:r>
                </w:p>
              </w:tc>
            </w:tr>
            <w:tr w14:paraId="7E9BF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vAlign w:val="center"/>
                </w:tcPr>
                <w:p w14:paraId="724C99A5">
                  <w:pPr>
                    <w:keepNext w:val="0"/>
                    <w:keepLines w:val="0"/>
                    <w:pageBreakBefore w:val="0"/>
                    <w:widowControl/>
                    <w:suppressLineNumbers w:val="0"/>
                    <w:kinsoku/>
                    <w:wordWrap/>
                    <w:overflowPunct/>
                    <w:topLinePunct w:val="0"/>
                    <w:autoSpaceDE/>
                    <w:autoSpaceDN/>
                    <w:bidi w:val="0"/>
                    <w:adjustRightInd w:val="0"/>
                    <w:snapToGrid w:val="0"/>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Ⅱ暖性针叶林</w:t>
                  </w:r>
                </w:p>
              </w:tc>
            </w:tr>
            <w:tr w14:paraId="14011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vAlign w:val="center"/>
                </w:tcPr>
                <w:p w14:paraId="61A444CB">
                  <w:pPr>
                    <w:keepNext w:val="0"/>
                    <w:keepLines w:val="0"/>
                    <w:pageBreakBefore w:val="0"/>
                    <w:widowControl/>
                    <w:suppressLineNumbers w:val="0"/>
                    <w:kinsoku/>
                    <w:wordWrap/>
                    <w:overflowPunct/>
                    <w:topLinePunct w:val="0"/>
                    <w:autoSpaceDE/>
                    <w:autoSpaceDN/>
                    <w:bidi w:val="0"/>
                    <w:adjustRightInd w:val="0"/>
                    <w:snapToGrid w:val="0"/>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1、云南松群系</w:t>
                  </w:r>
                </w:p>
              </w:tc>
            </w:tr>
            <w:tr w14:paraId="2A7B6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vAlign w:val="center"/>
                </w:tcPr>
                <w:p w14:paraId="253D9782">
                  <w:pPr>
                    <w:keepNext w:val="0"/>
                    <w:keepLines w:val="0"/>
                    <w:pageBreakBefore w:val="0"/>
                    <w:widowControl/>
                    <w:suppressLineNumbers w:val="0"/>
                    <w:kinsoku/>
                    <w:wordWrap/>
                    <w:overflowPunct/>
                    <w:topLinePunct w:val="0"/>
                    <w:autoSpaceDE/>
                    <w:autoSpaceDN/>
                    <w:bidi w:val="0"/>
                    <w:adjustRightInd w:val="0"/>
                    <w:snapToGrid w:val="0"/>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Ⅲ草丛</w:t>
                  </w:r>
                </w:p>
              </w:tc>
            </w:tr>
            <w:tr w14:paraId="252A5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vAlign w:val="center"/>
                </w:tcPr>
                <w:p w14:paraId="018107EA">
                  <w:pPr>
                    <w:keepNext w:val="0"/>
                    <w:keepLines w:val="0"/>
                    <w:pageBreakBefore w:val="0"/>
                    <w:widowControl/>
                    <w:suppressLineNumbers w:val="0"/>
                    <w:kinsoku/>
                    <w:wordWrap/>
                    <w:overflowPunct/>
                    <w:topLinePunct w:val="0"/>
                    <w:autoSpaceDE/>
                    <w:autoSpaceDN/>
                    <w:bidi w:val="0"/>
                    <w:adjustRightInd w:val="0"/>
                    <w:snapToGrid w:val="0"/>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1、类芦群系</w:t>
                  </w:r>
                </w:p>
              </w:tc>
            </w:tr>
            <w:tr w14:paraId="4C3B7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vAlign w:val="center"/>
                </w:tcPr>
                <w:p w14:paraId="2EAC962E">
                  <w:pPr>
                    <w:keepNext w:val="0"/>
                    <w:keepLines w:val="0"/>
                    <w:pageBreakBefore w:val="0"/>
                    <w:widowControl/>
                    <w:suppressLineNumbers w:val="0"/>
                    <w:kinsoku/>
                    <w:wordWrap/>
                    <w:overflowPunct/>
                    <w:topLinePunct w:val="0"/>
                    <w:autoSpaceDE/>
                    <w:autoSpaceDN/>
                    <w:bidi w:val="0"/>
                    <w:adjustRightInd w:val="0"/>
                    <w:snapToGrid w:val="0"/>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B、人工植被</w:t>
                  </w:r>
                </w:p>
              </w:tc>
            </w:tr>
            <w:tr w14:paraId="526AD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vAlign w:val="center"/>
                </w:tcPr>
                <w:p w14:paraId="76A9F397">
                  <w:pPr>
                    <w:keepNext w:val="0"/>
                    <w:keepLines w:val="0"/>
                    <w:pageBreakBefore w:val="0"/>
                    <w:widowControl/>
                    <w:suppressLineNumbers w:val="0"/>
                    <w:kinsoku/>
                    <w:wordWrap/>
                    <w:overflowPunct/>
                    <w:topLinePunct w:val="0"/>
                    <w:autoSpaceDE/>
                    <w:autoSpaceDN/>
                    <w:bidi w:val="0"/>
                    <w:adjustRightInd w:val="0"/>
                    <w:snapToGrid w:val="0"/>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Ⅰ农田植被</w:t>
                  </w:r>
                </w:p>
              </w:tc>
            </w:tr>
          </w:tbl>
          <w:p w14:paraId="3E7F1FB7">
            <w:pPr>
              <w:keepNext w:val="0"/>
              <w:keepLines w:val="0"/>
              <w:widowControl/>
              <w:suppressLineNumbers w:val="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
                <w14:textFill>
                  <w14:solidFill>
                    <w14:schemeClr w14:val="tx1"/>
                  </w14:solidFill>
                </w14:textFill>
              </w:rPr>
              <w:t>注：植被型组：A、B、C…；植被型：Ⅰ、Ⅱ、Ⅲ…；植被群系：1、2、…。</w:t>
            </w:r>
          </w:p>
          <w:p w14:paraId="3D67C377">
            <w:pPr>
              <w:keepNext w:val="0"/>
              <w:keepLines w:val="0"/>
              <w:pageBreakBefore w:val="0"/>
              <w:widowControl/>
              <w:suppressLineNumbers w:val="0"/>
              <w:kinsoku/>
              <w:wordWrap/>
              <w:overflowPunct/>
              <w:topLinePunct w:val="0"/>
              <w:autoSpaceDE/>
              <w:autoSpaceDN/>
              <w:bidi w:val="0"/>
              <w:adjustRightInd w:val="0"/>
              <w:snapToGrid w:val="0"/>
              <w:ind w:firstLine="482" w:firstLineChars="200"/>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b/>
                <w:bCs/>
                <w:color w:val="000000" w:themeColor="text1"/>
                <w:kern w:val="0"/>
                <w:sz w:val="24"/>
                <w:szCs w:val="24"/>
                <w:lang w:val="en-US" w:eastAsia="zh-CN" w:bidi="ar"/>
                <w14:textFill>
                  <w14:solidFill>
                    <w14:schemeClr w14:val="tx1"/>
                  </w14:solidFill>
                </w14:textFill>
              </w:rPr>
              <w:t>②自然植被类型</w:t>
            </w:r>
          </w:p>
          <w:p w14:paraId="0202B1BC">
            <w:pPr>
              <w:keepNext w:val="0"/>
              <w:keepLines w:val="0"/>
              <w:pageBreakBefore w:val="0"/>
              <w:widowControl/>
              <w:suppressLineNumbers w:val="0"/>
              <w:kinsoku/>
              <w:wordWrap/>
              <w:overflowPunct/>
              <w:topLinePunct w:val="0"/>
              <w:autoSpaceDE/>
              <w:autoSpaceDN/>
              <w:bidi w:val="0"/>
              <w:adjustRightInd w:val="0"/>
              <w:snapToGrid w:val="0"/>
              <w:ind w:left="0" w:leftChars="0" w:firstLine="482" w:firstLineChars="200"/>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b/>
                <w:bCs/>
                <w:color w:val="000000" w:themeColor="text1"/>
                <w:kern w:val="0"/>
                <w:sz w:val="24"/>
                <w:szCs w:val="24"/>
                <w:lang w:val="en-US" w:eastAsia="zh-CN" w:bidi="ar"/>
                <w14:textFill>
                  <w14:solidFill>
                    <w14:schemeClr w14:val="tx1"/>
                  </w14:solidFill>
                </w14:textFill>
              </w:rPr>
              <w:t>A常绿阔叶林</w:t>
            </w:r>
          </w:p>
          <w:p w14:paraId="7D00B2C1">
            <w:pPr>
              <w:keepNext w:val="0"/>
              <w:keepLines w:val="0"/>
              <w:pageBreakBefore w:val="0"/>
              <w:widowControl/>
              <w:suppressLineNumbers w:val="0"/>
              <w:kinsoku/>
              <w:wordWrap/>
              <w:overflowPunct/>
              <w:topLinePunct w:val="0"/>
              <w:autoSpaceDE/>
              <w:autoSpaceDN/>
              <w:bidi w:val="0"/>
              <w:adjustRightInd w:val="0"/>
              <w:snapToGrid w:val="0"/>
              <w:ind w:firstLine="482" w:firstLineChars="200"/>
              <w:jc w:val="both"/>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b/>
                <w:bCs/>
                <w:color w:val="000000" w:themeColor="text1"/>
                <w:kern w:val="0"/>
                <w:sz w:val="24"/>
                <w:szCs w:val="24"/>
                <w:lang w:val="en-US" w:eastAsia="zh-CN" w:bidi="ar"/>
                <w14:textFill>
                  <w14:solidFill>
                    <w14:schemeClr w14:val="tx1"/>
                  </w14:solidFill>
                </w14:textFill>
              </w:rPr>
              <w:t>a高山栲群系</w:t>
            </w:r>
          </w:p>
          <w:p w14:paraId="54F54557">
            <w:pPr>
              <w:keepNext w:val="0"/>
              <w:keepLines w:val="0"/>
              <w:pageBreakBefore w:val="0"/>
              <w:widowControl/>
              <w:suppressLineNumbers w:val="0"/>
              <w:kinsoku/>
              <w:wordWrap/>
              <w:overflowPunct/>
              <w:topLinePunct w:val="0"/>
              <w:autoSpaceDE/>
              <w:autoSpaceDN/>
              <w:bidi w:val="0"/>
              <w:adjustRightInd w:val="0"/>
              <w:snapToGrid w:val="0"/>
              <w:spacing w:line="360" w:lineRule="auto"/>
              <w:ind w:left="0" w:leftChars="0" w:firstLine="480" w:firstLineChars="200"/>
              <w:jc w:val="both"/>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该群落总盖度80%左右。乔木层盖度约55%，层高18m，以高山栲</w:t>
            </w:r>
            <w:r>
              <w:rPr>
                <w:rFonts w:hint="default" w:ascii="Times New Roman" w:hAnsi="Times New Roman" w:eastAsia="宋体" w:cs="Times New Roman"/>
                <w:i/>
                <w:iCs/>
                <w:color w:val="000000" w:themeColor="text1"/>
                <w:kern w:val="0"/>
                <w:sz w:val="24"/>
                <w:szCs w:val="24"/>
                <w:lang w:val="en-US" w:eastAsia="zh-CN" w:bidi="ar"/>
                <w14:textFill>
                  <w14:solidFill>
                    <w14:schemeClr w14:val="tx1"/>
                  </w14:solidFill>
                </w14:textFill>
              </w:rPr>
              <w:t>Castanopsis delavayi</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为主，伴生有香面叶</w:t>
            </w:r>
            <w:r>
              <w:rPr>
                <w:rFonts w:hint="default" w:ascii="Times New Roman" w:hAnsi="Times New Roman" w:eastAsia="宋体" w:cs="Times New Roman"/>
                <w:i/>
                <w:iCs/>
                <w:color w:val="000000" w:themeColor="text1"/>
                <w:kern w:val="0"/>
                <w:sz w:val="24"/>
                <w:szCs w:val="24"/>
                <w:lang w:val="en-US" w:eastAsia="zh-CN" w:bidi="ar"/>
                <w14:textFill>
                  <w14:solidFill>
                    <w14:schemeClr w14:val="tx1"/>
                  </w14:solidFill>
                </w14:textFill>
              </w:rPr>
              <w:t>Lindera caudata</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、重阳木</w:t>
            </w:r>
            <w:r>
              <w:rPr>
                <w:rFonts w:hint="default" w:ascii="Times New Roman" w:hAnsi="Times New Roman" w:eastAsia="宋体" w:cs="Times New Roman"/>
                <w:i/>
                <w:iCs/>
                <w:color w:val="000000" w:themeColor="text1"/>
                <w:kern w:val="0"/>
                <w:sz w:val="24"/>
                <w:szCs w:val="24"/>
                <w:lang w:val="en-US" w:eastAsia="zh-CN" w:bidi="ar"/>
                <w14:textFill>
                  <w14:solidFill>
                    <w14:schemeClr w14:val="tx1"/>
                  </w14:solidFill>
                </w14:textFill>
              </w:rPr>
              <w:t>Bischofiapolycarpa</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、西南粗糠树</w:t>
            </w:r>
            <w:r>
              <w:rPr>
                <w:rFonts w:hint="default" w:ascii="Times New Roman" w:hAnsi="Times New Roman" w:eastAsia="宋体" w:cs="Times New Roman"/>
                <w:i/>
                <w:iCs/>
                <w:color w:val="000000" w:themeColor="text1"/>
                <w:kern w:val="0"/>
                <w:sz w:val="24"/>
                <w:szCs w:val="24"/>
                <w:lang w:val="en-US" w:eastAsia="zh-CN" w:bidi="ar"/>
                <w14:textFill>
                  <w14:solidFill>
                    <w14:schemeClr w14:val="tx1"/>
                  </w14:solidFill>
                </w14:textFill>
              </w:rPr>
              <w:t>Ehretiacorylifolia</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、山玉兰</w:t>
            </w:r>
            <w:r>
              <w:rPr>
                <w:rFonts w:hint="default" w:ascii="Times New Roman" w:hAnsi="Times New Roman" w:eastAsia="宋体" w:cs="Times New Roman"/>
                <w:i/>
                <w:iCs/>
                <w:color w:val="000000" w:themeColor="text1"/>
                <w:kern w:val="0"/>
                <w:sz w:val="24"/>
                <w:szCs w:val="24"/>
                <w:lang w:val="en-US" w:eastAsia="zh-CN" w:bidi="ar"/>
                <w14:textFill>
                  <w14:solidFill>
                    <w14:schemeClr w14:val="tx1"/>
                  </w14:solidFill>
                </w14:textFill>
              </w:rPr>
              <w:t>Magnolia</w:t>
            </w:r>
          </w:p>
          <w:p w14:paraId="2EE44716">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i/>
                <w:iCs/>
                <w:color w:val="000000" w:themeColor="text1"/>
                <w:kern w:val="0"/>
                <w:sz w:val="24"/>
                <w:szCs w:val="24"/>
                <w:lang w:val="en-US" w:eastAsia="zh-CN" w:bidi="ar"/>
                <w14:textFill>
                  <w14:solidFill>
                    <w14:schemeClr w14:val="tx1"/>
                  </w14:solidFill>
                </w14:textFill>
              </w:rPr>
              <w:t>delavayi</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、石栎属一种</w:t>
            </w:r>
            <w:r>
              <w:rPr>
                <w:rFonts w:hint="default" w:ascii="Times New Roman" w:hAnsi="Times New Roman" w:eastAsia="宋体" w:cs="Times New Roman"/>
                <w:i/>
                <w:iCs/>
                <w:color w:val="000000" w:themeColor="text1"/>
                <w:kern w:val="0"/>
                <w:sz w:val="24"/>
                <w:szCs w:val="24"/>
                <w:lang w:val="en-US" w:eastAsia="zh-CN" w:bidi="ar"/>
                <w14:textFill>
                  <w14:solidFill>
                    <w14:schemeClr w14:val="tx1"/>
                  </w14:solidFill>
                </w14:textFill>
              </w:rPr>
              <w:t>Lithocarpus</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sp、旱冬瓜</w:t>
            </w:r>
            <w:r>
              <w:rPr>
                <w:rFonts w:hint="default" w:ascii="Times New Roman" w:hAnsi="Times New Roman" w:eastAsia="宋体" w:cs="Times New Roman"/>
                <w:i/>
                <w:iCs/>
                <w:color w:val="000000" w:themeColor="text1"/>
                <w:kern w:val="0"/>
                <w:sz w:val="24"/>
                <w:szCs w:val="24"/>
                <w:lang w:val="en-US" w:eastAsia="zh-CN" w:bidi="ar"/>
                <w14:textFill>
                  <w14:solidFill>
                    <w14:schemeClr w14:val="tx1"/>
                  </w14:solidFill>
                </w14:textFill>
              </w:rPr>
              <w:t>Alnusnepalensis</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、大叶</w:t>
            </w:r>
          </w:p>
          <w:p w14:paraId="1A612446">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000000" w:themeColor="text1"/>
                <w:sz w:val="24"/>
                <w:szCs w:val="24"/>
                <w:lang w:val="en-US"/>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栎</w:t>
            </w:r>
            <w:r>
              <w:rPr>
                <w:rFonts w:hint="default" w:ascii="Times New Roman" w:hAnsi="Times New Roman" w:eastAsia="宋体" w:cs="Times New Roman"/>
                <w:i/>
                <w:iCs/>
                <w:color w:val="000000" w:themeColor="text1"/>
                <w:kern w:val="0"/>
                <w:sz w:val="24"/>
                <w:szCs w:val="24"/>
                <w:lang w:val="en-US" w:eastAsia="zh-CN" w:bidi="ar"/>
                <w14:textFill>
                  <w14:solidFill>
                    <w14:schemeClr w14:val="tx1"/>
                  </w14:solidFill>
                </w14:textFill>
              </w:rPr>
              <w:t>Quercus griffithi</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、柘树</w:t>
            </w:r>
            <w:r>
              <w:rPr>
                <w:rFonts w:hint="default" w:ascii="Times New Roman" w:hAnsi="Times New Roman" w:eastAsia="宋体" w:cs="Times New Roman"/>
                <w:i/>
                <w:iCs/>
                <w:color w:val="000000" w:themeColor="text1"/>
                <w:kern w:val="0"/>
                <w:sz w:val="24"/>
                <w:szCs w:val="24"/>
                <w:lang w:val="en-US" w:eastAsia="zh-CN" w:bidi="ar"/>
                <w14:textFill>
                  <w14:solidFill>
                    <w14:schemeClr w14:val="tx1"/>
                  </w14:solidFill>
                </w14:textFill>
              </w:rPr>
              <w:t>Cudraniatricuspidata</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等；灌木层种类多而分散，层盖度约35%，常见物种有清香木</w:t>
            </w:r>
            <w:r>
              <w:rPr>
                <w:rFonts w:hint="default" w:ascii="Times New Roman" w:hAnsi="Times New Roman" w:eastAsia="宋体" w:cs="Times New Roman"/>
                <w:i/>
                <w:iCs/>
                <w:color w:val="000000" w:themeColor="text1"/>
                <w:kern w:val="0"/>
                <w:sz w:val="24"/>
                <w:szCs w:val="24"/>
                <w:lang w:val="en-US" w:eastAsia="zh-CN" w:bidi="ar"/>
                <w14:textFill>
                  <w14:solidFill>
                    <w14:schemeClr w14:val="tx1"/>
                  </w14:solidFill>
                </w14:textFill>
              </w:rPr>
              <w:t>Pistacia weinmannifolia</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、金珠柳</w:t>
            </w:r>
          </w:p>
          <w:p w14:paraId="66BE503D">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i/>
                <w:iCs/>
                <w:color w:val="000000" w:themeColor="text1"/>
                <w:kern w:val="0"/>
                <w:sz w:val="24"/>
                <w:szCs w:val="24"/>
                <w:lang w:val="en-US" w:eastAsia="zh-CN" w:bidi="ar"/>
                <w14:textFill>
                  <w14:solidFill>
                    <w14:schemeClr w14:val="tx1"/>
                  </w14:solidFill>
                </w14:textFill>
              </w:rPr>
              <w:t>Maesa montana</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、栽秧泡</w:t>
            </w:r>
            <w:r>
              <w:rPr>
                <w:rFonts w:hint="default" w:ascii="Times New Roman" w:hAnsi="Times New Roman" w:eastAsia="宋体" w:cs="Times New Roman"/>
                <w:i/>
                <w:iCs/>
                <w:color w:val="000000" w:themeColor="text1"/>
                <w:kern w:val="0"/>
                <w:sz w:val="24"/>
                <w:szCs w:val="24"/>
                <w:lang w:val="en-US" w:eastAsia="zh-CN" w:bidi="ar"/>
                <w14:textFill>
                  <w14:solidFill>
                    <w14:schemeClr w14:val="tx1"/>
                  </w14:solidFill>
                </w14:textFill>
              </w:rPr>
              <w:t xml:space="preserve">Rubusellipticus </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var.</w:t>
            </w:r>
            <w:r>
              <w:rPr>
                <w:rFonts w:hint="default" w:ascii="Times New Roman" w:hAnsi="Times New Roman" w:eastAsia="宋体" w:cs="Times New Roman"/>
                <w:i/>
                <w:iCs/>
                <w:color w:val="000000" w:themeColor="text1"/>
                <w:kern w:val="0"/>
                <w:sz w:val="24"/>
                <w:szCs w:val="24"/>
                <w:lang w:val="en-US" w:eastAsia="zh-CN" w:bidi="ar"/>
                <w14:textFill>
                  <w14:solidFill>
                    <w14:schemeClr w14:val="tx1"/>
                  </w14:solidFill>
                </w14:textFill>
              </w:rPr>
              <w:t>obcordatus</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、岩柿</w:t>
            </w:r>
            <w:r>
              <w:rPr>
                <w:rFonts w:hint="default" w:ascii="Times New Roman" w:hAnsi="Times New Roman" w:eastAsia="宋体" w:cs="Times New Roman"/>
                <w:i/>
                <w:iCs/>
                <w:color w:val="000000" w:themeColor="text1"/>
                <w:kern w:val="0"/>
                <w:sz w:val="24"/>
                <w:szCs w:val="24"/>
                <w:lang w:val="en-US" w:eastAsia="zh-CN" w:bidi="ar"/>
                <w14:textFill>
                  <w14:solidFill>
                    <w14:schemeClr w14:val="tx1"/>
                  </w14:solidFill>
                </w14:textFill>
              </w:rPr>
              <w:t>Diospyros dumetorum</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、余甘子</w:t>
            </w:r>
            <w:r>
              <w:rPr>
                <w:rFonts w:hint="default" w:ascii="Times New Roman" w:hAnsi="Times New Roman" w:eastAsia="宋体" w:cs="Times New Roman"/>
                <w:i/>
                <w:iCs/>
                <w:color w:val="000000" w:themeColor="text1"/>
                <w:kern w:val="0"/>
                <w:sz w:val="24"/>
                <w:szCs w:val="24"/>
                <w:lang w:val="en-US" w:eastAsia="zh-CN" w:bidi="ar"/>
                <w14:textFill>
                  <w14:solidFill>
                    <w14:schemeClr w14:val="tx1"/>
                  </w14:solidFill>
                </w14:textFill>
              </w:rPr>
              <w:t>Phyllanthusemblica</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、粗叶水锦树27</w:t>
            </w:r>
            <w:r>
              <w:rPr>
                <w:rFonts w:hint="default" w:ascii="Times New Roman" w:hAnsi="Times New Roman" w:eastAsia="宋体" w:cs="Times New Roman"/>
                <w:i/>
                <w:iCs/>
                <w:color w:val="000000" w:themeColor="text1"/>
                <w:kern w:val="0"/>
                <w:sz w:val="24"/>
                <w:szCs w:val="24"/>
                <w:lang w:val="en-US" w:eastAsia="zh-CN" w:bidi="ar"/>
                <w14:textFill>
                  <w14:solidFill>
                    <w14:schemeClr w14:val="tx1"/>
                  </w14:solidFill>
                </w14:textFill>
              </w:rPr>
              <w:t>Wendlandiascabra</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、大叶千斤拔</w:t>
            </w:r>
            <w:r>
              <w:rPr>
                <w:rFonts w:hint="default" w:ascii="Times New Roman" w:hAnsi="Times New Roman" w:eastAsia="宋体" w:cs="Times New Roman"/>
                <w:i/>
                <w:iCs/>
                <w:color w:val="000000" w:themeColor="text1"/>
                <w:kern w:val="0"/>
                <w:sz w:val="24"/>
                <w:szCs w:val="24"/>
                <w:lang w:val="en-US" w:eastAsia="zh-CN" w:bidi="ar"/>
                <w14:textFill>
                  <w14:solidFill>
                    <w14:schemeClr w14:val="tx1"/>
                  </w14:solidFill>
                </w14:textFill>
              </w:rPr>
              <w:t>Flemingiamacrophylla</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、算盘子属一种</w:t>
            </w:r>
            <w:r>
              <w:rPr>
                <w:rFonts w:hint="default" w:ascii="Times New Roman" w:hAnsi="Times New Roman" w:eastAsia="宋体" w:cs="Times New Roman"/>
                <w:i/>
                <w:iCs/>
                <w:color w:val="000000" w:themeColor="text1"/>
                <w:kern w:val="0"/>
                <w:sz w:val="24"/>
                <w:szCs w:val="24"/>
                <w:lang w:val="en-US" w:eastAsia="zh-CN" w:bidi="ar"/>
                <w14:textFill>
                  <w14:solidFill>
                    <w14:schemeClr w14:val="tx1"/>
                  </w14:solidFill>
                </w14:textFill>
              </w:rPr>
              <w:t>Glochidion</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sp.、密脉鹅掌柴</w:t>
            </w:r>
            <w:r>
              <w:rPr>
                <w:rFonts w:hint="default" w:ascii="Times New Roman" w:hAnsi="Times New Roman" w:eastAsia="宋体" w:cs="Times New Roman"/>
                <w:i/>
                <w:iCs/>
                <w:color w:val="000000" w:themeColor="text1"/>
                <w:kern w:val="0"/>
                <w:sz w:val="24"/>
                <w:szCs w:val="24"/>
                <w:lang w:val="en-US" w:eastAsia="zh-CN" w:bidi="ar"/>
                <w14:textFill>
                  <w14:solidFill>
                    <w14:schemeClr w14:val="tx1"/>
                  </w14:solidFill>
                </w14:textFill>
              </w:rPr>
              <w:t>Schefflera venulosa</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等；草本层高约55cm，层盖度30%，主要组成物种包括紫茎泽兰</w:t>
            </w:r>
            <w:r>
              <w:rPr>
                <w:rFonts w:hint="default" w:ascii="Times New Roman" w:hAnsi="Times New Roman" w:eastAsia="宋体" w:cs="Times New Roman"/>
                <w:i/>
                <w:iCs/>
                <w:color w:val="000000" w:themeColor="text1"/>
                <w:kern w:val="0"/>
                <w:sz w:val="24"/>
                <w:szCs w:val="24"/>
                <w:lang w:val="en-US" w:eastAsia="zh-CN" w:bidi="ar"/>
                <w14:textFill>
                  <w14:solidFill>
                    <w14:schemeClr w14:val="tx1"/>
                  </w14:solidFill>
                </w14:textFill>
              </w:rPr>
              <w:t>Ageratina adenophora</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、四脉金茅</w:t>
            </w:r>
            <w:r>
              <w:rPr>
                <w:rFonts w:hint="default" w:ascii="Times New Roman" w:hAnsi="Times New Roman" w:eastAsia="宋体" w:cs="Times New Roman"/>
                <w:i/>
                <w:iCs/>
                <w:color w:val="000000" w:themeColor="text1"/>
                <w:kern w:val="0"/>
                <w:sz w:val="24"/>
                <w:szCs w:val="24"/>
                <w:lang w:val="en-US" w:eastAsia="zh-CN" w:bidi="ar"/>
                <w14:textFill>
                  <w14:solidFill>
                    <w14:schemeClr w14:val="tx1"/>
                  </w14:solidFill>
                </w14:textFill>
              </w:rPr>
              <w:t>Eulaliaquadrinervis</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、刚莠竹</w:t>
            </w:r>
            <w:r>
              <w:rPr>
                <w:rFonts w:hint="default" w:ascii="Times New Roman" w:hAnsi="Times New Roman" w:eastAsia="宋体" w:cs="Times New Roman"/>
                <w:i/>
                <w:iCs/>
                <w:color w:val="000000" w:themeColor="text1"/>
                <w:kern w:val="0"/>
                <w:sz w:val="24"/>
                <w:szCs w:val="24"/>
                <w:lang w:val="en-US" w:eastAsia="zh-CN" w:bidi="ar"/>
                <w14:textFill>
                  <w14:solidFill>
                    <w14:schemeClr w14:val="tx1"/>
                  </w14:solidFill>
                </w14:textFill>
              </w:rPr>
              <w:t>Microstegium ciliatum</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、刺芒野古草</w:t>
            </w:r>
            <w:r>
              <w:rPr>
                <w:rFonts w:hint="default" w:ascii="Times New Roman" w:hAnsi="Times New Roman" w:eastAsia="宋体" w:cs="Times New Roman"/>
                <w:i/>
                <w:iCs/>
                <w:color w:val="000000" w:themeColor="text1"/>
                <w:kern w:val="0"/>
                <w:sz w:val="24"/>
                <w:szCs w:val="24"/>
                <w:lang w:val="en-US" w:eastAsia="zh-CN" w:bidi="ar"/>
                <w14:textFill>
                  <w14:solidFill>
                    <w14:schemeClr w14:val="tx1"/>
                  </w14:solidFill>
                </w14:textFill>
              </w:rPr>
              <w:t>Arundinella setosa</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、凤尾蕨</w:t>
            </w:r>
            <w:r>
              <w:rPr>
                <w:rFonts w:hint="default" w:ascii="Times New Roman" w:hAnsi="Times New Roman" w:eastAsia="宋体" w:cs="Times New Roman"/>
                <w:i/>
                <w:iCs/>
                <w:color w:val="000000" w:themeColor="text1"/>
                <w:kern w:val="0"/>
                <w:sz w:val="24"/>
                <w:szCs w:val="24"/>
                <w:lang w:val="en-US" w:eastAsia="zh-CN" w:bidi="ar"/>
                <w14:textFill>
                  <w14:solidFill>
                    <w14:schemeClr w14:val="tx1"/>
                  </w14:solidFill>
                </w14:textFill>
              </w:rPr>
              <w:t>Pteris cretica</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var.</w:t>
            </w:r>
            <w:r>
              <w:rPr>
                <w:rFonts w:hint="default" w:ascii="Times New Roman" w:hAnsi="Times New Roman" w:eastAsia="宋体" w:cs="Times New Roman"/>
                <w:i/>
                <w:iCs/>
                <w:color w:val="000000" w:themeColor="text1"/>
                <w:kern w:val="0"/>
                <w:sz w:val="24"/>
                <w:szCs w:val="24"/>
                <w:lang w:val="en-US" w:eastAsia="zh-CN" w:bidi="ar"/>
                <w14:textFill>
                  <w14:solidFill>
                    <w14:schemeClr w14:val="tx1"/>
                  </w14:solidFill>
                </w14:textFill>
              </w:rPr>
              <w:t>nervosa</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、蜈蚣草</w:t>
            </w:r>
            <w:r>
              <w:rPr>
                <w:rFonts w:hint="default" w:ascii="Times New Roman" w:hAnsi="Times New Roman" w:eastAsia="宋体" w:cs="Times New Roman"/>
                <w:i/>
                <w:iCs/>
                <w:color w:val="000000" w:themeColor="text1"/>
                <w:kern w:val="0"/>
                <w:sz w:val="24"/>
                <w:szCs w:val="24"/>
                <w:lang w:val="en-US" w:eastAsia="zh-CN" w:bidi="ar"/>
                <w14:textFill>
                  <w14:solidFill>
                    <w14:schemeClr w14:val="tx1"/>
                  </w14:solidFill>
                </w14:textFill>
              </w:rPr>
              <w:t>Pterisvittata</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、类芦</w:t>
            </w:r>
            <w:r>
              <w:rPr>
                <w:rFonts w:hint="default" w:ascii="Times New Roman" w:hAnsi="Times New Roman" w:eastAsia="宋体" w:cs="Times New Roman"/>
                <w:i/>
                <w:iCs/>
                <w:color w:val="000000" w:themeColor="text1"/>
                <w:kern w:val="0"/>
                <w:sz w:val="24"/>
                <w:szCs w:val="24"/>
                <w:lang w:val="en-US" w:eastAsia="zh-CN" w:bidi="ar"/>
                <w14:textFill>
                  <w14:solidFill>
                    <w14:schemeClr w14:val="tx1"/>
                  </w14:solidFill>
                </w14:textFill>
              </w:rPr>
              <w:t>Neyraudia reynaudiana</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、浆果薹草</w:t>
            </w:r>
            <w:r>
              <w:rPr>
                <w:rFonts w:hint="default" w:ascii="Times New Roman" w:hAnsi="Times New Roman" w:eastAsia="宋体" w:cs="Times New Roman"/>
                <w:i/>
                <w:iCs/>
                <w:color w:val="000000" w:themeColor="text1"/>
                <w:kern w:val="0"/>
                <w:sz w:val="24"/>
                <w:szCs w:val="24"/>
                <w:lang w:val="en-US" w:eastAsia="zh-CN" w:bidi="ar"/>
                <w14:textFill>
                  <w14:solidFill>
                    <w14:schemeClr w14:val="tx1"/>
                  </w14:solidFill>
                </w14:textFill>
              </w:rPr>
              <w:t>Carexbaccans</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、长冠鼠尾草</w:t>
            </w:r>
            <w:r>
              <w:rPr>
                <w:rFonts w:hint="default" w:ascii="Times New Roman" w:hAnsi="Times New Roman" w:eastAsia="宋体" w:cs="Times New Roman"/>
                <w:i/>
                <w:iCs/>
                <w:color w:val="000000" w:themeColor="text1"/>
                <w:kern w:val="0"/>
                <w:sz w:val="24"/>
                <w:szCs w:val="24"/>
                <w:lang w:val="en-US" w:eastAsia="zh-CN" w:bidi="ar"/>
                <w14:textFill>
                  <w14:solidFill>
                    <w14:schemeClr w14:val="tx1"/>
                  </w14:solidFill>
                </w14:textFill>
              </w:rPr>
              <w:t>Salviaplectranthoides</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、四块瓦</w:t>
            </w:r>
            <w:r>
              <w:rPr>
                <w:rFonts w:hint="default" w:ascii="Times New Roman" w:hAnsi="Times New Roman" w:eastAsia="宋体" w:cs="Times New Roman"/>
                <w:i/>
                <w:iCs/>
                <w:color w:val="000000" w:themeColor="text1"/>
                <w:kern w:val="0"/>
                <w:sz w:val="24"/>
                <w:szCs w:val="24"/>
                <w:lang w:val="en-US" w:eastAsia="zh-CN" w:bidi="ar"/>
                <w14:textFill>
                  <w14:solidFill>
                    <w14:schemeClr w14:val="tx1"/>
                  </w14:solidFill>
                </w14:textFill>
              </w:rPr>
              <w:t>Chloran thusholostegius</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、凤尾蕨属一种</w:t>
            </w:r>
            <w:r>
              <w:rPr>
                <w:rFonts w:hint="default" w:ascii="Times New Roman" w:hAnsi="Times New Roman" w:eastAsia="宋体" w:cs="Times New Roman"/>
                <w:i/>
                <w:iCs/>
                <w:color w:val="000000" w:themeColor="text1"/>
                <w:kern w:val="0"/>
                <w:sz w:val="24"/>
                <w:szCs w:val="24"/>
                <w:lang w:val="en-US" w:eastAsia="zh-CN" w:bidi="ar"/>
                <w14:textFill>
                  <w14:solidFill>
                    <w14:schemeClr w14:val="tx1"/>
                  </w14:solidFill>
                </w14:textFill>
              </w:rPr>
              <w:t>Pteris</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sp、山菅兰</w:t>
            </w:r>
            <w:r>
              <w:rPr>
                <w:rFonts w:hint="default" w:ascii="Times New Roman" w:hAnsi="Times New Roman" w:eastAsia="宋体" w:cs="Times New Roman"/>
                <w:i/>
                <w:iCs/>
                <w:color w:val="000000" w:themeColor="text1"/>
                <w:kern w:val="0"/>
                <w:sz w:val="24"/>
                <w:szCs w:val="24"/>
                <w:lang w:val="en-US" w:eastAsia="zh-CN" w:bidi="ar"/>
                <w14:textFill>
                  <w14:solidFill>
                    <w14:schemeClr w14:val="tx1"/>
                  </w14:solidFill>
                </w14:textFill>
              </w:rPr>
              <w:t>Dianellaensifolia</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、长梗开口箭</w:t>
            </w:r>
            <w:r>
              <w:rPr>
                <w:rFonts w:hint="default" w:ascii="Times New Roman" w:hAnsi="Times New Roman" w:eastAsia="宋体" w:cs="Times New Roman"/>
                <w:i/>
                <w:iCs/>
                <w:color w:val="000000" w:themeColor="text1"/>
                <w:kern w:val="0"/>
                <w:sz w:val="24"/>
                <w:szCs w:val="24"/>
                <w:lang w:val="en-US" w:eastAsia="zh-CN" w:bidi="ar"/>
                <w14:textFill>
                  <w14:solidFill>
                    <w14:schemeClr w14:val="tx1"/>
                  </w14:solidFill>
                </w14:textFill>
              </w:rPr>
              <w:t>Tupistralongipedunculata</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等；层间植物有羊齿天门冬</w:t>
            </w:r>
            <w:r>
              <w:rPr>
                <w:rFonts w:hint="default" w:ascii="Times New Roman" w:hAnsi="Times New Roman" w:eastAsia="宋体" w:cs="Times New Roman"/>
                <w:i/>
                <w:iCs/>
                <w:color w:val="000000" w:themeColor="text1"/>
                <w:kern w:val="0"/>
                <w:sz w:val="24"/>
                <w:szCs w:val="24"/>
                <w:lang w:val="en-US" w:eastAsia="zh-CN" w:bidi="ar"/>
                <w14:textFill>
                  <w14:solidFill>
                    <w14:schemeClr w14:val="tx1"/>
                  </w14:solidFill>
                </w14:textFill>
              </w:rPr>
              <w:t>Asparagus filicinus</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、一文钱</w:t>
            </w:r>
            <w:r>
              <w:rPr>
                <w:rFonts w:hint="default" w:ascii="Times New Roman" w:hAnsi="Times New Roman" w:eastAsia="宋体" w:cs="Times New Roman"/>
                <w:i/>
                <w:iCs/>
                <w:color w:val="000000" w:themeColor="text1"/>
                <w:kern w:val="0"/>
                <w:sz w:val="24"/>
                <w:szCs w:val="24"/>
                <w:lang w:val="en-US" w:eastAsia="zh-CN" w:bidi="ar"/>
                <w14:textFill>
                  <w14:solidFill>
                    <w14:schemeClr w14:val="tx1"/>
                  </w14:solidFill>
                </w14:textFill>
              </w:rPr>
              <w:t>Stephaniadelavayi</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、土茯苓</w:t>
            </w:r>
            <w:r>
              <w:rPr>
                <w:rFonts w:hint="default" w:ascii="Times New Roman" w:hAnsi="Times New Roman" w:eastAsia="宋体" w:cs="Times New Roman"/>
                <w:i/>
                <w:iCs/>
                <w:color w:val="000000" w:themeColor="text1"/>
                <w:kern w:val="0"/>
                <w:sz w:val="24"/>
                <w:szCs w:val="24"/>
                <w:lang w:val="en-US" w:eastAsia="zh-CN" w:bidi="ar"/>
                <w14:textFill>
                  <w14:solidFill>
                    <w14:schemeClr w14:val="tx1"/>
                  </w14:solidFill>
                </w14:textFill>
              </w:rPr>
              <w:t>Smilaxglabra</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、菝葜属一种</w:t>
            </w:r>
            <w:r>
              <w:rPr>
                <w:rFonts w:hint="default" w:ascii="Times New Roman" w:hAnsi="Times New Roman" w:eastAsia="宋体" w:cs="Times New Roman"/>
                <w:i/>
                <w:iCs/>
                <w:color w:val="000000" w:themeColor="text1"/>
                <w:kern w:val="0"/>
                <w:sz w:val="24"/>
                <w:szCs w:val="24"/>
                <w:lang w:val="en-US" w:eastAsia="zh-CN" w:bidi="ar"/>
                <w14:textFill>
                  <w14:solidFill>
                    <w14:schemeClr w14:val="tx1"/>
                  </w14:solidFill>
                </w14:textFill>
              </w:rPr>
              <w:t>Smilax</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sp等。</w:t>
            </w:r>
          </w:p>
          <w:p w14:paraId="5610256C">
            <w:pPr>
              <w:keepNext w:val="0"/>
              <w:keepLines w:val="0"/>
              <w:pageBreakBefore w:val="0"/>
              <w:widowControl/>
              <w:suppressLineNumbers w:val="0"/>
              <w:kinsoku/>
              <w:wordWrap/>
              <w:overflowPunct/>
              <w:topLinePunct w:val="0"/>
              <w:autoSpaceDE/>
              <w:autoSpaceDN/>
              <w:bidi w:val="0"/>
              <w:adjustRightInd w:val="0"/>
              <w:snapToGrid w:val="0"/>
              <w:ind w:left="0" w:leftChars="0" w:firstLine="482" w:firstLineChars="200"/>
              <w:jc w:val="both"/>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b/>
                <w:bCs/>
                <w:color w:val="000000" w:themeColor="text1"/>
                <w:kern w:val="0"/>
                <w:sz w:val="24"/>
                <w:szCs w:val="24"/>
                <w:lang w:val="en-US" w:eastAsia="zh-CN" w:bidi="ar"/>
                <w14:textFill>
                  <w14:solidFill>
                    <w14:schemeClr w14:val="tx1"/>
                  </w14:solidFill>
                </w14:textFill>
              </w:rPr>
              <w:t>b暖性针叶林</w:t>
            </w:r>
          </w:p>
          <w:p w14:paraId="5D472DE4">
            <w:pPr>
              <w:keepNext w:val="0"/>
              <w:keepLines w:val="0"/>
              <w:pageBreakBefore w:val="0"/>
              <w:widowControl/>
              <w:suppressLineNumbers w:val="0"/>
              <w:kinsoku/>
              <w:wordWrap/>
              <w:overflowPunct/>
              <w:topLinePunct w:val="0"/>
              <w:autoSpaceDE/>
              <w:autoSpaceDN/>
              <w:bidi w:val="0"/>
              <w:adjustRightInd w:val="0"/>
              <w:snapToGrid w:val="0"/>
              <w:ind w:firstLine="480" w:firstLineChars="200"/>
              <w:jc w:val="both"/>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云南松群系</w:t>
            </w:r>
          </w:p>
          <w:p w14:paraId="79C21406">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该群落盖度85%左右，分布较广，尤其在人为活动强烈的区域。乔木层盖度60%，层高约13m，以云南松</w:t>
            </w:r>
            <w:r>
              <w:rPr>
                <w:rFonts w:hint="default" w:ascii="Times New Roman" w:hAnsi="Times New Roman" w:eastAsia="宋体" w:cs="Times New Roman"/>
                <w:i/>
                <w:iCs/>
                <w:color w:val="000000" w:themeColor="text1"/>
                <w:kern w:val="0"/>
                <w:sz w:val="24"/>
                <w:szCs w:val="24"/>
                <w:lang w:val="en-US" w:eastAsia="zh-CN" w:bidi="ar"/>
                <w14:textFill>
                  <w14:solidFill>
                    <w14:schemeClr w14:val="tx1"/>
                  </w14:solidFill>
                </w14:textFill>
              </w:rPr>
              <w:t>Pinus yunnanensis</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占绝对优势，少量伴生有锐齿槲栎</w:t>
            </w:r>
            <w:r>
              <w:rPr>
                <w:rFonts w:hint="default" w:ascii="Times New Roman" w:hAnsi="Times New Roman" w:eastAsia="宋体" w:cs="Times New Roman"/>
                <w:i/>
                <w:iCs/>
                <w:color w:val="000000" w:themeColor="text1"/>
                <w:kern w:val="0"/>
                <w:sz w:val="24"/>
                <w:szCs w:val="24"/>
                <w:lang w:val="en-US" w:eastAsia="zh-CN" w:bidi="ar"/>
                <w14:textFill>
                  <w14:solidFill>
                    <w14:schemeClr w14:val="tx1"/>
                  </w14:solidFill>
                </w14:textFill>
              </w:rPr>
              <w:t xml:space="preserve">Quercus aliena </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var.</w:t>
            </w:r>
            <w:r>
              <w:rPr>
                <w:rFonts w:hint="default" w:ascii="Times New Roman" w:hAnsi="Times New Roman" w:eastAsia="宋体" w:cs="Times New Roman"/>
                <w:i/>
                <w:iCs/>
                <w:color w:val="000000" w:themeColor="text1"/>
                <w:kern w:val="0"/>
                <w:sz w:val="24"/>
                <w:szCs w:val="24"/>
                <w:lang w:val="en-US" w:eastAsia="zh-CN" w:bidi="ar"/>
                <w14:textFill>
                  <w14:solidFill>
                    <w14:schemeClr w14:val="tx1"/>
                  </w14:solidFill>
                </w14:textFill>
              </w:rPr>
              <w:t>acutiserrata</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、栓皮栎</w:t>
            </w:r>
            <w:r>
              <w:rPr>
                <w:rFonts w:hint="default" w:ascii="Times New Roman" w:hAnsi="Times New Roman" w:eastAsia="宋体" w:cs="Times New Roman"/>
                <w:i/>
                <w:iCs/>
                <w:color w:val="000000" w:themeColor="text1"/>
                <w:kern w:val="0"/>
                <w:sz w:val="24"/>
                <w:szCs w:val="24"/>
                <w:lang w:val="en-US" w:eastAsia="zh-CN" w:bidi="ar"/>
                <w14:textFill>
                  <w14:solidFill>
                    <w14:schemeClr w14:val="tx1"/>
                  </w14:solidFill>
                </w14:textFill>
              </w:rPr>
              <w:t>Quercus variabilis</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、茶梨</w:t>
            </w:r>
            <w:r>
              <w:rPr>
                <w:rFonts w:hint="default" w:ascii="Times New Roman" w:hAnsi="Times New Roman" w:eastAsia="宋体" w:cs="Times New Roman"/>
                <w:i/>
                <w:iCs/>
                <w:color w:val="000000" w:themeColor="text1"/>
                <w:kern w:val="0"/>
                <w:sz w:val="24"/>
                <w:szCs w:val="24"/>
                <w:lang w:val="en-US" w:eastAsia="zh-CN" w:bidi="ar"/>
                <w14:textFill>
                  <w14:solidFill>
                    <w14:schemeClr w14:val="tx1"/>
                  </w14:solidFill>
                </w14:textFill>
              </w:rPr>
              <w:t>Annesleafragrans</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、旱冬瓜</w:t>
            </w:r>
            <w:r>
              <w:rPr>
                <w:rFonts w:hint="default" w:ascii="Times New Roman" w:hAnsi="Times New Roman" w:eastAsia="宋体" w:cs="Times New Roman"/>
                <w:i/>
                <w:iCs/>
                <w:color w:val="000000" w:themeColor="text1"/>
                <w:kern w:val="0"/>
                <w:sz w:val="24"/>
                <w:szCs w:val="24"/>
                <w:lang w:val="en-US" w:eastAsia="zh-CN" w:bidi="ar"/>
                <w14:textFill>
                  <w14:solidFill>
                    <w14:schemeClr w14:val="tx1"/>
                  </w14:solidFill>
                </w14:textFill>
              </w:rPr>
              <w:t>Alnusnepalensis</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等；灌木层物种稀疏，层盖度仅10%，主要物种有余甘子</w:t>
            </w:r>
            <w:r>
              <w:rPr>
                <w:rFonts w:hint="default" w:ascii="Times New Roman" w:hAnsi="Times New Roman" w:eastAsia="宋体" w:cs="Times New Roman"/>
                <w:i/>
                <w:iCs/>
                <w:color w:val="000000" w:themeColor="text1"/>
                <w:kern w:val="0"/>
                <w:sz w:val="24"/>
                <w:szCs w:val="24"/>
                <w:lang w:val="en-US" w:eastAsia="zh-CN" w:bidi="ar"/>
                <w14:textFill>
                  <w14:solidFill>
                    <w14:schemeClr w14:val="tx1"/>
                  </w14:solidFill>
                </w14:textFill>
              </w:rPr>
              <w:t>Phyllanthusemblica</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、云南松（幼树）</w:t>
            </w:r>
            <w:r>
              <w:rPr>
                <w:rFonts w:hint="default" w:ascii="Times New Roman" w:hAnsi="Times New Roman" w:eastAsia="宋体" w:cs="Times New Roman"/>
                <w:i/>
                <w:iCs/>
                <w:color w:val="000000" w:themeColor="text1"/>
                <w:kern w:val="0"/>
                <w:sz w:val="24"/>
                <w:szCs w:val="24"/>
                <w:lang w:val="en-US" w:eastAsia="zh-CN" w:bidi="ar"/>
                <w14:textFill>
                  <w14:solidFill>
                    <w14:schemeClr w14:val="tx1"/>
                  </w14:solidFill>
                </w14:textFill>
              </w:rPr>
              <w:t>Pinus yunnanensis</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、旱冬瓜（幼树）</w:t>
            </w:r>
            <w:r>
              <w:rPr>
                <w:rFonts w:hint="default" w:ascii="Times New Roman" w:hAnsi="Times New Roman" w:eastAsia="宋体" w:cs="Times New Roman"/>
                <w:i/>
                <w:iCs/>
                <w:color w:val="000000" w:themeColor="text1"/>
                <w:kern w:val="0"/>
                <w:sz w:val="24"/>
                <w:szCs w:val="24"/>
                <w:lang w:val="en-US" w:eastAsia="zh-CN" w:bidi="ar"/>
                <w14:textFill>
                  <w14:solidFill>
                    <w14:schemeClr w14:val="tx1"/>
                  </w14:solidFill>
                </w14:textFill>
              </w:rPr>
              <w:t>Alnusnepalensis</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、栓皮栎（幼树）</w:t>
            </w:r>
            <w:r>
              <w:rPr>
                <w:rFonts w:hint="default" w:ascii="Times New Roman" w:hAnsi="Times New Roman" w:eastAsia="宋体" w:cs="Times New Roman"/>
                <w:i/>
                <w:iCs/>
                <w:color w:val="000000" w:themeColor="text1"/>
                <w:kern w:val="0"/>
                <w:sz w:val="24"/>
                <w:szCs w:val="24"/>
                <w:lang w:val="en-US" w:eastAsia="zh-CN" w:bidi="ar"/>
                <w14:textFill>
                  <w14:solidFill>
                    <w14:schemeClr w14:val="tx1"/>
                  </w14:solidFill>
                </w14:textFill>
              </w:rPr>
              <w:t>Quercus variabilis</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、锐齿槲栎（幼树）</w:t>
            </w:r>
            <w:r>
              <w:rPr>
                <w:rFonts w:hint="default" w:ascii="Times New Roman" w:hAnsi="Times New Roman" w:eastAsia="宋体" w:cs="Times New Roman"/>
                <w:i/>
                <w:iCs/>
                <w:color w:val="000000" w:themeColor="text1"/>
                <w:kern w:val="0"/>
                <w:sz w:val="24"/>
                <w:szCs w:val="24"/>
                <w:lang w:val="en-US" w:eastAsia="zh-CN" w:bidi="ar"/>
                <w14:textFill>
                  <w14:solidFill>
                    <w14:schemeClr w14:val="tx1"/>
                  </w14:solidFill>
                </w14:textFill>
              </w:rPr>
              <w:t xml:space="preserve">Quercusaliena </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var.</w:t>
            </w:r>
            <w:r>
              <w:rPr>
                <w:rFonts w:hint="default" w:ascii="Times New Roman" w:hAnsi="Times New Roman" w:eastAsia="宋体" w:cs="Times New Roman"/>
                <w:i/>
                <w:iCs/>
                <w:color w:val="000000" w:themeColor="text1"/>
                <w:kern w:val="0"/>
                <w:sz w:val="24"/>
                <w:szCs w:val="24"/>
                <w:lang w:val="en-US" w:eastAsia="zh-CN" w:bidi="ar"/>
                <w14:textFill>
                  <w14:solidFill>
                    <w14:schemeClr w14:val="tx1"/>
                  </w14:solidFill>
                </w14:textFill>
              </w:rPr>
              <w:t>acuteserrata</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、白背枫</w:t>
            </w:r>
            <w:r>
              <w:rPr>
                <w:rFonts w:hint="default" w:ascii="Times New Roman" w:hAnsi="Times New Roman" w:eastAsia="宋体" w:cs="Times New Roman"/>
                <w:i/>
                <w:iCs/>
                <w:color w:val="000000" w:themeColor="text1"/>
                <w:kern w:val="0"/>
                <w:sz w:val="24"/>
                <w:szCs w:val="24"/>
                <w:lang w:val="en-US" w:eastAsia="zh-CN" w:bidi="ar"/>
                <w14:textFill>
                  <w14:solidFill>
                    <w14:schemeClr w14:val="tx1"/>
                  </w14:solidFill>
                </w14:textFill>
              </w:rPr>
              <w:t>Buddleja asiatica</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、川梨</w:t>
            </w:r>
            <w:r>
              <w:rPr>
                <w:rFonts w:hint="default" w:ascii="Times New Roman" w:hAnsi="Times New Roman" w:eastAsia="宋体" w:cs="Times New Roman"/>
                <w:i/>
                <w:iCs/>
                <w:color w:val="000000" w:themeColor="text1"/>
                <w:kern w:val="0"/>
                <w:sz w:val="24"/>
                <w:szCs w:val="24"/>
                <w:lang w:val="en-US" w:eastAsia="zh-CN" w:bidi="ar"/>
                <w14:textFill>
                  <w14:solidFill>
                    <w14:schemeClr w14:val="tx1"/>
                  </w14:solidFill>
                </w14:textFill>
              </w:rPr>
              <w:t>Pyruspashia</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、珍珠花</w:t>
            </w:r>
            <w:r>
              <w:rPr>
                <w:rFonts w:hint="default" w:ascii="Times New Roman" w:hAnsi="Times New Roman" w:eastAsia="宋体" w:cs="Times New Roman"/>
                <w:i/>
                <w:iCs/>
                <w:color w:val="000000" w:themeColor="text1"/>
                <w:kern w:val="0"/>
                <w:sz w:val="24"/>
                <w:szCs w:val="24"/>
                <w:lang w:val="en-US" w:eastAsia="zh-CN" w:bidi="ar"/>
                <w14:textFill>
                  <w14:solidFill>
                    <w14:schemeClr w14:val="tx1"/>
                  </w14:solidFill>
                </w14:textFill>
              </w:rPr>
              <w:t>Viburnumfoetidum</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var</w:t>
            </w:r>
            <w:r>
              <w:rPr>
                <w:rFonts w:hint="default" w:ascii="Times New Roman" w:hAnsi="Times New Roman" w:eastAsia="宋体" w:cs="Times New Roman"/>
                <w:i/>
                <w:iCs/>
                <w:color w:val="000000" w:themeColor="text1"/>
                <w:kern w:val="0"/>
                <w:sz w:val="24"/>
                <w:szCs w:val="24"/>
                <w:lang w:val="en-US" w:eastAsia="zh-CN" w:bidi="ar"/>
                <w14:textFill>
                  <w14:solidFill>
                    <w14:schemeClr w14:val="tx1"/>
                  </w14:solidFill>
                </w14:textFill>
              </w:rPr>
              <w:t>ceanothoides</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等；草本层物种稀疏，层盖度仅25%左右，高度约50cm左右，常见物种包括硬秆子草</w:t>
            </w:r>
            <w:r>
              <w:rPr>
                <w:rFonts w:hint="default" w:ascii="Times New Roman" w:hAnsi="Times New Roman" w:eastAsia="宋体" w:cs="Times New Roman"/>
                <w:i/>
                <w:iCs/>
                <w:color w:val="000000" w:themeColor="text1"/>
                <w:kern w:val="0"/>
                <w:sz w:val="24"/>
                <w:szCs w:val="24"/>
                <w:lang w:val="en-US" w:eastAsia="zh-CN" w:bidi="ar"/>
                <w14:textFill>
                  <w14:solidFill>
                    <w14:schemeClr w14:val="tx1"/>
                  </w14:solidFill>
                </w14:textFill>
              </w:rPr>
              <w:t>Capillipedium assimile</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、紫茎泽兰</w:t>
            </w:r>
            <w:r>
              <w:rPr>
                <w:rFonts w:hint="default" w:ascii="Times New Roman" w:hAnsi="Times New Roman" w:eastAsia="宋体" w:cs="Times New Roman"/>
                <w:i/>
                <w:iCs/>
                <w:color w:val="000000" w:themeColor="text1"/>
                <w:kern w:val="0"/>
                <w:sz w:val="24"/>
                <w:szCs w:val="24"/>
                <w:lang w:val="en-US" w:eastAsia="zh-CN" w:bidi="ar"/>
                <w14:textFill>
                  <w14:solidFill>
                    <w14:schemeClr w14:val="tx1"/>
                  </w14:solidFill>
                </w14:textFill>
              </w:rPr>
              <w:t>Ageratina adenophora</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、鬼针草</w:t>
            </w:r>
            <w:r>
              <w:rPr>
                <w:rFonts w:hint="default" w:ascii="Times New Roman" w:hAnsi="Times New Roman" w:eastAsia="宋体" w:cs="Times New Roman"/>
                <w:i/>
                <w:iCs/>
                <w:color w:val="000000" w:themeColor="text1"/>
                <w:kern w:val="0"/>
                <w:sz w:val="24"/>
                <w:szCs w:val="24"/>
                <w:lang w:val="en-US" w:eastAsia="zh-CN" w:bidi="ar"/>
                <w14:textFill>
                  <w14:solidFill>
                    <w14:schemeClr w14:val="tx1"/>
                  </w14:solidFill>
                </w14:textFill>
              </w:rPr>
              <w:t>Bidenspilosa</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、浆果薹草</w:t>
            </w:r>
            <w:r>
              <w:rPr>
                <w:rFonts w:hint="default" w:ascii="Times New Roman" w:hAnsi="Times New Roman" w:eastAsia="宋体" w:cs="Times New Roman"/>
                <w:i/>
                <w:iCs/>
                <w:color w:val="000000" w:themeColor="text1"/>
                <w:kern w:val="0"/>
                <w:sz w:val="24"/>
                <w:szCs w:val="24"/>
                <w:lang w:val="en-US" w:eastAsia="zh-CN" w:bidi="ar"/>
                <w14:textFill>
                  <w14:solidFill>
                    <w14:schemeClr w14:val="tx1"/>
                  </w14:solidFill>
                </w14:textFill>
              </w:rPr>
              <w:t>Carex baccans</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、铁轴草</w:t>
            </w:r>
            <w:r>
              <w:rPr>
                <w:rFonts w:hint="default" w:ascii="Times New Roman" w:hAnsi="Times New Roman" w:eastAsia="宋体" w:cs="Times New Roman"/>
                <w:i/>
                <w:iCs/>
                <w:color w:val="000000" w:themeColor="text1"/>
                <w:kern w:val="0"/>
                <w:sz w:val="24"/>
                <w:szCs w:val="24"/>
                <w:lang w:val="en-US" w:eastAsia="zh-CN" w:bidi="ar"/>
                <w14:textFill>
                  <w14:solidFill>
                    <w14:schemeClr w14:val="tx1"/>
                  </w14:solidFill>
                </w14:textFill>
              </w:rPr>
              <w:t>Teucrium quadrifarium</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、龙芽草</w:t>
            </w:r>
            <w:r>
              <w:rPr>
                <w:rFonts w:hint="default" w:ascii="Times New Roman" w:hAnsi="Times New Roman" w:eastAsia="宋体" w:cs="Times New Roman"/>
                <w:i/>
                <w:iCs/>
                <w:color w:val="000000" w:themeColor="text1"/>
                <w:kern w:val="0"/>
                <w:sz w:val="24"/>
                <w:szCs w:val="24"/>
                <w:lang w:val="en-US" w:eastAsia="zh-CN" w:bidi="ar"/>
                <w14:textFill>
                  <w14:solidFill>
                    <w14:schemeClr w14:val="tx1"/>
                  </w14:solidFill>
                </w14:textFill>
              </w:rPr>
              <w:t>Agrimonia pilosa</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、铜锤玉带草</w:t>
            </w:r>
            <w:r>
              <w:rPr>
                <w:rFonts w:hint="default" w:ascii="Times New Roman" w:hAnsi="Times New Roman" w:eastAsia="宋体" w:cs="Times New Roman"/>
                <w:i/>
                <w:iCs/>
                <w:color w:val="000000" w:themeColor="text1"/>
                <w:kern w:val="0"/>
                <w:sz w:val="24"/>
                <w:szCs w:val="24"/>
                <w:lang w:val="en-US" w:eastAsia="zh-CN" w:bidi="ar"/>
                <w14:textFill>
                  <w14:solidFill>
                    <w14:schemeClr w14:val="tx1"/>
                  </w14:solidFill>
                </w14:textFill>
              </w:rPr>
              <w:t>Lobelia angulata</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等；层间植物较少，包括菝葜属一种</w:t>
            </w:r>
            <w:r>
              <w:rPr>
                <w:rFonts w:hint="default" w:ascii="Times New Roman" w:hAnsi="Times New Roman" w:eastAsia="宋体" w:cs="Times New Roman"/>
                <w:i/>
                <w:iCs/>
                <w:color w:val="000000" w:themeColor="text1"/>
                <w:kern w:val="0"/>
                <w:sz w:val="24"/>
                <w:szCs w:val="24"/>
                <w:lang w:val="en-US" w:eastAsia="zh-CN" w:bidi="ar"/>
                <w14:textFill>
                  <w14:solidFill>
                    <w14:schemeClr w14:val="tx1"/>
                  </w14:solidFill>
                </w14:textFill>
              </w:rPr>
              <w:t>Smilax</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sp、千里光</w:t>
            </w:r>
            <w:r>
              <w:rPr>
                <w:rFonts w:hint="default" w:ascii="Times New Roman" w:hAnsi="Times New Roman" w:eastAsia="宋体" w:cs="Times New Roman"/>
                <w:i/>
                <w:iCs/>
                <w:color w:val="000000" w:themeColor="text1"/>
                <w:kern w:val="0"/>
                <w:sz w:val="24"/>
                <w:szCs w:val="24"/>
                <w:lang w:val="en-US" w:eastAsia="zh-CN" w:bidi="ar"/>
                <w14:textFill>
                  <w14:solidFill>
                    <w14:schemeClr w14:val="tx1"/>
                  </w14:solidFill>
                </w14:textFill>
              </w:rPr>
              <w:t>Senecioandens。</w:t>
            </w:r>
          </w:p>
          <w:p w14:paraId="720E0A75">
            <w:pPr>
              <w:keepNext w:val="0"/>
              <w:keepLines w:val="0"/>
              <w:pageBreakBefore w:val="0"/>
              <w:widowControl/>
              <w:suppressLineNumbers w:val="0"/>
              <w:kinsoku/>
              <w:wordWrap/>
              <w:overflowPunct/>
              <w:topLinePunct w:val="0"/>
              <w:autoSpaceDE/>
              <w:autoSpaceDN/>
              <w:bidi w:val="0"/>
              <w:adjustRightInd w:val="0"/>
              <w:snapToGrid w:val="0"/>
              <w:ind w:left="0" w:leftChars="0" w:firstLine="482" w:firstLineChars="200"/>
              <w:jc w:val="both"/>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b/>
                <w:bCs/>
                <w:color w:val="000000" w:themeColor="text1"/>
                <w:kern w:val="0"/>
                <w:sz w:val="24"/>
                <w:szCs w:val="24"/>
                <w:lang w:val="en-US" w:eastAsia="zh-CN" w:bidi="ar"/>
                <w14:textFill>
                  <w14:solidFill>
                    <w14:schemeClr w14:val="tx1"/>
                  </w14:solidFill>
                </w14:textFill>
              </w:rPr>
              <w:t>c草丛</w:t>
            </w:r>
          </w:p>
          <w:p w14:paraId="0B3B7F01">
            <w:pPr>
              <w:keepNext w:val="0"/>
              <w:keepLines w:val="0"/>
              <w:pageBreakBefore w:val="0"/>
              <w:widowControl/>
              <w:suppressLineNumbers w:val="0"/>
              <w:kinsoku/>
              <w:wordWrap/>
              <w:overflowPunct/>
              <w:topLinePunct w:val="0"/>
              <w:autoSpaceDE/>
              <w:autoSpaceDN/>
              <w:bidi w:val="0"/>
              <w:adjustRightInd w:val="0"/>
              <w:snapToGrid w:val="0"/>
              <w:ind w:firstLine="482" w:firstLineChars="200"/>
              <w:jc w:val="both"/>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b/>
                <w:bCs/>
                <w:color w:val="000000" w:themeColor="text1"/>
                <w:kern w:val="0"/>
                <w:sz w:val="24"/>
                <w:szCs w:val="24"/>
                <w:lang w:val="en-US" w:eastAsia="zh-CN" w:bidi="ar"/>
                <w14:textFill>
                  <w14:solidFill>
                    <w14:schemeClr w14:val="tx1"/>
                  </w14:solidFill>
                </w14:textFill>
              </w:rPr>
              <w:t>类芦群系</w:t>
            </w:r>
          </w:p>
          <w:p w14:paraId="65CCB8ED">
            <w:pPr>
              <w:keepNext w:val="0"/>
              <w:keepLines w:val="0"/>
              <w:pageBreakBefore w:val="0"/>
              <w:widowControl/>
              <w:suppressLineNumbers w:val="0"/>
              <w:kinsoku/>
              <w:wordWrap/>
              <w:overflowPunct/>
              <w:topLinePunct w:val="0"/>
              <w:autoSpaceDE/>
              <w:autoSpaceDN/>
              <w:bidi w:val="0"/>
              <w:adjustRightInd w:val="0"/>
              <w:snapToGrid w:val="0"/>
              <w:ind w:firstLine="480" w:firstLineChars="200"/>
              <w:jc w:val="both"/>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群落位于海拔1158m处，高2.0m，总盖度约65%，以类芦</w:t>
            </w:r>
            <w:r>
              <w:rPr>
                <w:rFonts w:hint="default" w:ascii="Times New Roman" w:hAnsi="Times New Roman" w:eastAsia="宋体" w:cs="Times New Roman"/>
                <w:i/>
                <w:iCs/>
                <w:color w:val="000000" w:themeColor="text1"/>
                <w:kern w:val="0"/>
                <w:sz w:val="24"/>
                <w:szCs w:val="24"/>
                <w:lang w:val="en-US" w:eastAsia="zh-CN" w:bidi="ar"/>
                <w14:textFill>
                  <w14:solidFill>
                    <w14:schemeClr w14:val="tx1"/>
                  </w14:solidFill>
                </w14:textFill>
              </w:rPr>
              <w:t>Neyraudia</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 xml:space="preserve">2829 </w:t>
            </w:r>
            <w:r>
              <w:rPr>
                <w:rFonts w:hint="default" w:ascii="Times New Roman" w:hAnsi="Times New Roman" w:eastAsia="宋体" w:cs="Times New Roman"/>
                <w:i/>
                <w:iCs/>
                <w:color w:val="000000" w:themeColor="text1"/>
                <w:kern w:val="0"/>
                <w:sz w:val="24"/>
                <w:szCs w:val="24"/>
                <w:lang w:val="en-US" w:eastAsia="zh-CN" w:bidi="ar"/>
                <w14:textFill>
                  <w14:solidFill>
                    <w14:schemeClr w14:val="tx1"/>
                  </w14:solidFill>
                </w14:textFill>
              </w:rPr>
              <w:t>reynaudiana</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形成成片群落，另有黄茅</w:t>
            </w:r>
            <w:r>
              <w:rPr>
                <w:rFonts w:hint="default" w:ascii="Times New Roman" w:hAnsi="Times New Roman" w:eastAsia="宋体" w:cs="Times New Roman"/>
                <w:i/>
                <w:iCs/>
                <w:color w:val="000000" w:themeColor="text1"/>
                <w:kern w:val="0"/>
                <w:sz w:val="24"/>
                <w:szCs w:val="24"/>
                <w:lang w:val="en-US" w:eastAsia="zh-CN" w:bidi="ar"/>
                <w14:textFill>
                  <w14:solidFill>
                    <w14:schemeClr w14:val="tx1"/>
                  </w14:solidFill>
                </w14:textFill>
              </w:rPr>
              <w:t>Heteropogon contortus</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、四脉金茅</w:t>
            </w:r>
            <w:r>
              <w:rPr>
                <w:rFonts w:hint="default" w:ascii="Times New Roman" w:hAnsi="Times New Roman" w:eastAsia="宋体" w:cs="Times New Roman"/>
                <w:i/>
                <w:iCs/>
                <w:color w:val="000000" w:themeColor="text1"/>
                <w:kern w:val="0"/>
                <w:sz w:val="24"/>
                <w:szCs w:val="24"/>
                <w:lang w:val="en-US" w:eastAsia="zh-CN" w:bidi="ar"/>
                <w14:textFill>
                  <w14:solidFill>
                    <w14:schemeClr w14:val="tx1"/>
                  </w14:solidFill>
                </w14:textFill>
              </w:rPr>
              <w:t>Eulaliaquadrinervis</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、毛轴蕨</w:t>
            </w:r>
            <w:r>
              <w:rPr>
                <w:rFonts w:hint="default" w:ascii="Times New Roman" w:hAnsi="Times New Roman" w:eastAsia="宋体" w:cs="Times New Roman"/>
                <w:i/>
                <w:iCs/>
                <w:color w:val="000000" w:themeColor="text1"/>
                <w:kern w:val="0"/>
                <w:sz w:val="24"/>
                <w:szCs w:val="24"/>
                <w:lang w:val="en-US" w:eastAsia="zh-CN" w:bidi="ar"/>
                <w14:textFill>
                  <w14:solidFill>
                    <w14:schemeClr w14:val="tx1"/>
                  </w14:solidFill>
                </w14:textFill>
              </w:rPr>
              <w:t>Pteridium revolutum</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、紫茎泽兰</w:t>
            </w:r>
            <w:r>
              <w:rPr>
                <w:rFonts w:hint="default" w:ascii="Times New Roman" w:hAnsi="Times New Roman" w:eastAsia="宋体" w:cs="Times New Roman"/>
                <w:i/>
                <w:iCs/>
                <w:color w:val="000000" w:themeColor="text1"/>
                <w:kern w:val="0"/>
                <w:sz w:val="24"/>
                <w:szCs w:val="24"/>
                <w:lang w:val="en-US" w:eastAsia="zh-CN" w:bidi="ar"/>
                <w14:textFill>
                  <w14:solidFill>
                    <w14:schemeClr w14:val="tx1"/>
                  </w14:solidFill>
                </w14:textFill>
              </w:rPr>
              <w:t>Ageratina adenophora</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、皱叶狗尾草</w:t>
            </w:r>
            <w:r>
              <w:rPr>
                <w:rFonts w:hint="default" w:ascii="Times New Roman" w:hAnsi="Times New Roman" w:eastAsia="宋体" w:cs="Times New Roman"/>
                <w:i/>
                <w:iCs/>
                <w:color w:val="000000" w:themeColor="text1"/>
                <w:kern w:val="0"/>
                <w:sz w:val="24"/>
                <w:szCs w:val="24"/>
                <w:lang w:val="en-US" w:eastAsia="zh-CN" w:bidi="ar"/>
                <w14:textFill>
                  <w14:solidFill>
                    <w14:schemeClr w14:val="tx1"/>
                  </w14:solidFill>
                </w14:textFill>
              </w:rPr>
              <w:t>Setaria plicata</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、蜈蚣草</w:t>
            </w:r>
            <w:r>
              <w:rPr>
                <w:rFonts w:hint="default" w:ascii="Times New Roman" w:hAnsi="Times New Roman" w:eastAsia="宋体" w:cs="Times New Roman"/>
                <w:i/>
                <w:iCs/>
                <w:color w:val="000000" w:themeColor="text1"/>
                <w:kern w:val="0"/>
                <w:sz w:val="24"/>
                <w:szCs w:val="24"/>
                <w:lang w:val="en-US" w:eastAsia="zh-CN" w:bidi="ar"/>
                <w14:textFill>
                  <w14:solidFill>
                    <w14:schemeClr w14:val="tx1"/>
                  </w14:solidFill>
                </w14:textFill>
              </w:rPr>
              <w:t>Pteris vittata</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、野茼蒿</w:t>
            </w:r>
            <w:r>
              <w:rPr>
                <w:rFonts w:hint="default" w:ascii="Times New Roman" w:hAnsi="Times New Roman" w:eastAsia="宋体" w:cs="Times New Roman"/>
                <w:i/>
                <w:iCs/>
                <w:color w:val="000000" w:themeColor="text1"/>
                <w:kern w:val="0"/>
                <w:sz w:val="24"/>
                <w:szCs w:val="24"/>
                <w:lang w:val="en-US" w:eastAsia="zh-CN" w:bidi="ar"/>
                <w14:textFill>
                  <w14:solidFill>
                    <w14:schemeClr w14:val="tx1"/>
                  </w14:solidFill>
                </w14:textFill>
              </w:rPr>
              <w:t>Crassocephalum crepidioides</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、飞机草</w:t>
            </w:r>
            <w:r>
              <w:rPr>
                <w:rFonts w:hint="default" w:ascii="Times New Roman" w:hAnsi="Times New Roman" w:eastAsia="宋体" w:cs="Times New Roman"/>
                <w:i/>
                <w:iCs/>
                <w:color w:val="000000" w:themeColor="text1"/>
                <w:kern w:val="0"/>
                <w:sz w:val="24"/>
                <w:szCs w:val="24"/>
                <w:lang w:val="en-US" w:eastAsia="zh-CN" w:bidi="ar"/>
                <w14:textFill>
                  <w14:solidFill>
                    <w14:schemeClr w14:val="tx1"/>
                  </w14:solidFill>
                </w14:textFill>
              </w:rPr>
              <w:t>Chromolaena odorata</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、积雪草</w:t>
            </w:r>
            <w:r>
              <w:rPr>
                <w:rFonts w:hint="default" w:ascii="Times New Roman" w:hAnsi="Times New Roman" w:eastAsia="宋体" w:cs="Times New Roman"/>
                <w:i/>
                <w:iCs/>
                <w:color w:val="000000" w:themeColor="text1"/>
                <w:kern w:val="0"/>
                <w:sz w:val="24"/>
                <w:szCs w:val="24"/>
                <w:lang w:val="en-US" w:eastAsia="zh-CN" w:bidi="ar"/>
                <w14:textFill>
                  <w14:solidFill>
                    <w14:schemeClr w14:val="tx1"/>
                  </w14:solidFill>
                </w14:textFill>
              </w:rPr>
              <w:t>Cen tellaasiatica</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、鼠</w:t>
            </w:r>
            <w:r>
              <w:rPr>
                <w:rFonts w:hint="eastAsia" w:ascii="Times New Roman" w:hAnsi="Times New Roman" w:cs="Times New Roman"/>
                <w:color w:val="000000" w:themeColor="text1"/>
                <w:kern w:val="0"/>
                <w:sz w:val="24"/>
                <w:szCs w:val="24"/>
                <w:lang w:val="en-US" w:eastAsia="zh-CN" w:bidi="ar"/>
                <w14:textFill>
                  <w14:solidFill>
                    <w14:schemeClr w14:val="tx1"/>
                  </w14:solidFill>
                </w14:textFill>
              </w:rPr>
              <w:t>麹</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草</w:t>
            </w:r>
            <w:r>
              <w:rPr>
                <w:rFonts w:hint="default" w:ascii="Times New Roman" w:hAnsi="Times New Roman" w:eastAsia="宋体" w:cs="Times New Roman"/>
                <w:i/>
                <w:iCs/>
                <w:color w:val="000000" w:themeColor="text1"/>
                <w:kern w:val="0"/>
                <w:sz w:val="24"/>
                <w:szCs w:val="24"/>
                <w:lang w:val="en-US" w:eastAsia="zh-CN" w:bidi="ar"/>
                <w14:textFill>
                  <w14:solidFill>
                    <w14:schemeClr w14:val="tx1"/>
                  </w14:solidFill>
                </w14:textFill>
              </w:rPr>
              <w:t>Gnaphalium affine</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、酢浆草</w:t>
            </w:r>
            <w:r>
              <w:rPr>
                <w:rFonts w:hint="default" w:ascii="Times New Roman" w:hAnsi="Times New Roman" w:eastAsia="宋体" w:cs="Times New Roman"/>
                <w:i/>
                <w:iCs/>
                <w:color w:val="000000" w:themeColor="text1"/>
                <w:kern w:val="0"/>
                <w:sz w:val="24"/>
                <w:szCs w:val="24"/>
                <w:lang w:val="en-US" w:eastAsia="zh-CN" w:bidi="ar"/>
                <w14:textFill>
                  <w14:solidFill>
                    <w14:schemeClr w14:val="tx1"/>
                  </w14:solidFill>
                </w14:textFill>
              </w:rPr>
              <w:t>Oxalis corniculata</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等。</w:t>
            </w:r>
          </w:p>
          <w:p w14:paraId="640BA30D">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2" w:firstLineChars="200"/>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b/>
                <w:bCs/>
                <w:color w:val="000000" w:themeColor="text1"/>
                <w:kern w:val="0"/>
                <w:sz w:val="24"/>
                <w:szCs w:val="24"/>
                <w:lang w:val="en-US" w:eastAsia="zh-CN" w:bidi="ar"/>
                <w14:textFill>
                  <w14:solidFill>
                    <w14:schemeClr w14:val="tx1"/>
                  </w14:solidFill>
                </w14:textFill>
              </w:rPr>
              <w:t>③人工植被类型</w:t>
            </w:r>
          </w:p>
          <w:p w14:paraId="21E8DFEE">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评价区的人工植被包括农田植被1类。具体为农田植被中的水稻、烤烟、玉米、番茄、经济林果等。</w:t>
            </w:r>
          </w:p>
          <w:p w14:paraId="1C64371A">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2" w:firstLineChars="200"/>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b/>
                <w:bCs/>
                <w:color w:val="000000" w:themeColor="text1"/>
                <w:kern w:val="0"/>
                <w:sz w:val="24"/>
                <w:szCs w:val="24"/>
                <w:lang w:val="en-US" w:eastAsia="zh-CN" w:bidi="ar"/>
                <w14:textFill>
                  <w14:solidFill>
                    <w14:schemeClr w14:val="tx1"/>
                  </w14:solidFill>
                </w14:textFill>
              </w:rPr>
              <w:t>6）珍稀保护植物</w:t>
            </w:r>
          </w:p>
          <w:p w14:paraId="4E98649C">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在评价区内未见有国家重点保护的珍稀濒危植物种类，未见云南省省级保护珍稀濒危植物。也未发现该评价区内具有特有物种。</w:t>
            </w:r>
          </w:p>
          <w:p w14:paraId="79585992">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2" w:firstLineChars="200"/>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b/>
                <w:bCs/>
                <w:color w:val="000000" w:themeColor="text1"/>
                <w:kern w:val="0"/>
                <w:sz w:val="24"/>
                <w:szCs w:val="24"/>
                <w:lang w:val="en-US" w:eastAsia="zh-CN" w:bidi="ar"/>
                <w14:textFill>
                  <w14:solidFill>
                    <w14:schemeClr w14:val="tx1"/>
                  </w14:solidFill>
                </w14:textFill>
              </w:rPr>
              <w:t>7）名木古树</w:t>
            </w:r>
          </w:p>
          <w:p w14:paraId="13912F6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根据《古树名木保护条例》（国令第800号，2025年3月15日起施行）</w:t>
            </w:r>
            <w:r>
              <w:rPr>
                <w:rFonts w:hint="default" w:ascii="Times New Roman" w:hAnsi="Times New Roman" w:cs="Times New Roman"/>
                <w:color w:val="000000" w:themeColor="text1"/>
                <w:lang w:val="en-US" w:eastAsia="zh-CN"/>
                <w14:textFill>
                  <w14:solidFill>
                    <w14:schemeClr w14:val="tx1"/>
                  </w14:solidFill>
                </w14:textFill>
              </w:rPr>
              <w:t>和实地走访，评价区内未发现古树名木。</w:t>
            </w:r>
          </w:p>
          <w:p w14:paraId="7EA76150">
            <w:pPr>
              <w:pStyle w:val="79"/>
              <w:keepNext w:val="0"/>
              <w:keepLines w:val="0"/>
              <w:pageBreakBefore w:val="0"/>
              <w:kinsoku/>
              <w:wordWrap/>
              <w:overflowPunct/>
              <w:topLinePunct w:val="0"/>
              <w:autoSpaceDE/>
              <w:autoSpaceDN/>
              <w:bidi w:val="0"/>
              <w:adjustRightInd w:val="0"/>
              <w:snapToGrid w:val="0"/>
              <w:spacing w:line="360" w:lineRule="auto"/>
              <w:ind w:firstLine="458" w:firstLineChars="200"/>
              <w:jc w:val="both"/>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b/>
                <w:bCs/>
                <w:color w:val="000000" w:themeColor="text1"/>
                <w:spacing w:val="-6"/>
                <w:sz w:val="24"/>
                <w:szCs w:val="24"/>
                <w:lang w:val="en-US" w:eastAsia="zh-CN"/>
                <w14:textFill>
                  <w14:solidFill>
                    <w14:schemeClr w14:val="tx1"/>
                  </w14:solidFill>
                </w14:textFill>
              </w:rPr>
              <w:t>8</w:t>
            </w:r>
            <w:r>
              <w:rPr>
                <w:rFonts w:hint="default" w:ascii="Times New Roman" w:hAnsi="Times New Roman" w:eastAsia="宋体" w:cs="Times New Roman"/>
                <w:b/>
                <w:bCs/>
                <w:color w:val="000000" w:themeColor="text1"/>
                <w:spacing w:val="-6"/>
                <w:sz w:val="24"/>
                <w:szCs w:val="24"/>
                <w14:textFill>
                  <w14:solidFill>
                    <w14:schemeClr w14:val="tx1"/>
                  </w14:solidFill>
                </w14:textFill>
              </w:rPr>
              <w:t>）动物</w:t>
            </w:r>
          </w:p>
          <w:p w14:paraId="320A5E6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评价区域已受人类一定程度开发，动物多为适应农业耕作和居民生活环境的种类，当地可能出没于评价区的重要保护动物现存种群数量已很少。</w:t>
            </w:r>
          </w:p>
          <w:p w14:paraId="6193C202">
            <w:pPr>
              <w:keepNext w:val="0"/>
              <w:keepLines w:val="0"/>
              <w:pageBreakBefore w:val="0"/>
              <w:numPr>
                <w:ilvl w:val="0"/>
                <w:numId w:val="0"/>
              </w:numPr>
              <w:kinsoku/>
              <w:wordWrap/>
              <w:overflowPunct/>
              <w:topLinePunct w:val="0"/>
              <w:autoSpaceDE/>
              <w:autoSpaceDN/>
              <w:bidi w:val="0"/>
              <w:adjustRightInd w:val="0"/>
              <w:snapToGrid w:val="0"/>
              <w:spacing w:line="360" w:lineRule="auto"/>
              <w:ind w:firstLine="482" w:firstLineChars="200"/>
              <w:jc w:val="both"/>
              <w:textAlignment w:val="auto"/>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（2）陆栖脊椎动物现状</w:t>
            </w:r>
          </w:p>
          <w:p w14:paraId="57A18784">
            <w:pPr>
              <w:keepNext w:val="0"/>
              <w:keepLines w:val="0"/>
              <w:pageBreakBefore w:val="0"/>
              <w:kinsoku/>
              <w:wordWrap/>
              <w:overflowPunct/>
              <w:topLinePunct w:val="0"/>
              <w:autoSpaceDE/>
              <w:autoSpaceDN/>
              <w:bidi w:val="0"/>
              <w:adjustRightInd w:val="0"/>
              <w:snapToGrid w:val="0"/>
              <w:spacing w:line="360" w:lineRule="auto"/>
              <w:ind w:firstLine="482" w:firstLineChars="200"/>
              <w:jc w:val="both"/>
              <w:textAlignment w:val="auto"/>
              <w:rPr>
                <w:rFonts w:hint="default"/>
                <w:b/>
                <w:bCs/>
                <w:color w:val="000000" w:themeColor="text1"/>
                <w:lang w:val="en-US" w:eastAsia="zh-CN"/>
                <w14:textFill>
                  <w14:solidFill>
                    <w14:schemeClr w14:val="tx1"/>
                  </w14:solidFill>
                </w14:textFill>
              </w:rPr>
            </w:pPr>
            <w:r>
              <w:rPr>
                <w:rFonts w:hint="default"/>
                <w:b/>
                <w:bCs/>
                <w:color w:val="000000" w:themeColor="text1"/>
                <w:lang w:val="en-US" w:eastAsia="zh-CN"/>
                <w14:textFill>
                  <w14:solidFill>
                    <w14:schemeClr w14:val="tx1"/>
                  </w14:solidFill>
                </w14:textFill>
              </w:rPr>
              <w:t>1）调查范围</w:t>
            </w:r>
          </w:p>
          <w:p w14:paraId="3FD57CA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野外调查工作的重点为项目实施区域，其次是与评价区相邻的受影响地区。调查范围主要是项目占地区延外延300m范围的区域。</w:t>
            </w:r>
          </w:p>
          <w:p w14:paraId="55923AF6">
            <w:pPr>
              <w:keepNext w:val="0"/>
              <w:keepLines w:val="0"/>
              <w:pageBreakBefore w:val="0"/>
              <w:kinsoku/>
              <w:wordWrap/>
              <w:overflowPunct/>
              <w:topLinePunct w:val="0"/>
              <w:autoSpaceDE/>
              <w:autoSpaceDN/>
              <w:bidi w:val="0"/>
              <w:adjustRightInd w:val="0"/>
              <w:snapToGrid w:val="0"/>
              <w:spacing w:line="360" w:lineRule="auto"/>
              <w:ind w:firstLine="482" w:firstLineChars="200"/>
              <w:jc w:val="both"/>
              <w:textAlignment w:val="auto"/>
              <w:rPr>
                <w:rFonts w:hint="default"/>
                <w:b/>
                <w:bCs/>
                <w:color w:val="000000" w:themeColor="text1"/>
                <w:lang w:val="en-US" w:eastAsia="zh-CN"/>
                <w14:textFill>
                  <w14:solidFill>
                    <w14:schemeClr w14:val="tx1"/>
                  </w14:solidFill>
                </w14:textFill>
              </w:rPr>
            </w:pPr>
            <w:r>
              <w:rPr>
                <w:rFonts w:hint="default"/>
                <w:b/>
                <w:bCs/>
                <w:color w:val="000000" w:themeColor="text1"/>
                <w:lang w:val="en-US" w:eastAsia="zh-CN"/>
                <w14:textFill>
                  <w14:solidFill>
                    <w14:schemeClr w14:val="tx1"/>
                  </w14:solidFill>
                </w14:textFill>
              </w:rPr>
              <w:t>2）调查方法</w:t>
            </w:r>
          </w:p>
          <w:p w14:paraId="76287A2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本次陆生动物调查方法为现场访问、环境观测分析和收集查阅资料，主要对项目评价区及邻近地区的陆栖脊椎动物进行现场踏勘及野外调查。野外调查中，主要观察记录了陆生脊椎动物的环境状况；鸟类调查主要使用双筒望远镜观察记录；向当地居民询问有关野生脊椎动物的情况；调阅并收集了相关资料，查阅了已发表的相关文献资料。</w:t>
            </w:r>
          </w:p>
          <w:p w14:paraId="7A269534">
            <w:pPr>
              <w:keepNext w:val="0"/>
              <w:keepLines w:val="0"/>
              <w:pageBreakBefore w:val="0"/>
              <w:kinsoku/>
              <w:wordWrap/>
              <w:overflowPunct/>
              <w:topLinePunct w:val="0"/>
              <w:autoSpaceDE/>
              <w:autoSpaceDN/>
              <w:bidi w:val="0"/>
              <w:adjustRightInd w:val="0"/>
              <w:snapToGrid w:val="0"/>
              <w:spacing w:line="360" w:lineRule="auto"/>
              <w:ind w:firstLine="482" w:firstLineChars="200"/>
              <w:jc w:val="both"/>
              <w:textAlignment w:val="auto"/>
              <w:rPr>
                <w:rFonts w:hint="default"/>
                <w:b/>
                <w:bCs/>
                <w:color w:val="000000" w:themeColor="text1"/>
                <w:lang w:val="en-US" w:eastAsia="zh-CN"/>
                <w14:textFill>
                  <w14:solidFill>
                    <w14:schemeClr w14:val="tx1"/>
                  </w14:solidFill>
                </w14:textFill>
              </w:rPr>
            </w:pPr>
            <w:r>
              <w:rPr>
                <w:rFonts w:hint="default"/>
                <w:b/>
                <w:bCs/>
                <w:color w:val="000000" w:themeColor="text1"/>
                <w:lang w:val="en-US" w:eastAsia="zh-CN"/>
                <w14:textFill>
                  <w14:solidFill>
                    <w14:schemeClr w14:val="tx1"/>
                  </w14:solidFill>
                </w14:textFill>
              </w:rPr>
              <w:t>3）调查内容</w:t>
            </w:r>
          </w:p>
          <w:p w14:paraId="58639B32">
            <w:pPr>
              <w:keepNext w:val="0"/>
              <w:keepLines w:val="0"/>
              <w:pageBreakBefore w:val="0"/>
              <w:kinsoku/>
              <w:wordWrap/>
              <w:overflowPunct/>
              <w:topLinePunct w:val="0"/>
              <w:autoSpaceDE/>
              <w:autoSpaceDN/>
              <w:bidi w:val="0"/>
              <w:adjustRightInd w:val="0"/>
              <w:snapToGrid w:val="0"/>
              <w:spacing w:line="360" w:lineRule="auto"/>
              <w:ind w:firstLine="480" w:firstLineChars="200"/>
              <w:jc w:val="both"/>
              <w:textAlignment w:val="auto"/>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主要调查评价区内的两栖类、爬行类、鸟类、兽类的种类，国家重点保护野生动物分布，云南省级重点保护野生动物分布情况。</w:t>
            </w:r>
          </w:p>
          <w:p w14:paraId="7089BD3A">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both"/>
              <w:textAlignment w:val="auto"/>
              <w:rPr>
                <w:rFonts w:hint="default"/>
                <w:b/>
                <w:bCs/>
                <w:color w:val="000000" w:themeColor="text1"/>
                <w:lang w:val="en-US" w:eastAsia="zh-CN"/>
                <w14:textFill>
                  <w14:solidFill>
                    <w14:schemeClr w14:val="tx1"/>
                  </w14:solidFill>
                </w14:textFill>
              </w:rPr>
            </w:pPr>
            <w:r>
              <w:rPr>
                <w:rFonts w:hint="default"/>
                <w:b/>
                <w:bCs/>
                <w:color w:val="000000" w:themeColor="text1"/>
                <w:lang w:val="en-US" w:eastAsia="zh-CN"/>
                <w14:textFill>
                  <w14:solidFill>
                    <w14:schemeClr w14:val="tx1"/>
                  </w14:solidFill>
                </w14:textFill>
              </w:rPr>
              <w:t>陆栖脊椎动物分布类型</w:t>
            </w:r>
          </w:p>
          <w:p w14:paraId="39BA28E5">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both"/>
              <w:textAlignment w:val="auto"/>
              <w:rPr>
                <w:rFonts w:hint="default" w:ascii="Times New Roman" w:hAnsi="Times New Roman" w:cs="Times New Roman"/>
                <w:b/>
                <w:bCs/>
                <w:color w:val="000000" w:themeColor="text1"/>
                <w:lang w:val="en-US" w:eastAsia="zh-CN"/>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①两栖类</w:t>
            </w:r>
          </w:p>
          <w:p w14:paraId="762A7C9B">
            <w:pPr>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本次陆栖脊椎动物调查，通过文献查阅，评价区分布有两栖纲AMPHIBIA动物8种，分属5科，1目，即无</w:t>
            </w:r>
            <w:r>
              <w:rPr>
                <w:rFonts w:hint="default" w:ascii="Times New Roman" w:hAnsi="Times New Roman" w:cs="Times New Roman"/>
                <w:color w:val="000000" w:themeColor="text1"/>
                <w14:textFill>
                  <w14:solidFill>
                    <w14:schemeClr w14:val="tx1"/>
                  </w14:solidFill>
                </w14:textFill>
              </w:rPr>
              <w:t>尾目ANURA，具体种类详见下表。</w:t>
            </w:r>
          </w:p>
          <w:p w14:paraId="33365F69">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表3-3</w:t>
            </w:r>
            <w:r>
              <w:rPr>
                <w:rFonts w:hint="default" w:ascii="Times New Roman" w:hAnsi="Times New Roman" w:cs="Times New Roman"/>
                <w:b/>
                <w:bCs/>
                <w:color w:val="000000" w:themeColor="text1"/>
                <w:sz w:val="21"/>
                <w:szCs w:val="21"/>
                <w:lang w:val="en-US" w:eastAsia="zh-CN"/>
                <w14:textFill>
                  <w14:solidFill>
                    <w14:schemeClr w14:val="tx1"/>
                  </w14:solidFill>
                </w14:textFill>
              </w:rPr>
              <w:t xml:space="preserve">  </w:t>
            </w:r>
            <w:r>
              <w:rPr>
                <w:rFonts w:hint="default" w:ascii="Times New Roman" w:hAnsi="Times New Roman" w:cs="Times New Roman"/>
                <w:b/>
                <w:bCs/>
                <w:color w:val="000000" w:themeColor="text1"/>
                <w:sz w:val="21"/>
                <w:szCs w:val="21"/>
                <w14:textFill>
                  <w14:solidFill>
                    <w14:schemeClr w14:val="tx1"/>
                  </w14:solidFill>
                </w14:textFill>
              </w:rPr>
              <w:t>评价区分布的两栖动物多样性</w:t>
            </w:r>
          </w:p>
          <w:tbl>
            <w:tblPr>
              <w:tblStyle w:val="2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2"/>
              <w:gridCol w:w="2026"/>
              <w:gridCol w:w="2764"/>
              <w:gridCol w:w="1374"/>
            </w:tblGrid>
            <w:tr w14:paraId="6F603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011" w:type="pct"/>
                  <w:vAlign w:val="center"/>
                </w:tcPr>
                <w:p w14:paraId="75ABCC2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纲</w:t>
                  </w:r>
                </w:p>
              </w:tc>
              <w:tc>
                <w:tcPr>
                  <w:tcW w:w="1311" w:type="pct"/>
                  <w:vAlign w:val="center"/>
                </w:tcPr>
                <w:p w14:paraId="20D3CE0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目</w:t>
                  </w:r>
                </w:p>
              </w:tc>
              <w:tc>
                <w:tcPr>
                  <w:tcW w:w="1786" w:type="pct"/>
                  <w:vAlign w:val="center"/>
                </w:tcPr>
                <w:p w14:paraId="64D0855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科</w:t>
                  </w:r>
                </w:p>
              </w:tc>
              <w:tc>
                <w:tcPr>
                  <w:tcW w:w="889" w:type="pct"/>
                  <w:vAlign w:val="center"/>
                </w:tcPr>
                <w:p w14:paraId="4FFFE56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种数</w:t>
                  </w:r>
                </w:p>
              </w:tc>
            </w:tr>
            <w:tr w14:paraId="66866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1011" w:type="pct"/>
                  <w:vMerge w:val="restart"/>
                  <w:vAlign w:val="center"/>
                </w:tcPr>
                <w:p w14:paraId="2F320D1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两栖纲</w:t>
                  </w:r>
                </w:p>
              </w:tc>
              <w:tc>
                <w:tcPr>
                  <w:tcW w:w="1311" w:type="pct"/>
                  <w:vMerge w:val="restart"/>
                  <w:vAlign w:val="center"/>
                </w:tcPr>
                <w:p w14:paraId="729A7AD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无尾目</w:t>
                  </w:r>
                </w:p>
              </w:tc>
              <w:tc>
                <w:tcPr>
                  <w:tcW w:w="1786" w:type="pct"/>
                  <w:vAlign w:val="center"/>
                </w:tcPr>
                <w:p w14:paraId="22883B2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蟾蜍科</w:t>
                  </w:r>
                </w:p>
              </w:tc>
              <w:tc>
                <w:tcPr>
                  <w:tcW w:w="889" w:type="pct"/>
                  <w:vAlign w:val="center"/>
                </w:tcPr>
                <w:p w14:paraId="2518767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w:t>
                  </w:r>
                </w:p>
              </w:tc>
            </w:tr>
            <w:tr w14:paraId="3E94E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1011" w:type="pct"/>
                  <w:vMerge w:val="continue"/>
                  <w:vAlign w:val="center"/>
                </w:tcPr>
                <w:p w14:paraId="17B7B09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1311" w:type="pct"/>
                  <w:vMerge w:val="continue"/>
                  <w:vAlign w:val="center"/>
                </w:tcPr>
                <w:p w14:paraId="417F00D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1786" w:type="pct"/>
                  <w:vAlign w:val="center"/>
                </w:tcPr>
                <w:p w14:paraId="68BD906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雨蛙科</w:t>
                  </w:r>
                </w:p>
              </w:tc>
              <w:tc>
                <w:tcPr>
                  <w:tcW w:w="889" w:type="pct"/>
                  <w:vAlign w:val="center"/>
                </w:tcPr>
                <w:p w14:paraId="1EC6AEB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w:t>
                  </w:r>
                </w:p>
              </w:tc>
            </w:tr>
            <w:tr w14:paraId="1A09A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1011" w:type="pct"/>
                  <w:vMerge w:val="continue"/>
                  <w:vAlign w:val="center"/>
                </w:tcPr>
                <w:p w14:paraId="6247279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1311" w:type="pct"/>
                  <w:vMerge w:val="continue"/>
                  <w:vAlign w:val="center"/>
                </w:tcPr>
                <w:p w14:paraId="439B55E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1786" w:type="pct"/>
                  <w:vAlign w:val="center"/>
                </w:tcPr>
                <w:p w14:paraId="7266F79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蛙科</w:t>
                  </w:r>
                </w:p>
              </w:tc>
              <w:tc>
                <w:tcPr>
                  <w:tcW w:w="889" w:type="pct"/>
                  <w:vAlign w:val="center"/>
                </w:tcPr>
                <w:p w14:paraId="1CB7293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w:t>
                  </w:r>
                </w:p>
              </w:tc>
            </w:tr>
            <w:tr w14:paraId="589D9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1011" w:type="pct"/>
                  <w:vMerge w:val="continue"/>
                  <w:vAlign w:val="center"/>
                </w:tcPr>
                <w:p w14:paraId="6C099A3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1311" w:type="pct"/>
                  <w:vMerge w:val="continue"/>
                  <w:vAlign w:val="center"/>
                </w:tcPr>
                <w:p w14:paraId="0E38C13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1786" w:type="pct"/>
                  <w:vAlign w:val="center"/>
                </w:tcPr>
                <w:p w14:paraId="7E9E87C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树蛙科</w:t>
                  </w:r>
                </w:p>
              </w:tc>
              <w:tc>
                <w:tcPr>
                  <w:tcW w:w="889" w:type="pct"/>
                  <w:vAlign w:val="center"/>
                </w:tcPr>
                <w:p w14:paraId="528F48D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w:t>
                  </w:r>
                </w:p>
              </w:tc>
            </w:tr>
            <w:tr w14:paraId="51A76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011" w:type="pct"/>
                  <w:vMerge w:val="continue"/>
                  <w:vAlign w:val="center"/>
                </w:tcPr>
                <w:p w14:paraId="40F9BE7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1311" w:type="pct"/>
                  <w:vMerge w:val="continue"/>
                  <w:vAlign w:val="center"/>
                </w:tcPr>
                <w:p w14:paraId="51982EB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1786" w:type="pct"/>
                  <w:vAlign w:val="center"/>
                </w:tcPr>
                <w:p w14:paraId="4FFB333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姬蛙科</w:t>
                  </w:r>
                </w:p>
              </w:tc>
              <w:tc>
                <w:tcPr>
                  <w:tcW w:w="889" w:type="pct"/>
                  <w:vAlign w:val="center"/>
                </w:tcPr>
                <w:p w14:paraId="60CD08D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w:t>
                  </w:r>
                </w:p>
              </w:tc>
            </w:tr>
            <w:tr w14:paraId="1A9B3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4110" w:type="pct"/>
                  <w:gridSpan w:val="3"/>
                  <w:vAlign w:val="center"/>
                </w:tcPr>
                <w:p w14:paraId="5F7EE28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合计</w:t>
                  </w:r>
                </w:p>
              </w:tc>
              <w:tc>
                <w:tcPr>
                  <w:tcW w:w="889" w:type="pct"/>
                  <w:vAlign w:val="center"/>
                </w:tcPr>
                <w:p w14:paraId="0E59F38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8</w:t>
                  </w:r>
                </w:p>
              </w:tc>
            </w:tr>
          </w:tbl>
          <w:p w14:paraId="16865D99">
            <w:pPr>
              <w:keepNext w:val="0"/>
              <w:keepLines w:val="0"/>
              <w:pageBreakBefore w:val="0"/>
              <w:widowControl w:val="0"/>
              <w:kinsoku/>
              <w:wordWrap/>
              <w:overflowPunct/>
              <w:topLinePunct w:val="0"/>
              <w:autoSpaceDE/>
              <w:autoSpaceDN/>
              <w:bidi w:val="0"/>
              <w:adjustRightInd w:val="0"/>
              <w:snapToGrid w:val="0"/>
              <w:spacing w:line="360" w:lineRule="auto"/>
              <w:ind w:right="0"/>
              <w:jc w:val="both"/>
              <w:textAlignment w:val="auto"/>
              <w:rPr>
                <w:rFonts w:hint="default" w:ascii="Times New Roman" w:hAnsi="Times New Roman" w:cs="Times New Roman"/>
                <w:b/>
                <w:bCs/>
                <w:color w:val="000000" w:themeColor="text1"/>
                <w:lang w:val="en-US" w:eastAsia="zh-CN"/>
                <w14:textFill>
                  <w14:solidFill>
                    <w14:schemeClr w14:val="tx1"/>
                  </w14:solidFill>
                </w14:textFill>
              </w:rPr>
            </w:pPr>
          </w:p>
          <w:p w14:paraId="4EF66C10">
            <w:pPr>
              <w:keepNext w:val="0"/>
              <w:keepLines w:val="0"/>
              <w:pageBreakBefore w:val="0"/>
              <w:widowControl w:val="0"/>
              <w:kinsoku/>
              <w:wordWrap/>
              <w:overflowPunct/>
              <w:topLinePunct w:val="0"/>
              <w:autoSpaceDE/>
              <w:autoSpaceDN/>
              <w:bidi w:val="0"/>
              <w:adjustRightInd w:val="0"/>
              <w:snapToGrid w:val="0"/>
              <w:spacing w:line="360" w:lineRule="auto"/>
              <w:ind w:right="0"/>
              <w:jc w:val="both"/>
              <w:textAlignment w:val="auto"/>
              <w:rPr>
                <w:rFonts w:hint="default" w:ascii="Times New Roman" w:hAnsi="Times New Roman" w:cs="Times New Roman"/>
                <w:b/>
                <w:bCs/>
                <w:color w:val="000000" w:themeColor="text1"/>
                <w:lang w:val="en-US" w:eastAsia="zh-CN"/>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②爬行类</w:t>
            </w:r>
          </w:p>
          <w:p w14:paraId="11CAD4EE">
            <w:pPr>
              <w:pStyle w:val="79"/>
              <w:keepNext w:val="0"/>
              <w:keepLines w:val="0"/>
              <w:pageBreakBefore w:val="0"/>
              <w:widowControl w:val="0"/>
              <w:kinsoku/>
              <w:wordWrap/>
              <w:overflowPunct/>
              <w:topLinePunct w:val="0"/>
              <w:autoSpaceDE/>
              <w:autoSpaceDN/>
              <w:bidi w:val="0"/>
              <w:adjustRightInd w:val="0"/>
              <w:snapToGrid w:val="0"/>
              <w:spacing w:line="360" w:lineRule="auto"/>
              <w:ind w:left="0" w:leftChars="0" w:right="0" w:firstLine="548" w:firstLineChars="200"/>
              <w:jc w:val="both"/>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pacing w:val="17"/>
                <w:sz w:val="24"/>
                <w:szCs w:val="24"/>
                <w14:textFill>
                  <w14:solidFill>
                    <w14:schemeClr w14:val="tx1"/>
                  </w14:solidFill>
                </w14:textFill>
              </w:rPr>
              <w:t>本次爬行类动物调查，通过文献查阅，评价区分布有爬行动</w:t>
            </w:r>
            <w:r>
              <w:rPr>
                <w:rFonts w:hint="default" w:ascii="Times New Roman" w:hAnsi="Times New Roman" w:eastAsia="宋体" w:cs="Times New Roman"/>
                <w:color w:val="000000" w:themeColor="text1"/>
                <w:spacing w:val="6"/>
                <w:sz w:val="24"/>
                <w:szCs w:val="24"/>
                <w14:textFill>
                  <w14:solidFill>
                    <w14:schemeClr w14:val="tx1"/>
                  </w14:solidFill>
                </w14:textFill>
              </w:rPr>
              <w:t>物8种，隶属2目5科，具体种类详见下表。</w:t>
            </w:r>
          </w:p>
          <w:p w14:paraId="7AA48BD1">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表3-4</w:t>
            </w:r>
            <w:r>
              <w:rPr>
                <w:rFonts w:hint="default" w:ascii="Times New Roman" w:hAnsi="Times New Roman" w:cs="Times New Roman"/>
                <w:b/>
                <w:bCs/>
                <w:color w:val="000000" w:themeColor="text1"/>
                <w:sz w:val="21"/>
                <w:szCs w:val="21"/>
                <w:lang w:val="en-US" w:eastAsia="zh-CN"/>
                <w14:textFill>
                  <w14:solidFill>
                    <w14:schemeClr w14:val="tx1"/>
                  </w14:solidFill>
                </w14:textFill>
              </w:rPr>
              <w:t xml:space="preserve">  </w:t>
            </w:r>
            <w:r>
              <w:rPr>
                <w:rFonts w:hint="default" w:ascii="Times New Roman" w:hAnsi="Times New Roman" w:cs="Times New Roman"/>
                <w:b/>
                <w:bCs/>
                <w:color w:val="000000" w:themeColor="text1"/>
                <w:sz w:val="21"/>
                <w:szCs w:val="21"/>
                <w14:textFill>
                  <w14:solidFill>
                    <w14:schemeClr w14:val="tx1"/>
                  </w14:solidFill>
                </w14:textFill>
              </w:rPr>
              <w:t>评价区分布的爬行动物多样性</w:t>
            </w:r>
          </w:p>
          <w:tbl>
            <w:tblPr>
              <w:tblStyle w:val="77"/>
              <w:tblW w:w="4998"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165"/>
              <w:gridCol w:w="3160"/>
              <w:gridCol w:w="1406"/>
            </w:tblGrid>
            <w:tr w14:paraId="672282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047" w:type="pct"/>
                  <w:vAlign w:val="center"/>
                </w:tcPr>
                <w:p w14:paraId="2F60AA3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目</w:t>
                  </w:r>
                </w:p>
              </w:tc>
              <w:tc>
                <w:tcPr>
                  <w:tcW w:w="2042" w:type="pct"/>
                  <w:vAlign w:val="center"/>
                </w:tcPr>
                <w:p w14:paraId="3628B44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科</w:t>
                  </w:r>
                </w:p>
              </w:tc>
              <w:tc>
                <w:tcPr>
                  <w:tcW w:w="909" w:type="pct"/>
                  <w:vAlign w:val="center"/>
                </w:tcPr>
                <w:p w14:paraId="19FBB3F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物种数</w:t>
                  </w:r>
                </w:p>
              </w:tc>
            </w:tr>
            <w:tr w14:paraId="6BCA1A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047" w:type="pct"/>
                  <w:vMerge w:val="restart"/>
                  <w:tcBorders>
                    <w:bottom w:val="nil"/>
                  </w:tcBorders>
                  <w:vAlign w:val="center"/>
                </w:tcPr>
                <w:p w14:paraId="4CCFEA2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蜥蜴目</w:t>
                  </w:r>
                </w:p>
              </w:tc>
              <w:tc>
                <w:tcPr>
                  <w:tcW w:w="2042" w:type="pct"/>
                  <w:vAlign w:val="center"/>
                </w:tcPr>
                <w:p w14:paraId="3ACE9D7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壁虎科</w:t>
                  </w:r>
                </w:p>
              </w:tc>
              <w:tc>
                <w:tcPr>
                  <w:tcW w:w="909" w:type="pct"/>
                  <w:vAlign w:val="center"/>
                </w:tcPr>
                <w:p w14:paraId="2F83217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w:t>
                  </w:r>
                </w:p>
              </w:tc>
            </w:tr>
            <w:tr w14:paraId="34BFFC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047" w:type="pct"/>
                  <w:vMerge w:val="continue"/>
                  <w:tcBorders>
                    <w:top w:val="nil"/>
                    <w:bottom w:val="nil"/>
                  </w:tcBorders>
                  <w:vAlign w:val="center"/>
                </w:tcPr>
                <w:p w14:paraId="0711BCC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2042" w:type="pct"/>
                  <w:vAlign w:val="center"/>
                </w:tcPr>
                <w:p w14:paraId="0B27DC2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鬣蜥科</w:t>
                  </w:r>
                </w:p>
              </w:tc>
              <w:tc>
                <w:tcPr>
                  <w:tcW w:w="909" w:type="pct"/>
                  <w:vAlign w:val="center"/>
                </w:tcPr>
                <w:p w14:paraId="4274656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w:t>
                  </w:r>
                </w:p>
              </w:tc>
            </w:tr>
            <w:tr w14:paraId="48F95A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047" w:type="pct"/>
                  <w:vMerge w:val="continue"/>
                  <w:tcBorders>
                    <w:top w:val="nil"/>
                  </w:tcBorders>
                  <w:vAlign w:val="center"/>
                </w:tcPr>
                <w:p w14:paraId="1432B76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2042" w:type="pct"/>
                  <w:vAlign w:val="center"/>
                </w:tcPr>
                <w:p w14:paraId="56338BE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石龙子科</w:t>
                  </w:r>
                </w:p>
              </w:tc>
              <w:tc>
                <w:tcPr>
                  <w:tcW w:w="909" w:type="pct"/>
                  <w:vAlign w:val="center"/>
                </w:tcPr>
                <w:p w14:paraId="1E11833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w:t>
                  </w:r>
                </w:p>
              </w:tc>
            </w:tr>
            <w:tr w14:paraId="629ADD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4090" w:type="pct"/>
                  <w:gridSpan w:val="2"/>
                  <w:vAlign w:val="center"/>
                </w:tcPr>
                <w:p w14:paraId="65B1502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小计</w:t>
                  </w:r>
                </w:p>
              </w:tc>
              <w:tc>
                <w:tcPr>
                  <w:tcW w:w="909" w:type="pct"/>
                  <w:vAlign w:val="center"/>
                </w:tcPr>
                <w:p w14:paraId="3D7B21B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w:t>
                  </w:r>
                </w:p>
              </w:tc>
            </w:tr>
            <w:tr w14:paraId="3176B4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047" w:type="pct"/>
                  <w:vMerge w:val="restart"/>
                  <w:tcBorders>
                    <w:bottom w:val="nil"/>
                  </w:tcBorders>
                  <w:vAlign w:val="center"/>
                </w:tcPr>
                <w:p w14:paraId="5AEEBE2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蛇目</w:t>
                  </w:r>
                </w:p>
              </w:tc>
              <w:tc>
                <w:tcPr>
                  <w:tcW w:w="2042" w:type="pct"/>
                  <w:vAlign w:val="center"/>
                </w:tcPr>
                <w:p w14:paraId="2353B52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蝰科</w:t>
                  </w:r>
                </w:p>
              </w:tc>
              <w:tc>
                <w:tcPr>
                  <w:tcW w:w="909" w:type="pct"/>
                  <w:vAlign w:val="center"/>
                </w:tcPr>
                <w:p w14:paraId="34F1384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w:t>
                  </w:r>
                </w:p>
              </w:tc>
            </w:tr>
            <w:tr w14:paraId="13EDEC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047" w:type="pct"/>
                  <w:vMerge w:val="continue"/>
                  <w:tcBorders>
                    <w:top w:val="nil"/>
                  </w:tcBorders>
                  <w:vAlign w:val="center"/>
                </w:tcPr>
                <w:p w14:paraId="3759AF2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2042" w:type="pct"/>
                  <w:vAlign w:val="center"/>
                </w:tcPr>
                <w:p w14:paraId="7D7774D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游蛇科</w:t>
                  </w:r>
                </w:p>
              </w:tc>
              <w:tc>
                <w:tcPr>
                  <w:tcW w:w="909" w:type="pct"/>
                  <w:vAlign w:val="center"/>
                </w:tcPr>
                <w:p w14:paraId="4A0151E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4</w:t>
                  </w:r>
                </w:p>
              </w:tc>
            </w:tr>
            <w:tr w14:paraId="526EB5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4090" w:type="pct"/>
                  <w:gridSpan w:val="2"/>
                  <w:vAlign w:val="center"/>
                </w:tcPr>
                <w:p w14:paraId="2AE07E3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小计</w:t>
                  </w:r>
                </w:p>
              </w:tc>
              <w:tc>
                <w:tcPr>
                  <w:tcW w:w="909" w:type="pct"/>
                  <w:vAlign w:val="center"/>
                </w:tcPr>
                <w:p w14:paraId="47C5527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5</w:t>
                  </w:r>
                </w:p>
              </w:tc>
            </w:tr>
            <w:tr w14:paraId="76B056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4090" w:type="pct"/>
                  <w:gridSpan w:val="2"/>
                  <w:vAlign w:val="center"/>
                </w:tcPr>
                <w:p w14:paraId="6EA1CBD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合计</w:t>
                  </w:r>
                </w:p>
              </w:tc>
              <w:tc>
                <w:tcPr>
                  <w:tcW w:w="909" w:type="pct"/>
                  <w:vAlign w:val="center"/>
                </w:tcPr>
                <w:p w14:paraId="07CAE11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8</w:t>
                  </w:r>
                </w:p>
              </w:tc>
            </w:tr>
          </w:tbl>
          <w:p w14:paraId="71D4EB2C">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cs="Times New Roman"/>
                <w:b/>
                <w:bCs/>
                <w:color w:val="000000" w:themeColor="text1"/>
                <w:lang w:val="en-US" w:eastAsia="zh-CN"/>
                <w14:textFill>
                  <w14:solidFill>
                    <w14:schemeClr w14:val="tx1"/>
                  </w14:solidFill>
                </w14:textFill>
              </w:rPr>
            </w:pPr>
          </w:p>
          <w:p w14:paraId="38D447B6">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cs="Times New Roman"/>
                <w:b/>
                <w:bCs/>
                <w:color w:val="000000" w:themeColor="text1"/>
                <w:lang w:val="en-US" w:eastAsia="zh-CN"/>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③鸟类</w:t>
            </w:r>
          </w:p>
          <w:p w14:paraId="5FC302FC">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本次鸟类调查，通过文献查阅评价区分布有鸟类21种</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隶属5目8科，具体种类详见下表。</w:t>
            </w:r>
          </w:p>
          <w:p w14:paraId="1CEC552B">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表3-5</w:t>
            </w:r>
            <w:r>
              <w:rPr>
                <w:rFonts w:hint="eastAsia" w:ascii="Times New Roman" w:hAnsi="Times New Roman" w:cs="Times New Roman"/>
                <w:b/>
                <w:bCs/>
                <w:color w:val="000000" w:themeColor="text1"/>
                <w:sz w:val="21"/>
                <w:szCs w:val="21"/>
                <w:lang w:val="en-US" w:eastAsia="zh-CN"/>
                <w14:textFill>
                  <w14:solidFill>
                    <w14:schemeClr w14:val="tx1"/>
                  </w14:solidFill>
                </w14:textFill>
              </w:rPr>
              <w:t xml:space="preserve">   </w:t>
            </w:r>
            <w:r>
              <w:rPr>
                <w:rFonts w:hint="default" w:ascii="Times New Roman" w:hAnsi="Times New Roman" w:cs="Times New Roman"/>
                <w:b/>
                <w:bCs/>
                <w:color w:val="000000" w:themeColor="text1"/>
                <w:sz w:val="21"/>
                <w:szCs w:val="21"/>
                <w14:textFill>
                  <w14:solidFill>
                    <w14:schemeClr w14:val="tx1"/>
                  </w14:solidFill>
                </w14:textFill>
              </w:rPr>
              <w:t>评价区分布的鸟类多样性</w:t>
            </w:r>
          </w:p>
          <w:tbl>
            <w:tblPr>
              <w:tblStyle w:val="77"/>
              <w:tblW w:w="763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752"/>
              <w:gridCol w:w="2742"/>
              <w:gridCol w:w="2145"/>
            </w:tblGrid>
            <w:tr w14:paraId="664F73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32" w:hRule="atLeast"/>
                <w:jc w:val="center"/>
              </w:trPr>
              <w:tc>
                <w:tcPr>
                  <w:tcW w:w="2752" w:type="dxa"/>
                  <w:vAlign w:val="center"/>
                </w:tcPr>
                <w:p w14:paraId="6173E66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目</w:t>
                  </w:r>
                </w:p>
              </w:tc>
              <w:tc>
                <w:tcPr>
                  <w:tcW w:w="2742" w:type="dxa"/>
                  <w:vAlign w:val="center"/>
                </w:tcPr>
                <w:p w14:paraId="0D3C450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科</w:t>
                  </w:r>
                </w:p>
              </w:tc>
              <w:tc>
                <w:tcPr>
                  <w:tcW w:w="2145" w:type="dxa"/>
                  <w:vAlign w:val="center"/>
                </w:tcPr>
                <w:p w14:paraId="740FB5F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种数</w:t>
                  </w:r>
                </w:p>
              </w:tc>
            </w:tr>
            <w:tr w14:paraId="4171BC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752" w:type="dxa"/>
                  <w:vMerge w:val="restart"/>
                  <w:tcBorders>
                    <w:bottom w:val="nil"/>
                  </w:tcBorders>
                  <w:vAlign w:val="center"/>
                </w:tcPr>
                <w:p w14:paraId="171492E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雀形目</w:t>
                  </w:r>
                </w:p>
              </w:tc>
              <w:tc>
                <w:tcPr>
                  <w:tcW w:w="2742" w:type="dxa"/>
                  <w:vAlign w:val="center"/>
                </w:tcPr>
                <w:p w14:paraId="43D817E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山雀科</w:t>
                  </w:r>
                </w:p>
              </w:tc>
              <w:tc>
                <w:tcPr>
                  <w:tcW w:w="2145" w:type="dxa"/>
                  <w:vAlign w:val="center"/>
                </w:tcPr>
                <w:p w14:paraId="7E586C8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4</w:t>
                  </w:r>
                </w:p>
              </w:tc>
            </w:tr>
            <w:tr w14:paraId="75137A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752" w:type="dxa"/>
                  <w:vMerge w:val="continue"/>
                  <w:tcBorders>
                    <w:top w:val="nil"/>
                    <w:bottom w:val="nil"/>
                  </w:tcBorders>
                  <w:vAlign w:val="center"/>
                </w:tcPr>
                <w:p w14:paraId="6712CA8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2742" w:type="dxa"/>
                  <w:vAlign w:val="center"/>
                </w:tcPr>
                <w:p w14:paraId="1444A16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燕雀科</w:t>
                  </w:r>
                </w:p>
              </w:tc>
              <w:tc>
                <w:tcPr>
                  <w:tcW w:w="2145" w:type="dxa"/>
                  <w:vAlign w:val="center"/>
                </w:tcPr>
                <w:p w14:paraId="46D31E5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w:t>
                  </w:r>
                </w:p>
              </w:tc>
            </w:tr>
            <w:tr w14:paraId="25D3F9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752" w:type="dxa"/>
                  <w:vMerge w:val="continue"/>
                  <w:tcBorders>
                    <w:top w:val="nil"/>
                    <w:bottom w:val="nil"/>
                  </w:tcBorders>
                  <w:vAlign w:val="center"/>
                </w:tcPr>
                <w:p w14:paraId="555208F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2742" w:type="dxa"/>
                  <w:vAlign w:val="center"/>
                </w:tcPr>
                <w:p w14:paraId="0A66C19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鸦雀科</w:t>
                  </w:r>
                </w:p>
              </w:tc>
              <w:tc>
                <w:tcPr>
                  <w:tcW w:w="2145" w:type="dxa"/>
                  <w:vAlign w:val="center"/>
                </w:tcPr>
                <w:p w14:paraId="3BE14EC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w:t>
                  </w:r>
                </w:p>
              </w:tc>
            </w:tr>
            <w:tr w14:paraId="5E7FF4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752" w:type="dxa"/>
                  <w:vMerge w:val="continue"/>
                  <w:tcBorders>
                    <w:top w:val="nil"/>
                  </w:tcBorders>
                  <w:vAlign w:val="center"/>
                </w:tcPr>
                <w:p w14:paraId="67EDBCA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2742" w:type="dxa"/>
                  <w:vAlign w:val="center"/>
                </w:tcPr>
                <w:p w14:paraId="027863F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燕科</w:t>
                  </w:r>
                </w:p>
              </w:tc>
              <w:tc>
                <w:tcPr>
                  <w:tcW w:w="2145" w:type="dxa"/>
                  <w:vAlign w:val="center"/>
                </w:tcPr>
                <w:p w14:paraId="0F2F1E0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w:t>
                  </w:r>
                </w:p>
              </w:tc>
            </w:tr>
            <w:tr w14:paraId="346F7F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752" w:type="dxa"/>
                  <w:vAlign w:val="center"/>
                </w:tcPr>
                <w:p w14:paraId="455D3D4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鸳形目</w:t>
                  </w:r>
                </w:p>
              </w:tc>
              <w:tc>
                <w:tcPr>
                  <w:tcW w:w="2742" w:type="dxa"/>
                  <w:vAlign w:val="center"/>
                </w:tcPr>
                <w:p w14:paraId="63E47CE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啄木鸟科</w:t>
                  </w:r>
                </w:p>
              </w:tc>
              <w:tc>
                <w:tcPr>
                  <w:tcW w:w="2145" w:type="dxa"/>
                  <w:vAlign w:val="center"/>
                </w:tcPr>
                <w:p w14:paraId="45AE782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w:t>
                  </w:r>
                </w:p>
              </w:tc>
            </w:tr>
            <w:tr w14:paraId="61C6EB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752" w:type="dxa"/>
                  <w:vAlign w:val="center"/>
                </w:tcPr>
                <w:p w14:paraId="5FE5F29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鹃形目</w:t>
                  </w:r>
                </w:p>
              </w:tc>
              <w:tc>
                <w:tcPr>
                  <w:tcW w:w="2742" w:type="dxa"/>
                  <w:vAlign w:val="center"/>
                </w:tcPr>
                <w:p w14:paraId="74DB3B2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杜鹃科</w:t>
                  </w:r>
                </w:p>
              </w:tc>
              <w:tc>
                <w:tcPr>
                  <w:tcW w:w="2145" w:type="dxa"/>
                  <w:vAlign w:val="center"/>
                </w:tcPr>
                <w:p w14:paraId="5E8D520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6</w:t>
                  </w:r>
                </w:p>
              </w:tc>
            </w:tr>
            <w:tr w14:paraId="34D5CC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752" w:type="dxa"/>
                  <w:vAlign w:val="center"/>
                </w:tcPr>
                <w:p w14:paraId="632F2F3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雨燕目</w:t>
                  </w:r>
                </w:p>
              </w:tc>
              <w:tc>
                <w:tcPr>
                  <w:tcW w:w="2742" w:type="dxa"/>
                  <w:vAlign w:val="center"/>
                </w:tcPr>
                <w:p w14:paraId="4941EA5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雨燕科</w:t>
                  </w:r>
                </w:p>
              </w:tc>
              <w:tc>
                <w:tcPr>
                  <w:tcW w:w="2145" w:type="dxa"/>
                  <w:vAlign w:val="center"/>
                </w:tcPr>
                <w:p w14:paraId="2913B7C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w:t>
                  </w:r>
                </w:p>
              </w:tc>
            </w:tr>
            <w:tr w14:paraId="567C16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2752" w:type="dxa"/>
                  <w:vAlign w:val="center"/>
                </w:tcPr>
                <w:p w14:paraId="104137D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隼形目</w:t>
                  </w:r>
                </w:p>
              </w:tc>
              <w:tc>
                <w:tcPr>
                  <w:tcW w:w="2742" w:type="dxa"/>
                  <w:vAlign w:val="center"/>
                </w:tcPr>
                <w:p w14:paraId="6F398AC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鹰科</w:t>
                  </w:r>
                </w:p>
              </w:tc>
              <w:tc>
                <w:tcPr>
                  <w:tcW w:w="2145" w:type="dxa"/>
                  <w:vAlign w:val="center"/>
                </w:tcPr>
                <w:p w14:paraId="6255917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w:t>
                  </w:r>
                </w:p>
              </w:tc>
            </w:tr>
            <w:tr w14:paraId="0A2B47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jc w:val="center"/>
              </w:trPr>
              <w:tc>
                <w:tcPr>
                  <w:tcW w:w="5494" w:type="dxa"/>
                  <w:gridSpan w:val="2"/>
                  <w:vAlign w:val="center"/>
                </w:tcPr>
                <w:p w14:paraId="1660C77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合计</w:t>
                  </w:r>
                </w:p>
              </w:tc>
              <w:tc>
                <w:tcPr>
                  <w:tcW w:w="2145" w:type="dxa"/>
                  <w:vAlign w:val="center"/>
                </w:tcPr>
                <w:p w14:paraId="7AC2C7B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21</w:t>
                  </w:r>
                </w:p>
              </w:tc>
            </w:tr>
          </w:tbl>
          <w:p w14:paraId="72F8515E">
            <w:pPr>
              <w:keepNext w:val="0"/>
              <w:keepLines w:val="0"/>
              <w:pageBreakBefore w:val="0"/>
              <w:widowControl w:val="0"/>
              <w:kinsoku/>
              <w:wordWrap/>
              <w:overflowPunct/>
              <w:topLinePunct w:val="0"/>
              <w:autoSpaceDE/>
              <w:autoSpaceDN/>
              <w:bidi w:val="0"/>
              <w:adjustRightInd w:val="0"/>
              <w:snapToGrid w:val="0"/>
              <w:ind w:leftChars="0" w:firstLine="482" w:firstLineChars="200"/>
              <w:jc w:val="both"/>
              <w:textAlignment w:val="auto"/>
              <w:rPr>
                <w:rFonts w:hint="default" w:ascii="Times New Roman" w:hAnsi="Times New Roman" w:cs="Times New Roman"/>
                <w:b/>
                <w:bCs/>
                <w:color w:val="000000" w:themeColor="text1"/>
                <w:lang w:val="en-US" w:eastAsia="zh-CN"/>
                <w14:textFill>
                  <w14:solidFill>
                    <w14:schemeClr w14:val="tx1"/>
                  </w14:solidFill>
                </w14:textFill>
              </w:rPr>
            </w:pPr>
          </w:p>
          <w:p w14:paraId="27AF5E28">
            <w:pPr>
              <w:keepNext w:val="0"/>
              <w:keepLines w:val="0"/>
              <w:pageBreakBefore w:val="0"/>
              <w:widowControl w:val="0"/>
              <w:kinsoku/>
              <w:wordWrap/>
              <w:overflowPunct/>
              <w:topLinePunct w:val="0"/>
              <w:autoSpaceDE/>
              <w:autoSpaceDN/>
              <w:bidi w:val="0"/>
              <w:adjustRightInd w:val="0"/>
              <w:snapToGrid w:val="0"/>
              <w:ind w:leftChars="0" w:firstLine="482" w:firstLineChars="200"/>
              <w:jc w:val="both"/>
              <w:textAlignment w:val="auto"/>
              <w:rPr>
                <w:rFonts w:hint="default" w:ascii="Times New Roman" w:hAnsi="Times New Roman" w:cs="Times New Roman"/>
                <w:b/>
                <w:bCs/>
                <w:color w:val="000000" w:themeColor="text1"/>
                <w:lang w:val="en-US" w:eastAsia="zh-CN"/>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④珍稀保护动物</w:t>
            </w:r>
          </w:p>
          <w:p w14:paraId="37B0BF64">
            <w:pPr>
              <w:keepNext w:val="0"/>
              <w:keepLines w:val="0"/>
              <w:pageBreakBefore w:val="0"/>
              <w:widowControl w:val="0"/>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评价区内无国家重点保护物种。调查未发现该地区特有种类分布。</w:t>
            </w:r>
          </w:p>
          <w:p w14:paraId="6F187B80">
            <w:pPr>
              <w:keepNext w:val="0"/>
              <w:keepLines w:val="0"/>
              <w:pageBreakBefore w:val="0"/>
              <w:widowControl w:val="0"/>
              <w:kinsoku/>
              <w:wordWrap/>
              <w:overflowPunct/>
              <w:topLinePunct w:val="0"/>
              <w:autoSpaceDE/>
              <w:autoSpaceDN/>
              <w:bidi w:val="0"/>
              <w:adjustRightInd w:val="0"/>
              <w:snapToGrid w:val="0"/>
              <w:ind w:leftChars="0" w:firstLine="482" w:firstLineChars="200"/>
              <w:jc w:val="both"/>
              <w:textAlignment w:val="auto"/>
              <w:rPr>
                <w:rFonts w:hint="default" w:ascii="Times New Roman" w:hAnsi="Times New Roman"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5</w:t>
            </w:r>
            <w:r>
              <w:rPr>
                <w:rFonts w:hint="default" w:ascii="Times New Roman" w:hAnsi="Times New Roman" w:cs="Times New Roman"/>
                <w:b/>
                <w:bCs/>
                <w:color w:val="000000" w:themeColor="text1"/>
                <w:lang w:val="en-US" w:eastAsia="zh-CN"/>
                <w14:textFill>
                  <w14:solidFill>
                    <w14:schemeClr w14:val="tx1"/>
                  </w14:solidFill>
                </w14:textFill>
              </w:rPr>
              <w:t>、水土流失现状</w:t>
            </w:r>
          </w:p>
          <w:p w14:paraId="6BBADF87">
            <w:pPr>
              <w:keepNext w:val="0"/>
              <w:keepLines w:val="0"/>
              <w:pageBreakBefore w:val="0"/>
              <w:widowControl w:val="0"/>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为保护水土资源，防治水土流失，加快推进生态文明建设，促进经济社会可持续发展，根据《中华人民共和国水土保持法》和《云南省水土保持条例》的规定，云南省在国家级水土流失重点防治区复核划分成果和云南省2015年水土流失调查成果的基础</w:t>
            </w:r>
            <w:r>
              <w:rPr>
                <w:rFonts w:hint="eastAsia" w:ascii="Times New Roman" w:hAnsi="Times New Roman" w:cs="Times New Roman"/>
                <w:color w:val="000000" w:themeColor="text1"/>
                <w:lang w:eastAsia="zh-CN"/>
                <w14:textFill>
                  <w14:solidFill>
                    <w14:schemeClr w14:val="tx1"/>
                  </w14:solidFill>
                </w14:textFill>
              </w:rPr>
              <w:t>上</w:t>
            </w:r>
            <w:r>
              <w:rPr>
                <w:rFonts w:hint="default" w:ascii="Times New Roman" w:hAnsi="Times New Roman" w:cs="Times New Roman"/>
                <w:color w:val="000000" w:themeColor="text1"/>
                <w14:textFill>
                  <w14:solidFill>
                    <w14:schemeClr w14:val="tx1"/>
                  </w14:solidFill>
                </w14:textFill>
              </w:rPr>
              <w:t>，结合云南省实际情况，突出区域特色，以乡镇级行政区为基本单元复核划分了云南省水土流失重点预防区和重点治理区</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lang w:val="en-US" w:eastAsia="zh-CN"/>
                <w14:textFill>
                  <w14:solidFill>
                    <w14:schemeClr w14:val="tx1"/>
                  </w14:solidFill>
                </w14:textFill>
              </w:rPr>
              <w:t>峨山县不属于国家级水土流失重点监督区和重点治理区，故不开展此项调查。</w:t>
            </w:r>
          </w:p>
          <w:p w14:paraId="72A86152">
            <w:pPr>
              <w:keepNext w:val="0"/>
              <w:keepLines w:val="0"/>
              <w:pageBreakBefore w:val="0"/>
              <w:widowControl w:val="0"/>
              <w:numPr>
                <w:ilvl w:val="0"/>
                <w:numId w:val="0"/>
              </w:numPr>
              <w:kinsoku/>
              <w:wordWrap/>
              <w:overflowPunct/>
              <w:topLinePunct w:val="0"/>
              <w:autoSpaceDE/>
              <w:autoSpaceDN/>
              <w:bidi w:val="0"/>
              <w:adjustRightInd w:val="0"/>
              <w:snapToGrid w:val="0"/>
              <w:ind w:left="0" w:leftChars="0" w:firstLine="482" w:firstLineChars="200"/>
              <w:jc w:val="both"/>
              <w:textAlignment w:val="auto"/>
              <w:rPr>
                <w:rFonts w:hint="default" w:ascii="Times New Roman" w:hAnsi="Times New Roman" w:eastAsia="宋体" w:cs="Times New Roman"/>
                <w:b/>
                <w:bCs/>
                <w:color w:val="000000" w:themeColor="text1"/>
                <w:highlight w:val="none"/>
                <w:lang w:val="en-US" w:eastAsia="zh-CN"/>
                <w14:textFill>
                  <w14:solidFill>
                    <w14:schemeClr w14:val="tx1"/>
                  </w14:solidFill>
                </w14:textFill>
              </w:rPr>
            </w:pPr>
            <w:r>
              <w:rPr>
                <w:rFonts w:hint="eastAsia" w:ascii="Times New Roman" w:hAnsi="Times New Roman" w:eastAsia="宋体" w:cs="Times New Roman"/>
                <w:b/>
                <w:bCs/>
                <w:color w:val="000000" w:themeColor="text1"/>
                <w:kern w:val="2"/>
                <w:sz w:val="24"/>
                <w:szCs w:val="24"/>
                <w:lang w:val="en-US" w:eastAsia="zh-CN" w:bidi="ar-SA"/>
                <w14:textFill>
                  <w14:solidFill>
                    <w14:schemeClr w14:val="tx1"/>
                  </w14:solidFill>
                </w14:textFill>
              </w:rPr>
              <w:t>二、</w:t>
            </w:r>
            <w:r>
              <w:rPr>
                <w:rFonts w:hint="default" w:ascii="Times New Roman" w:hAnsi="Times New Roman" w:eastAsia="宋体" w:cs="Times New Roman"/>
                <w:b/>
                <w:bCs/>
                <w:color w:val="000000" w:themeColor="text1"/>
                <w:highlight w:val="none"/>
                <w:lang w:val="en-US" w:eastAsia="zh-CN"/>
                <w14:textFill>
                  <w14:solidFill>
                    <w14:schemeClr w14:val="tx1"/>
                  </w14:solidFill>
                </w14:textFill>
              </w:rPr>
              <w:t>项目与周边敏感区的关系</w:t>
            </w:r>
          </w:p>
          <w:p w14:paraId="33B4FC1A">
            <w:pPr>
              <w:keepNext w:val="0"/>
              <w:keepLines w:val="0"/>
              <w:pageBreakBefore w:val="0"/>
              <w:widowControl w:val="0"/>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根据调查与核实，本项目不涉及占用自然保护区、世界文化和自然遗产地、风景名胜区、森林公园、地质公园、生态保护红线、重要湿地</w:t>
            </w:r>
            <w:r>
              <w:rPr>
                <w:rFonts w:hint="eastAsia" w:ascii="Times New Roman" w:hAnsi="Times New Roman" w:cs="Times New Roman"/>
                <w:color w:val="000000" w:themeColor="text1"/>
                <w:lang w:eastAsia="zh-CN"/>
                <w14:textFill>
                  <w14:solidFill>
                    <w14:schemeClr w14:val="tx1"/>
                  </w14:solidFill>
                </w14:textFill>
              </w:rPr>
              <w:t>等</w:t>
            </w:r>
            <w:r>
              <w:rPr>
                <w:rFonts w:hint="default" w:ascii="Times New Roman" w:hAnsi="Times New Roman" w:cs="Times New Roman"/>
                <w:color w:val="000000" w:themeColor="text1"/>
                <w14:textFill>
                  <w14:solidFill>
                    <w14:schemeClr w14:val="tx1"/>
                  </w14:solidFill>
                </w14:textFill>
              </w:rPr>
              <w:t>生态环境敏感区。</w:t>
            </w:r>
            <w:r>
              <w:rPr>
                <w:rFonts w:hint="default" w:ascii="Times New Roman" w:hAnsi="Times New Roman" w:cs="Times New Roman"/>
                <w:color w:val="000000" w:themeColor="text1"/>
                <w:lang w:val="en-US" w:eastAsia="zh-CN"/>
                <w14:textFill>
                  <w14:solidFill>
                    <w14:schemeClr w14:val="tx1"/>
                  </w14:solidFill>
                </w14:textFill>
              </w:rPr>
              <w:t>地块涉及两个饮用水水源地二级保护区，分别是已划定</w:t>
            </w:r>
            <w:r>
              <w:rPr>
                <w:rFonts w:hint="eastAsia" w:ascii="Times New Roman" w:hAnsi="Times New Roman" w:cs="Times New Roman"/>
                <w:color w:val="000000" w:themeColor="text1"/>
                <w:lang w:val="en-US" w:eastAsia="zh-CN"/>
                <w14:textFill>
                  <w14:solidFill>
                    <w14:schemeClr w14:val="tx1"/>
                  </w14:solidFill>
                </w14:textFill>
              </w:rPr>
              <w:t>的</w:t>
            </w:r>
            <w:r>
              <w:rPr>
                <w:rFonts w:hint="default" w:ascii="Times New Roman" w:hAnsi="Times New Roman" w:cs="Times New Roman"/>
                <w:color w:val="000000" w:themeColor="text1"/>
                <w:lang w:val="en-US" w:eastAsia="zh-CN"/>
                <w14:textFill>
                  <w14:solidFill>
                    <w14:schemeClr w14:val="tx1"/>
                  </w14:solidFill>
                </w14:textFill>
              </w:rPr>
              <w:t>大西水库和正在划定的尼去本水库。</w:t>
            </w:r>
          </w:p>
          <w:p w14:paraId="137DBA00">
            <w:pPr>
              <w:keepNext w:val="0"/>
              <w:keepLines w:val="0"/>
              <w:pageBreakBefore w:val="0"/>
              <w:widowControl w:val="0"/>
              <w:kinsoku/>
              <w:wordWrap/>
              <w:overflowPunct/>
              <w:topLinePunct w:val="0"/>
              <w:autoSpaceDE/>
              <w:autoSpaceDN/>
              <w:bidi w:val="0"/>
              <w:adjustRightInd w:val="0"/>
              <w:snapToGrid w:val="0"/>
              <w:ind w:leftChars="0" w:firstLine="482" w:firstLineChars="200"/>
              <w:jc w:val="both"/>
              <w:textAlignment w:val="auto"/>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（1）大西水库饮用水保护区概况</w:t>
            </w:r>
          </w:p>
          <w:p w14:paraId="1D9EB780">
            <w:pPr>
              <w:keepNext w:val="0"/>
              <w:keepLines w:val="0"/>
              <w:pageBreakBefore w:val="0"/>
              <w:widowControl w:val="0"/>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大西水库位于</w:t>
            </w:r>
            <w:r>
              <w:rPr>
                <w:rFonts w:hint="default" w:ascii="Times New Roman" w:hAnsi="Times New Roman" w:cs="Times New Roman"/>
                <w:color w:val="000000" w:themeColor="text1"/>
                <w:lang w:eastAsia="zh-CN"/>
                <w14:textFill>
                  <w14:solidFill>
                    <w14:schemeClr w14:val="tx1"/>
                  </w14:solidFill>
                </w14:textFill>
              </w:rPr>
              <w:t>峨山县塔甸镇大西村委会大西山</w:t>
            </w:r>
            <w:r>
              <w:rPr>
                <w:rFonts w:hint="default" w:ascii="Times New Roman" w:hAnsi="Times New Roman" w:cs="Times New Roman"/>
                <w:color w:val="000000" w:themeColor="text1"/>
                <w14:textFill>
                  <w14:solidFill>
                    <w14:schemeClr w14:val="tx1"/>
                  </w14:solidFill>
                </w14:textFill>
              </w:rPr>
              <w:t>矣他得村附近，现状水库总库容403.2万</w:t>
            </w:r>
            <w:r>
              <w:rPr>
                <w:rFonts w:hint="default" w:ascii="Times New Roman" w:hAnsi="Times New Roman" w:cs="Times New Roman"/>
                <w:color w:val="000000" w:themeColor="text1"/>
                <w:lang w:val="en-US" w:eastAsia="zh-CN"/>
                <w14:textFill>
                  <w14:solidFill>
                    <w14:schemeClr w14:val="tx1"/>
                  </w14:solidFill>
                </w14:textFill>
              </w:rPr>
              <w:t>m</w:t>
            </w:r>
            <w:r>
              <w:rPr>
                <w:rFonts w:hint="default" w:ascii="Times New Roman" w:hAnsi="Times New Roman" w:cs="Times New Roman"/>
                <w:color w:val="000000" w:themeColor="text1"/>
                <w:vertAlign w:val="superscript"/>
                <w:lang w:val="en-US" w:eastAsia="zh-CN"/>
                <w14:textFill>
                  <w14:solidFill>
                    <w14:schemeClr w14:val="tx1"/>
                  </w14:solidFill>
                </w14:textFill>
              </w:rPr>
              <w:t>3</w:t>
            </w:r>
            <w:r>
              <w:rPr>
                <w:rFonts w:hint="default" w:ascii="Times New Roman" w:hAnsi="Times New Roman" w:cs="Times New Roman"/>
                <w:color w:val="000000" w:themeColor="text1"/>
                <w14:textFill>
                  <w14:solidFill>
                    <w14:schemeClr w14:val="tx1"/>
                  </w14:solidFill>
                </w14:textFill>
              </w:rPr>
              <w:t>，其中兴利库容</w:t>
            </w:r>
            <w:r>
              <w:rPr>
                <w:rFonts w:hint="default" w:ascii="Times New Roman" w:hAnsi="Times New Roman" w:cs="Times New Roman"/>
                <w:color w:val="000000" w:themeColor="text1"/>
                <w:lang w:val="en-US" w:eastAsia="zh-CN"/>
                <w14:textFill>
                  <w14:solidFill>
                    <w14:schemeClr w14:val="tx1"/>
                  </w14:solidFill>
                </w14:textFill>
              </w:rPr>
              <w:t>2</w:t>
            </w:r>
            <w:r>
              <w:rPr>
                <w:rFonts w:hint="default" w:ascii="Times New Roman" w:hAnsi="Times New Roman" w:cs="Times New Roman"/>
                <w:color w:val="000000" w:themeColor="text1"/>
                <w14:textFill>
                  <w14:solidFill>
                    <w14:schemeClr w14:val="tx1"/>
                  </w14:solidFill>
                </w14:textFill>
              </w:rPr>
              <w:t>11.4万</w:t>
            </w:r>
            <w:r>
              <w:rPr>
                <w:rFonts w:hint="default" w:ascii="Times New Roman" w:hAnsi="Times New Roman" w:cs="Times New Roman"/>
                <w:color w:val="000000" w:themeColor="text1"/>
                <w:lang w:val="en-US" w:eastAsia="zh-CN"/>
                <w14:textFill>
                  <w14:solidFill>
                    <w14:schemeClr w14:val="tx1"/>
                  </w14:solidFill>
                </w14:textFill>
              </w:rPr>
              <w:t>m</w:t>
            </w:r>
            <w:r>
              <w:rPr>
                <w:rFonts w:hint="default" w:ascii="Times New Roman" w:hAnsi="Times New Roman" w:cs="Times New Roman"/>
                <w:color w:val="000000" w:themeColor="text1"/>
                <w:vertAlign w:val="superscript"/>
                <w:lang w:val="en-US" w:eastAsia="zh-CN"/>
                <w14:textFill>
                  <w14:solidFill>
                    <w14:schemeClr w14:val="tx1"/>
                  </w14:solidFill>
                </w14:textFill>
              </w:rPr>
              <w:t>3</w:t>
            </w:r>
            <w:r>
              <w:rPr>
                <w:rFonts w:hint="default" w:ascii="Times New Roman" w:hAnsi="Times New Roman" w:cs="Times New Roman"/>
                <w:color w:val="000000" w:themeColor="text1"/>
                <w14:textFill>
                  <w14:solidFill>
                    <w14:schemeClr w14:val="tx1"/>
                  </w14:solidFill>
                </w14:textFill>
              </w:rPr>
              <w:t>，死库容为145.4万m</w:t>
            </w:r>
            <w:r>
              <w:rPr>
                <w:rFonts w:hint="default" w:ascii="Times New Roman" w:hAnsi="Times New Roman" w:cs="Times New Roman"/>
                <w:color w:val="000000" w:themeColor="text1"/>
                <w:vertAlign w:val="superscript"/>
                <w14:textFill>
                  <w14:solidFill>
                    <w14:schemeClr w14:val="tx1"/>
                  </w14:solidFill>
                </w14:textFill>
              </w:rPr>
              <w:t>3</w:t>
            </w:r>
            <w:r>
              <w:rPr>
                <w:rFonts w:hint="default" w:ascii="Times New Roman" w:hAnsi="Times New Roman" w:cs="Times New Roman"/>
                <w:color w:val="000000" w:themeColor="text1"/>
                <w14:textFill>
                  <w14:solidFill>
                    <w14:schemeClr w14:val="tx1"/>
                  </w14:solidFill>
                </w14:textFill>
              </w:rPr>
              <w:t>，可供水量为100万</w:t>
            </w:r>
            <w:r>
              <w:rPr>
                <w:rFonts w:hint="default" w:ascii="Times New Roman" w:hAnsi="Times New Roman" w:cs="Times New Roman"/>
                <w:color w:val="000000" w:themeColor="text1"/>
                <w:lang w:val="en-US" w:eastAsia="zh-CN"/>
                <w14:textFill>
                  <w14:solidFill>
                    <w14:schemeClr w14:val="tx1"/>
                  </w14:solidFill>
                </w14:textFill>
              </w:rPr>
              <w:t>m</w:t>
            </w:r>
            <w:r>
              <w:rPr>
                <w:rFonts w:hint="default" w:ascii="Times New Roman" w:hAnsi="Times New Roman" w:cs="Times New Roman"/>
                <w:color w:val="000000" w:themeColor="text1"/>
                <w:vertAlign w:val="superscript"/>
                <w:lang w:val="en-US" w:eastAsia="zh-CN"/>
                <w14:textFill>
                  <w14:solidFill>
                    <w14:schemeClr w14:val="tx1"/>
                  </w14:solidFill>
                </w14:textFill>
              </w:rPr>
              <w:t>3</w:t>
            </w:r>
            <w:r>
              <w:rPr>
                <w:rFonts w:hint="default" w:ascii="Times New Roman" w:hAnsi="Times New Roman" w:cs="Times New Roman"/>
                <w:color w:val="000000" w:themeColor="text1"/>
                <w14:textFill>
                  <w14:solidFill>
                    <w14:schemeClr w14:val="tx1"/>
                  </w14:solidFill>
                </w14:textFill>
              </w:rPr>
              <w:t>。且峨山县塔甸镇人民政府与新平县新化乡人民政府签订大西水库管理战略合作协议书，每年为新化乡提供不少于100万m</w:t>
            </w:r>
            <w:r>
              <w:rPr>
                <w:rFonts w:hint="default" w:ascii="Times New Roman" w:hAnsi="Times New Roman" w:cs="Times New Roman"/>
                <w:color w:val="000000" w:themeColor="text1"/>
                <w:vertAlign w:val="superscript"/>
                <w14:textFill>
                  <w14:solidFill>
                    <w14:schemeClr w14:val="tx1"/>
                  </w14:solidFill>
                </w14:textFill>
              </w:rPr>
              <w:t>3</w:t>
            </w:r>
            <w:r>
              <w:rPr>
                <w:rFonts w:hint="default" w:ascii="Times New Roman" w:hAnsi="Times New Roman" w:cs="Times New Roman"/>
                <w:color w:val="000000" w:themeColor="text1"/>
                <w14:textFill>
                  <w14:solidFill>
                    <w14:schemeClr w14:val="tx1"/>
                  </w14:solidFill>
                </w14:textFill>
              </w:rPr>
              <w:t>的水库水。根据《关于批复玉溪市易门县浦贝彝族乡石莲寺等50个集中式饮用水源保护区划定方案的函》</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云环函〔2020〕637号</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大西水库已被列为已列入乡镇级集中式饮用水源，水库的功能为生活用水、灌溉用水，灌溉片区中的农村人口为3916人，大牲畜数量为85头，小牲畜数量为1135头。大西水库属于乡镇集中式饮用水源地，属红河流域元江水系亚尼河上游支流，坝址处海拔高程为2120米，区域内有两条长达1公里的主箐纵横库区，地面平坦，库区地质条件良好，库区径流面积4.75km</w:t>
            </w:r>
            <w:r>
              <w:rPr>
                <w:rFonts w:hint="default" w:ascii="Times New Roman" w:hAnsi="Times New Roman" w:cs="Times New Roman"/>
                <w:color w:val="000000" w:themeColor="text1"/>
                <w:vertAlign w:val="superscript"/>
                <w14:textFill>
                  <w14:solidFill>
                    <w14:schemeClr w14:val="tx1"/>
                  </w14:solidFill>
                </w14:textFill>
              </w:rPr>
              <w:t>2</w:t>
            </w:r>
            <w:r>
              <w:rPr>
                <w:rFonts w:hint="default" w:ascii="Times New Roman" w:hAnsi="Times New Roman" w:cs="Times New Roman"/>
                <w:color w:val="000000" w:themeColor="text1"/>
                <w14:textFill>
                  <w14:solidFill>
                    <w14:schemeClr w14:val="tx1"/>
                  </w14:solidFill>
                </w14:textFill>
              </w:rPr>
              <w:t>。以农田灌溉为主，兼顾生活供水。</w:t>
            </w:r>
          </w:p>
          <w:p w14:paraId="06E13281">
            <w:pPr>
              <w:keepNext w:val="0"/>
              <w:keepLines w:val="0"/>
              <w:pageBreakBefore w:val="0"/>
              <w:widowControl w:val="0"/>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水厂工程：大西水厂供水规模为4000m³/d，主要覆盖富良棚及塔甸大部分村组、大西村委会，水源为大西水库、多依树水库。净水工艺流程采用：原水→管式静态混合器→穿孔旋流斜管沉淀池→无阀滤池→清水池。采用投加次氯酸钠的消毒工艺。水厂内设供水泵站，水泵两</w:t>
            </w:r>
            <w:r>
              <w:rPr>
                <w:rFonts w:hint="eastAsia" w:ascii="Times New Roman" w:hAnsi="Times New Roman" w:cs="Times New Roman"/>
                <w:color w:val="000000" w:themeColor="text1"/>
                <w:lang w:val="en-US" w:eastAsia="zh-CN"/>
                <w14:textFill>
                  <w14:solidFill>
                    <w14:schemeClr w14:val="tx1"/>
                  </w14:solidFill>
                </w14:textFill>
              </w:rPr>
              <w:t>台</w:t>
            </w:r>
            <w:r>
              <w:rPr>
                <w:rFonts w:hint="default" w:ascii="Times New Roman" w:hAnsi="Times New Roman" w:cs="Times New Roman"/>
                <w:color w:val="000000" w:themeColor="text1"/>
                <w:lang w:val="en-US" w:eastAsia="zh-CN"/>
                <w14:textFill>
                  <w14:solidFill>
                    <w14:schemeClr w14:val="tx1"/>
                  </w14:solidFill>
                </w14:textFill>
              </w:rPr>
              <w:t>（1用1备）。输水工程：建设配水管网，管道全长121.006km，其中配水主管长29.85km，配水干支管长88.789km，提水管道长2.367km。管径为DN300~DN50，采用Q235B涂塑复合钢管。水池工程：新建200m</w:t>
            </w:r>
            <w:r>
              <w:rPr>
                <w:rFonts w:hint="default" w:ascii="Times New Roman" w:hAnsi="Times New Roman" w:cs="Times New Roman"/>
                <w:color w:val="000000" w:themeColor="text1"/>
                <w:vertAlign w:val="superscript"/>
                <w:lang w:val="en-US" w:eastAsia="zh-CN"/>
                <w14:textFill>
                  <w14:solidFill>
                    <w14:schemeClr w14:val="tx1"/>
                  </w14:solidFill>
                </w14:textFill>
              </w:rPr>
              <w:t>3</w:t>
            </w:r>
            <w:r>
              <w:rPr>
                <w:rFonts w:hint="default" w:ascii="Times New Roman" w:hAnsi="Times New Roman" w:cs="Times New Roman"/>
                <w:color w:val="000000" w:themeColor="text1"/>
                <w:lang w:val="en-US" w:eastAsia="zh-CN"/>
                <w14:textFill>
                  <w14:solidFill>
                    <w14:schemeClr w14:val="tx1"/>
                  </w14:solidFill>
                </w14:textFill>
              </w:rPr>
              <w:t>高位水池1座。</w:t>
            </w:r>
          </w:p>
          <w:p w14:paraId="4728C73B">
            <w:pPr>
              <w:keepNext w:val="0"/>
              <w:keepLines w:val="0"/>
              <w:pageBreakBefore w:val="0"/>
              <w:widowControl w:val="0"/>
              <w:numPr>
                <w:ilvl w:val="0"/>
                <w:numId w:val="0"/>
              </w:numPr>
              <w:kinsoku/>
              <w:wordWrap/>
              <w:overflowPunct/>
              <w:topLinePunct w:val="0"/>
              <w:autoSpaceDE/>
              <w:autoSpaceDN/>
              <w:bidi w:val="0"/>
              <w:adjustRightInd w:val="0"/>
              <w:snapToGrid w:val="0"/>
              <w:ind w:leftChars="0" w:firstLine="482" w:firstLineChars="200"/>
              <w:jc w:val="both"/>
              <w:textAlignment w:val="auto"/>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（2）尼去本水库饮用水保护区概况</w:t>
            </w:r>
          </w:p>
          <w:p w14:paraId="6F66E9E7">
            <w:pPr>
              <w:keepNext w:val="0"/>
              <w:keepLines w:val="0"/>
              <w:pageBreakBefore w:val="0"/>
              <w:widowControl w:val="0"/>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IE"/>
                <w14:textFill>
                  <w14:solidFill>
                    <w14:schemeClr w14:val="tx1"/>
                  </w14:solidFill>
                </w14:textFill>
              </w:rPr>
              <w:t>尼去本水库位于峨山彝族自治县塔甸镇大西村委会尼去本村民小组东侧的亚尼河一级支流他甲河上，属红河流域元江二级支流，海拔高程1860m。该水库于2013年11月动工兴建，2015年7月主体工程完工，2017年3月工程竣工验收。水库坝址控制径流面积26.75km</w:t>
            </w:r>
            <w:r>
              <w:rPr>
                <w:rFonts w:hint="default" w:ascii="Times New Roman" w:hAnsi="Times New Roman" w:cs="Times New Roman"/>
                <w:color w:val="000000" w:themeColor="text1"/>
                <w:vertAlign w:val="superscript"/>
                <w:lang w:val="en-IE"/>
                <w14:textFill>
                  <w14:solidFill>
                    <w14:schemeClr w14:val="tx1"/>
                  </w14:solidFill>
                </w14:textFill>
              </w:rPr>
              <w:t>2</w:t>
            </w:r>
            <w:r>
              <w:rPr>
                <w:rFonts w:hint="default" w:ascii="Times New Roman" w:hAnsi="Times New Roman" w:cs="Times New Roman"/>
                <w:color w:val="000000" w:themeColor="text1"/>
                <w:lang w:val="en-IE"/>
                <w14:textFill>
                  <w14:solidFill>
                    <w14:schemeClr w14:val="tx1"/>
                  </w14:solidFill>
                </w14:textFill>
              </w:rPr>
              <w:t>，多年平均径流量704.6万m</w:t>
            </w:r>
            <w:r>
              <w:rPr>
                <w:rFonts w:hint="default" w:ascii="Times New Roman" w:hAnsi="Times New Roman" w:cs="Times New Roman"/>
                <w:color w:val="000000" w:themeColor="text1"/>
                <w:vertAlign w:val="superscript"/>
                <w:lang w:val="en-IE"/>
                <w14:textFill>
                  <w14:solidFill>
                    <w14:schemeClr w14:val="tx1"/>
                  </w14:solidFill>
                </w14:textFill>
              </w:rPr>
              <w:t>3</w:t>
            </w:r>
            <w:r>
              <w:rPr>
                <w:rFonts w:hint="default" w:ascii="Times New Roman" w:hAnsi="Times New Roman" w:cs="Times New Roman"/>
                <w:color w:val="000000" w:themeColor="text1"/>
                <w:lang w:val="en-IE"/>
                <w14:textFill>
                  <w14:solidFill>
                    <w14:schemeClr w14:val="tx1"/>
                  </w14:solidFill>
                </w14:textFill>
              </w:rPr>
              <w:t>，年可供水量473.5万m</w:t>
            </w:r>
            <w:r>
              <w:rPr>
                <w:rFonts w:hint="default" w:ascii="Times New Roman" w:hAnsi="Times New Roman" w:cs="Times New Roman"/>
                <w:color w:val="000000" w:themeColor="text1"/>
                <w:vertAlign w:val="superscript"/>
                <w:lang w:val="en-IE"/>
                <w14:textFill>
                  <w14:solidFill>
                    <w14:schemeClr w14:val="tx1"/>
                  </w14:solidFill>
                </w14:textFill>
              </w:rPr>
              <w:t>3</w:t>
            </w:r>
            <w:r>
              <w:rPr>
                <w:rFonts w:hint="default" w:ascii="Times New Roman" w:hAnsi="Times New Roman" w:cs="Times New Roman"/>
                <w:color w:val="000000" w:themeColor="text1"/>
                <w:lang w:val="en-IE"/>
                <w14:textFill>
                  <w14:solidFill>
                    <w14:schemeClr w14:val="tx1"/>
                  </w14:solidFill>
                </w14:textFill>
              </w:rPr>
              <w:t>（P=75%）。总库容402.2万m</w:t>
            </w:r>
            <w:r>
              <w:rPr>
                <w:rFonts w:hint="default" w:ascii="Times New Roman" w:hAnsi="Times New Roman" w:cs="Times New Roman"/>
                <w:color w:val="000000" w:themeColor="text1"/>
                <w:vertAlign w:val="superscript"/>
                <w:lang w:val="en-IE"/>
                <w14:textFill>
                  <w14:solidFill>
                    <w14:schemeClr w14:val="tx1"/>
                  </w14:solidFill>
                </w14:textFill>
              </w:rPr>
              <w:t>3</w:t>
            </w:r>
            <w:r>
              <w:rPr>
                <w:rFonts w:hint="default" w:ascii="Times New Roman" w:hAnsi="Times New Roman" w:cs="Times New Roman"/>
                <w:color w:val="000000" w:themeColor="text1"/>
                <w:lang w:val="en-IE"/>
                <w14:textFill>
                  <w14:solidFill>
                    <w14:schemeClr w14:val="tx1"/>
                  </w14:solidFill>
                </w14:textFill>
              </w:rPr>
              <w:t>，兴利库容256.73万m</w:t>
            </w:r>
            <w:r>
              <w:rPr>
                <w:rFonts w:hint="default" w:ascii="Times New Roman" w:hAnsi="Times New Roman" w:cs="Times New Roman"/>
                <w:color w:val="000000" w:themeColor="text1"/>
                <w:vertAlign w:val="superscript"/>
                <w:lang w:val="en-IE"/>
                <w14:textFill>
                  <w14:solidFill>
                    <w14:schemeClr w14:val="tx1"/>
                  </w14:solidFill>
                </w14:textFill>
              </w:rPr>
              <w:t>3</w:t>
            </w:r>
            <w:r>
              <w:rPr>
                <w:rFonts w:hint="default" w:ascii="Times New Roman" w:hAnsi="Times New Roman" w:cs="Times New Roman"/>
                <w:color w:val="000000" w:themeColor="text1"/>
                <w:lang w:val="en-IE"/>
                <w14:textFill>
                  <w14:solidFill>
                    <w14:schemeClr w14:val="tx1"/>
                  </w14:solidFill>
                </w14:textFill>
              </w:rPr>
              <w:t>，死库容53万m</w:t>
            </w:r>
            <w:r>
              <w:rPr>
                <w:rFonts w:hint="default" w:ascii="Times New Roman" w:hAnsi="Times New Roman" w:cs="Times New Roman"/>
                <w:color w:val="000000" w:themeColor="text1"/>
                <w:vertAlign w:val="superscript"/>
                <w:lang w:val="en-IE"/>
                <w14:textFill>
                  <w14:solidFill>
                    <w14:schemeClr w14:val="tx1"/>
                  </w14:solidFill>
                </w14:textFill>
              </w:rPr>
              <w:t>3</w:t>
            </w:r>
            <w:r>
              <w:rPr>
                <w:rFonts w:hint="default" w:ascii="Times New Roman" w:hAnsi="Times New Roman" w:cs="Times New Roman"/>
                <w:color w:val="000000" w:themeColor="text1"/>
                <w:lang w:val="en-IE"/>
                <w14:textFill>
                  <w14:solidFill>
                    <w14:schemeClr w14:val="tx1"/>
                  </w14:solidFill>
                </w14:textFill>
              </w:rPr>
              <w:t>，防洪库容92.47万m</w:t>
            </w:r>
            <w:r>
              <w:rPr>
                <w:rFonts w:hint="default" w:ascii="Times New Roman" w:hAnsi="Times New Roman" w:cs="Times New Roman"/>
                <w:color w:val="000000" w:themeColor="text1"/>
                <w:vertAlign w:val="superscript"/>
                <w:lang w:val="en-IE"/>
                <w14:textFill>
                  <w14:solidFill>
                    <w14:schemeClr w14:val="tx1"/>
                  </w14:solidFill>
                </w14:textFill>
              </w:rPr>
              <w:t>3</w:t>
            </w:r>
            <w:r>
              <w:rPr>
                <w:rFonts w:hint="default" w:ascii="Times New Roman" w:hAnsi="Times New Roman" w:cs="Times New Roman"/>
                <w:color w:val="000000" w:themeColor="text1"/>
                <w:lang w:val="en-IE"/>
                <w14:textFill>
                  <w14:solidFill>
                    <w14:schemeClr w14:val="tx1"/>
                  </w14:solidFill>
                </w14:textFill>
              </w:rPr>
              <w:t>。水库为小（</w:t>
            </w:r>
            <w:r>
              <w:rPr>
                <w:rFonts w:hint="default" w:ascii="Times New Roman" w:hAnsi="Times New Roman" w:cs="Times New Roman"/>
                <w:color w:val="000000" w:themeColor="text1"/>
                <w14:textFill>
                  <w14:solidFill>
                    <w14:schemeClr w14:val="tx1"/>
                  </w14:solidFill>
                </w14:textFill>
              </w:rPr>
              <w:t>一</w:t>
            </w:r>
            <w:r>
              <w:rPr>
                <w:rFonts w:hint="default" w:ascii="Times New Roman" w:hAnsi="Times New Roman" w:cs="Times New Roman"/>
                <w:color w:val="000000" w:themeColor="text1"/>
                <w:lang w:val="en-IE"/>
                <w14:textFill>
                  <w14:solidFill>
                    <w14:schemeClr w14:val="tx1"/>
                  </w14:solidFill>
                </w14:textFill>
              </w:rPr>
              <w:t>）型规模，主要功能是农田灌溉、人畜饮水。</w:t>
            </w:r>
            <w:r>
              <w:rPr>
                <w:rFonts w:hint="default" w:ascii="Times New Roman" w:hAnsi="Times New Roman" w:cs="Times New Roman"/>
                <w:color w:val="000000" w:themeColor="text1"/>
                <w:lang w:val="en-US" w:eastAsia="zh-CN"/>
                <w14:textFill>
                  <w14:solidFill>
                    <w14:schemeClr w14:val="tx1"/>
                  </w14:solidFill>
                </w14:textFill>
              </w:rPr>
              <w:t>水厂工程：</w:t>
            </w:r>
            <w:r>
              <w:rPr>
                <w:rFonts w:hint="default" w:ascii="Times New Roman" w:hAnsi="Times New Roman" w:cs="Times New Roman"/>
                <w:color w:val="000000" w:themeColor="text1"/>
                <w:lang w:val="en-IE"/>
                <w14:textFill>
                  <w14:solidFill>
                    <w14:schemeClr w14:val="tx1"/>
                  </w14:solidFill>
                </w14:textFill>
              </w:rPr>
              <w:t>尼去本水库主要工程有：大坝、输水隧洞和配套沟渠。大坝坝型为粘土心墙坝，坝高51.85m，坝顶长201.67m，坝顶宽5.0m；坝顶高程1860.85m，防浪墙顶高程1861.85m，河床心墙截槽清基面高程1809.0m，设计最大坝高51.85m，防浪墙高1.0m，坝顶长201.67m，坝顶宽5m；校核洪水位1860.73m，设计洪水位1859.43m，正常蓄水位1856.02m，死水位1834.3m。输水隧洞位于大坝左岸，长290.546m，进口底板高程为1830.000m。断面为最小施工断面（洞径φ1.8m），隧洞最大过流量为21.7m</w:t>
            </w:r>
            <w:r>
              <w:rPr>
                <w:rFonts w:hint="default" w:ascii="Times New Roman" w:hAnsi="Times New Roman" w:cs="Times New Roman"/>
                <w:color w:val="000000" w:themeColor="text1"/>
                <w:vertAlign w:val="superscript"/>
                <w:lang w:val="en-IE"/>
                <w14:textFill>
                  <w14:solidFill>
                    <w14:schemeClr w14:val="tx1"/>
                  </w14:solidFill>
                </w14:textFill>
              </w:rPr>
              <w:t>3</w:t>
            </w:r>
            <w:r>
              <w:rPr>
                <w:rFonts w:hint="default" w:ascii="Times New Roman" w:hAnsi="Times New Roman" w:cs="Times New Roman"/>
                <w:color w:val="000000" w:themeColor="text1"/>
                <w:lang w:val="en-IE"/>
                <w14:textFill>
                  <w14:solidFill>
                    <w14:schemeClr w14:val="tx1"/>
                  </w14:solidFill>
                </w14:textFill>
              </w:rPr>
              <w:t>/s。隧洞主要由进口引水段、有压洞段、闸室段、无压洞段、出口消力池、护坡段组成。溢洪道布置于大坝右岸，为河岸开敞式，总长256.921米，宽5米，设计最大泄洪量77.0m</w:t>
            </w:r>
            <w:r>
              <w:rPr>
                <w:rFonts w:hint="default" w:ascii="Times New Roman" w:hAnsi="Times New Roman" w:cs="Times New Roman"/>
                <w:color w:val="000000" w:themeColor="text1"/>
                <w:vertAlign w:val="superscript"/>
                <w:lang w:val="en-IE"/>
                <w14:textFill>
                  <w14:solidFill>
                    <w14:schemeClr w14:val="tx1"/>
                  </w14:solidFill>
                </w14:textFill>
              </w:rPr>
              <w:t>3</w:t>
            </w:r>
            <w:r>
              <w:rPr>
                <w:rFonts w:hint="default" w:ascii="Times New Roman" w:hAnsi="Times New Roman" w:cs="Times New Roman"/>
                <w:color w:val="000000" w:themeColor="text1"/>
                <w:lang w:val="en-IE"/>
                <w14:textFill>
                  <w14:solidFill>
                    <w14:schemeClr w14:val="tx1"/>
                  </w14:solidFill>
                </w14:textFill>
              </w:rPr>
              <w:t>/s，堰型为无坎宽顶堰，不设闸门，堰顶高程1856.02m，由引水段、控制段、第一泄槽段、渥奇段、第二泄槽段、消力池段及出水渠段组成。最近一次安全鉴定时间为2022年11月，鉴定为二类坝</w:t>
            </w:r>
            <w:r>
              <w:rPr>
                <w:rFonts w:hint="default" w:ascii="Times New Roman" w:hAnsi="Times New Roman" w:cs="Times New Roman"/>
                <w:color w:val="000000" w:themeColor="text1"/>
                <w:lang w:val="en-IE" w:eastAsia="zh-CN"/>
                <w14:textFill>
                  <w14:solidFill>
                    <w14:schemeClr w14:val="tx1"/>
                  </w14:solidFill>
                </w14:textFill>
              </w:rPr>
              <w:t>。</w:t>
            </w:r>
          </w:p>
          <w:p w14:paraId="6C2FCEA9">
            <w:pPr>
              <w:keepNext w:val="0"/>
              <w:keepLines w:val="0"/>
              <w:pageBreakBefore w:val="0"/>
              <w:widowControl w:val="0"/>
              <w:kinsoku/>
              <w:wordWrap/>
              <w:overflowPunct/>
              <w:topLinePunct w:val="0"/>
              <w:autoSpaceDE/>
              <w:autoSpaceDN/>
              <w:bidi w:val="0"/>
              <w:adjustRightInd/>
              <w:snapToGrid/>
              <w:ind w:left="0" w:leftChars="0" w:firstLine="0" w:firstLineChars="0"/>
              <w:jc w:val="both"/>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mc:AlternateContent>
                <mc:Choice Requires="wps">
                  <w:drawing>
                    <wp:inline distT="0" distB="0" distL="114300" distR="114300">
                      <wp:extent cx="5115560" cy="3928110"/>
                      <wp:effectExtent l="0" t="0" r="0" b="0"/>
                      <wp:docPr id="10" name="文本框 10"/>
                      <wp:cNvGraphicFramePr/>
                      <a:graphic xmlns:a="http://schemas.openxmlformats.org/drawingml/2006/main">
                        <a:graphicData uri="http://schemas.microsoft.com/office/word/2010/wordprocessingShape">
                          <wps:wsp>
                            <wps:cNvSpPr txBox="1"/>
                            <wps:spPr>
                              <a:xfrm>
                                <a:off x="1482090" y="6301740"/>
                                <a:ext cx="5115560" cy="39281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190F3A">
                                  <w:pPr>
                                    <w:bidi w:val="0"/>
                                    <w:ind w:left="0" w:leftChars="0" w:firstLine="0" w:firstLineChars="0"/>
                                    <w:rPr>
                                      <w:rFonts w:hint="eastAsia"/>
                                      <w:lang w:eastAsia="zh-CN"/>
                                    </w:rPr>
                                  </w:pPr>
                                  <w:r>
                                    <w:drawing>
                                      <wp:inline distT="0" distB="0" distL="114300" distR="114300">
                                        <wp:extent cx="4849495" cy="3743960"/>
                                        <wp:effectExtent l="0" t="0" r="8255" b="889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7"/>
                                                <a:stretch>
                                                  <a:fillRect/>
                                                </a:stretch>
                                              </pic:blipFill>
                                              <pic:spPr>
                                                <a:xfrm>
                                                  <a:off x="0" y="0"/>
                                                  <a:ext cx="4849495" cy="37439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inline>
                  </w:drawing>
                </mc:Choice>
                <mc:Fallback>
                  <w:pict>
                    <v:shape id="_x0000_s1026" o:spid="_x0000_s1026" o:spt="202" type="#_x0000_t202" style="height:309.3pt;width:402.8pt;" filled="f" stroked="f" coordsize="21600,21600" o:gfxdata="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B2g9A81gAAAAUBAAAPAAAAAAAAAAEAIAAA&#10;ACIAAABkcnMvZG93bnJldi54bWxQSwECFAAUAAAACACHTuJAftzZMUcCAAB1BAAADgAAAAAAAAAB&#10;ACAAAAAlAQAAZHJzL2Uyb0RvYy54bWxQSwUGAAAAAAYABgBZAQAA3gUAAAAA&#10;">
                      <v:fill on="f" focussize="0,0"/>
                      <v:stroke on="f" weight="0.5pt"/>
                      <v:imagedata o:title=""/>
                      <o:lock v:ext="edit" aspectratio="f"/>
                      <v:textbox>
                        <w:txbxContent>
                          <w:p w14:paraId="72190F3A">
                            <w:pPr>
                              <w:bidi w:val="0"/>
                              <w:ind w:left="0" w:leftChars="0" w:firstLine="0" w:firstLineChars="0"/>
                              <w:rPr>
                                <w:rFonts w:hint="eastAsia"/>
                                <w:lang w:eastAsia="zh-CN"/>
                              </w:rPr>
                            </w:pPr>
                            <w:r>
                              <w:drawing>
                                <wp:inline distT="0" distB="0" distL="114300" distR="114300">
                                  <wp:extent cx="4849495" cy="3743960"/>
                                  <wp:effectExtent l="0" t="0" r="8255" b="889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7"/>
                                          <a:stretch>
                                            <a:fillRect/>
                                          </a:stretch>
                                        </pic:blipFill>
                                        <pic:spPr>
                                          <a:xfrm>
                                            <a:off x="0" y="0"/>
                                            <a:ext cx="4849495" cy="3743960"/>
                                          </a:xfrm>
                                          <a:prstGeom prst="rect">
                                            <a:avLst/>
                                          </a:prstGeom>
                                          <a:noFill/>
                                          <a:ln>
                                            <a:noFill/>
                                          </a:ln>
                                        </pic:spPr>
                                      </pic:pic>
                                    </a:graphicData>
                                  </a:graphic>
                                </wp:inline>
                              </w:drawing>
                            </w:r>
                          </w:p>
                        </w:txbxContent>
                      </v:textbox>
                      <w10:wrap type="none"/>
                      <w10:anchorlock/>
                    </v:shape>
                  </w:pict>
                </mc:Fallback>
              </mc:AlternateContent>
            </w:r>
          </w:p>
          <w:p w14:paraId="6703F871">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b/>
                <w:bCs/>
                <w:color w:val="000000" w:themeColor="text1"/>
                <w:sz w:val="21"/>
                <w:szCs w:val="21"/>
                <w:highlight w:val="none"/>
                <w14:textFill>
                  <w14:solidFill>
                    <w14:schemeClr w14:val="tx1"/>
                  </w14:solidFill>
                </w14:textFill>
              </w:rPr>
            </w:pPr>
            <w:r>
              <w:rPr>
                <w:rFonts w:hint="default" w:ascii="Times New Roman" w:hAnsi="Times New Roman" w:cs="Times New Roman"/>
                <w:b/>
                <w:bCs/>
                <w:color w:val="000000" w:themeColor="text1"/>
                <w:sz w:val="21"/>
                <w:szCs w:val="21"/>
                <w:highlight w:val="none"/>
                <w14:textFill>
                  <w14:solidFill>
                    <w14:schemeClr w14:val="tx1"/>
                  </w14:solidFill>
                </w14:textFill>
              </w:rPr>
              <w:t>图3-</w:t>
            </w:r>
            <w:r>
              <w:rPr>
                <w:rFonts w:hint="default" w:ascii="Times New Roman" w:hAnsi="Times New Roman" w:cs="Times New Roman"/>
                <w:b/>
                <w:bCs/>
                <w:color w:val="000000" w:themeColor="text1"/>
                <w:sz w:val="21"/>
                <w:szCs w:val="21"/>
                <w:highlight w:val="none"/>
                <w:lang w:val="en-US" w:eastAsia="zh-CN"/>
                <w14:textFill>
                  <w14:solidFill>
                    <w14:schemeClr w14:val="tx1"/>
                  </w14:solidFill>
                </w14:textFill>
              </w:rPr>
              <w:t xml:space="preserve">1  </w:t>
            </w:r>
            <w:r>
              <w:rPr>
                <w:rFonts w:hint="default" w:ascii="Times New Roman" w:hAnsi="Times New Roman" w:cs="Times New Roman"/>
                <w:b/>
                <w:bCs/>
                <w:color w:val="000000" w:themeColor="text1"/>
                <w:sz w:val="21"/>
                <w:szCs w:val="21"/>
                <w:highlight w:val="none"/>
                <w14:textFill>
                  <w14:solidFill>
                    <w14:schemeClr w14:val="tx1"/>
                  </w14:solidFill>
                </w14:textFill>
              </w:rPr>
              <w:t>项目</w:t>
            </w:r>
            <w:r>
              <w:rPr>
                <w:rFonts w:hint="default" w:ascii="Times New Roman" w:hAnsi="Times New Roman" w:cs="Times New Roman"/>
                <w:b/>
                <w:bCs/>
                <w:color w:val="000000" w:themeColor="text1"/>
                <w:sz w:val="21"/>
                <w:szCs w:val="21"/>
                <w:highlight w:val="none"/>
                <w:lang w:val="en-US" w:eastAsia="zh-CN"/>
                <w14:textFill>
                  <w14:solidFill>
                    <w14:schemeClr w14:val="tx1"/>
                  </w14:solidFill>
                </w14:textFill>
              </w:rPr>
              <w:t>一片区</w:t>
            </w:r>
            <w:r>
              <w:rPr>
                <w:rFonts w:hint="default" w:ascii="Times New Roman" w:hAnsi="Times New Roman" w:cs="Times New Roman"/>
                <w:b/>
                <w:bCs/>
                <w:color w:val="000000" w:themeColor="text1"/>
                <w:sz w:val="21"/>
                <w:szCs w:val="21"/>
                <w:highlight w:val="none"/>
                <w14:textFill>
                  <w14:solidFill>
                    <w14:schemeClr w14:val="tx1"/>
                  </w14:solidFill>
                </w14:textFill>
              </w:rPr>
              <w:t>与</w:t>
            </w:r>
            <w:r>
              <w:rPr>
                <w:rFonts w:hint="default" w:ascii="Times New Roman" w:hAnsi="Times New Roman" w:cs="Times New Roman"/>
                <w:b/>
                <w:bCs/>
                <w:color w:val="000000" w:themeColor="text1"/>
                <w:sz w:val="21"/>
                <w:szCs w:val="21"/>
                <w:highlight w:val="none"/>
                <w:lang w:val="en-US" w:eastAsia="zh-CN"/>
                <w14:textFill>
                  <w14:solidFill>
                    <w14:schemeClr w14:val="tx1"/>
                  </w14:solidFill>
                </w14:textFill>
              </w:rPr>
              <w:t>周边环境</w:t>
            </w:r>
            <w:r>
              <w:rPr>
                <w:rFonts w:hint="default" w:ascii="Times New Roman" w:hAnsi="Times New Roman" w:cs="Times New Roman"/>
                <w:b/>
                <w:bCs/>
                <w:color w:val="000000" w:themeColor="text1"/>
                <w:sz w:val="21"/>
                <w:szCs w:val="21"/>
                <w:highlight w:val="none"/>
                <w14:textFill>
                  <w14:solidFill>
                    <w14:schemeClr w14:val="tx1"/>
                  </w14:solidFill>
                </w14:textFill>
              </w:rPr>
              <w:t>位置关系图</w:t>
            </w:r>
          </w:p>
          <w:p w14:paraId="34B688E3">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cs="Times New Roman"/>
                <w:color w:val="000000" w:themeColor="text1"/>
                <w14:textFill>
                  <w14:solidFill>
                    <w14:schemeClr w14:val="tx1"/>
                  </w14:solidFill>
                </w14:textFill>
              </w:rPr>
            </w:pPr>
          </w:p>
          <w:p w14:paraId="4493E001">
            <w:pPr>
              <w:bidi w:val="0"/>
              <w:ind w:left="0" w:leftChars="0" w:firstLine="0" w:firstLineChars="0"/>
              <w:jc w:val="both"/>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drawing>
                <wp:inline distT="0" distB="0" distL="114300" distR="114300">
                  <wp:extent cx="4937125" cy="3491865"/>
                  <wp:effectExtent l="0" t="0" r="15875" b="1333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8"/>
                          <a:stretch>
                            <a:fillRect/>
                          </a:stretch>
                        </pic:blipFill>
                        <pic:spPr>
                          <a:xfrm>
                            <a:off x="0" y="0"/>
                            <a:ext cx="4937125" cy="3491865"/>
                          </a:xfrm>
                          <a:prstGeom prst="rect">
                            <a:avLst/>
                          </a:prstGeom>
                          <a:noFill/>
                          <a:ln>
                            <a:noFill/>
                          </a:ln>
                        </pic:spPr>
                      </pic:pic>
                    </a:graphicData>
                  </a:graphic>
                </wp:inline>
              </w:drawing>
            </w:r>
          </w:p>
          <w:p w14:paraId="671D8744">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14:textFill>
                  <w14:solidFill>
                    <w14:schemeClr w14:val="tx1"/>
                  </w14:solidFill>
                </w14:textFill>
              </w:rPr>
              <w:t>图3-</w:t>
            </w: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 xml:space="preserve">2  </w:t>
            </w:r>
            <w:r>
              <w:rPr>
                <w:rFonts w:hint="default" w:ascii="Times New Roman" w:hAnsi="Times New Roman" w:eastAsia="宋体" w:cs="Times New Roman"/>
                <w:b/>
                <w:bCs/>
                <w:color w:val="000000" w:themeColor="text1"/>
                <w:sz w:val="21"/>
                <w:szCs w:val="21"/>
                <w:highlight w:val="none"/>
                <w14:textFill>
                  <w14:solidFill>
                    <w14:schemeClr w14:val="tx1"/>
                  </w14:solidFill>
                </w14:textFill>
              </w:rPr>
              <w:t>项目</w:t>
            </w: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二片区</w:t>
            </w:r>
            <w:r>
              <w:rPr>
                <w:rFonts w:hint="default" w:ascii="Times New Roman" w:hAnsi="Times New Roman" w:eastAsia="宋体" w:cs="Times New Roman"/>
                <w:b/>
                <w:bCs/>
                <w:color w:val="000000" w:themeColor="text1"/>
                <w:sz w:val="21"/>
                <w:szCs w:val="21"/>
                <w:highlight w:val="none"/>
                <w14:textFill>
                  <w14:solidFill>
                    <w14:schemeClr w14:val="tx1"/>
                  </w14:solidFill>
                </w14:textFill>
              </w:rPr>
              <w:t>与</w:t>
            </w: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周边环境</w:t>
            </w:r>
            <w:r>
              <w:rPr>
                <w:rFonts w:hint="default" w:ascii="Times New Roman" w:hAnsi="Times New Roman" w:eastAsia="宋体" w:cs="Times New Roman"/>
                <w:b/>
                <w:bCs/>
                <w:color w:val="000000" w:themeColor="text1"/>
                <w:sz w:val="21"/>
                <w:szCs w:val="21"/>
                <w:highlight w:val="none"/>
                <w14:textFill>
                  <w14:solidFill>
                    <w14:schemeClr w14:val="tx1"/>
                  </w14:solidFill>
                </w14:textFill>
              </w:rPr>
              <w:t>位置关系图</w:t>
            </w:r>
          </w:p>
          <w:p w14:paraId="61727F08">
            <w:pPr>
              <w:bidi w:val="0"/>
              <w:ind w:left="0" w:leftChars="0" w:firstLine="0" w:firstLineChars="0"/>
              <w:jc w:val="both"/>
              <w:rPr>
                <w:rFonts w:hint="default" w:ascii="Times New Roman" w:hAnsi="Times New Roman" w:cs="Times New Roman"/>
                <w:b/>
                <w:bCs/>
                <w:color w:val="000000" w:themeColor="text1"/>
                <w:lang w:val="en-US" w:eastAsia="zh-CN"/>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三、环境质量现状</w:t>
            </w:r>
          </w:p>
          <w:p w14:paraId="7974FEB9">
            <w:pPr>
              <w:bidi w:val="0"/>
              <w:jc w:val="both"/>
              <w:rPr>
                <w:rFonts w:hint="default"/>
                <w:b/>
                <w:bCs/>
                <w:color w:val="000000" w:themeColor="text1"/>
                <w:lang w:val="en-US" w:eastAsia="zh-CN"/>
                <w14:textFill>
                  <w14:solidFill>
                    <w14:schemeClr w14:val="tx1"/>
                  </w14:solidFill>
                </w14:textFill>
              </w:rPr>
            </w:pPr>
            <w:r>
              <w:rPr>
                <w:rFonts w:hint="default"/>
                <w:b/>
                <w:bCs/>
                <w:color w:val="000000" w:themeColor="text1"/>
                <w:lang w:val="en-US" w:eastAsia="zh-CN"/>
                <w14:textFill>
                  <w14:solidFill>
                    <w14:schemeClr w14:val="tx1"/>
                  </w14:solidFill>
                </w14:textFill>
              </w:rPr>
              <w:t>1、环境空气</w:t>
            </w:r>
          </w:p>
          <w:p w14:paraId="60955828">
            <w:pPr>
              <w:bidi w:val="0"/>
              <w:jc w:val="both"/>
              <w:rPr>
                <w:rFonts w:hint="default"/>
                <w:b/>
                <w:bCs/>
                <w:color w:val="000000" w:themeColor="text1"/>
                <w:lang w:val="en-US" w:eastAsia="zh-CN"/>
                <w14:textFill>
                  <w14:solidFill>
                    <w14:schemeClr w14:val="tx1"/>
                  </w14:solidFill>
                </w14:textFill>
              </w:rPr>
            </w:pPr>
            <w:r>
              <w:rPr>
                <w:rFonts w:hint="default"/>
                <w:b/>
                <w:bCs/>
                <w:color w:val="000000" w:themeColor="text1"/>
                <w:lang w:val="en-US" w:eastAsia="zh-CN"/>
                <w14:textFill>
                  <w14:solidFill>
                    <w14:schemeClr w14:val="tx1"/>
                  </w14:solidFill>
                </w14:textFill>
              </w:rPr>
              <w:t>（1）环境空气</w:t>
            </w:r>
            <w:r>
              <w:rPr>
                <w:rFonts w:hint="default"/>
                <w:b/>
                <w:bCs/>
                <w:color w:val="000000" w:themeColor="text1"/>
                <w14:textFill>
                  <w14:solidFill>
                    <w14:schemeClr w14:val="tx1"/>
                  </w14:solidFill>
                </w14:textFill>
              </w:rPr>
              <w:t>质量</w:t>
            </w:r>
            <w:r>
              <w:rPr>
                <w:rFonts w:hint="default"/>
                <w:b/>
                <w:bCs/>
                <w:color w:val="000000" w:themeColor="text1"/>
                <w:lang w:val="en-US" w:eastAsia="zh-CN"/>
                <w14:textFill>
                  <w14:solidFill>
                    <w14:schemeClr w14:val="tx1"/>
                  </w14:solidFill>
                </w14:textFill>
              </w:rPr>
              <w:t>标准</w:t>
            </w:r>
          </w:p>
          <w:p w14:paraId="71E41E6D">
            <w:pPr>
              <w:bidi w:val="0"/>
              <w:jc w:val="both"/>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t>本项目位于</w:t>
            </w:r>
            <w:r>
              <w:rPr>
                <w:rFonts w:hint="default"/>
                <w:color w:val="000000" w:themeColor="text1"/>
                <w:lang w:eastAsia="zh-CN"/>
                <w14:textFill>
                  <w14:solidFill>
                    <w14:schemeClr w14:val="tx1"/>
                  </w14:solidFill>
                </w14:textFill>
              </w:rPr>
              <w:t>峨山县塔甸镇大西村委会大西山</w:t>
            </w:r>
            <w:r>
              <w:rPr>
                <w:rFonts w:hint="default"/>
                <w:color w:val="000000" w:themeColor="text1"/>
                <w:lang w:val="en-US" w:eastAsia="zh-CN"/>
                <w14:textFill>
                  <w14:solidFill>
                    <w14:schemeClr w14:val="tx1"/>
                  </w14:solidFill>
                </w14:textFill>
              </w:rPr>
              <w:t>，</w:t>
            </w:r>
            <w:r>
              <w:rPr>
                <w:rFonts w:hint="default"/>
                <w:color w:val="000000" w:themeColor="text1"/>
                <w14:textFill>
                  <w14:solidFill>
                    <w14:schemeClr w14:val="tx1"/>
                  </w14:solidFill>
                </w14:textFill>
              </w:rPr>
              <w:t>项目区所在区域为环境空气功能二类区</w:t>
            </w:r>
            <w:r>
              <w:rPr>
                <w:rFonts w:hint="default" w:ascii="Times New Roman" w:hAnsi="Times New Roman" w:cs="Times New Roman"/>
                <w:color w:val="000000" w:themeColor="text1"/>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因此项目所在区域环境空气</w:t>
            </w:r>
            <w:r>
              <w:rPr>
                <w:rFonts w:hint="default" w:ascii="Times New Roman" w:hAnsi="Times New Roman" w:cs="Times New Roman"/>
                <w:color w:val="000000" w:themeColor="text1"/>
                <w:sz w:val="24"/>
                <w:lang w:val="en-US" w:eastAsia="zh-CN"/>
                <w14:textFill>
                  <w14:solidFill>
                    <w14:schemeClr w14:val="tx1"/>
                  </w14:solidFill>
                </w14:textFill>
              </w:rPr>
              <w:t>基本项目（SO</w:t>
            </w:r>
            <w:r>
              <w:rPr>
                <w:rFonts w:hint="default" w:ascii="Times New Roman" w:hAnsi="Times New Roman" w:cs="Times New Roman"/>
                <w:color w:val="000000" w:themeColor="text1"/>
                <w:sz w:val="24"/>
                <w:vertAlign w:val="subscript"/>
                <w:lang w:val="en-US" w:eastAsia="zh-CN"/>
                <w14:textFill>
                  <w14:solidFill>
                    <w14:schemeClr w14:val="tx1"/>
                  </w14:solidFill>
                </w14:textFill>
              </w:rPr>
              <w:t>2</w:t>
            </w:r>
            <w:r>
              <w:rPr>
                <w:rFonts w:hint="default" w:ascii="Times New Roman" w:hAnsi="Times New Roman" w:cs="Times New Roman"/>
                <w:color w:val="000000" w:themeColor="text1"/>
                <w:sz w:val="24"/>
                <w:lang w:val="en-US" w:eastAsia="zh-CN"/>
                <w14:textFill>
                  <w14:solidFill>
                    <w14:schemeClr w14:val="tx1"/>
                  </w14:solidFill>
                </w14:textFill>
              </w:rPr>
              <w:t>、NO</w:t>
            </w:r>
            <w:r>
              <w:rPr>
                <w:rFonts w:hint="default" w:ascii="Times New Roman" w:hAnsi="Times New Roman" w:cs="Times New Roman"/>
                <w:color w:val="000000" w:themeColor="text1"/>
                <w:sz w:val="24"/>
                <w:vertAlign w:val="subscript"/>
                <w:lang w:val="en-US" w:eastAsia="zh-CN"/>
                <w14:textFill>
                  <w14:solidFill>
                    <w14:schemeClr w14:val="tx1"/>
                  </w14:solidFill>
                </w14:textFill>
              </w:rPr>
              <w:t>2</w:t>
            </w:r>
            <w:r>
              <w:rPr>
                <w:rFonts w:hint="default" w:ascii="Times New Roman" w:hAnsi="Times New Roman" w:cs="Times New Roman"/>
                <w:color w:val="000000" w:themeColor="text1"/>
                <w:sz w:val="24"/>
                <w:lang w:val="en-US" w:eastAsia="zh-CN"/>
                <w14:textFill>
                  <w14:solidFill>
                    <w14:schemeClr w14:val="tx1"/>
                  </w14:solidFill>
                </w14:textFill>
              </w:rPr>
              <w:t>、CO、O</w:t>
            </w:r>
            <w:r>
              <w:rPr>
                <w:rFonts w:hint="default" w:ascii="Times New Roman" w:hAnsi="Times New Roman" w:cs="Times New Roman"/>
                <w:color w:val="000000" w:themeColor="text1"/>
                <w:sz w:val="24"/>
                <w:vertAlign w:val="subscript"/>
                <w:lang w:val="en-US" w:eastAsia="zh-CN"/>
                <w14:textFill>
                  <w14:solidFill>
                    <w14:schemeClr w14:val="tx1"/>
                  </w14:solidFill>
                </w14:textFill>
              </w:rPr>
              <w:t>3</w:t>
            </w:r>
            <w:r>
              <w:rPr>
                <w:rFonts w:hint="default" w:ascii="Times New Roman" w:hAnsi="Times New Roman" w:cs="Times New Roman"/>
                <w:color w:val="000000" w:themeColor="text1"/>
                <w:sz w:val="24"/>
                <w:lang w:val="en-US" w:eastAsia="zh-CN"/>
                <w14:textFill>
                  <w14:solidFill>
                    <w14:schemeClr w14:val="tx1"/>
                  </w14:solidFill>
                </w14:textFill>
              </w:rPr>
              <w:t>、PM</w:t>
            </w:r>
            <w:r>
              <w:rPr>
                <w:rFonts w:hint="default" w:ascii="Times New Roman" w:hAnsi="Times New Roman" w:cs="Times New Roman"/>
                <w:color w:val="000000" w:themeColor="text1"/>
                <w:sz w:val="24"/>
                <w:vertAlign w:val="subscript"/>
                <w:lang w:val="en-US" w:eastAsia="zh-CN"/>
                <w14:textFill>
                  <w14:solidFill>
                    <w14:schemeClr w14:val="tx1"/>
                  </w14:solidFill>
                </w14:textFill>
              </w:rPr>
              <w:t>10</w:t>
            </w:r>
            <w:r>
              <w:rPr>
                <w:rFonts w:hint="default" w:ascii="Times New Roman" w:hAnsi="Times New Roman" w:cs="Times New Roman"/>
                <w:color w:val="000000" w:themeColor="text1"/>
                <w:sz w:val="24"/>
                <w:lang w:val="en-US" w:eastAsia="zh-CN"/>
                <w14:textFill>
                  <w14:solidFill>
                    <w14:schemeClr w14:val="tx1"/>
                  </w14:solidFill>
                </w14:textFill>
              </w:rPr>
              <w:t>、PM</w:t>
            </w:r>
            <w:r>
              <w:rPr>
                <w:rFonts w:hint="default" w:ascii="Times New Roman" w:hAnsi="Times New Roman" w:cs="Times New Roman"/>
                <w:color w:val="000000" w:themeColor="text1"/>
                <w:sz w:val="24"/>
                <w:vertAlign w:val="subscript"/>
                <w:lang w:val="en-US" w:eastAsia="zh-CN"/>
                <w14:textFill>
                  <w14:solidFill>
                    <w14:schemeClr w14:val="tx1"/>
                  </w14:solidFill>
                </w14:textFill>
              </w:rPr>
              <w:t>2.5</w:t>
            </w:r>
            <w:r>
              <w:rPr>
                <w:rFonts w:hint="default" w:ascii="Times New Roman" w:hAnsi="Times New Roman" w:cs="Times New Roman"/>
                <w:color w:val="000000" w:themeColor="text1"/>
                <w:sz w:val="24"/>
                <w:lang w:val="en-US" w:eastAsia="zh-CN"/>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执行《环境空气质量标准》</w:t>
            </w:r>
            <w:r>
              <w:rPr>
                <w:rFonts w:hint="default" w:ascii="Times New Roman" w:hAnsi="Times New Roman" w:cs="Times New Roman"/>
                <w:color w:val="000000" w:themeColor="text1"/>
                <w:sz w:val="24"/>
                <w:lang w:val="en-US" w:eastAsia="zh-CN"/>
                <w14:textFill>
                  <w14:solidFill>
                    <w14:schemeClr w14:val="tx1"/>
                  </w14:solidFill>
                </w14:textFill>
              </w:rPr>
              <w:t>表1</w:t>
            </w:r>
            <w:r>
              <w:rPr>
                <w:rFonts w:hint="default" w:ascii="Times New Roman" w:hAnsi="Times New Roman" w:cs="Times New Roman"/>
                <w:color w:val="000000" w:themeColor="text1"/>
                <w:sz w:val="24"/>
                <w14:textFill>
                  <w14:solidFill>
                    <w14:schemeClr w14:val="tx1"/>
                  </w14:solidFill>
                </w14:textFill>
              </w:rPr>
              <w:t>中</w:t>
            </w:r>
            <w:r>
              <w:rPr>
                <w:rFonts w:hint="default" w:ascii="Times New Roman" w:hAnsi="Times New Roman" w:cs="Times New Roman"/>
                <w:color w:val="000000" w:themeColor="text1"/>
                <w:sz w:val="24"/>
                <w:lang w:val="en-US" w:eastAsia="zh-CN"/>
                <w14:textFill>
                  <w14:solidFill>
                    <w14:schemeClr w14:val="tx1"/>
                  </w14:solidFill>
                </w14:textFill>
              </w:rPr>
              <w:t>过渡阶段（2026年3月1日</w:t>
            </w:r>
            <w:r>
              <w:rPr>
                <w:rFonts w:hint="eastAsia" w:ascii="Times New Roman" w:hAnsi="Times New Roman" w:cs="Times New Roman"/>
                <w:color w:val="000000" w:themeColor="text1"/>
                <w:sz w:val="24"/>
                <w:lang w:val="en-US" w:eastAsia="zh-CN"/>
                <w14:textFill>
                  <w14:solidFill>
                    <w14:schemeClr w14:val="tx1"/>
                  </w14:solidFill>
                </w14:textFill>
              </w:rPr>
              <w:t>—</w:t>
            </w:r>
            <w:r>
              <w:rPr>
                <w:rFonts w:hint="default" w:ascii="Times New Roman" w:hAnsi="Times New Roman" w:cs="Times New Roman"/>
                <w:color w:val="000000" w:themeColor="text1"/>
                <w:sz w:val="24"/>
                <w:lang w:val="en-US" w:eastAsia="zh-CN"/>
                <w14:textFill>
                  <w14:solidFill>
                    <w14:schemeClr w14:val="tx1"/>
                  </w14:solidFill>
                </w14:textFill>
              </w:rPr>
              <w:t>2030年12月31日）中的</w:t>
            </w:r>
            <w:r>
              <w:rPr>
                <w:rFonts w:hint="default" w:ascii="Times New Roman" w:hAnsi="Times New Roman" w:cs="Times New Roman"/>
                <w:color w:val="000000" w:themeColor="text1"/>
                <w:sz w:val="24"/>
                <w14:textFill>
                  <w14:solidFill>
                    <w14:schemeClr w14:val="tx1"/>
                  </w14:solidFill>
                </w14:textFill>
              </w:rPr>
              <w:t>二级标准</w:t>
            </w:r>
            <w:r>
              <w:rPr>
                <w:rFonts w:hint="default" w:ascii="Times New Roman" w:hAnsi="Times New Roman"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lang w:val="en-US" w:eastAsia="zh-CN"/>
                <w14:textFill>
                  <w14:solidFill>
                    <w14:schemeClr w14:val="tx1"/>
                  </w14:solidFill>
                </w14:textFill>
              </w:rPr>
              <w:t>其他项目（TSP、NOx）</w:t>
            </w:r>
            <w:r>
              <w:rPr>
                <w:rFonts w:hint="default" w:ascii="Times New Roman" w:hAnsi="Times New Roman" w:cs="Times New Roman"/>
                <w:color w:val="000000" w:themeColor="text1"/>
                <w:sz w:val="24"/>
                <w14:textFill>
                  <w14:solidFill>
                    <w14:schemeClr w14:val="tx1"/>
                  </w14:solidFill>
                </w14:textFill>
              </w:rPr>
              <w:t>执行《环境空气质量标准》（GB3035-20</w:t>
            </w:r>
            <w:r>
              <w:rPr>
                <w:rFonts w:hint="default" w:ascii="Times New Roman" w:hAnsi="Times New Roman" w:cs="Times New Roman"/>
                <w:color w:val="000000" w:themeColor="text1"/>
                <w:sz w:val="24"/>
                <w:lang w:val="en-US" w:eastAsia="zh-CN"/>
                <w14:textFill>
                  <w14:solidFill>
                    <w14:schemeClr w14:val="tx1"/>
                  </w14:solidFill>
                </w14:textFill>
              </w:rPr>
              <w:t>26</w:t>
            </w:r>
            <w:r>
              <w:rPr>
                <w:rFonts w:hint="default" w:ascii="Times New Roman" w:hAnsi="Times New Roman" w:cs="Times New Roman"/>
                <w:color w:val="000000" w:themeColor="text1"/>
                <w:sz w:val="24"/>
                <w14:textFill>
                  <w14:solidFill>
                    <w14:schemeClr w14:val="tx1"/>
                  </w14:solidFill>
                </w14:textFill>
              </w:rPr>
              <w:t>）</w:t>
            </w:r>
            <w:r>
              <w:rPr>
                <w:rFonts w:hint="default" w:ascii="Times New Roman" w:hAnsi="Times New Roman" w:cs="Times New Roman"/>
                <w:color w:val="000000" w:themeColor="text1"/>
                <w:sz w:val="24"/>
                <w:lang w:val="en-US" w:eastAsia="zh-CN"/>
                <w14:textFill>
                  <w14:solidFill>
                    <w14:schemeClr w14:val="tx1"/>
                  </w14:solidFill>
                </w14:textFill>
              </w:rPr>
              <w:t>表2中的</w:t>
            </w:r>
            <w:r>
              <w:rPr>
                <w:rFonts w:hint="default" w:ascii="Times New Roman" w:hAnsi="Times New Roman" w:cs="Times New Roman"/>
                <w:color w:val="000000" w:themeColor="text1"/>
                <w:sz w:val="24"/>
                <w14:textFill>
                  <w14:solidFill>
                    <w14:schemeClr w14:val="tx1"/>
                  </w14:solidFill>
                </w14:textFill>
              </w:rPr>
              <w:t>二级标准</w:t>
            </w:r>
            <w:r>
              <w:rPr>
                <w:rFonts w:hint="default" w:ascii="Times New Roman" w:hAnsi="Times New Roman" w:cs="Times New Roman"/>
                <w:color w:val="000000" w:themeColor="text1"/>
                <w14:textFill>
                  <w14:solidFill>
                    <w14:schemeClr w14:val="tx1"/>
                  </w14:solidFill>
                </w14:textFill>
              </w:rPr>
              <w:t>。</w:t>
            </w:r>
          </w:p>
          <w:p w14:paraId="62DB8236">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表3-</w:t>
            </w:r>
            <w:r>
              <w:rPr>
                <w:rFonts w:hint="default" w:ascii="Times New Roman" w:hAnsi="Times New Roman" w:cs="Times New Roman"/>
                <w:b/>
                <w:bCs/>
                <w:color w:val="000000" w:themeColor="text1"/>
                <w:sz w:val="21"/>
                <w:szCs w:val="21"/>
                <w:lang w:val="en-US" w:eastAsia="zh-CN"/>
                <w14:textFill>
                  <w14:solidFill>
                    <w14:schemeClr w14:val="tx1"/>
                  </w14:solidFill>
                </w14:textFill>
              </w:rPr>
              <w:t>6</w:t>
            </w:r>
            <w:r>
              <w:rPr>
                <w:rFonts w:hint="eastAsia" w:ascii="Times New Roman" w:hAnsi="Times New Roman" w:cs="Times New Roman"/>
                <w:b/>
                <w:bCs/>
                <w:color w:val="000000" w:themeColor="text1"/>
                <w:sz w:val="21"/>
                <w:szCs w:val="21"/>
                <w:lang w:val="en-US" w:eastAsia="zh-CN"/>
                <w14:textFill>
                  <w14:solidFill>
                    <w14:schemeClr w14:val="tx1"/>
                  </w14:solidFill>
                </w14:textFill>
              </w:rPr>
              <w:t xml:space="preserve">   </w:t>
            </w:r>
            <w:r>
              <w:rPr>
                <w:rFonts w:hint="default" w:ascii="Times New Roman" w:hAnsi="Times New Roman" w:cs="Times New Roman"/>
                <w:b/>
                <w:bCs/>
                <w:color w:val="000000" w:themeColor="text1"/>
                <w:sz w:val="21"/>
                <w:szCs w:val="21"/>
                <w14:textFill>
                  <w14:solidFill>
                    <w14:schemeClr w14:val="tx1"/>
                  </w14:solidFill>
                </w14:textFill>
              </w:rPr>
              <w:t>环境空气污染物浓度限值</w:t>
            </w:r>
          </w:p>
          <w:tbl>
            <w:tblPr>
              <w:tblStyle w:val="26"/>
              <w:tblW w:w="77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90"/>
              <w:gridCol w:w="1650"/>
              <w:gridCol w:w="1485"/>
              <w:gridCol w:w="1294"/>
              <w:gridCol w:w="966"/>
              <w:gridCol w:w="1473"/>
            </w:tblGrid>
            <w:tr w14:paraId="0F287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0" w:hRule="atLeast"/>
                <w:jc w:val="center"/>
              </w:trPr>
              <w:tc>
                <w:tcPr>
                  <w:tcW w:w="573" w:type="pct"/>
                  <w:vMerge w:val="restart"/>
                  <w:noWrap w:val="0"/>
                  <w:vAlign w:val="center"/>
                </w:tcPr>
                <w:p w14:paraId="03F7FF0B">
                  <w:pPr>
                    <w:pStyle w:val="8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val="0"/>
                      <w:color w:val="000000" w:themeColor="text1"/>
                      <w:sz w:val="21"/>
                      <w:szCs w:val="21"/>
                      <w14:textFill>
                        <w14:solidFill>
                          <w14:schemeClr w14:val="tx1"/>
                        </w14:solidFill>
                      </w14:textFill>
                    </w:rPr>
                  </w:pPr>
                  <w:r>
                    <w:rPr>
                      <w:rFonts w:hint="default" w:ascii="Times New Roman" w:hAnsi="Times New Roman" w:eastAsia="宋体" w:cs="Times New Roman"/>
                      <w:b/>
                      <w:bCs w:val="0"/>
                      <w:color w:val="000000" w:themeColor="text1"/>
                      <w:sz w:val="21"/>
                      <w:szCs w:val="21"/>
                      <w14:textFill>
                        <w14:solidFill>
                          <w14:schemeClr w14:val="tx1"/>
                        </w14:solidFill>
                      </w14:textFill>
                    </w:rPr>
                    <w:t>污染物</w:t>
                  </w:r>
                </w:p>
              </w:tc>
              <w:tc>
                <w:tcPr>
                  <w:tcW w:w="2854" w:type="pct"/>
                  <w:gridSpan w:val="3"/>
                  <w:noWrap w:val="0"/>
                  <w:vAlign w:val="center"/>
                </w:tcPr>
                <w:p w14:paraId="6B95554C">
                  <w:pPr>
                    <w:pStyle w:val="8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val="0"/>
                      <w:color w:val="000000" w:themeColor="text1"/>
                      <w:sz w:val="21"/>
                      <w:szCs w:val="21"/>
                      <w14:textFill>
                        <w14:solidFill>
                          <w14:schemeClr w14:val="tx1"/>
                        </w14:solidFill>
                      </w14:textFill>
                    </w:rPr>
                  </w:pPr>
                  <w:r>
                    <w:rPr>
                      <w:rFonts w:hint="default" w:ascii="Times New Roman" w:hAnsi="Times New Roman" w:eastAsia="宋体" w:cs="Times New Roman"/>
                      <w:b/>
                      <w:bCs w:val="0"/>
                      <w:color w:val="000000" w:themeColor="text1"/>
                      <w:sz w:val="21"/>
                      <w:szCs w:val="21"/>
                      <w14:textFill>
                        <w14:solidFill>
                          <w14:schemeClr w14:val="tx1"/>
                        </w14:solidFill>
                      </w14:textFill>
                    </w:rPr>
                    <w:t>浓度限值</w:t>
                  </w:r>
                </w:p>
              </w:tc>
              <w:tc>
                <w:tcPr>
                  <w:tcW w:w="622" w:type="pct"/>
                  <w:vMerge w:val="restart"/>
                  <w:noWrap w:val="0"/>
                  <w:vAlign w:val="center"/>
                </w:tcPr>
                <w:p w14:paraId="3D21DB04">
                  <w:pPr>
                    <w:pStyle w:val="8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val="0"/>
                      <w:color w:val="000000" w:themeColor="text1"/>
                      <w:sz w:val="21"/>
                      <w:szCs w:val="21"/>
                      <w14:textFill>
                        <w14:solidFill>
                          <w14:schemeClr w14:val="tx1"/>
                        </w14:solidFill>
                      </w14:textFill>
                    </w:rPr>
                  </w:pPr>
                  <w:r>
                    <w:rPr>
                      <w:rFonts w:hint="default" w:ascii="Times New Roman" w:hAnsi="Times New Roman" w:eastAsia="宋体" w:cs="Times New Roman"/>
                      <w:b/>
                      <w:bCs w:val="0"/>
                      <w:color w:val="000000" w:themeColor="text1"/>
                      <w:sz w:val="21"/>
                      <w:szCs w:val="21"/>
                      <w14:textFill>
                        <w14:solidFill>
                          <w14:schemeClr w14:val="tx1"/>
                        </w14:solidFill>
                      </w14:textFill>
                    </w:rPr>
                    <w:t>单位</w:t>
                  </w:r>
                </w:p>
              </w:tc>
              <w:tc>
                <w:tcPr>
                  <w:tcW w:w="949" w:type="pct"/>
                  <w:vMerge w:val="restart"/>
                  <w:noWrap w:val="0"/>
                  <w:vAlign w:val="center"/>
                </w:tcPr>
                <w:p w14:paraId="645C4148">
                  <w:pPr>
                    <w:pStyle w:val="8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val="0"/>
                      <w:color w:val="000000" w:themeColor="text1"/>
                      <w:sz w:val="21"/>
                      <w:szCs w:val="21"/>
                      <w14:textFill>
                        <w14:solidFill>
                          <w14:schemeClr w14:val="tx1"/>
                        </w14:solidFill>
                      </w14:textFill>
                    </w:rPr>
                  </w:pPr>
                  <w:r>
                    <w:rPr>
                      <w:rFonts w:hint="default" w:ascii="Times New Roman" w:hAnsi="Times New Roman" w:eastAsia="宋体" w:cs="Times New Roman"/>
                      <w:b/>
                      <w:bCs w:val="0"/>
                      <w:color w:val="000000" w:themeColor="text1"/>
                      <w:sz w:val="21"/>
                      <w:szCs w:val="21"/>
                      <w14:textFill>
                        <w14:solidFill>
                          <w14:schemeClr w14:val="tx1"/>
                        </w14:solidFill>
                      </w14:textFill>
                    </w:rPr>
                    <w:t>标准来源</w:t>
                  </w:r>
                </w:p>
              </w:tc>
            </w:tr>
            <w:tr w14:paraId="3490C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4" w:hRule="atLeast"/>
                <w:jc w:val="center"/>
              </w:trPr>
              <w:tc>
                <w:tcPr>
                  <w:tcW w:w="573" w:type="pct"/>
                  <w:vMerge w:val="continue"/>
                  <w:noWrap w:val="0"/>
                  <w:vAlign w:val="center"/>
                </w:tcPr>
                <w:p w14:paraId="664791C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val="0"/>
                      <w:color w:val="000000" w:themeColor="text1"/>
                      <w:sz w:val="21"/>
                      <w:szCs w:val="21"/>
                      <w14:textFill>
                        <w14:solidFill>
                          <w14:schemeClr w14:val="tx1"/>
                        </w14:solidFill>
                      </w14:textFill>
                    </w:rPr>
                  </w:pPr>
                </w:p>
              </w:tc>
              <w:tc>
                <w:tcPr>
                  <w:tcW w:w="1063" w:type="pct"/>
                  <w:noWrap w:val="0"/>
                  <w:vAlign w:val="center"/>
                </w:tcPr>
                <w:p w14:paraId="0008921F">
                  <w:pPr>
                    <w:pStyle w:val="8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val="0"/>
                      <w:color w:val="000000" w:themeColor="text1"/>
                      <w:sz w:val="21"/>
                      <w:szCs w:val="21"/>
                      <w14:textFill>
                        <w14:solidFill>
                          <w14:schemeClr w14:val="tx1"/>
                        </w14:solidFill>
                      </w14:textFill>
                    </w:rPr>
                  </w:pPr>
                  <w:r>
                    <w:rPr>
                      <w:rFonts w:hint="default" w:ascii="Times New Roman" w:hAnsi="Times New Roman" w:eastAsia="宋体" w:cs="Times New Roman"/>
                      <w:b/>
                      <w:bCs w:val="0"/>
                      <w:color w:val="000000" w:themeColor="text1"/>
                      <w:sz w:val="21"/>
                      <w:szCs w:val="21"/>
                      <w14:textFill>
                        <w14:solidFill>
                          <w14:schemeClr w14:val="tx1"/>
                        </w14:solidFill>
                      </w14:textFill>
                    </w:rPr>
                    <w:t>取值时间</w:t>
                  </w:r>
                </w:p>
              </w:tc>
              <w:tc>
                <w:tcPr>
                  <w:tcW w:w="957" w:type="pct"/>
                  <w:noWrap w:val="0"/>
                  <w:vAlign w:val="center"/>
                </w:tcPr>
                <w:p w14:paraId="78F3C495">
                  <w:pPr>
                    <w:pStyle w:val="8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val="0"/>
                      <w:color w:val="000000" w:themeColor="text1"/>
                      <w:sz w:val="21"/>
                      <w:szCs w:val="21"/>
                      <w14:textFill>
                        <w14:solidFill>
                          <w14:schemeClr w14:val="tx1"/>
                        </w14:solidFill>
                      </w14:textFill>
                    </w:rPr>
                  </w:pPr>
                  <w:r>
                    <w:rPr>
                      <w:rFonts w:hint="eastAsia" w:ascii="Times New Roman" w:hAnsi="Times New Roman" w:cs="Times New Roman"/>
                      <w:b/>
                      <w:bCs w:val="0"/>
                      <w:color w:val="000000" w:themeColor="text1"/>
                      <w:sz w:val="21"/>
                      <w:szCs w:val="21"/>
                      <w:lang w:val="en-US" w:eastAsia="zh-CN"/>
                      <w14:textFill>
                        <w14:solidFill>
                          <w14:schemeClr w14:val="tx1"/>
                        </w14:solidFill>
                      </w14:textFill>
                    </w:rPr>
                    <w:t>过渡阶段</w:t>
                  </w:r>
                  <w:r>
                    <w:rPr>
                      <w:rFonts w:hint="default" w:ascii="Times New Roman" w:hAnsi="Times New Roman" w:eastAsia="宋体" w:cs="Times New Roman"/>
                      <w:b/>
                      <w:bCs w:val="0"/>
                      <w:color w:val="000000" w:themeColor="text1"/>
                      <w:sz w:val="21"/>
                      <w:szCs w:val="21"/>
                      <w14:textFill>
                        <w14:solidFill>
                          <w14:schemeClr w14:val="tx1"/>
                        </w14:solidFill>
                      </w14:textFill>
                    </w:rPr>
                    <w:t>二级标准</w:t>
                  </w:r>
                </w:p>
              </w:tc>
              <w:tc>
                <w:tcPr>
                  <w:tcW w:w="833" w:type="pct"/>
                  <w:noWrap w:val="0"/>
                  <w:vAlign w:val="center"/>
                </w:tcPr>
                <w:p w14:paraId="29D4AD66">
                  <w:pPr>
                    <w:pStyle w:val="8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bCs w:val="0"/>
                      <w:color w:val="000000" w:themeColor="text1"/>
                      <w:sz w:val="21"/>
                      <w:szCs w:val="21"/>
                      <w:lang w:val="en-US" w:eastAsia="zh-CN"/>
                      <w14:textFill>
                        <w14:solidFill>
                          <w14:schemeClr w14:val="tx1"/>
                        </w14:solidFill>
                      </w14:textFill>
                    </w:rPr>
                  </w:pPr>
                  <w:r>
                    <w:rPr>
                      <w:rFonts w:hint="eastAsia" w:ascii="Times New Roman" w:hAnsi="Times New Roman" w:cs="Times New Roman"/>
                      <w:b/>
                      <w:bCs w:val="0"/>
                      <w:color w:val="000000" w:themeColor="text1"/>
                      <w:sz w:val="21"/>
                      <w:szCs w:val="21"/>
                      <w:lang w:val="en-US" w:eastAsia="zh-CN"/>
                      <w14:textFill>
                        <w14:solidFill>
                          <w14:schemeClr w14:val="tx1"/>
                        </w14:solidFill>
                      </w14:textFill>
                    </w:rPr>
                    <w:t>二级标准</w:t>
                  </w:r>
                </w:p>
              </w:tc>
              <w:tc>
                <w:tcPr>
                  <w:tcW w:w="622" w:type="pct"/>
                  <w:vMerge w:val="continue"/>
                  <w:noWrap w:val="0"/>
                  <w:vAlign w:val="center"/>
                </w:tcPr>
                <w:p w14:paraId="3E2361A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949" w:type="pct"/>
                  <w:vMerge w:val="continue"/>
                  <w:noWrap w:val="0"/>
                  <w:vAlign w:val="center"/>
                </w:tcPr>
                <w:p w14:paraId="7069A79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r>
            <w:tr w14:paraId="0A2A7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0" w:hRule="atLeast"/>
                <w:jc w:val="center"/>
              </w:trPr>
              <w:tc>
                <w:tcPr>
                  <w:tcW w:w="573" w:type="pct"/>
                  <w:vMerge w:val="restart"/>
                  <w:noWrap w:val="0"/>
                  <w:vAlign w:val="center"/>
                </w:tcPr>
                <w:p w14:paraId="5DCF2C14">
                  <w:pPr>
                    <w:pStyle w:val="8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SO</w:t>
                  </w:r>
                  <w:r>
                    <w:rPr>
                      <w:rFonts w:hint="default" w:ascii="Times New Roman" w:hAnsi="Times New Roman" w:eastAsia="宋体" w:cs="Times New Roman"/>
                      <w:color w:val="000000" w:themeColor="text1"/>
                      <w:sz w:val="21"/>
                      <w:szCs w:val="21"/>
                      <w:vertAlign w:val="subscript"/>
                      <w14:textFill>
                        <w14:solidFill>
                          <w14:schemeClr w14:val="tx1"/>
                        </w14:solidFill>
                      </w14:textFill>
                    </w:rPr>
                    <w:t>2</w:t>
                  </w:r>
                </w:p>
              </w:tc>
              <w:tc>
                <w:tcPr>
                  <w:tcW w:w="1063" w:type="pct"/>
                  <w:noWrap w:val="0"/>
                  <w:vAlign w:val="center"/>
                </w:tcPr>
                <w:p w14:paraId="5C619A8A">
                  <w:pPr>
                    <w:pStyle w:val="8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年平均</w:t>
                  </w:r>
                </w:p>
              </w:tc>
              <w:tc>
                <w:tcPr>
                  <w:tcW w:w="957" w:type="pct"/>
                  <w:noWrap w:val="0"/>
                  <w:vAlign w:val="center"/>
                </w:tcPr>
                <w:p w14:paraId="29FBE5FF">
                  <w:pPr>
                    <w:pStyle w:val="8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60</w:t>
                  </w:r>
                </w:p>
              </w:tc>
              <w:tc>
                <w:tcPr>
                  <w:tcW w:w="833" w:type="pct"/>
                  <w:noWrap w:val="0"/>
                  <w:vAlign w:val="center"/>
                </w:tcPr>
                <w:p w14:paraId="7D66FBF0">
                  <w:pPr>
                    <w:pStyle w:val="8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20</w:t>
                  </w:r>
                </w:p>
              </w:tc>
              <w:tc>
                <w:tcPr>
                  <w:tcW w:w="622" w:type="pct"/>
                  <w:vMerge w:val="restart"/>
                  <w:noWrap w:val="0"/>
                  <w:vAlign w:val="center"/>
                </w:tcPr>
                <w:p w14:paraId="033EE1C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μg/m</w:t>
                  </w:r>
                  <w:r>
                    <w:rPr>
                      <w:rFonts w:hint="default" w:ascii="Times New Roman" w:hAnsi="Times New Roman" w:eastAsia="宋体" w:cs="Times New Roman"/>
                      <w:color w:val="000000" w:themeColor="text1"/>
                      <w:sz w:val="21"/>
                      <w:szCs w:val="21"/>
                      <w:vertAlign w:val="superscript"/>
                      <w14:textFill>
                        <w14:solidFill>
                          <w14:schemeClr w14:val="tx1"/>
                        </w14:solidFill>
                      </w14:textFill>
                    </w:rPr>
                    <w:t>3</w:t>
                  </w:r>
                </w:p>
              </w:tc>
              <w:tc>
                <w:tcPr>
                  <w:tcW w:w="949" w:type="pct"/>
                  <w:vMerge w:val="restart"/>
                  <w:noWrap w:val="0"/>
                  <w:vAlign w:val="center"/>
                </w:tcPr>
                <w:p w14:paraId="6494B963">
                  <w:pPr>
                    <w:pStyle w:val="8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《环境空气质量标准》（GB3095-20</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26</w:t>
                  </w:r>
                  <w:r>
                    <w:rPr>
                      <w:rFonts w:hint="default" w:ascii="Times New Roman" w:hAnsi="Times New Roman" w:eastAsia="宋体" w:cs="Times New Roman"/>
                      <w:color w:val="000000" w:themeColor="text1"/>
                      <w:sz w:val="21"/>
                      <w:szCs w:val="21"/>
                      <w:lang w:eastAsia="zh-CN"/>
                      <w14:textFill>
                        <w14:solidFill>
                          <w14:schemeClr w14:val="tx1"/>
                        </w14:solidFill>
                      </w14:textFill>
                    </w:rPr>
                    <w:t>）</w:t>
                  </w:r>
                  <w:r>
                    <w:rPr>
                      <w:rFonts w:hint="eastAsia" w:ascii="Times New Roman" w:hAnsi="Times New Roman" w:cs="Times New Roman"/>
                      <w:color w:val="000000" w:themeColor="text1"/>
                      <w:sz w:val="21"/>
                      <w:szCs w:val="21"/>
                      <w:lang w:val="en-US" w:eastAsia="zh-CN"/>
                      <w14:textFill>
                        <w14:solidFill>
                          <w14:schemeClr w14:val="tx1"/>
                        </w14:solidFill>
                      </w14:textFill>
                    </w:rPr>
                    <w:t>二级标准</w:t>
                  </w:r>
                </w:p>
              </w:tc>
            </w:tr>
            <w:tr w14:paraId="21C4E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0" w:hRule="atLeast"/>
                <w:jc w:val="center"/>
              </w:trPr>
              <w:tc>
                <w:tcPr>
                  <w:tcW w:w="573" w:type="pct"/>
                  <w:vMerge w:val="continue"/>
                  <w:noWrap w:val="0"/>
                  <w:vAlign w:val="center"/>
                </w:tcPr>
                <w:p w14:paraId="776AC5A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1063" w:type="pct"/>
                  <w:noWrap w:val="0"/>
                  <w:vAlign w:val="center"/>
                </w:tcPr>
                <w:p w14:paraId="6BD5DA32">
                  <w:pPr>
                    <w:pStyle w:val="8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24小时平均</w:t>
                  </w:r>
                </w:p>
              </w:tc>
              <w:tc>
                <w:tcPr>
                  <w:tcW w:w="957" w:type="pct"/>
                  <w:noWrap w:val="0"/>
                  <w:vAlign w:val="center"/>
                </w:tcPr>
                <w:p w14:paraId="02607603">
                  <w:pPr>
                    <w:pStyle w:val="8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150</w:t>
                  </w:r>
                </w:p>
              </w:tc>
              <w:tc>
                <w:tcPr>
                  <w:tcW w:w="833" w:type="pct"/>
                  <w:noWrap w:val="0"/>
                  <w:vAlign w:val="center"/>
                </w:tcPr>
                <w:p w14:paraId="59A0FC86">
                  <w:pPr>
                    <w:pStyle w:val="8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50</w:t>
                  </w:r>
                </w:p>
              </w:tc>
              <w:tc>
                <w:tcPr>
                  <w:tcW w:w="622" w:type="pct"/>
                  <w:vMerge w:val="continue"/>
                  <w:noWrap w:val="0"/>
                  <w:vAlign w:val="center"/>
                </w:tcPr>
                <w:p w14:paraId="74079A8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949" w:type="pct"/>
                  <w:vMerge w:val="continue"/>
                  <w:noWrap w:val="0"/>
                  <w:vAlign w:val="center"/>
                </w:tcPr>
                <w:p w14:paraId="214AB60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r>
            <w:tr w14:paraId="52064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0" w:hRule="atLeast"/>
                <w:jc w:val="center"/>
              </w:trPr>
              <w:tc>
                <w:tcPr>
                  <w:tcW w:w="573" w:type="pct"/>
                  <w:vMerge w:val="continue"/>
                  <w:noWrap w:val="0"/>
                  <w:vAlign w:val="center"/>
                </w:tcPr>
                <w:p w14:paraId="3A02532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1063" w:type="pct"/>
                  <w:noWrap w:val="0"/>
                  <w:vAlign w:val="center"/>
                </w:tcPr>
                <w:p w14:paraId="22633C04">
                  <w:pPr>
                    <w:pStyle w:val="8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1小时平均</w:t>
                  </w:r>
                </w:p>
              </w:tc>
              <w:tc>
                <w:tcPr>
                  <w:tcW w:w="957" w:type="pct"/>
                  <w:noWrap w:val="0"/>
                  <w:vAlign w:val="center"/>
                </w:tcPr>
                <w:p w14:paraId="579AA21C">
                  <w:pPr>
                    <w:pStyle w:val="8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500</w:t>
                  </w:r>
                </w:p>
              </w:tc>
              <w:tc>
                <w:tcPr>
                  <w:tcW w:w="833" w:type="pct"/>
                  <w:noWrap w:val="0"/>
                  <w:vAlign w:val="center"/>
                </w:tcPr>
                <w:p w14:paraId="531CCE1D">
                  <w:pPr>
                    <w:pStyle w:val="8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150</w:t>
                  </w:r>
                </w:p>
              </w:tc>
              <w:tc>
                <w:tcPr>
                  <w:tcW w:w="622" w:type="pct"/>
                  <w:vMerge w:val="continue"/>
                  <w:noWrap w:val="0"/>
                  <w:vAlign w:val="center"/>
                </w:tcPr>
                <w:p w14:paraId="695F9EB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949" w:type="pct"/>
                  <w:vMerge w:val="continue"/>
                  <w:noWrap w:val="0"/>
                  <w:vAlign w:val="center"/>
                </w:tcPr>
                <w:p w14:paraId="60DD673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r>
            <w:tr w14:paraId="3C982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0" w:hRule="atLeast"/>
                <w:jc w:val="center"/>
              </w:trPr>
              <w:tc>
                <w:tcPr>
                  <w:tcW w:w="573" w:type="pct"/>
                  <w:vMerge w:val="restart"/>
                  <w:noWrap w:val="0"/>
                  <w:vAlign w:val="center"/>
                </w:tcPr>
                <w:p w14:paraId="49A7D524">
                  <w:pPr>
                    <w:pStyle w:val="8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NO</w:t>
                  </w:r>
                  <w:r>
                    <w:rPr>
                      <w:rFonts w:hint="default" w:ascii="Times New Roman" w:hAnsi="Times New Roman" w:eastAsia="宋体" w:cs="Times New Roman"/>
                      <w:color w:val="000000" w:themeColor="text1"/>
                      <w:sz w:val="21"/>
                      <w:szCs w:val="21"/>
                      <w:vertAlign w:val="subscript"/>
                      <w14:textFill>
                        <w14:solidFill>
                          <w14:schemeClr w14:val="tx1"/>
                        </w14:solidFill>
                      </w14:textFill>
                    </w:rPr>
                    <w:t>2</w:t>
                  </w:r>
                </w:p>
              </w:tc>
              <w:tc>
                <w:tcPr>
                  <w:tcW w:w="1063" w:type="pct"/>
                  <w:noWrap w:val="0"/>
                  <w:vAlign w:val="center"/>
                </w:tcPr>
                <w:p w14:paraId="145F0F06">
                  <w:pPr>
                    <w:pStyle w:val="8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年平均</w:t>
                  </w:r>
                </w:p>
              </w:tc>
              <w:tc>
                <w:tcPr>
                  <w:tcW w:w="957" w:type="pct"/>
                  <w:noWrap w:val="0"/>
                  <w:vAlign w:val="center"/>
                </w:tcPr>
                <w:p w14:paraId="2E3AEDD3">
                  <w:pPr>
                    <w:pStyle w:val="8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40</w:t>
                  </w:r>
                </w:p>
              </w:tc>
              <w:tc>
                <w:tcPr>
                  <w:tcW w:w="833" w:type="pct"/>
                  <w:noWrap w:val="0"/>
                  <w:vAlign w:val="center"/>
                </w:tcPr>
                <w:p w14:paraId="21B7674B">
                  <w:pPr>
                    <w:pStyle w:val="8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30</w:t>
                  </w:r>
                </w:p>
              </w:tc>
              <w:tc>
                <w:tcPr>
                  <w:tcW w:w="622" w:type="pct"/>
                  <w:vMerge w:val="continue"/>
                  <w:noWrap w:val="0"/>
                  <w:vAlign w:val="center"/>
                </w:tcPr>
                <w:p w14:paraId="0B900CB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949" w:type="pct"/>
                  <w:vMerge w:val="continue"/>
                  <w:noWrap w:val="0"/>
                  <w:vAlign w:val="center"/>
                </w:tcPr>
                <w:p w14:paraId="50F4AB6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r>
            <w:tr w14:paraId="38E3A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0" w:hRule="atLeast"/>
                <w:jc w:val="center"/>
              </w:trPr>
              <w:tc>
                <w:tcPr>
                  <w:tcW w:w="573" w:type="pct"/>
                  <w:vMerge w:val="continue"/>
                  <w:noWrap w:val="0"/>
                  <w:vAlign w:val="center"/>
                </w:tcPr>
                <w:p w14:paraId="160240F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1063" w:type="pct"/>
                  <w:noWrap w:val="0"/>
                  <w:vAlign w:val="center"/>
                </w:tcPr>
                <w:p w14:paraId="765A9C07">
                  <w:pPr>
                    <w:pStyle w:val="8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24小时平均</w:t>
                  </w:r>
                </w:p>
              </w:tc>
              <w:tc>
                <w:tcPr>
                  <w:tcW w:w="957" w:type="pct"/>
                  <w:noWrap w:val="0"/>
                  <w:vAlign w:val="center"/>
                </w:tcPr>
                <w:p w14:paraId="1DFD5059">
                  <w:pPr>
                    <w:pStyle w:val="8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80</w:t>
                  </w:r>
                </w:p>
              </w:tc>
              <w:tc>
                <w:tcPr>
                  <w:tcW w:w="833" w:type="pct"/>
                  <w:noWrap w:val="0"/>
                  <w:vAlign w:val="center"/>
                </w:tcPr>
                <w:p w14:paraId="53407009">
                  <w:pPr>
                    <w:pStyle w:val="8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50</w:t>
                  </w:r>
                </w:p>
              </w:tc>
              <w:tc>
                <w:tcPr>
                  <w:tcW w:w="622" w:type="pct"/>
                  <w:vMerge w:val="continue"/>
                  <w:noWrap w:val="0"/>
                  <w:vAlign w:val="center"/>
                </w:tcPr>
                <w:p w14:paraId="2E35485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949" w:type="pct"/>
                  <w:vMerge w:val="continue"/>
                  <w:noWrap w:val="0"/>
                  <w:vAlign w:val="center"/>
                </w:tcPr>
                <w:p w14:paraId="7A7E70F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r>
            <w:tr w14:paraId="2C9AA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0" w:hRule="atLeast"/>
                <w:jc w:val="center"/>
              </w:trPr>
              <w:tc>
                <w:tcPr>
                  <w:tcW w:w="573" w:type="pct"/>
                  <w:vMerge w:val="continue"/>
                  <w:noWrap w:val="0"/>
                  <w:vAlign w:val="center"/>
                </w:tcPr>
                <w:p w14:paraId="702F7DE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1063" w:type="pct"/>
                  <w:noWrap w:val="0"/>
                  <w:vAlign w:val="center"/>
                </w:tcPr>
                <w:p w14:paraId="157726FC">
                  <w:pPr>
                    <w:pStyle w:val="8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1小时平均</w:t>
                  </w:r>
                </w:p>
              </w:tc>
              <w:tc>
                <w:tcPr>
                  <w:tcW w:w="957" w:type="pct"/>
                  <w:noWrap w:val="0"/>
                  <w:vAlign w:val="center"/>
                </w:tcPr>
                <w:p w14:paraId="37A4B03E">
                  <w:pPr>
                    <w:pStyle w:val="8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200</w:t>
                  </w:r>
                </w:p>
              </w:tc>
              <w:tc>
                <w:tcPr>
                  <w:tcW w:w="833" w:type="pct"/>
                  <w:noWrap w:val="0"/>
                  <w:vAlign w:val="center"/>
                </w:tcPr>
                <w:p w14:paraId="246BFA08">
                  <w:pPr>
                    <w:pStyle w:val="8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200</w:t>
                  </w:r>
                </w:p>
              </w:tc>
              <w:tc>
                <w:tcPr>
                  <w:tcW w:w="622" w:type="pct"/>
                  <w:vMerge w:val="continue"/>
                  <w:noWrap w:val="0"/>
                  <w:vAlign w:val="center"/>
                </w:tcPr>
                <w:p w14:paraId="288B0AB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949" w:type="pct"/>
                  <w:vMerge w:val="continue"/>
                  <w:noWrap w:val="0"/>
                  <w:vAlign w:val="center"/>
                </w:tcPr>
                <w:p w14:paraId="5176352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r>
            <w:tr w14:paraId="42F61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0" w:hRule="atLeast"/>
                <w:jc w:val="center"/>
              </w:trPr>
              <w:tc>
                <w:tcPr>
                  <w:tcW w:w="573" w:type="pct"/>
                  <w:vMerge w:val="restart"/>
                  <w:noWrap w:val="0"/>
                  <w:vAlign w:val="center"/>
                </w:tcPr>
                <w:p w14:paraId="24A03C8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CO</w:t>
                  </w:r>
                </w:p>
              </w:tc>
              <w:tc>
                <w:tcPr>
                  <w:tcW w:w="1063" w:type="pct"/>
                  <w:noWrap w:val="0"/>
                  <w:vAlign w:val="center"/>
                </w:tcPr>
                <w:p w14:paraId="763F1A21">
                  <w:pPr>
                    <w:pStyle w:val="8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24小时平均</w:t>
                  </w:r>
                </w:p>
              </w:tc>
              <w:tc>
                <w:tcPr>
                  <w:tcW w:w="957" w:type="pct"/>
                  <w:noWrap w:val="0"/>
                  <w:vAlign w:val="center"/>
                </w:tcPr>
                <w:p w14:paraId="2871C734">
                  <w:pPr>
                    <w:pStyle w:val="8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4</w:t>
                  </w:r>
                </w:p>
              </w:tc>
              <w:tc>
                <w:tcPr>
                  <w:tcW w:w="833" w:type="pct"/>
                  <w:noWrap w:val="0"/>
                  <w:vAlign w:val="center"/>
                </w:tcPr>
                <w:p w14:paraId="4C615ADE">
                  <w:pPr>
                    <w:pStyle w:val="8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4</w:t>
                  </w:r>
                </w:p>
              </w:tc>
              <w:tc>
                <w:tcPr>
                  <w:tcW w:w="622" w:type="pct"/>
                  <w:vMerge w:val="restart"/>
                  <w:noWrap w:val="0"/>
                  <w:vAlign w:val="center"/>
                </w:tcPr>
                <w:p w14:paraId="0CBB848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mg/m</w:t>
                  </w:r>
                  <w:r>
                    <w:rPr>
                      <w:rFonts w:hint="default" w:ascii="Times New Roman" w:hAnsi="Times New Roman" w:eastAsia="宋体" w:cs="Times New Roman"/>
                      <w:color w:val="000000" w:themeColor="text1"/>
                      <w:sz w:val="21"/>
                      <w:szCs w:val="21"/>
                      <w:vertAlign w:val="superscript"/>
                      <w14:textFill>
                        <w14:solidFill>
                          <w14:schemeClr w14:val="tx1"/>
                        </w14:solidFill>
                      </w14:textFill>
                    </w:rPr>
                    <w:t>3</w:t>
                  </w:r>
                </w:p>
              </w:tc>
              <w:tc>
                <w:tcPr>
                  <w:tcW w:w="949" w:type="pct"/>
                  <w:vMerge w:val="continue"/>
                  <w:noWrap w:val="0"/>
                  <w:vAlign w:val="center"/>
                </w:tcPr>
                <w:p w14:paraId="57DE830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r>
            <w:tr w14:paraId="5FE41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0" w:hRule="atLeast"/>
                <w:jc w:val="center"/>
              </w:trPr>
              <w:tc>
                <w:tcPr>
                  <w:tcW w:w="573" w:type="pct"/>
                  <w:vMerge w:val="continue"/>
                  <w:noWrap w:val="0"/>
                  <w:vAlign w:val="center"/>
                </w:tcPr>
                <w:p w14:paraId="77F356D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1063" w:type="pct"/>
                  <w:noWrap w:val="0"/>
                  <w:vAlign w:val="center"/>
                </w:tcPr>
                <w:p w14:paraId="19B06405">
                  <w:pPr>
                    <w:pStyle w:val="8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1小时平均</w:t>
                  </w:r>
                </w:p>
              </w:tc>
              <w:tc>
                <w:tcPr>
                  <w:tcW w:w="957" w:type="pct"/>
                  <w:noWrap w:val="0"/>
                  <w:vAlign w:val="center"/>
                </w:tcPr>
                <w:p w14:paraId="208029E7">
                  <w:pPr>
                    <w:pStyle w:val="8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10</w:t>
                  </w:r>
                </w:p>
              </w:tc>
              <w:tc>
                <w:tcPr>
                  <w:tcW w:w="833" w:type="pct"/>
                  <w:noWrap w:val="0"/>
                  <w:vAlign w:val="center"/>
                </w:tcPr>
                <w:p w14:paraId="140FBC8A">
                  <w:pPr>
                    <w:pStyle w:val="8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10</w:t>
                  </w:r>
                </w:p>
              </w:tc>
              <w:tc>
                <w:tcPr>
                  <w:tcW w:w="622" w:type="pct"/>
                  <w:vMerge w:val="continue"/>
                  <w:noWrap w:val="0"/>
                  <w:vAlign w:val="center"/>
                </w:tcPr>
                <w:p w14:paraId="69F3200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949" w:type="pct"/>
                  <w:vMerge w:val="continue"/>
                  <w:noWrap w:val="0"/>
                  <w:vAlign w:val="center"/>
                </w:tcPr>
                <w:p w14:paraId="1C26354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r>
            <w:tr w14:paraId="4FC9F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0" w:hRule="atLeast"/>
                <w:jc w:val="center"/>
              </w:trPr>
              <w:tc>
                <w:tcPr>
                  <w:tcW w:w="573" w:type="pct"/>
                  <w:vMerge w:val="restart"/>
                  <w:noWrap w:val="0"/>
                  <w:vAlign w:val="center"/>
                </w:tcPr>
                <w:p w14:paraId="5753D16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O</w:t>
                  </w:r>
                  <w:r>
                    <w:rPr>
                      <w:rFonts w:hint="default" w:ascii="Times New Roman" w:hAnsi="Times New Roman" w:eastAsia="宋体" w:cs="Times New Roman"/>
                      <w:color w:val="000000" w:themeColor="text1"/>
                      <w:sz w:val="21"/>
                      <w:szCs w:val="21"/>
                      <w:vertAlign w:val="subscript"/>
                      <w14:textFill>
                        <w14:solidFill>
                          <w14:schemeClr w14:val="tx1"/>
                        </w14:solidFill>
                      </w14:textFill>
                    </w:rPr>
                    <w:t>3</w:t>
                  </w:r>
                </w:p>
              </w:tc>
              <w:tc>
                <w:tcPr>
                  <w:tcW w:w="1063" w:type="pct"/>
                  <w:noWrap w:val="0"/>
                  <w:vAlign w:val="center"/>
                </w:tcPr>
                <w:p w14:paraId="661788D8">
                  <w:pPr>
                    <w:pStyle w:val="8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日最大8小时平均</w:t>
                  </w:r>
                </w:p>
              </w:tc>
              <w:tc>
                <w:tcPr>
                  <w:tcW w:w="957" w:type="pct"/>
                  <w:noWrap w:val="0"/>
                  <w:vAlign w:val="center"/>
                </w:tcPr>
                <w:p w14:paraId="563C9095">
                  <w:pPr>
                    <w:pStyle w:val="8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160</w:t>
                  </w:r>
                </w:p>
              </w:tc>
              <w:tc>
                <w:tcPr>
                  <w:tcW w:w="833" w:type="pct"/>
                  <w:noWrap w:val="0"/>
                  <w:vAlign w:val="center"/>
                </w:tcPr>
                <w:p w14:paraId="412E0C94">
                  <w:pPr>
                    <w:pStyle w:val="8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160</w:t>
                  </w:r>
                </w:p>
              </w:tc>
              <w:tc>
                <w:tcPr>
                  <w:tcW w:w="622" w:type="pct"/>
                  <w:vMerge w:val="restart"/>
                  <w:noWrap w:val="0"/>
                  <w:vAlign w:val="center"/>
                </w:tcPr>
                <w:p w14:paraId="52DB89A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μg/m</w:t>
                  </w:r>
                  <w:r>
                    <w:rPr>
                      <w:rFonts w:hint="default" w:ascii="Times New Roman" w:hAnsi="Times New Roman" w:eastAsia="宋体" w:cs="Times New Roman"/>
                      <w:color w:val="000000" w:themeColor="text1"/>
                      <w:sz w:val="21"/>
                      <w:szCs w:val="21"/>
                      <w:vertAlign w:val="superscript"/>
                      <w14:textFill>
                        <w14:solidFill>
                          <w14:schemeClr w14:val="tx1"/>
                        </w14:solidFill>
                      </w14:textFill>
                    </w:rPr>
                    <w:t>3</w:t>
                  </w:r>
                </w:p>
              </w:tc>
              <w:tc>
                <w:tcPr>
                  <w:tcW w:w="949" w:type="pct"/>
                  <w:vMerge w:val="continue"/>
                  <w:noWrap w:val="0"/>
                  <w:vAlign w:val="center"/>
                </w:tcPr>
                <w:p w14:paraId="3E15586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r>
            <w:tr w14:paraId="7405E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0" w:hRule="atLeast"/>
                <w:jc w:val="center"/>
              </w:trPr>
              <w:tc>
                <w:tcPr>
                  <w:tcW w:w="573" w:type="pct"/>
                  <w:vMerge w:val="continue"/>
                  <w:noWrap w:val="0"/>
                  <w:vAlign w:val="center"/>
                </w:tcPr>
                <w:p w14:paraId="5CA33AB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1063" w:type="pct"/>
                  <w:noWrap w:val="0"/>
                  <w:vAlign w:val="center"/>
                </w:tcPr>
                <w:p w14:paraId="1F1420C3">
                  <w:pPr>
                    <w:pStyle w:val="8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1小时平均</w:t>
                  </w:r>
                </w:p>
              </w:tc>
              <w:tc>
                <w:tcPr>
                  <w:tcW w:w="957" w:type="pct"/>
                  <w:noWrap w:val="0"/>
                  <w:vAlign w:val="center"/>
                </w:tcPr>
                <w:p w14:paraId="756979AD">
                  <w:pPr>
                    <w:pStyle w:val="8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200</w:t>
                  </w:r>
                </w:p>
              </w:tc>
              <w:tc>
                <w:tcPr>
                  <w:tcW w:w="833" w:type="pct"/>
                  <w:noWrap w:val="0"/>
                  <w:vAlign w:val="center"/>
                </w:tcPr>
                <w:p w14:paraId="65C4D6C7">
                  <w:pPr>
                    <w:pStyle w:val="8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200</w:t>
                  </w:r>
                </w:p>
              </w:tc>
              <w:tc>
                <w:tcPr>
                  <w:tcW w:w="622" w:type="pct"/>
                  <w:vMerge w:val="continue"/>
                  <w:noWrap w:val="0"/>
                  <w:vAlign w:val="center"/>
                </w:tcPr>
                <w:p w14:paraId="2EE3F63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949" w:type="pct"/>
                  <w:vMerge w:val="continue"/>
                  <w:noWrap w:val="0"/>
                  <w:vAlign w:val="center"/>
                </w:tcPr>
                <w:p w14:paraId="1CB85FE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r>
            <w:tr w14:paraId="104B7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0" w:hRule="atLeast"/>
                <w:jc w:val="center"/>
              </w:trPr>
              <w:tc>
                <w:tcPr>
                  <w:tcW w:w="573" w:type="pct"/>
                  <w:vMerge w:val="restart"/>
                  <w:noWrap w:val="0"/>
                  <w:vAlign w:val="center"/>
                </w:tcPr>
                <w:p w14:paraId="4BE0811E">
                  <w:pPr>
                    <w:pStyle w:val="8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PM</w:t>
                  </w:r>
                  <w:r>
                    <w:rPr>
                      <w:rFonts w:hint="default" w:ascii="Times New Roman" w:hAnsi="Times New Roman" w:eastAsia="宋体" w:cs="Times New Roman"/>
                      <w:color w:val="000000" w:themeColor="text1"/>
                      <w:sz w:val="21"/>
                      <w:szCs w:val="21"/>
                      <w:vertAlign w:val="subscript"/>
                      <w14:textFill>
                        <w14:solidFill>
                          <w14:schemeClr w14:val="tx1"/>
                        </w14:solidFill>
                      </w14:textFill>
                    </w:rPr>
                    <w:t>10</w:t>
                  </w:r>
                </w:p>
              </w:tc>
              <w:tc>
                <w:tcPr>
                  <w:tcW w:w="1063" w:type="pct"/>
                  <w:noWrap w:val="0"/>
                  <w:vAlign w:val="center"/>
                </w:tcPr>
                <w:p w14:paraId="09626FC6">
                  <w:pPr>
                    <w:pStyle w:val="8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年平均</w:t>
                  </w:r>
                </w:p>
              </w:tc>
              <w:tc>
                <w:tcPr>
                  <w:tcW w:w="957" w:type="pct"/>
                  <w:noWrap w:val="0"/>
                  <w:vAlign w:val="center"/>
                </w:tcPr>
                <w:p w14:paraId="3141B1B5">
                  <w:pPr>
                    <w:pStyle w:val="8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60</w:t>
                  </w:r>
                </w:p>
              </w:tc>
              <w:tc>
                <w:tcPr>
                  <w:tcW w:w="833" w:type="pct"/>
                  <w:noWrap w:val="0"/>
                  <w:vAlign w:val="center"/>
                </w:tcPr>
                <w:p w14:paraId="5FF0FB58">
                  <w:pPr>
                    <w:pStyle w:val="8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50</w:t>
                  </w:r>
                </w:p>
              </w:tc>
              <w:tc>
                <w:tcPr>
                  <w:tcW w:w="622" w:type="pct"/>
                  <w:vMerge w:val="continue"/>
                  <w:noWrap w:val="0"/>
                  <w:vAlign w:val="center"/>
                </w:tcPr>
                <w:p w14:paraId="61A766F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949" w:type="pct"/>
                  <w:vMerge w:val="continue"/>
                  <w:noWrap w:val="0"/>
                  <w:vAlign w:val="center"/>
                </w:tcPr>
                <w:p w14:paraId="009E0A7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r>
            <w:tr w14:paraId="3B6BC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0" w:hRule="atLeast"/>
                <w:jc w:val="center"/>
              </w:trPr>
              <w:tc>
                <w:tcPr>
                  <w:tcW w:w="573" w:type="pct"/>
                  <w:vMerge w:val="continue"/>
                  <w:noWrap w:val="0"/>
                  <w:vAlign w:val="center"/>
                </w:tcPr>
                <w:p w14:paraId="25C2F78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1063" w:type="pct"/>
                  <w:noWrap w:val="0"/>
                  <w:vAlign w:val="center"/>
                </w:tcPr>
                <w:p w14:paraId="795393F3">
                  <w:pPr>
                    <w:pStyle w:val="8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24小时平均</w:t>
                  </w:r>
                </w:p>
              </w:tc>
              <w:tc>
                <w:tcPr>
                  <w:tcW w:w="957" w:type="pct"/>
                  <w:noWrap w:val="0"/>
                  <w:vAlign w:val="center"/>
                </w:tcPr>
                <w:p w14:paraId="5D564047">
                  <w:pPr>
                    <w:pStyle w:val="8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120</w:t>
                  </w:r>
                </w:p>
              </w:tc>
              <w:tc>
                <w:tcPr>
                  <w:tcW w:w="833" w:type="pct"/>
                  <w:noWrap w:val="0"/>
                  <w:vAlign w:val="center"/>
                </w:tcPr>
                <w:p w14:paraId="78FB663C">
                  <w:pPr>
                    <w:pStyle w:val="8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100</w:t>
                  </w:r>
                </w:p>
              </w:tc>
              <w:tc>
                <w:tcPr>
                  <w:tcW w:w="622" w:type="pct"/>
                  <w:vMerge w:val="continue"/>
                  <w:noWrap w:val="0"/>
                  <w:vAlign w:val="center"/>
                </w:tcPr>
                <w:p w14:paraId="16D5AF3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949" w:type="pct"/>
                  <w:vMerge w:val="continue"/>
                  <w:noWrap w:val="0"/>
                  <w:vAlign w:val="center"/>
                </w:tcPr>
                <w:p w14:paraId="29E14EF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r>
            <w:tr w14:paraId="4AF02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0" w:hRule="atLeast"/>
                <w:jc w:val="center"/>
              </w:trPr>
              <w:tc>
                <w:tcPr>
                  <w:tcW w:w="573" w:type="pct"/>
                  <w:vMerge w:val="restart"/>
                  <w:noWrap w:val="0"/>
                  <w:vAlign w:val="center"/>
                </w:tcPr>
                <w:p w14:paraId="5E2B0E8B">
                  <w:pPr>
                    <w:pStyle w:val="8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PM</w:t>
                  </w:r>
                  <w:r>
                    <w:rPr>
                      <w:rFonts w:hint="default" w:ascii="Times New Roman" w:hAnsi="Times New Roman" w:eastAsia="宋体" w:cs="Times New Roman"/>
                      <w:color w:val="000000" w:themeColor="text1"/>
                      <w:sz w:val="21"/>
                      <w:szCs w:val="21"/>
                      <w:vertAlign w:val="subscript"/>
                      <w14:textFill>
                        <w14:solidFill>
                          <w14:schemeClr w14:val="tx1"/>
                        </w14:solidFill>
                      </w14:textFill>
                    </w:rPr>
                    <w:t>2.5</w:t>
                  </w:r>
                </w:p>
              </w:tc>
              <w:tc>
                <w:tcPr>
                  <w:tcW w:w="1063" w:type="pct"/>
                  <w:noWrap w:val="0"/>
                  <w:vAlign w:val="center"/>
                </w:tcPr>
                <w:p w14:paraId="2C1FC422">
                  <w:pPr>
                    <w:pStyle w:val="8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年平均</w:t>
                  </w:r>
                </w:p>
              </w:tc>
              <w:tc>
                <w:tcPr>
                  <w:tcW w:w="957" w:type="pct"/>
                  <w:noWrap w:val="0"/>
                  <w:vAlign w:val="center"/>
                </w:tcPr>
                <w:p w14:paraId="4196EFE7">
                  <w:pPr>
                    <w:pStyle w:val="8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30</w:t>
                  </w:r>
                </w:p>
              </w:tc>
              <w:tc>
                <w:tcPr>
                  <w:tcW w:w="833" w:type="pct"/>
                  <w:noWrap w:val="0"/>
                  <w:vAlign w:val="center"/>
                </w:tcPr>
                <w:p w14:paraId="3F9D89AA">
                  <w:pPr>
                    <w:pStyle w:val="8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25</w:t>
                  </w:r>
                </w:p>
              </w:tc>
              <w:tc>
                <w:tcPr>
                  <w:tcW w:w="622" w:type="pct"/>
                  <w:vMerge w:val="continue"/>
                  <w:noWrap w:val="0"/>
                  <w:vAlign w:val="center"/>
                </w:tcPr>
                <w:p w14:paraId="5E47DFF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949" w:type="pct"/>
                  <w:vMerge w:val="continue"/>
                  <w:noWrap w:val="0"/>
                  <w:vAlign w:val="center"/>
                </w:tcPr>
                <w:p w14:paraId="3803769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r>
            <w:tr w14:paraId="2AA93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0" w:hRule="atLeast"/>
                <w:jc w:val="center"/>
              </w:trPr>
              <w:tc>
                <w:tcPr>
                  <w:tcW w:w="573" w:type="pct"/>
                  <w:vMerge w:val="continue"/>
                  <w:noWrap w:val="0"/>
                  <w:vAlign w:val="center"/>
                </w:tcPr>
                <w:p w14:paraId="701DCEA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1063" w:type="pct"/>
                  <w:noWrap w:val="0"/>
                  <w:vAlign w:val="center"/>
                </w:tcPr>
                <w:p w14:paraId="1C636275">
                  <w:pPr>
                    <w:pStyle w:val="8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24小时平均</w:t>
                  </w:r>
                </w:p>
              </w:tc>
              <w:tc>
                <w:tcPr>
                  <w:tcW w:w="957" w:type="pct"/>
                  <w:noWrap w:val="0"/>
                  <w:vAlign w:val="center"/>
                </w:tcPr>
                <w:p w14:paraId="039BC241">
                  <w:pPr>
                    <w:pStyle w:val="8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60</w:t>
                  </w:r>
                </w:p>
              </w:tc>
              <w:tc>
                <w:tcPr>
                  <w:tcW w:w="833" w:type="pct"/>
                  <w:noWrap w:val="0"/>
                  <w:vAlign w:val="center"/>
                </w:tcPr>
                <w:p w14:paraId="556AFDF3">
                  <w:pPr>
                    <w:pStyle w:val="8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50</w:t>
                  </w:r>
                </w:p>
              </w:tc>
              <w:tc>
                <w:tcPr>
                  <w:tcW w:w="622" w:type="pct"/>
                  <w:vMerge w:val="continue"/>
                  <w:noWrap w:val="0"/>
                  <w:vAlign w:val="center"/>
                </w:tcPr>
                <w:p w14:paraId="306174F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949" w:type="pct"/>
                  <w:vMerge w:val="continue"/>
                  <w:noWrap w:val="0"/>
                  <w:vAlign w:val="center"/>
                </w:tcPr>
                <w:p w14:paraId="1979968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r>
            <w:tr w14:paraId="2E401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0" w:hRule="atLeast"/>
                <w:jc w:val="center"/>
              </w:trPr>
              <w:tc>
                <w:tcPr>
                  <w:tcW w:w="573" w:type="pct"/>
                  <w:vMerge w:val="restart"/>
                  <w:noWrap w:val="0"/>
                  <w:vAlign w:val="center"/>
                </w:tcPr>
                <w:p w14:paraId="454B8FE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TSP</w:t>
                  </w:r>
                </w:p>
              </w:tc>
              <w:tc>
                <w:tcPr>
                  <w:tcW w:w="1063" w:type="pct"/>
                  <w:noWrap w:val="0"/>
                  <w:vAlign w:val="center"/>
                </w:tcPr>
                <w:p w14:paraId="6A1A3DA9">
                  <w:pPr>
                    <w:pStyle w:val="8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年平均</w:t>
                  </w:r>
                </w:p>
              </w:tc>
              <w:tc>
                <w:tcPr>
                  <w:tcW w:w="1791" w:type="pct"/>
                  <w:gridSpan w:val="2"/>
                  <w:noWrap w:val="0"/>
                  <w:vAlign w:val="center"/>
                </w:tcPr>
                <w:p w14:paraId="451B7DAB">
                  <w:pPr>
                    <w:pStyle w:val="8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200</w:t>
                  </w:r>
                </w:p>
              </w:tc>
              <w:tc>
                <w:tcPr>
                  <w:tcW w:w="622" w:type="pct"/>
                  <w:vMerge w:val="continue"/>
                  <w:noWrap w:val="0"/>
                  <w:vAlign w:val="center"/>
                </w:tcPr>
                <w:p w14:paraId="423E139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949" w:type="pct"/>
                  <w:vMerge w:val="continue"/>
                  <w:noWrap w:val="0"/>
                  <w:vAlign w:val="center"/>
                </w:tcPr>
                <w:p w14:paraId="3003191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r>
            <w:tr w14:paraId="0C1B6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0" w:hRule="atLeast"/>
                <w:jc w:val="center"/>
              </w:trPr>
              <w:tc>
                <w:tcPr>
                  <w:tcW w:w="573" w:type="pct"/>
                  <w:vMerge w:val="continue"/>
                  <w:noWrap w:val="0"/>
                  <w:vAlign w:val="center"/>
                </w:tcPr>
                <w:p w14:paraId="57A881B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1063" w:type="pct"/>
                  <w:noWrap w:val="0"/>
                  <w:vAlign w:val="center"/>
                </w:tcPr>
                <w:p w14:paraId="14861FC5">
                  <w:pPr>
                    <w:pStyle w:val="8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24小时平均</w:t>
                  </w:r>
                </w:p>
              </w:tc>
              <w:tc>
                <w:tcPr>
                  <w:tcW w:w="1791" w:type="pct"/>
                  <w:gridSpan w:val="2"/>
                  <w:noWrap w:val="0"/>
                  <w:vAlign w:val="center"/>
                </w:tcPr>
                <w:p w14:paraId="08878DDC">
                  <w:pPr>
                    <w:pStyle w:val="8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300</w:t>
                  </w:r>
                </w:p>
              </w:tc>
              <w:tc>
                <w:tcPr>
                  <w:tcW w:w="622" w:type="pct"/>
                  <w:vMerge w:val="continue"/>
                  <w:noWrap w:val="0"/>
                  <w:vAlign w:val="center"/>
                </w:tcPr>
                <w:p w14:paraId="3C21551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949" w:type="pct"/>
                  <w:vMerge w:val="continue"/>
                  <w:noWrap w:val="0"/>
                  <w:vAlign w:val="center"/>
                </w:tcPr>
                <w:p w14:paraId="16CF4B3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r>
            <w:tr w14:paraId="16A43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0" w:hRule="atLeast"/>
                <w:jc w:val="center"/>
              </w:trPr>
              <w:tc>
                <w:tcPr>
                  <w:tcW w:w="573" w:type="pct"/>
                  <w:vMerge w:val="restart"/>
                  <w:noWrap w:val="0"/>
                  <w:vAlign w:val="center"/>
                </w:tcPr>
                <w:p w14:paraId="633CEA7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NOx</w:t>
                  </w:r>
                </w:p>
              </w:tc>
              <w:tc>
                <w:tcPr>
                  <w:tcW w:w="1063" w:type="pct"/>
                  <w:noWrap w:val="0"/>
                  <w:vAlign w:val="center"/>
                </w:tcPr>
                <w:p w14:paraId="54FC6A2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年平均</w:t>
                  </w:r>
                </w:p>
              </w:tc>
              <w:tc>
                <w:tcPr>
                  <w:tcW w:w="1791" w:type="pct"/>
                  <w:gridSpan w:val="2"/>
                  <w:noWrap w:val="0"/>
                  <w:vAlign w:val="center"/>
                </w:tcPr>
                <w:p w14:paraId="4D1295C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50</w:t>
                  </w:r>
                </w:p>
              </w:tc>
              <w:tc>
                <w:tcPr>
                  <w:tcW w:w="622" w:type="pct"/>
                  <w:vMerge w:val="continue"/>
                  <w:noWrap w:val="0"/>
                  <w:vAlign w:val="center"/>
                </w:tcPr>
                <w:p w14:paraId="110F97B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949" w:type="pct"/>
                  <w:vMerge w:val="continue"/>
                  <w:noWrap w:val="0"/>
                  <w:vAlign w:val="center"/>
                </w:tcPr>
                <w:p w14:paraId="63EB5B4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r>
            <w:tr w14:paraId="4EE5E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0" w:hRule="atLeast"/>
                <w:jc w:val="center"/>
              </w:trPr>
              <w:tc>
                <w:tcPr>
                  <w:tcW w:w="573" w:type="pct"/>
                  <w:vMerge w:val="continue"/>
                  <w:noWrap w:val="0"/>
                  <w:vAlign w:val="center"/>
                </w:tcPr>
                <w:p w14:paraId="34E621B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1063" w:type="pct"/>
                  <w:noWrap w:val="0"/>
                  <w:vAlign w:val="center"/>
                </w:tcPr>
                <w:p w14:paraId="4636344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日平均</w:t>
                  </w:r>
                </w:p>
              </w:tc>
              <w:tc>
                <w:tcPr>
                  <w:tcW w:w="1791" w:type="pct"/>
                  <w:gridSpan w:val="2"/>
                  <w:noWrap w:val="0"/>
                  <w:vAlign w:val="center"/>
                </w:tcPr>
                <w:p w14:paraId="1955630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100</w:t>
                  </w:r>
                </w:p>
              </w:tc>
              <w:tc>
                <w:tcPr>
                  <w:tcW w:w="622" w:type="pct"/>
                  <w:vMerge w:val="continue"/>
                  <w:noWrap w:val="0"/>
                  <w:vAlign w:val="center"/>
                </w:tcPr>
                <w:p w14:paraId="25FEF38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949" w:type="pct"/>
                  <w:vMerge w:val="continue"/>
                  <w:noWrap w:val="0"/>
                  <w:vAlign w:val="center"/>
                </w:tcPr>
                <w:p w14:paraId="32218E6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r>
            <w:tr w14:paraId="30618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0" w:hRule="atLeast"/>
                <w:jc w:val="center"/>
              </w:trPr>
              <w:tc>
                <w:tcPr>
                  <w:tcW w:w="573" w:type="pct"/>
                  <w:vMerge w:val="continue"/>
                  <w:noWrap w:val="0"/>
                  <w:vAlign w:val="center"/>
                </w:tcPr>
                <w:p w14:paraId="2F25333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1063" w:type="pct"/>
                  <w:noWrap w:val="0"/>
                  <w:vAlign w:val="center"/>
                </w:tcPr>
                <w:p w14:paraId="38EE96E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1小时平均</w:t>
                  </w:r>
                </w:p>
              </w:tc>
              <w:tc>
                <w:tcPr>
                  <w:tcW w:w="1791" w:type="pct"/>
                  <w:gridSpan w:val="2"/>
                  <w:noWrap w:val="0"/>
                  <w:vAlign w:val="center"/>
                </w:tcPr>
                <w:p w14:paraId="7A5FFDB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250</w:t>
                  </w:r>
                </w:p>
              </w:tc>
              <w:tc>
                <w:tcPr>
                  <w:tcW w:w="622" w:type="pct"/>
                  <w:vMerge w:val="continue"/>
                  <w:noWrap w:val="0"/>
                  <w:vAlign w:val="center"/>
                </w:tcPr>
                <w:p w14:paraId="7961EE0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949" w:type="pct"/>
                  <w:vMerge w:val="continue"/>
                  <w:noWrap w:val="0"/>
                  <w:vAlign w:val="center"/>
                </w:tcPr>
                <w:p w14:paraId="10ACBA4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r>
          </w:tbl>
          <w:p w14:paraId="7168AD2B">
            <w:pPr>
              <w:pStyle w:val="75"/>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20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p>
          <w:p w14:paraId="3F468973">
            <w:pPr>
              <w:bidi w:val="0"/>
              <w:jc w:val="both"/>
              <w:rPr>
                <w:rFonts w:hint="default" w:ascii="Times New Roman" w:hAnsi="Times New Roman" w:cs="Times New Roman"/>
                <w:b/>
                <w:bCs/>
                <w:color w:val="000000" w:themeColor="text1"/>
                <w:lang w:eastAsia="zh-CN"/>
                <w14:textFill>
                  <w14:solidFill>
                    <w14:schemeClr w14:val="tx1"/>
                  </w14:solidFill>
                </w14:textFill>
              </w:rPr>
            </w:pPr>
            <w:r>
              <w:rPr>
                <w:rFonts w:hint="eastAsia" w:ascii="Times New Roman" w:hAnsi="Times New Roman" w:cs="Times New Roman"/>
                <w:b/>
                <w:bCs/>
                <w:color w:val="000000" w:themeColor="text1"/>
                <w:lang w:val="en-US" w:eastAsia="zh-CN"/>
                <w14:textFill>
                  <w14:solidFill>
                    <w14:schemeClr w14:val="tx1"/>
                  </w14:solidFill>
                </w14:textFill>
              </w:rPr>
              <w:t>（2）</w:t>
            </w:r>
            <w:r>
              <w:rPr>
                <w:rFonts w:hint="default" w:ascii="Times New Roman" w:hAnsi="Times New Roman" w:cs="Times New Roman"/>
                <w:b/>
                <w:bCs/>
                <w:color w:val="000000" w:themeColor="text1"/>
                <w:lang w:eastAsia="zh-CN"/>
                <w14:textFill>
                  <w14:solidFill>
                    <w14:schemeClr w14:val="tx1"/>
                  </w14:solidFill>
                </w14:textFill>
              </w:rPr>
              <w:t>环境空气质量现状</w:t>
            </w:r>
          </w:p>
          <w:p w14:paraId="535A140F">
            <w:pPr>
              <w:adjustRightInd w:val="0"/>
              <w:snapToGrid w:val="0"/>
              <w:spacing w:line="360" w:lineRule="auto"/>
              <w:ind w:firstLine="480"/>
              <w:jc w:val="both"/>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本报告采用玉溪市生态环境局峨山分局202</w:t>
            </w:r>
            <w:r>
              <w:rPr>
                <w:rFonts w:hint="eastAsia" w:ascii="Times New Roman" w:hAnsi="Times New Roman" w:cs="Times New Roman"/>
                <w:color w:val="000000" w:themeColor="text1"/>
                <w:sz w:val="24"/>
                <w:highlight w:val="none"/>
                <w:lang w:val="en-US" w:eastAsia="zh-CN"/>
                <w14:textFill>
                  <w14:solidFill>
                    <w14:schemeClr w14:val="tx1"/>
                  </w14:solidFill>
                </w14:textFill>
              </w:rPr>
              <w:t>4</w:t>
            </w:r>
            <w:r>
              <w:rPr>
                <w:rFonts w:hint="default" w:ascii="Times New Roman" w:hAnsi="Times New Roman" w:eastAsia="宋体" w:cs="Times New Roman"/>
                <w:color w:val="000000" w:themeColor="text1"/>
                <w:sz w:val="24"/>
                <w:highlight w:val="none"/>
                <w14:textFill>
                  <w14:solidFill>
                    <w14:schemeClr w14:val="tx1"/>
                  </w14:solidFill>
                </w14:textFill>
              </w:rPr>
              <w:t>年连续发布的《峨山县城区环境空气质量日报》的自动监测数据。峨山县环境空气质量自动监测点位于峨山县政府，</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监测点与</w:t>
            </w:r>
            <w:r>
              <w:rPr>
                <w:rFonts w:hint="default" w:ascii="Times New Roman" w:hAnsi="Times New Roman" w:eastAsia="宋体" w:cs="Times New Roman"/>
                <w:color w:val="000000" w:themeColor="text1"/>
                <w:sz w:val="24"/>
                <w:highlight w:val="none"/>
                <w14:textFill>
                  <w14:solidFill>
                    <w14:schemeClr w14:val="tx1"/>
                  </w14:solidFill>
                </w14:textFill>
              </w:rPr>
              <w:t>本项目</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直线</w:t>
            </w:r>
            <w:r>
              <w:rPr>
                <w:rFonts w:hint="default" w:ascii="Times New Roman" w:hAnsi="Times New Roman" w:eastAsia="宋体" w:cs="Times New Roman"/>
                <w:color w:val="000000" w:themeColor="text1"/>
                <w:sz w:val="24"/>
                <w:highlight w:val="none"/>
                <w14:textFill>
                  <w14:solidFill>
                    <w14:schemeClr w14:val="tx1"/>
                  </w14:solidFill>
                </w14:textFill>
              </w:rPr>
              <w:t>距离约</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44.1</w:t>
            </w:r>
            <w:r>
              <w:rPr>
                <w:rFonts w:hint="default" w:ascii="Times New Roman" w:hAnsi="Times New Roman" w:eastAsia="宋体" w:cs="Times New Roman"/>
                <w:color w:val="000000" w:themeColor="text1"/>
                <w:sz w:val="24"/>
                <w:highlight w:val="none"/>
                <w14:textFill>
                  <w14:solidFill>
                    <w14:schemeClr w14:val="tx1"/>
                  </w14:solidFill>
                </w14:textFill>
              </w:rPr>
              <w:t>km处，</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位于</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本项目</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东</w:t>
            </w:r>
            <w:r>
              <w:rPr>
                <w:rFonts w:hint="default" w:ascii="Times New Roman" w:hAnsi="Times New Roman" w:eastAsia="宋体" w:cs="Times New Roman"/>
                <w:color w:val="000000" w:themeColor="text1"/>
                <w:sz w:val="24"/>
                <w:highlight w:val="none"/>
                <w14:textFill>
                  <w14:solidFill>
                    <w14:schemeClr w14:val="tx1"/>
                  </w14:solidFill>
                </w14:textFill>
              </w:rPr>
              <w:t>北侧</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，属于</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下</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风向</w:t>
            </w:r>
            <w:r>
              <w:rPr>
                <w:rFonts w:hint="default" w:ascii="Times New Roman" w:hAnsi="Times New Roman" w:eastAsia="宋体" w:cs="Times New Roman"/>
                <w:color w:val="000000" w:themeColor="text1"/>
                <w:sz w:val="24"/>
                <w:highlight w:val="none"/>
                <w14:textFill>
                  <w14:solidFill>
                    <w14:schemeClr w14:val="tx1"/>
                  </w14:solidFill>
                </w14:textFill>
              </w:rPr>
              <w:t>。</w:t>
            </w:r>
          </w:p>
          <w:p w14:paraId="4A44C9FB">
            <w:pPr>
              <w:adjustRightInd w:val="0"/>
              <w:snapToGrid w:val="0"/>
              <w:spacing w:line="360" w:lineRule="auto"/>
              <w:ind w:firstLine="480"/>
              <w:jc w:val="both"/>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峨山202</w:t>
            </w:r>
            <w:r>
              <w:rPr>
                <w:rFonts w:hint="eastAsia" w:ascii="Times New Roman" w:hAnsi="Times New Roman" w:cs="Times New Roman"/>
                <w:color w:val="000000" w:themeColor="text1"/>
                <w:sz w:val="24"/>
                <w:highlight w:val="none"/>
                <w:lang w:val="en-US" w:eastAsia="zh-CN"/>
                <w14:textFill>
                  <w14:solidFill>
                    <w14:schemeClr w14:val="tx1"/>
                  </w14:solidFill>
                </w14:textFill>
              </w:rPr>
              <w:t>4</w:t>
            </w:r>
            <w:r>
              <w:rPr>
                <w:rFonts w:hint="default" w:ascii="Times New Roman" w:hAnsi="Times New Roman" w:eastAsia="宋体" w:cs="Times New Roman"/>
                <w:color w:val="000000" w:themeColor="text1"/>
                <w:sz w:val="24"/>
                <w:highlight w:val="none"/>
                <w14:textFill>
                  <w14:solidFill>
                    <w14:schemeClr w14:val="tx1"/>
                  </w14:solidFill>
                </w14:textFill>
              </w:rPr>
              <w:t>年环境空气质量统计情况如下表所示：</w:t>
            </w:r>
          </w:p>
          <w:p w14:paraId="58EDB6C0">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表3-7  202</w:t>
            </w:r>
            <w:r>
              <w:rPr>
                <w:rFonts w:hint="eastAsia" w:ascii="Times New Roman" w:hAnsi="Times New Roman" w:eastAsia="宋体" w:cs="Times New Roman"/>
                <w:b/>
                <w:bCs/>
                <w:color w:val="000000" w:themeColor="text1"/>
                <w:sz w:val="21"/>
                <w:szCs w:val="21"/>
                <w:lang w:val="en-US" w:eastAsia="zh-CN"/>
                <w14:textFill>
                  <w14:solidFill>
                    <w14:schemeClr w14:val="tx1"/>
                  </w14:solidFill>
                </w14:textFill>
              </w:rPr>
              <w:t>4</w:t>
            </w: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年峨山县监测点环境空气质量现状统计表</w:t>
            </w:r>
          </w:p>
          <w:tbl>
            <w:tblPr>
              <w:tblStyle w:val="26"/>
              <w:tblW w:w="775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38"/>
              <w:gridCol w:w="2427"/>
              <w:gridCol w:w="1155"/>
              <w:gridCol w:w="1110"/>
              <w:gridCol w:w="1095"/>
              <w:gridCol w:w="932"/>
            </w:tblGrid>
            <w:tr w14:paraId="72672A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669"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12B4422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bCs w:val="0"/>
                      <w:color w:val="000000" w:themeColor="text1"/>
                      <w:sz w:val="21"/>
                      <w:szCs w:val="21"/>
                      <w14:textFill>
                        <w14:solidFill>
                          <w14:schemeClr w14:val="tx1"/>
                        </w14:solidFill>
                      </w14:textFill>
                    </w:rPr>
                  </w:pPr>
                  <w:r>
                    <w:rPr>
                      <w:rFonts w:hint="eastAsia" w:ascii="Times New Roman" w:hAnsi="Times New Roman" w:eastAsia="宋体" w:cs="Times New Roman"/>
                      <w:b/>
                      <w:bCs w:val="0"/>
                      <w:color w:val="000000" w:themeColor="text1"/>
                      <w:sz w:val="21"/>
                      <w:szCs w:val="21"/>
                      <w:lang w:val="en-US" w:eastAsia="zh-CN"/>
                      <w14:textFill>
                        <w14:solidFill>
                          <w14:schemeClr w14:val="tx1"/>
                        </w14:solidFill>
                      </w14:textFill>
                    </w:rPr>
                    <w:t>污染物</w:t>
                  </w:r>
                </w:p>
              </w:tc>
              <w:tc>
                <w:tcPr>
                  <w:tcW w:w="1564"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71BDFEF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bCs w:val="0"/>
                      <w:color w:val="000000" w:themeColor="text1"/>
                      <w:sz w:val="21"/>
                      <w:szCs w:val="21"/>
                      <w14:textFill>
                        <w14:solidFill>
                          <w14:schemeClr w14:val="tx1"/>
                        </w14:solidFill>
                      </w14:textFill>
                    </w:rPr>
                  </w:pPr>
                  <w:r>
                    <w:rPr>
                      <w:rFonts w:hint="eastAsia" w:ascii="Times New Roman" w:hAnsi="Times New Roman" w:eastAsia="宋体" w:cs="Times New Roman"/>
                      <w:b/>
                      <w:bCs w:val="0"/>
                      <w:color w:val="000000" w:themeColor="text1"/>
                      <w:sz w:val="21"/>
                      <w:szCs w:val="21"/>
                      <w:lang w:val="en-US" w:eastAsia="zh-CN"/>
                      <w14:textFill>
                        <w14:solidFill>
                          <w14:schemeClr w14:val="tx1"/>
                        </w14:solidFill>
                      </w14:textFill>
                    </w:rPr>
                    <w:t>年评价指标</w:t>
                  </w:r>
                </w:p>
              </w:tc>
              <w:tc>
                <w:tcPr>
                  <w:tcW w:w="744"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792CB1D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bCs w:val="0"/>
                      <w:color w:val="000000" w:themeColor="text1"/>
                      <w:sz w:val="21"/>
                      <w:szCs w:val="21"/>
                      <w14:textFill>
                        <w14:solidFill>
                          <w14:schemeClr w14:val="tx1"/>
                        </w14:solidFill>
                      </w14:textFill>
                    </w:rPr>
                  </w:pPr>
                  <w:r>
                    <w:rPr>
                      <w:rFonts w:hint="eastAsia" w:ascii="Times New Roman" w:hAnsi="Times New Roman" w:eastAsia="宋体" w:cs="Times New Roman"/>
                      <w:b/>
                      <w:bCs w:val="0"/>
                      <w:color w:val="000000" w:themeColor="text1"/>
                      <w:sz w:val="21"/>
                      <w:szCs w:val="21"/>
                      <w:lang w:val="en-US" w:eastAsia="zh-CN"/>
                      <w14:textFill>
                        <w14:solidFill>
                          <w14:schemeClr w14:val="tx1"/>
                        </w14:solidFill>
                      </w14:textFill>
                    </w:rPr>
                    <w:t>现状浓度（</w:t>
                  </w:r>
                  <w:r>
                    <w:rPr>
                      <w:rFonts w:hint="default" w:ascii="Times New Roman" w:hAnsi="Times New Roman" w:eastAsia="宋体" w:cs="Times New Roman"/>
                      <w:b/>
                      <w:bCs w:val="0"/>
                      <w:color w:val="000000" w:themeColor="text1"/>
                      <w:sz w:val="21"/>
                      <w:szCs w:val="21"/>
                      <w:lang w:val="en-US" w:eastAsia="zh-CN"/>
                      <w14:textFill>
                        <w14:solidFill>
                          <w14:schemeClr w14:val="tx1"/>
                        </w14:solidFill>
                      </w14:textFill>
                    </w:rPr>
                    <w:t>μg/m</w:t>
                  </w:r>
                  <w:r>
                    <w:rPr>
                      <w:rFonts w:hint="default" w:ascii="Times New Roman" w:hAnsi="Times New Roman" w:eastAsia="宋体" w:cs="Times New Roman"/>
                      <w:b/>
                      <w:bCs w:val="0"/>
                      <w:color w:val="000000" w:themeColor="text1"/>
                      <w:sz w:val="21"/>
                      <w:szCs w:val="21"/>
                      <w:vertAlign w:val="superscript"/>
                      <w:lang w:val="en-US" w:eastAsia="zh-CN"/>
                      <w14:textFill>
                        <w14:solidFill>
                          <w14:schemeClr w14:val="tx1"/>
                        </w14:solidFill>
                      </w14:textFill>
                    </w:rPr>
                    <w:t>3</w:t>
                  </w:r>
                  <w:r>
                    <w:rPr>
                      <w:rFonts w:hint="default" w:ascii="Times New Roman" w:hAnsi="Times New Roman" w:eastAsia="宋体" w:cs="Times New Roman"/>
                      <w:b/>
                      <w:bCs w:val="0"/>
                      <w:color w:val="000000" w:themeColor="text1"/>
                      <w:sz w:val="21"/>
                      <w:szCs w:val="21"/>
                      <w:lang w:val="en-US" w:eastAsia="zh-CN"/>
                      <w14:textFill>
                        <w14:solidFill>
                          <w14:schemeClr w14:val="tx1"/>
                        </w14:solidFill>
                      </w14:textFill>
                    </w:rPr>
                    <w:t>）</w:t>
                  </w:r>
                </w:p>
              </w:tc>
              <w:tc>
                <w:tcPr>
                  <w:tcW w:w="715" w:type="pct"/>
                  <w:tcBorders>
                    <w:top w:val="single" w:color="000000" w:sz="8" w:space="0"/>
                    <w:left w:val="single" w:color="000000" w:sz="8" w:space="0"/>
                    <w:bottom w:val="nil"/>
                    <w:right w:val="single" w:color="000000" w:sz="8" w:space="0"/>
                  </w:tcBorders>
                  <w:shd w:val="clear" w:color="auto" w:fill="auto"/>
                  <w:vAlign w:val="center"/>
                </w:tcPr>
                <w:p w14:paraId="4E3031F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bCs w:val="0"/>
                      <w:color w:val="000000" w:themeColor="text1"/>
                      <w:sz w:val="21"/>
                      <w:szCs w:val="21"/>
                      <w14:textFill>
                        <w14:solidFill>
                          <w14:schemeClr w14:val="tx1"/>
                        </w14:solidFill>
                      </w14:textFill>
                    </w:rPr>
                  </w:pPr>
                  <w:r>
                    <w:rPr>
                      <w:rFonts w:hint="eastAsia" w:ascii="Times New Roman" w:hAnsi="Times New Roman" w:eastAsia="宋体" w:cs="Times New Roman"/>
                      <w:b/>
                      <w:bCs w:val="0"/>
                      <w:color w:val="000000" w:themeColor="text1"/>
                      <w:sz w:val="21"/>
                      <w:szCs w:val="21"/>
                      <w:lang w:val="en-US" w:eastAsia="zh-CN"/>
                      <w14:textFill>
                        <w14:solidFill>
                          <w14:schemeClr w14:val="tx1"/>
                        </w14:solidFill>
                      </w14:textFill>
                    </w:rPr>
                    <w:t>标准值</w:t>
                  </w:r>
                </w:p>
              </w:tc>
              <w:tc>
                <w:tcPr>
                  <w:tcW w:w="705"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390CDB8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bCs w:val="0"/>
                      <w:color w:val="000000" w:themeColor="text1"/>
                      <w:sz w:val="21"/>
                      <w:szCs w:val="21"/>
                      <w14:textFill>
                        <w14:solidFill>
                          <w14:schemeClr w14:val="tx1"/>
                        </w14:solidFill>
                      </w14:textFill>
                    </w:rPr>
                  </w:pPr>
                  <w:r>
                    <w:rPr>
                      <w:rFonts w:hint="eastAsia" w:ascii="Times New Roman" w:hAnsi="Times New Roman" w:eastAsia="宋体" w:cs="Times New Roman"/>
                      <w:b/>
                      <w:bCs w:val="0"/>
                      <w:color w:val="000000" w:themeColor="text1"/>
                      <w:sz w:val="21"/>
                      <w:szCs w:val="21"/>
                      <w:lang w:val="en-US" w:eastAsia="zh-CN"/>
                      <w14:textFill>
                        <w14:solidFill>
                          <w14:schemeClr w14:val="tx1"/>
                        </w14:solidFill>
                      </w14:textFill>
                    </w:rPr>
                    <w:t>占标率</w:t>
                  </w:r>
                  <w:r>
                    <w:rPr>
                      <w:rFonts w:hint="default" w:ascii="Times New Roman" w:hAnsi="Times New Roman" w:eastAsia="宋体" w:cs="Times New Roman"/>
                      <w:b/>
                      <w:bCs w:val="0"/>
                      <w:color w:val="000000" w:themeColor="text1"/>
                      <w:sz w:val="21"/>
                      <w:szCs w:val="21"/>
                      <w:lang w:val="en-US" w:eastAsia="zh-CN"/>
                      <w14:textFill>
                        <w14:solidFill>
                          <w14:schemeClr w14:val="tx1"/>
                        </w14:solidFill>
                      </w14:textFill>
                    </w:rPr>
                    <w:t>/%</w:t>
                  </w:r>
                </w:p>
              </w:tc>
              <w:tc>
                <w:tcPr>
                  <w:tcW w:w="600"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30D28E1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bCs w:val="0"/>
                      <w:color w:val="000000" w:themeColor="text1"/>
                      <w:sz w:val="21"/>
                      <w:szCs w:val="21"/>
                      <w14:textFill>
                        <w14:solidFill>
                          <w14:schemeClr w14:val="tx1"/>
                        </w14:solidFill>
                      </w14:textFill>
                    </w:rPr>
                  </w:pPr>
                  <w:r>
                    <w:rPr>
                      <w:rFonts w:hint="eastAsia" w:ascii="Times New Roman" w:hAnsi="Times New Roman" w:eastAsia="宋体" w:cs="Times New Roman"/>
                      <w:b/>
                      <w:bCs w:val="0"/>
                      <w:color w:val="000000" w:themeColor="text1"/>
                      <w:sz w:val="21"/>
                      <w:szCs w:val="21"/>
                      <w:lang w:val="en-US" w:eastAsia="zh-CN"/>
                      <w14:textFill>
                        <w14:solidFill>
                          <w14:schemeClr w14:val="tx1"/>
                        </w14:solidFill>
                      </w14:textFill>
                    </w:rPr>
                    <w:t>评价结果</w:t>
                  </w:r>
                </w:p>
              </w:tc>
            </w:tr>
            <w:tr w14:paraId="2775D1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E82A90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bCs w:val="0"/>
                      <w:color w:val="000000" w:themeColor="text1"/>
                      <w:sz w:val="21"/>
                      <w:szCs w:val="21"/>
                      <w14:textFill>
                        <w14:solidFill>
                          <w14:schemeClr w14:val="tx1"/>
                        </w14:solidFill>
                      </w14:textFill>
                    </w:rPr>
                  </w:pPr>
                </w:p>
              </w:tc>
              <w:tc>
                <w:tcPr>
                  <w:tcW w:w="1564"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2D6C73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bCs w:val="0"/>
                      <w:color w:val="000000" w:themeColor="text1"/>
                      <w:sz w:val="21"/>
                      <w:szCs w:val="21"/>
                      <w14:textFill>
                        <w14:solidFill>
                          <w14:schemeClr w14:val="tx1"/>
                        </w14:solidFill>
                      </w14:textFill>
                    </w:rPr>
                  </w:pPr>
                </w:p>
              </w:tc>
              <w:tc>
                <w:tcPr>
                  <w:tcW w:w="744"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585E2F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bCs w:val="0"/>
                      <w:color w:val="000000" w:themeColor="text1"/>
                      <w:sz w:val="21"/>
                      <w:szCs w:val="21"/>
                      <w14:textFill>
                        <w14:solidFill>
                          <w14:schemeClr w14:val="tx1"/>
                        </w14:solidFill>
                      </w14:textFill>
                    </w:rPr>
                  </w:pPr>
                </w:p>
              </w:tc>
              <w:tc>
                <w:tcPr>
                  <w:tcW w:w="715" w:type="pct"/>
                  <w:tcBorders>
                    <w:top w:val="nil"/>
                    <w:left w:val="single" w:color="000000" w:sz="8" w:space="0"/>
                    <w:bottom w:val="single" w:color="000000" w:sz="8" w:space="0"/>
                    <w:right w:val="single" w:color="000000" w:sz="8" w:space="0"/>
                  </w:tcBorders>
                  <w:shd w:val="clear" w:color="auto" w:fill="auto"/>
                  <w:vAlign w:val="center"/>
                </w:tcPr>
                <w:p w14:paraId="4CBBF9C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bCs w:val="0"/>
                      <w:color w:val="000000" w:themeColor="text1"/>
                      <w:sz w:val="21"/>
                      <w:szCs w:val="21"/>
                      <w14:textFill>
                        <w14:solidFill>
                          <w14:schemeClr w14:val="tx1"/>
                        </w14:solidFill>
                      </w14:textFill>
                    </w:rPr>
                  </w:pPr>
                  <w:r>
                    <w:rPr>
                      <w:rFonts w:hint="eastAsia" w:ascii="Times New Roman" w:hAnsi="Times New Roman" w:eastAsia="宋体" w:cs="Times New Roman"/>
                      <w:b/>
                      <w:bCs w:val="0"/>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b/>
                      <w:bCs w:val="0"/>
                      <w:color w:val="000000" w:themeColor="text1"/>
                      <w:sz w:val="21"/>
                      <w:szCs w:val="21"/>
                      <w:lang w:val="en-US" w:eastAsia="zh-CN"/>
                      <w14:textFill>
                        <w14:solidFill>
                          <w14:schemeClr w14:val="tx1"/>
                        </w14:solidFill>
                      </w14:textFill>
                    </w:rPr>
                    <w:t>μg/m</w:t>
                  </w:r>
                  <w:r>
                    <w:rPr>
                      <w:rFonts w:hint="default" w:ascii="Times New Roman" w:hAnsi="Times New Roman" w:eastAsia="宋体" w:cs="Times New Roman"/>
                      <w:b/>
                      <w:bCs w:val="0"/>
                      <w:color w:val="000000" w:themeColor="text1"/>
                      <w:sz w:val="21"/>
                      <w:szCs w:val="21"/>
                      <w:vertAlign w:val="superscript"/>
                      <w:lang w:val="en-US" w:eastAsia="zh-CN"/>
                      <w14:textFill>
                        <w14:solidFill>
                          <w14:schemeClr w14:val="tx1"/>
                        </w14:solidFill>
                      </w14:textFill>
                    </w:rPr>
                    <w:t>3</w:t>
                  </w:r>
                  <w:r>
                    <w:rPr>
                      <w:rFonts w:hint="default" w:ascii="Times New Roman" w:hAnsi="Times New Roman" w:eastAsia="宋体" w:cs="Times New Roman"/>
                      <w:b/>
                      <w:bCs w:val="0"/>
                      <w:color w:val="000000" w:themeColor="text1"/>
                      <w:sz w:val="21"/>
                      <w:szCs w:val="21"/>
                      <w:lang w:val="en-US" w:eastAsia="zh-CN"/>
                      <w14:textFill>
                        <w14:solidFill>
                          <w14:schemeClr w14:val="tx1"/>
                        </w14:solidFill>
                      </w14:textFill>
                    </w:rPr>
                    <w:t>）</w:t>
                  </w:r>
                </w:p>
              </w:tc>
              <w:tc>
                <w:tcPr>
                  <w:tcW w:w="70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C67EFA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Cs/>
                      <w:color w:val="000000" w:themeColor="text1"/>
                      <w:sz w:val="21"/>
                      <w:szCs w:val="21"/>
                      <w14:textFill>
                        <w14:solidFill>
                          <w14:schemeClr w14:val="tx1"/>
                        </w14:solidFill>
                      </w14:textFill>
                    </w:rPr>
                  </w:pPr>
                </w:p>
              </w:tc>
              <w:tc>
                <w:tcPr>
                  <w:tcW w:w="600"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BA7478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Cs/>
                      <w:color w:val="000000" w:themeColor="text1"/>
                      <w:sz w:val="21"/>
                      <w:szCs w:val="21"/>
                      <w14:textFill>
                        <w14:solidFill>
                          <w14:schemeClr w14:val="tx1"/>
                        </w14:solidFill>
                      </w14:textFill>
                    </w:rPr>
                  </w:pPr>
                </w:p>
              </w:tc>
            </w:tr>
            <w:tr w14:paraId="5406C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669" w:type="pct"/>
                  <w:vMerge w:val="restart"/>
                  <w:tcBorders>
                    <w:top w:val="nil"/>
                    <w:left w:val="single" w:color="000000" w:sz="8" w:space="0"/>
                    <w:bottom w:val="single" w:color="000000" w:sz="8" w:space="0"/>
                    <w:right w:val="single" w:color="000000" w:sz="8" w:space="0"/>
                  </w:tcBorders>
                  <w:shd w:val="clear" w:color="auto" w:fill="auto"/>
                  <w:vAlign w:val="center"/>
                </w:tcPr>
                <w:p w14:paraId="5DFD18E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lang w:val="en-US" w:eastAsia="zh-CN"/>
                      <w14:textFill>
                        <w14:solidFill>
                          <w14:schemeClr w14:val="tx1"/>
                        </w14:solidFill>
                      </w14:textFill>
                    </w:rPr>
                    <w:t>SO</w:t>
                  </w:r>
                  <w:r>
                    <w:rPr>
                      <w:rFonts w:hint="default" w:ascii="Times New Roman" w:hAnsi="Times New Roman" w:eastAsia="宋体" w:cs="Times New Roman"/>
                      <w:bCs/>
                      <w:color w:val="000000" w:themeColor="text1"/>
                      <w:sz w:val="21"/>
                      <w:szCs w:val="21"/>
                      <w:vertAlign w:val="subscript"/>
                      <w:lang w:val="en-US" w:eastAsia="zh-CN"/>
                      <w14:textFill>
                        <w14:solidFill>
                          <w14:schemeClr w14:val="tx1"/>
                        </w14:solidFill>
                      </w14:textFill>
                    </w:rPr>
                    <w:t>2</w:t>
                  </w:r>
                </w:p>
              </w:tc>
              <w:tc>
                <w:tcPr>
                  <w:tcW w:w="1564" w:type="pct"/>
                  <w:tcBorders>
                    <w:top w:val="nil"/>
                    <w:left w:val="single" w:color="000000" w:sz="8" w:space="0"/>
                    <w:bottom w:val="single" w:color="000000" w:sz="8" w:space="0"/>
                    <w:right w:val="single" w:color="000000" w:sz="8" w:space="0"/>
                  </w:tcBorders>
                  <w:shd w:val="clear" w:color="auto" w:fill="auto"/>
                  <w:vAlign w:val="center"/>
                </w:tcPr>
                <w:p w14:paraId="6251536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年平均质量浓度</w:t>
                  </w:r>
                </w:p>
              </w:tc>
              <w:tc>
                <w:tcPr>
                  <w:tcW w:w="744" w:type="pct"/>
                  <w:tcBorders>
                    <w:top w:val="nil"/>
                    <w:left w:val="single" w:color="000000" w:sz="8" w:space="0"/>
                    <w:bottom w:val="single" w:color="000000" w:sz="8" w:space="0"/>
                    <w:right w:val="single" w:color="000000" w:sz="8" w:space="0"/>
                  </w:tcBorders>
                  <w:shd w:val="clear" w:color="auto" w:fill="auto"/>
                  <w:vAlign w:val="center"/>
                </w:tcPr>
                <w:p w14:paraId="104E6F8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lang w:val="en-US" w:eastAsia="zh-CN"/>
                      <w14:textFill>
                        <w14:solidFill>
                          <w14:schemeClr w14:val="tx1"/>
                        </w14:solidFill>
                      </w14:textFill>
                    </w:rPr>
                    <w:t>6.89</w:t>
                  </w:r>
                </w:p>
              </w:tc>
              <w:tc>
                <w:tcPr>
                  <w:tcW w:w="715" w:type="pct"/>
                  <w:tcBorders>
                    <w:top w:val="nil"/>
                    <w:left w:val="single" w:color="000000" w:sz="8" w:space="0"/>
                    <w:bottom w:val="single" w:color="000000" w:sz="8" w:space="0"/>
                    <w:right w:val="single" w:color="000000" w:sz="8" w:space="0"/>
                  </w:tcBorders>
                  <w:shd w:val="clear" w:color="auto" w:fill="auto"/>
                  <w:vAlign w:val="center"/>
                </w:tcPr>
                <w:p w14:paraId="4B045BE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lang w:val="en-US" w:eastAsia="zh-CN"/>
                      <w14:textFill>
                        <w14:solidFill>
                          <w14:schemeClr w14:val="tx1"/>
                        </w14:solidFill>
                      </w14:textFill>
                    </w:rPr>
                    <w:t>60</w:t>
                  </w:r>
                </w:p>
              </w:tc>
              <w:tc>
                <w:tcPr>
                  <w:tcW w:w="705" w:type="pct"/>
                  <w:tcBorders>
                    <w:top w:val="nil"/>
                    <w:left w:val="single" w:color="000000" w:sz="8" w:space="0"/>
                    <w:bottom w:val="single" w:color="000000" w:sz="8" w:space="0"/>
                    <w:right w:val="single" w:color="000000" w:sz="8" w:space="0"/>
                  </w:tcBorders>
                  <w:shd w:val="clear" w:color="auto" w:fill="auto"/>
                  <w:vAlign w:val="center"/>
                </w:tcPr>
                <w:p w14:paraId="4805664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lang w:val="en-US" w:eastAsia="zh-CN"/>
                      <w14:textFill>
                        <w14:solidFill>
                          <w14:schemeClr w14:val="tx1"/>
                        </w14:solidFill>
                      </w14:textFill>
                    </w:rPr>
                    <w:t>11.4833</w:t>
                  </w:r>
                </w:p>
              </w:tc>
              <w:tc>
                <w:tcPr>
                  <w:tcW w:w="600" w:type="pct"/>
                  <w:tcBorders>
                    <w:top w:val="nil"/>
                    <w:left w:val="single" w:color="000000" w:sz="8" w:space="0"/>
                    <w:bottom w:val="single" w:color="000000" w:sz="8" w:space="0"/>
                    <w:right w:val="single" w:color="000000" w:sz="8" w:space="0"/>
                  </w:tcBorders>
                  <w:shd w:val="clear" w:color="auto" w:fill="auto"/>
                  <w:vAlign w:val="center"/>
                </w:tcPr>
                <w:p w14:paraId="2CE877A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Cs/>
                      <w:color w:val="000000" w:themeColor="text1"/>
                      <w:sz w:val="21"/>
                      <w:szCs w:val="21"/>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达标</w:t>
                  </w:r>
                </w:p>
              </w:tc>
            </w:tr>
            <w:tr w14:paraId="21211F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69" w:type="pct"/>
                  <w:vMerge w:val="continue"/>
                  <w:tcBorders>
                    <w:top w:val="nil"/>
                    <w:left w:val="single" w:color="000000" w:sz="8" w:space="0"/>
                    <w:bottom w:val="single" w:color="000000" w:sz="8" w:space="0"/>
                    <w:right w:val="single" w:color="000000" w:sz="8" w:space="0"/>
                  </w:tcBorders>
                  <w:shd w:val="clear" w:color="auto" w:fill="auto"/>
                  <w:vAlign w:val="center"/>
                </w:tcPr>
                <w:p w14:paraId="5B7AB09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p>
              </w:tc>
              <w:tc>
                <w:tcPr>
                  <w:tcW w:w="1564" w:type="pct"/>
                  <w:tcBorders>
                    <w:top w:val="nil"/>
                    <w:left w:val="single" w:color="000000" w:sz="8" w:space="0"/>
                    <w:bottom w:val="single" w:color="000000" w:sz="8" w:space="0"/>
                    <w:right w:val="single" w:color="000000" w:sz="8" w:space="0"/>
                  </w:tcBorders>
                  <w:shd w:val="clear" w:color="auto" w:fill="auto"/>
                  <w:vAlign w:val="center"/>
                </w:tcPr>
                <w:p w14:paraId="11A0968D">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24h平均第98百分位数</w:t>
                  </w:r>
                </w:p>
              </w:tc>
              <w:tc>
                <w:tcPr>
                  <w:tcW w:w="744" w:type="pct"/>
                  <w:tcBorders>
                    <w:top w:val="nil"/>
                    <w:left w:val="single" w:color="000000" w:sz="8" w:space="0"/>
                    <w:bottom w:val="single" w:color="000000" w:sz="8" w:space="0"/>
                    <w:right w:val="single" w:color="000000" w:sz="8" w:space="0"/>
                  </w:tcBorders>
                  <w:shd w:val="clear" w:color="auto" w:fill="auto"/>
                  <w:vAlign w:val="center"/>
                </w:tcPr>
                <w:p w14:paraId="244347D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lang w:val="en-US" w:eastAsia="zh-CN"/>
                      <w14:textFill>
                        <w14:solidFill>
                          <w14:schemeClr w14:val="tx1"/>
                        </w14:solidFill>
                      </w14:textFill>
                    </w:rPr>
                    <w:t>10</w:t>
                  </w:r>
                </w:p>
              </w:tc>
              <w:tc>
                <w:tcPr>
                  <w:tcW w:w="715" w:type="pct"/>
                  <w:tcBorders>
                    <w:top w:val="nil"/>
                    <w:left w:val="single" w:color="000000" w:sz="8" w:space="0"/>
                    <w:bottom w:val="single" w:color="000000" w:sz="8" w:space="0"/>
                    <w:right w:val="single" w:color="000000" w:sz="8" w:space="0"/>
                  </w:tcBorders>
                  <w:shd w:val="clear" w:color="auto" w:fill="auto"/>
                  <w:vAlign w:val="center"/>
                </w:tcPr>
                <w:p w14:paraId="652BEFC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lang w:val="en-US" w:eastAsia="zh-CN"/>
                      <w14:textFill>
                        <w14:solidFill>
                          <w14:schemeClr w14:val="tx1"/>
                        </w14:solidFill>
                      </w14:textFill>
                    </w:rPr>
                    <w:t>150</w:t>
                  </w:r>
                </w:p>
              </w:tc>
              <w:tc>
                <w:tcPr>
                  <w:tcW w:w="705" w:type="pct"/>
                  <w:tcBorders>
                    <w:top w:val="nil"/>
                    <w:left w:val="single" w:color="000000" w:sz="8" w:space="0"/>
                    <w:bottom w:val="single" w:color="000000" w:sz="8" w:space="0"/>
                    <w:right w:val="single" w:color="000000" w:sz="8" w:space="0"/>
                  </w:tcBorders>
                  <w:shd w:val="clear" w:color="auto" w:fill="auto"/>
                  <w:vAlign w:val="center"/>
                </w:tcPr>
                <w:p w14:paraId="2058C8B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000000" w:themeColor="text1"/>
                      <w:sz w:val="21"/>
                      <w:szCs w:val="21"/>
                      <w:lang w:val="en-US"/>
                      <w14:textFill>
                        <w14:solidFill>
                          <w14:schemeClr w14:val="tx1"/>
                        </w14:solidFill>
                      </w14:textFill>
                    </w:rPr>
                  </w:pPr>
                  <w:r>
                    <w:rPr>
                      <w:rFonts w:hint="default" w:ascii="Times New Roman" w:hAnsi="Times New Roman" w:eastAsia="宋体" w:cs="Times New Roman"/>
                      <w:bCs/>
                      <w:color w:val="000000" w:themeColor="text1"/>
                      <w:sz w:val="21"/>
                      <w:szCs w:val="21"/>
                      <w:lang w:val="en-US" w:eastAsia="zh-CN"/>
                      <w14:textFill>
                        <w14:solidFill>
                          <w14:schemeClr w14:val="tx1"/>
                        </w14:solidFill>
                      </w14:textFill>
                    </w:rPr>
                    <w:t>6.6</w:t>
                  </w:r>
                  <w:r>
                    <w:rPr>
                      <w:rFonts w:hint="eastAsia" w:ascii="Times New Roman" w:hAnsi="Times New Roman" w:cs="Times New Roman"/>
                      <w:bCs/>
                      <w:color w:val="000000" w:themeColor="text1"/>
                      <w:sz w:val="21"/>
                      <w:szCs w:val="21"/>
                      <w:lang w:val="en-US" w:eastAsia="zh-CN"/>
                      <w14:textFill>
                        <w14:solidFill>
                          <w14:schemeClr w14:val="tx1"/>
                        </w14:solidFill>
                      </w14:textFill>
                    </w:rPr>
                    <w:t>667</w:t>
                  </w:r>
                </w:p>
              </w:tc>
              <w:tc>
                <w:tcPr>
                  <w:tcW w:w="600" w:type="pct"/>
                  <w:tcBorders>
                    <w:top w:val="nil"/>
                    <w:left w:val="single" w:color="000000" w:sz="8" w:space="0"/>
                    <w:bottom w:val="single" w:color="000000" w:sz="8" w:space="0"/>
                    <w:right w:val="single" w:color="000000" w:sz="8" w:space="0"/>
                  </w:tcBorders>
                  <w:shd w:val="clear" w:color="auto" w:fill="auto"/>
                  <w:vAlign w:val="center"/>
                </w:tcPr>
                <w:p w14:paraId="0A45F77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Cs/>
                      <w:color w:val="000000" w:themeColor="text1"/>
                      <w:sz w:val="21"/>
                      <w:szCs w:val="21"/>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达标</w:t>
                  </w:r>
                </w:p>
              </w:tc>
            </w:tr>
            <w:tr w14:paraId="1AF64A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669" w:type="pct"/>
                  <w:vMerge w:val="restart"/>
                  <w:tcBorders>
                    <w:top w:val="nil"/>
                    <w:left w:val="single" w:color="000000" w:sz="8" w:space="0"/>
                    <w:bottom w:val="single" w:color="000000" w:sz="8" w:space="0"/>
                    <w:right w:val="single" w:color="000000" w:sz="8" w:space="0"/>
                  </w:tcBorders>
                  <w:shd w:val="clear" w:color="auto" w:fill="auto"/>
                  <w:vAlign w:val="center"/>
                </w:tcPr>
                <w:p w14:paraId="11F6686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lang w:val="en-US" w:eastAsia="zh-CN"/>
                      <w14:textFill>
                        <w14:solidFill>
                          <w14:schemeClr w14:val="tx1"/>
                        </w14:solidFill>
                      </w14:textFill>
                    </w:rPr>
                    <w:t>NO</w:t>
                  </w:r>
                  <w:r>
                    <w:rPr>
                      <w:rFonts w:hint="default" w:ascii="Times New Roman" w:hAnsi="Times New Roman" w:eastAsia="宋体" w:cs="Times New Roman"/>
                      <w:bCs/>
                      <w:color w:val="000000" w:themeColor="text1"/>
                      <w:sz w:val="21"/>
                      <w:szCs w:val="21"/>
                      <w:vertAlign w:val="subscript"/>
                      <w:lang w:val="en-US" w:eastAsia="zh-CN"/>
                      <w14:textFill>
                        <w14:solidFill>
                          <w14:schemeClr w14:val="tx1"/>
                        </w14:solidFill>
                      </w14:textFill>
                    </w:rPr>
                    <w:t>2</w:t>
                  </w:r>
                </w:p>
              </w:tc>
              <w:tc>
                <w:tcPr>
                  <w:tcW w:w="1564" w:type="pct"/>
                  <w:tcBorders>
                    <w:top w:val="nil"/>
                    <w:left w:val="single" w:color="000000" w:sz="8" w:space="0"/>
                    <w:bottom w:val="single" w:color="000000" w:sz="8" w:space="0"/>
                    <w:right w:val="single" w:color="000000" w:sz="8" w:space="0"/>
                  </w:tcBorders>
                  <w:shd w:val="clear" w:color="auto" w:fill="auto"/>
                  <w:vAlign w:val="center"/>
                </w:tcPr>
                <w:p w14:paraId="45D123D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年平均质量浓度</w:t>
                  </w:r>
                </w:p>
              </w:tc>
              <w:tc>
                <w:tcPr>
                  <w:tcW w:w="744" w:type="pct"/>
                  <w:tcBorders>
                    <w:top w:val="nil"/>
                    <w:left w:val="single" w:color="000000" w:sz="8" w:space="0"/>
                    <w:bottom w:val="single" w:color="000000" w:sz="8" w:space="0"/>
                    <w:right w:val="single" w:color="000000" w:sz="8" w:space="0"/>
                  </w:tcBorders>
                  <w:shd w:val="clear" w:color="auto" w:fill="auto"/>
                  <w:vAlign w:val="center"/>
                </w:tcPr>
                <w:p w14:paraId="22A3087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lang w:val="en-US" w:eastAsia="zh-CN"/>
                      <w14:textFill>
                        <w14:solidFill>
                          <w14:schemeClr w14:val="tx1"/>
                        </w14:solidFill>
                      </w14:textFill>
                    </w:rPr>
                    <w:t>19.35</w:t>
                  </w:r>
                </w:p>
              </w:tc>
              <w:tc>
                <w:tcPr>
                  <w:tcW w:w="715" w:type="pct"/>
                  <w:tcBorders>
                    <w:top w:val="nil"/>
                    <w:left w:val="single" w:color="000000" w:sz="8" w:space="0"/>
                    <w:bottom w:val="single" w:color="000000" w:sz="8" w:space="0"/>
                    <w:right w:val="single" w:color="000000" w:sz="8" w:space="0"/>
                  </w:tcBorders>
                  <w:shd w:val="clear" w:color="auto" w:fill="auto"/>
                  <w:vAlign w:val="center"/>
                </w:tcPr>
                <w:p w14:paraId="412A487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lang w:val="en-US" w:eastAsia="zh-CN"/>
                      <w14:textFill>
                        <w14:solidFill>
                          <w14:schemeClr w14:val="tx1"/>
                        </w14:solidFill>
                      </w14:textFill>
                    </w:rPr>
                    <w:t>40</w:t>
                  </w:r>
                </w:p>
              </w:tc>
              <w:tc>
                <w:tcPr>
                  <w:tcW w:w="705" w:type="pct"/>
                  <w:tcBorders>
                    <w:top w:val="nil"/>
                    <w:left w:val="single" w:color="000000" w:sz="8" w:space="0"/>
                    <w:bottom w:val="single" w:color="000000" w:sz="8" w:space="0"/>
                    <w:right w:val="single" w:color="000000" w:sz="8" w:space="0"/>
                  </w:tcBorders>
                  <w:shd w:val="clear" w:color="auto" w:fill="auto"/>
                  <w:vAlign w:val="center"/>
                </w:tcPr>
                <w:p w14:paraId="25C2CED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lang w:val="en-US" w:eastAsia="zh-CN"/>
                      <w14:textFill>
                        <w14:solidFill>
                          <w14:schemeClr w14:val="tx1"/>
                        </w14:solidFill>
                      </w14:textFill>
                    </w:rPr>
                    <w:t>48.375</w:t>
                  </w:r>
                </w:p>
              </w:tc>
              <w:tc>
                <w:tcPr>
                  <w:tcW w:w="600" w:type="pct"/>
                  <w:tcBorders>
                    <w:top w:val="nil"/>
                    <w:left w:val="single" w:color="000000" w:sz="8" w:space="0"/>
                    <w:bottom w:val="single" w:color="000000" w:sz="8" w:space="0"/>
                    <w:right w:val="single" w:color="000000" w:sz="8" w:space="0"/>
                  </w:tcBorders>
                  <w:shd w:val="clear" w:color="auto" w:fill="auto"/>
                  <w:vAlign w:val="center"/>
                </w:tcPr>
                <w:p w14:paraId="4347246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Cs/>
                      <w:color w:val="000000" w:themeColor="text1"/>
                      <w:sz w:val="21"/>
                      <w:szCs w:val="21"/>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达标</w:t>
                  </w:r>
                </w:p>
              </w:tc>
            </w:tr>
            <w:tr w14:paraId="0A0074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669" w:type="pct"/>
                  <w:vMerge w:val="continue"/>
                  <w:tcBorders>
                    <w:top w:val="nil"/>
                    <w:left w:val="single" w:color="000000" w:sz="8" w:space="0"/>
                    <w:bottom w:val="single" w:color="000000" w:sz="8" w:space="0"/>
                    <w:right w:val="single" w:color="000000" w:sz="8" w:space="0"/>
                  </w:tcBorders>
                  <w:shd w:val="clear" w:color="auto" w:fill="auto"/>
                  <w:vAlign w:val="center"/>
                </w:tcPr>
                <w:p w14:paraId="06EB509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p>
              </w:tc>
              <w:tc>
                <w:tcPr>
                  <w:tcW w:w="1564" w:type="pct"/>
                  <w:tcBorders>
                    <w:top w:val="nil"/>
                    <w:left w:val="single" w:color="000000" w:sz="8" w:space="0"/>
                    <w:bottom w:val="single" w:color="000000" w:sz="8" w:space="0"/>
                    <w:right w:val="single" w:color="000000" w:sz="8" w:space="0"/>
                  </w:tcBorders>
                  <w:shd w:val="clear" w:color="auto" w:fill="auto"/>
                  <w:vAlign w:val="center"/>
                </w:tcPr>
                <w:p w14:paraId="600514D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24h平均第98百分位数</w:t>
                  </w:r>
                </w:p>
              </w:tc>
              <w:tc>
                <w:tcPr>
                  <w:tcW w:w="744" w:type="pct"/>
                  <w:tcBorders>
                    <w:top w:val="nil"/>
                    <w:left w:val="single" w:color="000000" w:sz="8" w:space="0"/>
                    <w:bottom w:val="single" w:color="000000" w:sz="8" w:space="0"/>
                    <w:right w:val="single" w:color="000000" w:sz="8" w:space="0"/>
                  </w:tcBorders>
                  <w:shd w:val="clear" w:color="auto" w:fill="auto"/>
                  <w:vAlign w:val="center"/>
                </w:tcPr>
                <w:p w14:paraId="2C7173B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lang w:val="en-US" w:eastAsia="zh-CN"/>
                      <w14:textFill>
                        <w14:solidFill>
                          <w14:schemeClr w14:val="tx1"/>
                        </w14:solidFill>
                      </w14:textFill>
                    </w:rPr>
                    <w:t>42</w:t>
                  </w:r>
                </w:p>
              </w:tc>
              <w:tc>
                <w:tcPr>
                  <w:tcW w:w="715" w:type="pct"/>
                  <w:tcBorders>
                    <w:top w:val="nil"/>
                    <w:left w:val="single" w:color="000000" w:sz="8" w:space="0"/>
                    <w:bottom w:val="single" w:color="000000" w:sz="8" w:space="0"/>
                    <w:right w:val="single" w:color="000000" w:sz="8" w:space="0"/>
                  </w:tcBorders>
                  <w:shd w:val="clear" w:color="auto" w:fill="auto"/>
                  <w:vAlign w:val="center"/>
                </w:tcPr>
                <w:p w14:paraId="2D9864F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lang w:val="en-US" w:eastAsia="zh-CN"/>
                      <w14:textFill>
                        <w14:solidFill>
                          <w14:schemeClr w14:val="tx1"/>
                        </w14:solidFill>
                      </w14:textFill>
                    </w:rPr>
                    <w:t>80</w:t>
                  </w:r>
                </w:p>
              </w:tc>
              <w:tc>
                <w:tcPr>
                  <w:tcW w:w="705" w:type="pct"/>
                  <w:tcBorders>
                    <w:top w:val="nil"/>
                    <w:left w:val="single" w:color="000000" w:sz="8" w:space="0"/>
                    <w:bottom w:val="single" w:color="000000" w:sz="8" w:space="0"/>
                    <w:right w:val="single" w:color="000000" w:sz="8" w:space="0"/>
                  </w:tcBorders>
                  <w:shd w:val="clear" w:color="auto" w:fill="auto"/>
                  <w:vAlign w:val="center"/>
                </w:tcPr>
                <w:p w14:paraId="3AFEF3C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lang w:val="en-US" w:eastAsia="zh-CN"/>
                      <w14:textFill>
                        <w14:solidFill>
                          <w14:schemeClr w14:val="tx1"/>
                        </w14:solidFill>
                      </w14:textFill>
                    </w:rPr>
                    <w:t>52.5</w:t>
                  </w:r>
                </w:p>
              </w:tc>
              <w:tc>
                <w:tcPr>
                  <w:tcW w:w="600" w:type="pct"/>
                  <w:tcBorders>
                    <w:top w:val="nil"/>
                    <w:left w:val="single" w:color="000000" w:sz="8" w:space="0"/>
                    <w:bottom w:val="single" w:color="000000" w:sz="8" w:space="0"/>
                    <w:right w:val="single" w:color="000000" w:sz="8" w:space="0"/>
                  </w:tcBorders>
                  <w:shd w:val="clear" w:color="auto" w:fill="auto"/>
                  <w:vAlign w:val="center"/>
                </w:tcPr>
                <w:p w14:paraId="7A75199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Cs/>
                      <w:color w:val="000000" w:themeColor="text1"/>
                      <w:sz w:val="21"/>
                      <w:szCs w:val="21"/>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达标</w:t>
                  </w:r>
                </w:p>
              </w:tc>
            </w:tr>
            <w:tr w14:paraId="020BAD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669" w:type="pct"/>
                  <w:vMerge w:val="restart"/>
                  <w:tcBorders>
                    <w:top w:val="nil"/>
                    <w:left w:val="single" w:color="000000" w:sz="8" w:space="0"/>
                    <w:bottom w:val="single" w:color="000000" w:sz="8" w:space="0"/>
                    <w:right w:val="single" w:color="000000" w:sz="8" w:space="0"/>
                  </w:tcBorders>
                  <w:shd w:val="clear" w:color="auto" w:fill="auto"/>
                  <w:vAlign w:val="center"/>
                </w:tcPr>
                <w:p w14:paraId="1661D7C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lang w:val="en-US" w:eastAsia="zh-CN"/>
                      <w14:textFill>
                        <w14:solidFill>
                          <w14:schemeClr w14:val="tx1"/>
                        </w14:solidFill>
                      </w14:textFill>
                    </w:rPr>
                    <w:t>PM</w:t>
                  </w:r>
                  <w:r>
                    <w:rPr>
                      <w:rFonts w:hint="default" w:ascii="Times New Roman" w:hAnsi="Times New Roman" w:eastAsia="宋体" w:cs="Times New Roman"/>
                      <w:bCs/>
                      <w:color w:val="000000" w:themeColor="text1"/>
                      <w:sz w:val="21"/>
                      <w:szCs w:val="21"/>
                      <w:vertAlign w:val="subscript"/>
                      <w:lang w:val="en-US" w:eastAsia="zh-CN"/>
                      <w14:textFill>
                        <w14:solidFill>
                          <w14:schemeClr w14:val="tx1"/>
                        </w14:solidFill>
                      </w14:textFill>
                    </w:rPr>
                    <w:t>10</w:t>
                  </w:r>
                </w:p>
              </w:tc>
              <w:tc>
                <w:tcPr>
                  <w:tcW w:w="1564" w:type="pct"/>
                  <w:tcBorders>
                    <w:top w:val="nil"/>
                    <w:left w:val="single" w:color="000000" w:sz="8" w:space="0"/>
                    <w:bottom w:val="single" w:color="000000" w:sz="8" w:space="0"/>
                    <w:right w:val="single" w:color="000000" w:sz="8" w:space="0"/>
                  </w:tcBorders>
                  <w:shd w:val="clear" w:color="auto" w:fill="auto"/>
                  <w:vAlign w:val="center"/>
                </w:tcPr>
                <w:p w14:paraId="69A07B1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年平均质量浓度</w:t>
                  </w:r>
                </w:p>
              </w:tc>
              <w:tc>
                <w:tcPr>
                  <w:tcW w:w="744" w:type="pct"/>
                  <w:tcBorders>
                    <w:top w:val="nil"/>
                    <w:left w:val="single" w:color="000000" w:sz="8" w:space="0"/>
                    <w:bottom w:val="single" w:color="000000" w:sz="8" w:space="0"/>
                    <w:right w:val="single" w:color="000000" w:sz="8" w:space="0"/>
                  </w:tcBorders>
                  <w:shd w:val="clear" w:color="auto" w:fill="auto"/>
                  <w:vAlign w:val="center"/>
                </w:tcPr>
                <w:p w14:paraId="66EDE97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lang w:val="en-US" w:eastAsia="zh-CN"/>
                      <w14:textFill>
                        <w14:solidFill>
                          <w14:schemeClr w14:val="tx1"/>
                        </w14:solidFill>
                      </w14:textFill>
                    </w:rPr>
                    <w:t>29.73</w:t>
                  </w:r>
                </w:p>
              </w:tc>
              <w:tc>
                <w:tcPr>
                  <w:tcW w:w="715" w:type="pct"/>
                  <w:tcBorders>
                    <w:top w:val="nil"/>
                    <w:left w:val="single" w:color="000000" w:sz="8" w:space="0"/>
                    <w:bottom w:val="single" w:color="000000" w:sz="8" w:space="0"/>
                    <w:right w:val="single" w:color="000000" w:sz="8" w:space="0"/>
                  </w:tcBorders>
                  <w:shd w:val="clear" w:color="auto" w:fill="auto"/>
                  <w:vAlign w:val="center"/>
                </w:tcPr>
                <w:p w14:paraId="0CB24C4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lang w:val="en-US" w:eastAsia="zh-CN"/>
                      <w14:textFill>
                        <w14:solidFill>
                          <w14:schemeClr w14:val="tx1"/>
                        </w14:solidFill>
                      </w14:textFill>
                    </w:rPr>
                    <w:t>70</w:t>
                  </w:r>
                </w:p>
              </w:tc>
              <w:tc>
                <w:tcPr>
                  <w:tcW w:w="705" w:type="pct"/>
                  <w:tcBorders>
                    <w:top w:val="nil"/>
                    <w:left w:val="single" w:color="000000" w:sz="8" w:space="0"/>
                    <w:bottom w:val="single" w:color="000000" w:sz="8" w:space="0"/>
                    <w:right w:val="single" w:color="000000" w:sz="8" w:space="0"/>
                  </w:tcBorders>
                  <w:shd w:val="clear" w:color="auto" w:fill="auto"/>
                  <w:vAlign w:val="center"/>
                </w:tcPr>
                <w:p w14:paraId="128BBBD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000000" w:themeColor="text1"/>
                      <w:sz w:val="21"/>
                      <w:szCs w:val="21"/>
                      <w:lang w:val="en-US"/>
                      <w14:textFill>
                        <w14:solidFill>
                          <w14:schemeClr w14:val="tx1"/>
                        </w14:solidFill>
                      </w14:textFill>
                    </w:rPr>
                  </w:pPr>
                  <w:r>
                    <w:rPr>
                      <w:rFonts w:hint="default" w:ascii="Times New Roman" w:hAnsi="Times New Roman" w:eastAsia="宋体" w:cs="Times New Roman"/>
                      <w:bCs/>
                      <w:color w:val="000000" w:themeColor="text1"/>
                      <w:sz w:val="21"/>
                      <w:szCs w:val="21"/>
                      <w:lang w:val="en-US" w:eastAsia="zh-CN"/>
                      <w14:textFill>
                        <w14:solidFill>
                          <w14:schemeClr w14:val="tx1"/>
                        </w14:solidFill>
                      </w14:textFill>
                    </w:rPr>
                    <w:t>42.47</w:t>
                  </w:r>
                  <w:r>
                    <w:rPr>
                      <w:rFonts w:hint="eastAsia" w:ascii="Times New Roman" w:hAnsi="Times New Roman" w:cs="Times New Roman"/>
                      <w:bCs/>
                      <w:color w:val="000000" w:themeColor="text1"/>
                      <w:sz w:val="21"/>
                      <w:szCs w:val="21"/>
                      <w:lang w:val="en-US" w:eastAsia="zh-CN"/>
                      <w14:textFill>
                        <w14:solidFill>
                          <w14:schemeClr w14:val="tx1"/>
                        </w14:solidFill>
                      </w14:textFill>
                    </w:rPr>
                    <w:t>14</w:t>
                  </w:r>
                </w:p>
              </w:tc>
              <w:tc>
                <w:tcPr>
                  <w:tcW w:w="600" w:type="pct"/>
                  <w:tcBorders>
                    <w:top w:val="nil"/>
                    <w:left w:val="single" w:color="000000" w:sz="8" w:space="0"/>
                    <w:bottom w:val="single" w:color="000000" w:sz="8" w:space="0"/>
                    <w:right w:val="single" w:color="000000" w:sz="8" w:space="0"/>
                  </w:tcBorders>
                  <w:shd w:val="clear" w:color="auto" w:fill="auto"/>
                  <w:vAlign w:val="center"/>
                </w:tcPr>
                <w:p w14:paraId="6C433EF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Cs/>
                      <w:color w:val="000000" w:themeColor="text1"/>
                      <w:sz w:val="21"/>
                      <w:szCs w:val="21"/>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达标</w:t>
                  </w:r>
                </w:p>
              </w:tc>
            </w:tr>
            <w:tr w14:paraId="6B219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69" w:type="pct"/>
                  <w:vMerge w:val="continue"/>
                  <w:tcBorders>
                    <w:top w:val="nil"/>
                    <w:left w:val="single" w:color="000000" w:sz="8" w:space="0"/>
                    <w:bottom w:val="single" w:color="000000" w:sz="8" w:space="0"/>
                    <w:right w:val="single" w:color="000000" w:sz="8" w:space="0"/>
                  </w:tcBorders>
                  <w:shd w:val="clear" w:color="auto" w:fill="auto"/>
                  <w:vAlign w:val="center"/>
                </w:tcPr>
                <w:p w14:paraId="1F97B0B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p>
              </w:tc>
              <w:tc>
                <w:tcPr>
                  <w:tcW w:w="1564" w:type="pct"/>
                  <w:tcBorders>
                    <w:top w:val="nil"/>
                    <w:left w:val="single" w:color="000000" w:sz="8" w:space="0"/>
                    <w:bottom w:val="single" w:color="000000" w:sz="8" w:space="0"/>
                    <w:right w:val="single" w:color="000000" w:sz="8" w:space="0"/>
                  </w:tcBorders>
                  <w:shd w:val="clear" w:color="auto" w:fill="auto"/>
                  <w:vAlign w:val="center"/>
                </w:tcPr>
                <w:p w14:paraId="05713A1D">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24h平均第95百分位数</w:t>
                  </w:r>
                </w:p>
              </w:tc>
              <w:tc>
                <w:tcPr>
                  <w:tcW w:w="744" w:type="pct"/>
                  <w:tcBorders>
                    <w:top w:val="nil"/>
                    <w:left w:val="single" w:color="000000" w:sz="8" w:space="0"/>
                    <w:bottom w:val="single" w:color="000000" w:sz="8" w:space="0"/>
                    <w:right w:val="single" w:color="000000" w:sz="8" w:space="0"/>
                  </w:tcBorders>
                  <w:shd w:val="clear" w:color="auto" w:fill="auto"/>
                  <w:vAlign w:val="center"/>
                </w:tcPr>
                <w:p w14:paraId="38C5A0C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lang w:val="en-US" w:eastAsia="zh-CN"/>
                      <w14:textFill>
                        <w14:solidFill>
                          <w14:schemeClr w14:val="tx1"/>
                        </w14:solidFill>
                      </w14:textFill>
                    </w:rPr>
                    <w:t>58</w:t>
                  </w:r>
                </w:p>
              </w:tc>
              <w:tc>
                <w:tcPr>
                  <w:tcW w:w="715" w:type="pct"/>
                  <w:tcBorders>
                    <w:top w:val="nil"/>
                    <w:left w:val="single" w:color="000000" w:sz="8" w:space="0"/>
                    <w:bottom w:val="single" w:color="000000" w:sz="8" w:space="0"/>
                    <w:right w:val="single" w:color="000000" w:sz="8" w:space="0"/>
                  </w:tcBorders>
                  <w:shd w:val="clear" w:color="auto" w:fill="auto"/>
                  <w:vAlign w:val="center"/>
                </w:tcPr>
                <w:p w14:paraId="6F25D5D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lang w:val="en-US" w:eastAsia="zh-CN"/>
                      <w14:textFill>
                        <w14:solidFill>
                          <w14:schemeClr w14:val="tx1"/>
                        </w14:solidFill>
                      </w14:textFill>
                    </w:rPr>
                    <w:t>150</w:t>
                  </w:r>
                </w:p>
              </w:tc>
              <w:tc>
                <w:tcPr>
                  <w:tcW w:w="705" w:type="pct"/>
                  <w:tcBorders>
                    <w:top w:val="nil"/>
                    <w:left w:val="single" w:color="000000" w:sz="8" w:space="0"/>
                    <w:bottom w:val="single" w:color="000000" w:sz="8" w:space="0"/>
                    <w:right w:val="single" w:color="000000" w:sz="8" w:space="0"/>
                  </w:tcBorders>
                  <w:shd w:val="clear" w:color="auto" w:fill="auto"/>
                  <w:vAlign w:val="center"/>
                </w:tcPr>
                <w:p w14:paraId="10097EF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000000" w:themeColor="text1"/>
                      <w:sz w:val="21"/>
                      <w:szCs w:val="21"/>
                      <w:lang w:val="en-US"/>
                      <w14:textFill>
                        <w14:solidFill>
                          <w14:schemeClr w14:val="tx1"/>
                        </w14:solidFill>
                      </w14:textFill>
                    </w:rPr>
                  </w:pPr>
                  <w:r>
                    <w:rPr>
                      <w:rFonts w:hint="default" w:ascii="Times New Roman" w:hAnsi="Times New Roman" w:eastAsia="宋体" w:cs="Times New Roman"/>
                      <w:bCs/>
                      <w:color w:val="000000" w:themeColor="text1"/>
                      <w:sz w:val="21"/>
                      <w:szCs w:val="21"/>
                      <w:lang w:val="en-US" w:eastAsia="zh-CN"/>
                      <w14:textFill>
                        <w14:solidFill>
                          <w14:schemeClr w14:val="tx1"/>
                        </w14:solidFill>
                      </w14:textFill>
                    </w:rPr>
                    <w:t>38.6</w:t>
                  </w:r>
                  <w:r>
                    <w:rPr>
                      <w:rFonts w:hint="eastAsia" w:ascii="Times New Roman" w:hAnsi="Times New Roman" w:cs="Times New Roman"/>
                      <w:bCs/>
                      <w:color w:val="000000" w:themeColor="text1"/>
                      <w:sz w:val="21"/>
                      <w:szCs w:val="21"/>
                      <w:lang w:val="en-US" w:eastAsia="zh-CN"/>
                      <w14:textFill>
                        <w14:solidFill>
                          <w14:schemeClr w14:val="tx1"/>
                        </w14:solidFill>
                      </w14:textFill>
                    </w:rPr>
                    <w:t>667</w:t>
                  </w:r>
                </w:p>
              </w:tc>
              <w:tc>
                <w:tcPr>
                  <w:tcW w:w="600" w:type="pct"/>
                  <w:tcBorders>
                    <w:top w:val="nil"/>
                    <w:left w:val="single" w:color="000000" w:sz="8" w:space="0"/>
                    <w:bottom w:val="single" w:color="000000" w:sz="8" w:space="0"/>
                    <w:right w:val="single" w:color="000000" w:sz="8" w:space="0"/>
                  </w:tcBorders>
                  <w:shd w:val="clear" w:color="auto" w:fill="auto"/>
                  <w:vAlign w:val="center"/>
                </w:tcPr>
                <w:p w14:paraId="653C4A4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Cs/>
                      <w:color w:val="000000" w:themeColor="text1"/>
                      <w:sz w:val="21"/>
                      <w:szCs w:val="21"/>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达标</w:t>
                  </w:r>
                </w:p>
              </w:tc>
            </w:tr>
            <w:tr w14:paraId="6171C1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669" w:type="pct"/>
                  <w:vMerge w:val="restart"/>
                  <w:tcBorders>
                    <w:top w:val="nil"/>
                    <w:left w:val="single" w:color="000000" w:sz="8" w:space="0"/>
                    <w:bottom w:val="single" w:color="000000" w:sz="8" w:space="0"/>
                    <w:right w:val="single" w:color="000000" w:sz="8" w:space="0"/>
                  </w:tcBorders>
                  <w:shd w:val="clear" w:color="auto" w:fill="auto"/>
                  <w:vAlign w:val="center"/>
                </w:tcPr>
                <w:p w14:paraId="7668FF2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lang w:val="en-US" w:eastAsia="zh-CN"/>
                      <w14:textFill>
                        <w14:solidFill>
                          <w14:schemeClr w14:val="tx1"/>
                        </w14:solidFill>
                      </w14:textFill>
                    </w:rPr>
                    <w:t>PM</w:t>
                  </w:r>
                  <w:r>
                    <w:rPr>
                      <w:rFonts w:hint="default" w:ascii="Times New Roman" w:hAnsi="Times New Roman" w:eastAsia="宋体" w:cs="Times New Roman"/>
                      <w:bCs/>
                      <w:color w:val="000000" w:themeColor="text1"/>
                      <w:sz w:val="21"/>
                      <w:szCs w:val="21"/>
                      <w:vertAlign w:val="subscript"/>
                      <w:lang w:val="en-US" w:eastAsia="zh-CN"/>
                      <w14:textFill>
                        <w14:solidFill>
                          <w14:schemeClr w14:val="tx1"/>
                        </w14:solidFill>
                      </w14:textFill>
                    </w:rPr>
                    <w:t>2.5</w:t>
                  </w:r>
                </w:p>
              </w:tc>
              <w:tc>
                <w:tcPr>
                  <w:tcW w:w="1564" w:type="pct"/>
                  <w:tcBorders>
                    <w:top w:val="nil"/>
                    <w:left w:val="single" w:color="000000" w:sz="8" w:space="0"/>
                    <w:bottom w:val="single" w:color="000000" w:sz="8" w:space="0"/>
                    <w:right w:val="single" w:color="000000" w:sz="8" w:space="0"/>
                  </w:tcBorders>
                  <w:shd w:val="clear" w:color="auto" w:fill="auto"/>
                  <w:vAlign w:val="center"/>
                </w:tcPr>
                <w:p w14:paraId="2C499B6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年平均质量浓度</w:t>
                  </w:r>
                </w:p>
              </w:tc>
              <w:tc>
                <w:tcPr>
                  <w:tcW w:w="744" w:type="pct"/>
                  <w:tcBorders>
                    <w:top w:val="nil"/>
                    <w:left w:val="single" w:color="000000" w:sz="8" w:space="0"/>
                    <w:bottom w:val="single" w:color="000000" w:sz="8" w:space="0"/>
                    <w:right w:val="single" w:color="000000" w:sz="8" w:space="0"/>
                  </w:tcBorders>
                  <w:shd w:val="clear" w:color="auto" w:fill="auto"/>
                  <w:vAlign w:val="center"/>
                </w:tcPr>
                <w:p w14:paraId="0E222FB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lang w:val="en-US" w:eastAsia="zh-CN"/>
                      <w14:textFill>
                        <w14:solidFill>
                          <w14:schemeClr w14:val="tx1"/>
                        </w14:solidFill>
                      </w14:textFill>
                    </w:rPr>
                    <w:t>17</w:t>
                  </w:r>
                </w:p>
              </w:tc>
              <w:tc>
                <w:tcPr>
                  <w:tcW w:w="715" w:type="pct"/>
                  <w:tcBorders>
                    <w:top w:val="nil"/>
                    <w:left w:val="single" w:color="000000" w:sz="8" w:space="0"/>
                    <w:bottom w:val="single" w:color="000000" w:sz="8" w:space="0"/>
                    <w:right w:val="single" w:color="000000" w:sz="8" w:space="0"/>
                  </w:tcBorders>
                  <w:shd w:val="clear" w:color="auto" w:fill="auto"/>
                  <w:vAlign w:val="center"/>
                </w:tcPr>
                <w:p w14:paraId="5592B1C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lang w:val="en-US" w:eastAsia="zh-CN"/>
                      <w14:textFill>
                        <w14:solidFill>
                          <w14:schemeClr w14:val="tx1"/>
                        </w14:solidFill>
                      </w14:textFill>
                    </w:rPr>
                    <w:t>35</w:t>
                  </w:r>
                </w:p>
              </w:tc>
              <w:tc>
                <w:tcPr>
                  <w:tcW w:w="705" w:type="pct"/>
                  <w:tcBorders>
                    <w:top w:val="nil"/>
                    <w:left w:val="single" w:color="000000" w:sz="8" w:space="0"/>
                    <w:bottom w:val="single" w:color="000000" w:sz="8" w:space="0"/>
                    <w:right w:val="single" w:color="000000" w:sz="8" w:space="0"/>
                  </w:tcBorders>
                  <w:shd w:val="clear" w:color="auto" w:fill="auto"/>
                  <w:vAlign w:val="center"/>
                </w:tcPr>
                <w:p w14:paraId="147B97F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000000" w:themeColor="text1"/>
                      <w:sz w:val="21"/>
                      <w:szCs w:val="21"/>
                      <w:lang w:val="en-US"/>
                      <w14:textFill>
                        <w14:solidFill>
                          <w14:schemeClr w14:val="tx1"/>
                        </w14:solidFill>
                      </w14:textFill>
                    </w:rPr>
                  </w:pPr>
                  <w:r>
                    <w:rPr>
                      <w:rFonts w:hint="default" w:ascii="Times New Roman" w:hAnsi="Times New Roman" w:eastAsia="宋体" w:cs="Times New Roman"/>
                      <w:bCs/>
                      <w:color w:val="000000" w:themeColor="text1"/>
                      <w:sz w:val="21"/>
                      <w:szCs w:val="21"/>
                      <w:lang w:val="en-US" w:eastAsia="zh-CN"/>
                      <w14:textFill>
                        <w14:solidFill>
                          <w14:schemeClr w14:val="tx1"/>
                        </w14:solidFill>
                      </w14:textFill>
                    </w:rPr>
                    <w:t>48.57</w:t>
                  </w:r>
                  <w:r>
                    <w:rPr>
                      <w:rFonts w:hint="eastAsia" w:ascii="Times New Roman" w:hAnsi="Times New Roman" w:cs="Times New Roman"/>
                      <w:bCs/>
                      <w:color w:val="000000" w:themeColor="text1"/>
                      <w:sz w:val="21"/>
                      <w:szCs w:val="21"/>
                      <w:lang w:val="en-US" w:eastAsia="zh-CN"/>
                      <w14:textFill>
                        <w14:solidFill>
                          <w14:schemeClr w14:val="tx1"/>
                        </w14:solidFill>
                      </w14:textFill>
                    </w:rPr>
                    <w:t>14</w:t>
                  </w:r>
                </w:p>
              </w:tc>
              <w:tc>
                <w:tcPr>
                  <w:tcW w:w="600" w:type="pct"/>
                  <w:tcBorders>
                    <w:top w:val="nil"/>
                    <w:left w:val="single" w:color="000000" w:sz="8" w:space="0"/>
                    <w:bottom w:val="single" w:color="000000" w:sz="8" w:space="0"/>
                    <w:right w:val="single" w:color="000000" w:sz="8" w:space="0"/>
                  </w:tcBorders>
                  <w:shd w:val="clear" w:color="auto" w:fill="auto"/>
                  <w:vAlign w:val="center"/>
                </w:tcPr>
                <w:p w14:paraId="243EE9E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Cs/>
                      <w:color w:val="000000" w:themeColor="text1"/>
                      <w:sz w:val="21"/>
                      <w:szCs w:val="21"/>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达标</w:t>
                  </w:r>
                </w:p>
              </w:tc>
            </w:tr>
            <w:tr w14:paraId="18DE8A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69" w:type="pct"/>
                  <w:vMerge w:val="continue"/>
                  <w:tcBorders>
                    <w:top w:val="nil"/>
                    <w:left w:val="single" w:color="000000" w:sz="8" w:space="0"/>
                    <w:bottom w:val="single" w:color="000000" w:sz="8" w:space="0"/>
                    <w:right w:val="single" w:color="000000" w:sz="8" w:space="0"/>
                  </w:tcBorders>
                  <w:shd w:val="clear" w:color="auto" w:fill="auto"/>
                  <w:vAlign w:val="center"/>
                </w:tcPr>
                <w:p w14:paraId="3899F7CD">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p>
              </w:tc>
              <w:tc>
                <w:tcPr>
                  <w:tcW w:w="1564" w:type="pct"/>
                  <w:tcBorders>
                    <w:top w:val="nil"/>
                    <w:left w:val="single" w:color="000000" w:sz="8" w:space="0"/>
                    <w:bottom w:val="single" w:color="000000" w:sz="8" w:space="0"/>
                    <w:right w:val="single" w:color="000000" w:sz="8" w:space="0"/>
                  </w:tcBorders>
                  <w:shd w:val="clear" w:color="auto" w:fill="auto"/>
                  <w:vAlign w:val="center"/>
                </w:tcPr>
                <w:p w14:paraId="0A0B342A">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24h平均第95百分位数</w:t>
                  </w:r>
                </w:p>
              </w:tc>
              <w:tc>
                <w:tcPr>
                  <w:tcW w:w="744" w:type="pct"/>
                  <w:tcBorders>
                    <w:top w:val="nil"/>
                    <w:left w:val="single" w:color="000000" w:sz="8" w:space="0"/>
                    <w:bottom w:val="single" w:color="000000" w:sz="8" w:space="0"/>
                    <w:right w:val="single" w:color="000000" w:sz="8" w:space="0"/>
                  </w:tcBorders>
                  <w:shd w:val="clear" w:color="auto" w:fill="auto"/>
                  <w:vAlign w:val="center"/>
                </w:tcPr>
                <w:p w14:paraId="305F9B3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lang w:val="en-US" w:eastAsia="zh-CN"/>
                      <w14:textFill>
                        <w14:solidFill>
                          <w14:schemeClr w14:val="tx1"/>
                        </w14:solidFill>
                      </w14:textFill>
                    </w:rPr>
                    <w:t>33</w:t>
                  </w:r>
                </w:p>
              </w:tc>
              <w:tc>
                <w:tcPr>
                  <w:tcW w:w="715" w:type="pct"/>
                  <w:tcBorders>
                    <w:top w:val="nil"/>
                    <w:left w:val="single" w:color="000000" w:sz="8" w:space="0"/>
                    <w:bottom w:val="single" w:color="000000" w:sz="8" w:space="0"/>
                    <w:right w:val="single" w:color="000000" w:sz="8" w:space="0"/>
                  </w:tcBorders>
                  <w:shd w:val="clear" w:color="auto" w:fill="auto"/>
                  <w:vAlign w:val="center"/>
                </w:tcPr>
                <w:p w14:paraId="6F0220E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lang w:val="en-US" w:eastAsia="zh-CN"/>
                      <w14:textFill>
                        <w14:solidFill>
                          <w14:schemeClr w14:val="tx1"/>
                        </w14:solidFill>
                      </w14:textFill>
                    </w:rPr>
                    <w:t>75</w:t>
                  </w:r>
                </w:p>
              </w:tc>
              <w:tc>
                <w:tcPr>
                  <w:tcW w:w="705" w:type="pct"/>
                  <w:tcBorders>
                    <w:top w:val="nil"/>
                    <w:left w:val="single" w:color="000000" w:sz="8" w:space="0"/>
                    <w:bottom w:val="single" w:color="000000" w:sz="8" w:space="0"/>
                    <w:right w:val="single" w:color="000000" w:sz="8" w:space="0"/>
                  </w:tcBorders>
                  <w:shd w:val="clear" w:color="auto" w:fill="auto"/>
                  <w:vAlign w:val="center"/>
                </w:tcPr>
                <w:p w14:paraId="587B029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lang w:val="en-US" w:eastAsia="zh-CN"/>
                      <w14:textFill>
                        <w14:solidFill>
                          <w14:schemeClr w14:val="tx1"/>
                        </w14:solidFill>
                      </w14:textFill>
                    </w:rPr>
                    <w:t>44</w:t>
                  </w:r>
                </w:p>
              </w:tc>
              <w:tc>
                <w:tcPr>
                  <w:tcW w:w="600" w:type="pct"/>
                  <w:tcBorders>
                    <w:top w:val="nil"/>
                    <w:left w:val="single" w:color="000000" w:sz="8" w:space="0"/>
                    <w:bottom w:val="single" w:color="000000" w:sz="8" w:space="0"/>
                    <w:right w:val="single" w:color="000000" w:sz="8" w:space="0"/>
                  </w:tcBorders>
                  <w:shd w:val="clear" w:color="auto" w:fill="auto"/>
                  <w:vAlign w:val="center"/>
                </w:tcPr>
                <w:p w14:paraId="326F2A3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Cs/>
                      <w:color w:val="000000" w:themeColor="text1"/>
                      <w:sz w:val="21"/>
                      <w:szCs w:val="21"/>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达标</w:t>
                  </w:r>
                </w:p>
              </w:tc>
            </w:tr>
            <w:tr w14:paraId="6D43EF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669" w:type="pct"/>
                  <w:tcBorders>
                    <w:top w:val="nil"/>
                    <w:left w:val="single" w:color="000000" w:sz="8" w:space="0"/>
                    <w:bottom w:val="single" w:color="000000" w:sz="8" w:space="0"/>
                    <w:right w:val="single" w:color="000000" w:sz="8" w:space="0"/>
                  </w:tcBorders>
                  <w:shd w:val="clear" w:color="auto" w:fill="auto"/>
                  <w:vAlign w:val="center"/>
                </w:tcPr>
                <w:p w14:paraId="373D2C9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lang w:val="en-US" w:eastAsia="zh-CN"/>
                      <w14:textFill>
                        <w14:solidFill>
                          <w14:schemeClr w14:val="tx1"/>
                        </w14:solidFill>
                      </w14:textFill>
                    </w:rPr>
                    <w:t>CO</w:t>
                  </w:r>
                </w:p>
              </w:tc>
              <w:tc>
                <w:tcPr>
                  <w:tcW w:w="1564" w:type="pct"/>
                  <w:tcBorders>
                    <w:top w:val="nil"/>
                    <w:left w:val="single" w:color="000000" w:sz="8" w:space="0"/>
                    <w:bottom w:val="single" w:color="000000" w:sz="8" w:space="0"/>
                    <w:right w:val="single" w:color="000000" w:sz="8" w:space="0"/>
                  </w:tcBorders>
                  <w:shd w:val="clear" w:color="auto" w:fill="auto"/>
                  <w:vAlign w:val="center"/>
                </w:tcPr>
                <w:p w14:paraId="0960939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24h平均第95百分位数</w:t>
                  </w:r>
                </w:p>
              </w:tc>
              <w:tc>
                <w:tcPr>
                  <w:tcW w:w="744" w:type="pct"/>
                  <w:tcBorders>
                    <w:top w:val="nil"/>
                    <w:left w:val="single" w:color="000000" w:sz="8" w:space="0"/>
                    <w:bottom w:val="single" w:color="000000" w:sz="8" w:space="0"/>
                    <w:right w:val="single" w:color="000000" w:sz="8" w:space="0"/>
                  </w:tcBorders>
                  <w:shd w:val="clear" w:color="auto" w:fill="auto"/>
                  <w:vAlign w:val="center"/>
                </w:tcPr>
                <w:p w14:paraId="41F0743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lang w:val="en-US" w:eastAsia="zh-CN"/>
                      <w14:textFill>
                        <w14:solidFill>
                          <w14:schemeClr w14:val="tx1"/>
                        </w14:solidFill>
                      </w14:textFill>
                    </w:rPr>
                    <w:t>1000</w:t>
                  </w:r>
                </w:p>
              </w:tc>
              <w:tc>
                <w:tcPr>
                  <w:tcW w:w="715" w:type="pct"/>
                  <w:tcBorders>
                    <w:top w:val="nil"/>
                    <w:left w:val="single" w:color="000000" w:sz="8" w:space="0"/>
                    <w:bottom w:val="single" w:color="000000" w:sz="8" w:space="0"/>
                    <w:right w:val="single" w:color="000000" w:sz="8" w:space="0"/>
                  </w:tcBorders>
                  <w:shd w:val="clear" w:color="auto" w:fill="auto"/>
                  <w:vAlign w:val="center"/>
                </w:tcPr>
                <w:p w14:paraId="56B8D0C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lang w:val="en-US" w:eastAsia="zh-CN"/>
                      <w14:textFill>
                        <w14:solidFill>
                          <w14:schemeClr w14:val="tx1"/>
                        </w14:solidFill>
                      </w14:textFill>
                    </w:rPr>
                    <w:t>4000</w:t>
                  </w:r>
                </w:p>
              </w:tc>
              <w:tc>
                <w:tcPr>
                  <w:tcW w:w="705" w:type="pct"/>
                  <w:tcBorders>
                    <w:top w:val="nil"/>
                    <w:left w:val="single" w:color="000000" w:sz="8" w:space="0"/>
                    <w:bottom w:val="single" w:color="000000" w:sz="8" w:space="0"/>
                    <w:right w:val="single" w:color="000000" w:sz="8" w:space="0"/>
                  </w:tcBorders>
                  <w:shd w:val="clear" w:color="auto" w:fill="auto"/>
                  <w:vAlign w:val="center"/>
                </w:tcPr>
                <w:p w14:paraId="303A498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lang w:val="en-US" w:eastAsia="zh-CN"/>
                      <w14:textFill>
                        <w14:solidFill>
                          <w14:schemeClr w14:val="tx1"/>
                        </w14:solidFill>
                      </w14:textFill>
                    </w:rPr>
                    <w:t>25</w:t>
                  </w:r>
                </w:p>
              </w:tc>
              <w:tc>
                <w:tcPr>
                  <w:tcW w:w="600" w:type="pct"/>
                  <w:tcBorders>
                    <w:top w:val="nil"/>
                    <w:left w:val="single" w:color="000000" w:sz="8" w:space="0"/>
                    <w:bottom w:val="single" w:color="000000" w:sz="8" w:space="0"/>
                    <w:right w:val="single" w:color="000000" w:sz="8" w:space="0"/>
                  </w:tcBorders>
                  <w:shd w:val="clear" w:color="auto" w:fill="auto"/>
                  <w:vAlign w:val="center"/>
                </w:tcPr>
                <w:p w14:paraId="535911B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Cs/>
                      <w:color w:val="000000" w:themeColor="text1"/>
                      <w:sz w:val="21"/>
                      <w:szCs w:val="21"/>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达标</w:t>
                  </w:r>
                </w:p>
              </w:tc>
            </w:tr>
            <w:tr w14:paraId="5B4E8E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69" w:type="pct"/>
                  <w:tcBorders>
                    <w:top w:val="nil"/>
                    <w:left w:val="single" w:color="000000" w:sz="8" w:space="0"/>
                    <w:bottom w:val="single" w:color="000000" w:sz="8" w:space="0"/>
                    <w:right w:val="single" w:color="000000" w:sz="8" w:space="0"/>
                  </w:tcBorders>
                  <w:shd w:val="clear" w:color="auto" w:fill="auto"/>
                  <w:vAlign w:val="center"/>
                </w:tcPr>
                <w:p w14:paraId="7EB4A34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lang w:val="en-US" w:eastAsia="zh-CN"/>
                      <w14:textFill>
                        <w14:solidFill>
                          <w14:schemeClr w14:val="tx1"/>
                        </w14:solidFill>
                      </w14:textFill>
                    </w:rPr>
                    <w:t>O</w:t>
                  </w:r>
                  <w:r>
                    <w:rPr>
                      <w:rFonts w:hint="default" w:ascii="Times New Roman" w:hAnsi="Times New Roman" w:eastAsia="宋体" w:cs="Times New Roman"/>
                      <w:bCs/>
                      <w:color w:val="000000" w:themeColor="text1"/>
                      <w:sz w:val="21"/>
                      <w:szCs w:val="21"/>
                      <w:vertAlign w:val="subscript"/>
                      <w:lang w:val="en-US" w:eastAsia="zh-CN"/>
                      <w14:textFill>
                        <w14:solidFill>
                          <w14:schemeClr w14:val="tx1"/>
                        </w14:solidFill>
                      </w14:textFill>
                    </w:rPr>
                    <w:t>3</w:t>
                  </w:r>
                </w:p>
              </w:tc>
              <w:tc>
                <w:tcPr>
                  <w:tcW w:w="1564" w:type="pct"/>
                  <w:tcBorders>
                    <w:top w:val="nil"/>
                    <w:left w:val="single" w:color="000000" w:sz="8" w:space="0"/>
                    <w:bottom w:val="single" w:color="000000" w:sz="8" w:space="0"/>
                    <w:right w:val="single" w:color="000000" w:sz="8" w:space="0"/>
                  </w:tcBorders>
                  <w:shd w:val="clear" w:color="auto" w:fill="auto"/>
                  <w:vAlign w:val="center"/>
                </w:tcPr>
                <w:p w14:paraId="0FCC267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8h平均第90百分位数</w:t>
                  </w:r>
                </w:p>
              </w:tc>
              <w:tc>
                <w:tcPr>
                  <w:tcW w:w="744" w:type="pct"/>
                  <w:tcBorders>
                    <w:top w:val="nil"/>
                    <w:left w:val="single" w:color="000000" w:sz="8" w:space="0"/>
                    <w:bottom w:val="single" w:color="000000" w:sz="8" w:space="0"/>
                    <w:right w:val="single" w:color="000000" w:sz="8" w:space="0"/>
                  </w:tcBorders>
                  <w:shd w:val="clear" w:color="auto" w:fill="auto"/>
                  <w:vAlign w:val="center"/>
                </w:tcPr>
                <w:p w14:paraId="77C7A4D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lang w:val="en-US" w:eastAsia="zh-CN"/>
                      <w14:textFill>
                        <w14:solidFill>
                          <w14:schemeClr w14:val="tx1"/>
                        </w14:solidFill>
                      </w14:textFill>
                    </w:rPr>
                    <w:t>136</w:t>
                  </w:r>
                </w:p>
              </w:tc>
              <w:tc>
                <w:tcPr>
                  <w:tcW w:w="715" w:type="pct"/>
                  <w:tcBorders>
                    <w:top w:val="nil"/>
                    <w:left w:val="single" w:color="000000" w:sz="8" w:space="0"/>
                    <w:bottom w:val="single" w:color="000000" w:sz="8" w:space="0"/>
                    <w:right w:val="single" w:color="000000" w:sz="8" w:space="0"/>
                  </w:tcBorders>
                  <w:shd w:val="clear" w:color="auto" w:fill="auto"/>
                  <w:vAlign w:val="center"/>
                </w:tcPr>
                <w:p w14:paraId="779DD0C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lang w:val="en-US" w:eastAsia="zh-CN"/>
                      <w14:textFill>
                        <w14:solidFill>
                          <w14:schemeClr w14:val="tx1"/>
                        </w14:solidFill>
                      </w14:textFill>
                    </w:rPr>
                    <w:t>160</w:t>
                  </w:r>
                </w:p>
              </w:tc>
              <w:tc>
                <w:tcPr>
                  <w:tcW w:w="705" w:type="pct"/>
                  <w:tcBorders>
                    <w:top w:val="nil"/>
                    <w:left w:val="single" w:color="000000" w:sz="8" w:space="0"/>
                    <w:bottom w:val="single" w:color="000000" w:sz="8" w:space="0"/>
                    <w:right w:val="single" w:color="000000" w:sz="8" w:space="0"/>
                  </w:tcBorders>
                  <w:shd w:val="clear" w:color="auto" w:fill="auto"/>
                  <w:vAlign w:val="center"/>
                </w:tcPr>
                <w:p w14:paraId="1D08CFF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lang w:val="en-US" w:eastAsia="zh-CN"/>
                      <w14:textFill>
                        <w14:solidFill>
                          <w14:schemeClr w14:val="tx1"/>
                        </w14:solidFill>
                      </w14:textFill>
                    </w:rPr>
                    <w:t>85</w:t>
                  </w:r>
                </w:p>
              </w:tc>
              <w:tc>
                <w:tcPr>
                  <w:tcW w:w="600" w:type="pct"/>
                  <w:tcBorders>
                    <w:top w:val="nil"/>
                    <w:left w:val="single" w:color="000000" w:sz="8" w:space="0"/>
                    <w:bottom w:val="single" w:color="000000" w:sz="8" w:space="0"/>
                    <w:right w:val="single" w:color="000000" w:sz="8" w:space="0"/>
                  </w:tcBorders>
                  <w:shd w:val="clear" w:color="auto" w:fill="auto"/>
                  <w:vAlign w:val="center"/>
                </w:tcPr>
                <w:p w14:paraId="1766483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Cs/>
                      <w:color w:val="000000" w:themeColor="text1"/>
                      <w:sz w:val="21"/>
                      <w:szCs w:val="21"/>
                      <w14:textFill>
                        <w14:solidFill>
                          <w14:schemeClr w14:val="tx1"/>
                        </w14:solidFill>
                      </w14:textFill>
                    </w:rPr>
                  </w:pPr>
                  <w:r>
                    <w:rPr>
                      <w:rFonts w:hint="eastAsia" w:ascii="Times New Roman" w:hAnsi="Times New Roman" w:eastAsia="宋体" w:cs="Times New Roman"/>
                      <w:bCs/>
                      <w:color w:val="000000" w:themeColor="text1"/>
                      <w:sz w:val="21"/>
                      <w:szCs w:val="21"/>
                      <w:lang w:val="en-US" w:eastAsia="zh-CN"/>
                      <w14:textFill>
                        <w14:solidFill>
                          <w14:schemeClr w14:val="tx1"/>
                        </w14:solidFill>
                      </w14:textFill>
                    </w:rPr>
                    <w:t>达标</w:t>
                  </w:r>
                </w:p>
              </w:tc>
            </w:tr>
          </w:tbl>
          <w:p w14:paraId="31EDD6D4">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宋体" w:cs="Times New Roman"/>
                <w:b/>
                <w:color w:val="000000" w:themeColor="text1"/>
                <w:sz w:val="21"/>
                <w:szCs w:val="21"/>
                <w:highlight w:val="none"/>
                <w14:textFill>
                  <w14:solidFill>
                    <w14:schemeClr w14:val="tx1"/>
                  </w14:solidFill>
                </w14:textFill>
              </w:rPr>
            </w:pPr>
          </w:p>
          <w:p w14:paraId="692B722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Cs/>
                <w:color w:val="000000" w:themeColor="text1"/>
                <w:sz w:val="24"/>
                <w14:textFill>
                  <w14:solidFill>
                    <w14:schemeClr w14:val="tx1"/>
                  </w14:solidFill>
                </w14:textFill>
              </w:rPr>
            </w:pPr>
            <w:r>
              <w:rPr>
                <w:rFonts w:hint="default" w:ascii="Times New Roman" w:hAnsi="Times New Roman" w:eastAsia="宋体" w:cs="Times New Roman"/>
                <w:bCs/>
                <w:color w:val="000000" w:themeColor="text1"/>
                <w:sz w:val="24"/>
                <w14:textFill>
                  <w14:solidFill>
                    <w14:schemeClr w14:val="tx1"/>
                  </w14:solidFill>
                </w14:textFill>
              </w:rPr>
              <w:t>根据上表所示：</w:t>
            </w:r>
            <w:r>
              <w:rPr>
                <w:rFonts w:hint="default" w:ascii="Times New Roman" w:hAnsi="Times New Roman" w:eastAsia="宋体" w:cs="Times New Roman"/>
                <w:bCs/>
                <w:color w:val="000000" w:themeColor="text1"/>
                <w:sz w:val="24"/>
                <w:highlight w:val="none"/>
                <w14:textFill>
                  <w14:solidFill>
                    <w14:schemeClr w14:val="tx1"/>
                  </w14:solidFill>
                </w14:textFill>
              </w:rPr>
              <w:t>20</w:t>
            </w:r>
            <w:r>
              <w:rPr>
                <w:rFonts w:hint="default" w:ascii="Times New Roman" w:hAnsi="Times New Roman" w:eastAsia="宋体" w:cs="Times New Roman"/>
                <w:bCs/>
                <w:color w:val="000000" w:themeColor="text1"/>
                <w:sz w:val="24"/>
                <w:highlight w:val="none"/>
                <w:lang w:val="en-US" w:eastAsia="zh-CN"/>
                <w14:textFill>
                  <w14:solidFill>
                    <w14:schemeClr w14:val="tx1"/>
                  </w14:solidFill>
                </w14:textFill>
              </w:rPr>
              <w:t>24</w:t>
            </w:r>
            <w:r>
              <w:rPr>
                <w:rFonts w:hint="default" w:ascii="Times New Roman" w:hAnsi="Times New Roman" w:eastAsia="宋体" w:cs="Times New Roman"/>
                <w:bCs/>
                <w:color w:val="000000" w:themeColor="text1"/>
                <w:sz w:val="24"/>
                <w:highlight w:val="none"/>
                <w14:textFill>
                  <w14:solidFill>
                    <w14:schemeClr w14:val="tx1"/>
                  </w14:solidFill>
                </w14:textFill>
              </w:rPr>
              <w:t>年</w:t>
            </w:r>
            <w:r>
              <w:rPr>
                <w:rFonts w:hint="default" w:ascii="Times New Roman" w:hAnsi="Times New Roman" w:eastAsia="宋体" w:cs="Times New Roman"/>
                <w:bCs/>
                <w:color w:val="000000" w:themeColor="text1"/>
                <w:sz w:val="24"/>
                <w:highlight w:val="none"/>
                <w:lang w:val="en-US" w:eastAsia="zh-CN"/>
                <w14:textFill>
                  <w14:solidFill>
                    <w14:schemeClr w14:val="tx1"/>
                  </w14:solidFill>
                </w14:textFill>
              </w:rPr>
              <w:t>峨山县</w:t>
            </w:r>
            <w:r>
              <w:rPr>
                <w:rFonts w:hint="default" w:ascii="Times New Roman" w:hAnsi="Times New Roman" w:eastAsia="宋体" w:cs="Times New Roman"/>
                <w:bCs/>
                <w:color w:val="000000" w:themeColor="text1"/>
                <w:sz w:val="24"/>
                <w:highlight w:val="none"/>
                <w14:textFill>
                  <w14:solidFill>
                    <w14:schemeClr w14:val="tx1"/>
                  </w14:solidFill>
                </w14:textFill>
              </w:rPr>
              <w:t>环境</w:t>
            </w:r>
            <w:r>
              <w:rPr>
                <w:rFonts w:hint="default" w:ascii="Times New Roman" w:hAnsi="Times New Roman" w:eastAsia="宋体" w:cs="Times New Roman"/>
                <w:bCs/>
                <w:color w:val="000000" w:themeColor="text1"/>
                <w:sz w:val="24"/>
                <w14:textFill>
                  <w14:solidFill>
                    <w14:schemeClr w14:val="tx1"/>
                  </w14:solidFill>
                </w14:textFill>
              </w:rPr>
              <w:t>空气PM</w:t>
            </w:r>
            <w:r>
              <w:rPr>
                <w:rFonts w:hint="default" w:ascii="Times New Roman" w:hAnsi="Times New Roman" w:eastAsia="宋体" w:cs="Times New Roman"/>
                <w:bCs/>
                <w:color w:val="000000" w:themeColor="text1"/>
                <w:sz w:val="24"/>
                <w:vertAlign w:val="subscript"/>
                <w14:textFill>
                  <w14:solidFill>
                    <w14:schemeClr w14:val="tx1"/>
                  </w14:solidFill>
                </w14:textFill>
              </w:rPr>
              <w:t>10</w:t>
            </w:r>
            <w:r>
              <w:rPr>
                <w:rFonts w:hint="default" w:ascii="Times New Roman" w:hAnsi="Times New Roman" w:eastAsia="宋体" w:cs="Times New Roman"/>
                <w:bCs/>
                <w:color w:val="000000" w:themeColor="text1"/>
                <w:sz w:val="24"/>
                <w14:textFill>
                  <w14:solidFill>
                    <w14:schemeClr w14:val="tx1"/>
                  </w14:solidFill>
                </w14:textFill>
              </w:rPr>
              <w:t>、PM</w:t>
            </w:r>
            <w:r>
              <w:rPr>
                <w:rFonts w:hint="default" w:ascii="Times New Roman" w:hAnsi="Times New Roman" w:eastAsia="宋体" w:cs="Times New Roman"/>
                <w:bCs/>
                <w:color w:val="000000" w:themeColor="text1"/>
                <w:sz w:val="24"/>
                <w:vertAlign w:val="subscript"/>
                <w14:textFill>
                  <w14:solidFill>
                    <w14:schemeClr w14:val="tx1"/>
                  </w14:solidFill>
                </w14:textFill>
              </w:rPr>
              <w:t>2.5</w:t>
            </w:r>
            <w:r>
              <w:rPr>
                <w:rFonts w:hint="default" w:ascii="Times New Roman" w:hAnsi="Times New Roman" w:eastAsia="宋体" w:cs="Times New Roman"/>
                <w:bCs/>
                <w:color w:val="000000" w:themeColor="text1"/>
                <w:sz w:val="24"/>
                <w14:textFill>
                  <w14:solidFill>
                    <w14:schemeClr w14:val="tx1"/>
                  </w14:solidFill>
                </w14:textFill>
              </w:rPr>
              <w:t>、SO</w:t>
            </w:r>
            <w:r>
              <w:rPr>
                <w:rFonts w:hint="default" w:ascii="Times New Roman" w:hAnsi="Times New Roman" w:eastAsia="宋体" w:cs="Times New Roman"/>
                <w:bCs/>
                <w:color w:val="000000" w:themeColor="text1"/>
                <w:sz w:val="24"/>
                <w:vertAlign w:val="subscript"/>
                <w14:textFill>
                  <w14:solidFill>
                    <w14:schemeClr w14:val="tx1"/>
                  </w14:solidFill>
                </w14:textFill>
              </w:rPr>
              <w:t>2</w:t>
            </w:r>
            <w:r>
              <w:rPr>
                <w:rFonts w:hint="default" w:ascii="Times New Roman" w:hAnsi="Times New Roman" w:eastAsia="宋体" w:cs="Times New Roman"/>
                <w:bCs/>
                <w:color w:val="000000" w:themeColor="text1"/>
                <w:sz w:val="24"/>
                <w14:textFill>
                  <w14:solidFill>
                    <w14:schemeClr w14:val="tx1"/>
                  </w14:solidFill>
                </w14:textFill>
              </w:rPr>
              <w:t>、NO</w:t>
            </w:r>
            <w:r>
              <w:rPr>
                <w:rFonts w:hint="default" w:ascii="Times New Roman" w:hAnsi="Times New Roman" w:eastAsia="宋体" w:cs="Times New Roman"/>
                <w:bCs/>
                <w:color w:val="000000" w:themeColor="text1"/>
                <w:sz w:val="24"/>
                <w:vertAlign w:val="subscript"/>
                <w14:textFill>
                  <w14:solidFill>
                    <w14:schemeClr w14:val="tx1"/>
                  </w14:solidFill>
                </w14:textFill>
              </w:rPr>
              <w:t>2</w:t>
            </w:r>
            <w:r>
              <w:rPr>
                <w:rFonts w:hint="default" w:ascii="Times New Roman" w:hAnsi="Times New Roman" w:eastAsia="宋体" w:cs="Times New Roman"/>
                <w:bCs/>
                <w:color w:val="000000" w:themeColor="text1"/>
                <w:sz w:val="24"/>
                <w14:textFill>
                  <w14:solidFill>
                    <w14:schemeClr w14:val="tx1"/>
                  </w14:solidFill>
                </w14:textFill>
              </w:rPr>
              <w:t>、CO、O</w:t>
            </w:r>
            <w:r>
              <w:rPr>
                <w:rFonts w:hint="default" w:ascii="Times New Roman" w:hAnsi="Times New Roman" w:eastAsia="宋体" w:cs="Times New Roman"/>
                <w:bCs/>
                <w:color w:val="000000" w:themeColor="text1"/>
                <w:sz w:val="24"/>
                <w:vertAlign w:val="subscript"/>
                <w14:textFill>
                  <w14:solidFill>
                    <w14:schemeClr w14:val="tx1"/>
                  </w14:solidFill>
                </w14:textFill>
              </w:rPr>
              <w:t>3</w:t>
            </w:r>
            <w:r>
              <w:rPr>
                <w:rFonts w:hint="default" w:ascii="Times New Roman" w:hAnsi="Times New Roman" w:eastAsia="宋体" w:cs="Times New Roman"/>
                <w:bCs/>
                <w:color w:val="000000" w:themeColor="text1"/>
                <w:sz w:val="24"/>
                <w:vertAlign w:val="baseline"/>
                <w14:textFill>
                  <w14:solidFill>
                    <w14:schemeClr w14:val="tx1"/>
                  </w14:solidFill>
                </w14:textFill>
              </w:rPr>
              <w:t>监测结果均能达到《环境空气质量标准》（GB3095-2012）及2018年修改单中的二级标准要求，因此项目所在地为达标区</w:t>
            </w:r>
            <w:r>
              <w:rPr>
                <w:rFonts w:hint="default" w:ascii="Times New Roman" w:hAnsi="Times New Roman" w:eastAsia="宋体" w:cs="Times New Roman"/>
                <w:bCs/>
                <w:color w:val="000000" w:themeColor="text1"/>
                <w:sz w:val="24"/>
                <w14:textFill>
                  <w14:solidFill>
                    <w14:schemeClr w14:val="tx1"/>
                  </w14:solidFill>
                </w14:textFill>
              </w:rPr>
              <w:t>。</w:t>
            </w:r>
          </w:p>
          <w:p w14:paraId="751EA74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Cs/>
                <w:color w:val="000000" w:themeColor="text1"/>
                <w:sz w:val="24"/>
                <w:vertAlign w:val="baseline"/>
                <w14:textFill>
                  <w14:solidFill>
                    <w14:schemeClr w14:val="tx1"/>
                  </w14:solidFill>
                </w14:textFill>
              </w:rPr>
            </w:pPr>
            <w:r>
              <w:rPr>
                <w:rFonts w:hint="eastAsia" w:ascii="Times New Roman" w:hAnsi="Times New Roman" w:eastAsia="宋体" w:cs="Times New Roman"/>
                <w:bCs/>
                <w:color w:val="000000" w:themeColor="text1"/>
                <w:sz w:val="24"/>
                <w:vertAlign w:val="baseline"/>
                <w14:textFill>
                  <w14:solidFill>
                    <w14:schemeClr w14:val="tx1"/>
                  </w14:solidFill>
                </w14:textFill>
              </w:rPr>
              <w:t>由于标准更新，项目区环境空气执行《环境空气质量标准》（GB 3095-2026）中过渡阶段的二级标准，监测数据对照分析如下：</w:t>
            </w:r>
          </w:p>
          <w:p w14:paraId="0BB4DF9D">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表3-</w:t>
            </w:r>
            <w:r>
              <w:rPr>
                <w:rFonts w:hint="eastAsia" w:ascii="Times New Roman" w:hAnsi="Times New Roman" w:eastAsia="宋体" w:cs="Times New Roman"/>
                <w:b/>
                <w:bCs/>
                <w:color w:val="000000" w:themeColor="text1"/>
                <w:sz w:val="21"/>
                <w:szCs w:val="21"/>
                <w:lang w:val="en-US" w:eastAsia="zh-CN"/>
                <w14:textFill>
                  <w14:solidFill>
                    <w14:schemeClr w14:val="tx1"/>
                  </w14:solidFill>
                </w14:textFill>
              </w:rPr>
              <w:t>8</w:t>
            </w: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 xml:space="preserve">  202</w:t>
            </w:r>
            <w:r>
              <w:rPr>
                <w:rFonts w:hint="eastAsia" w:ascii="Times New Roman" w:hAnsi="Times New Roman" w:eastAsia="宋体" w:cs="Times New Roman"/>
                <w:b/>
                <w:bCs/>
                <w:color w:val="000000" w:themeColor="text1"/>
                <w:sz w:val="21"/>
                <w:szCs w:val="21"/>
                <w:lang w:val="en-US" w:eastAsia="zh-CN"/>
                <w14:textFill>
                  <w14:solidFill>
                    <w14:schemeClr w14:val="tx1"/>
                  </w14:solidFill>
                </w14:textFill>
              </w:rPr>
              <w:t>4</w:t>
            </w: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年峨山县监测点环境空气质量现状统计表</w:t>
            </w:r>
          </w:p>
          <w:tbl>
            <w:tblPr>
              <w:tblStyle w:val="26"/>
              <w:tblW w:w="4998"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955"/>
              <w:gridCol w:w="2509"/>
              <w:gridCol w:w="1128"/>
              <w:gridCol w:w="1128"/>
              <w:gridCol w:w="1077"/>
              <w:gridCol w:w="924"/>
            </w:tblGrid>
            <w:tr w14:paraId="1BDEBE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19" w:type="pct"/>
                  <w:noWrap w:val="0"/>
                  <w:vAlign w:val="center"/>
                </w:tcPr>
                <w:p w14:paraId="2F39BCDA">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bCs w:val="0"/>
                      <w:color w:val="000000" w:themeColor="text1"/>
                      <w:sz w:val="21"/>
                      <w:szCs w:val="21"/>
                      <w14:textFill>
                        <w14:solidFill>
                          <w14:schemeClr w14:val="tx1"/>
                        </w14:solidFill>
                      </w14:textFill>
                    </w:rPr>
                  </w:pPr>
                  <w:r>
                    <w:rPr>
                      <w:rFonts w:hint="default" w:ascii="Times New Roman" w:hAnsi="Times New Roman" w:eastAsia="宋体" w:cs="Times New Roman"/>
                      <w:b/>
                      <w:bCs w:val="0"/>
                      <w:color w:val="000000" w:themeColor="text1"/>
                      <w:sz w:val="21"/>
                      <w:szCs w:val="21"/>
                      <w14:textFill>
                        <w14:solidFill>
                          <w14:schemeClr w14:val="tx1"/>
                        </w14:solidFill>
                      </w14:textFill>
                    </w:rPr>
                    <w:t>污染物</w:t>
                  </w:r>
                </w:p>
              </w:tc>
              <w:tc>
                <w:tcPr>
                  <w:tcW w:w="1624" w:type="pct"/>
                  <w:noWrap w:val="0"/>
                  <w:vAlign w:val="center"/>
                </w:tcPr>
                <w:p w14:paraId="5791D30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val="0"/>
                      <w:color w:val="000000" w:themeColor="text1"/>
                      <w:sz w:val="21"/>
                      <w:szCs w:val="21"/>
                      <w14:textFill>
                        <w14:solidFill>
                          <w14:schemeClr w14:val="tx1"/>
                        </w14:solidFill>
                      </w14:textFill>
                    </w:rPr>
                  </w:pPr>
                  <w:r>
                    <w:rPr>
                      <w:rFonts w:hint="default" w:ascii="Times New Roman" w:hAnsi="Times New Roman" w:eastAsia="宋体" w:cs="Times New Roman"/>
                      <w:b/>
                      <w:bCs w:val="0"/>
                      <w:color w:val="000000" w:themeColor="text1"/>
                      <w:sz w:val="21"/>
                      <w:szCs w:val="21"/>
                      <w14:textFill>
                        <w14:solidFill>
                          <w14:schemeClr w14:val="tx1"/>
                        </w14:solidFill>
                      </w14:textFill>
                    </w:rPr>
                    <w:t>年评价指标</w:t>
                  </w:r>
                </w:p>
              </w:tc>
              <w:tc>
                <w:tcPr>
                  <w:tcW w:w="730" w:type="pct"/>
                  <w:noWrap w:val="0"/>
                  <w:vAlign w:val="center"/>
                </w:tcPr>
                <w:p w14:paraId="13E3DE3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bCs w:val="0"/>
                      <w:color w:val="000000" w:themeColor="text1"/>
                      <w:sz w:val="21"/>
                      <w:szCs w:val="21"/>
                      <w14:textFill>
                        <w14:solidFill>
                          <w14:schemeClr w14:val="tx1"/>
                        </w14:solidFill>
                      </w14:textFill>
                    </w:rPr>
                  </w:pPr>
                  <w:r>
                    <w:rPr>
                      <w:rFonts w:hint="default" w:ascii="Times New Roman" w:hAnsi="Times New Roman" w:eastAsia="宋体" w:cs="Times New Roman"/>
                      <w:b/>
                      <w:bCs w:val="0"/>
                      <w:color w:val="000000" w:themeColor="text1"/>
                      <w:sz w:val="21"/>
                      <w:szCs w:val="21"/>
                      <w14:textFill>
                        <w14:solidFill>
                          <w14:schemeClr w14:val="tx1"/>
                        </w14:solidFill>
                      </w14:textFill>
                    </w:rPr>
                    <w:t>现状浓度（μg/m</w:t>
                  </w:r>
                  <w:r>
                    <w:rPr>
                      <w:rFonts w:hint="default" w:ascii="Times New Roman" w:hAnsi="Times New Roman" w:eastAsia="宋体" w:cs="Times New Roman"/>
                      <w:b/>
                      <w:bCs w:val="0"/>
                      <w:color w:val="000000" w:themeColor="text1"/>
                      <w:sz w:val="21"/>
                      <w:szCs w:val="21"/>
                      <w:vertAlign w:val="superscript"/>
                      <w14:textFill>
                        <w14:solidFill>
                          <w14:schemeClr w14:val="tx1"/>
                        </w14:solidFill>
                      </w14:textFill>
                    </w:rPr>
                    <w:t>3</w:t>
                  </w:r>
                  <w:r>
                    <w:rPr>
                      <w:rFonts w:hint="default" w:ascii="Times New Roman" w:hAnsi="Times New Roman" w:eastAsia="宋体" w:cs="Times New Roman"/>
                      <w:b/>
                      <w:bCs w:val="0"/>
                      <w:color w:val="000000" w:themeColor="text1"/>
                      <w:sz w:val="21"/>
                      <w:szCs w:val="21"/>
                      <w14:textFill>
                        <w14:solidFill>
                          <w14:schemeClr w14:val="tx1"/>
                        </w14:solidFill>
                      </w14:textFill>
                    </w:rPr>
                    <w:t>）</w:t>
                  </w:r>
                </w:p>
              </w:tc>
              <w:tc>
                <w:tcPr>
                  <w:tcW w:w="730" w:type="pct"/>
                  <w:noWrap w:val="0"/>
                  <w:vAlign w:val="center"/>
                </w:tcPr>
                <w:p w14:paraId="73E90E6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bCs w:val="0"/>
                      <w:color w:val="000000" w:themeColor="text1"/>
                      <w:sz w:val="21"/>
                      <w:szCs w:val="21"/>
                      <w14:textFill>
                        <w14:solidFill>
                          <w14:schemeClr w14:val="tx1"/>
                        </w14:solidFill>
                      </w14:textFill>
                    </w:rPr>
                  </w:pPr>
                  <w:r>
                    <w:rPr>
                      <w:rFonts w:hint="default" w:ascii="Times New Roman" w:hAnsi="Times New Roman" w:eastAsia="宋体" w:cs="Times New Roman"/>
                      <w:b/>
                      <w:bCs w:val="0"/>
                      <w:color w:val="000000" w:themeColor="text1"/>
                      <w:sz w:val="21"/>
                      <w:szCs w:val="21"/>
                      <w14:textFill>
                        <w14:solidFill>
                          <w14:schemeClr w14:val="tx1"/>
                        </w14:solidFill>
                      </w14:textFill>
                    </w:rPr>
                    <w:t>标准值</w:t>
                  </w:r>
                </w:p>
                <w:p w14:paraId="1834C95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bCs w:val="0"/>
                      <w:color w:val="000000" w:themeColor="text1"/>
                      <w:sz w:val="21"/>
                      <w:szCs w:val="21"/>
                      <w14:textFill>
                        <w14:solidFill>
                          <w14:schemeClr w14:val="tx1"/>
                        </w14:solidFill>
                      </w14:textFill>
                    </w:rPr>
                  </w:pPr>
                  <w:r>
                    <w:rPr>
                      <w:rFonts w:hint="default" w:ascii="Times New Roman" w:hAnsi="Times New Roman" w:eastAsia="宋体" w:cs="Times New Roman"/>
                      <w:b/>
                      <w:bCs w:val="0"/>
                      <w:color w:val="000000" w:themeColor="text1"/>
                      <w:sz w:val="21"/>
                      <w:szCs w:val="21"/>
                      <w14:textFill>
                        <w14:solidFill>
                          <w14:schemeClr w14:val="tx1"/>
                        </w14:solidFill>
                      </w14:textFill>
                    </w:rPr>
                    <w:t>（μg/m</w:t>
                  </w:r>
                  <w:r>
                    <w:rPr>
                      <w:rFonts w:hint="default" w:ascii="Times New Roman" w:hAnsi="Times New Roman" w:eastAsia="宋体" w:cs="Times New Roman"/>
                      <w:b/>
                      <w:bCs w:val="0"/>
                      <w:color w:val="000000" w:themeColor="text1"/>
                      <w:sz w:val="21"/>
                      <w:szCs w:val="21"/>
                      <w:vertAlign w:val="superscript"/>
                      <w14:textFill>
                        <w14:solidFill>
                          <w14:schemeClr w14:val="tx1"/>
                        </w14:solidFill>
                      </w14:textFill>
                    </w:rPr>
                    <w:t>3</w:t>
                  </w:r>
                  <w:r>
                    <w:rPr>
                      <w:rFonts w:hint="default" w:ascii="Times New Roman" w:hAnsi="Times New Roman" w:eastAsia="宋体" w:cs="Times New Roman"/>
                      <w:b/>
                      <w:bCs w:val="0"/>
                      <w:color w:val="000000" w:themeColor="text1"/>
                      <w:sz w:val="21"/>
                      <w:szCs w:val="21"/>
                      <w14:textFill>
                        <w14:solidFill>
                          <w14:schemeClr w14:val="tx1"/>
                        </w14:solidFill>
                      </w14:textFill>
                    </w:rPr>
                    <w:t>）</w:t>
                  </w:r>
                </w:p>
              </w:tc>
              <w:tc>
                <w:tcPr>
                  <w:tcW w:w="697" w:type="pct"/>
                  <w:noWrap w:val="0"/>
                  <w:vAlign w:val="center"/>
                </w:tcPr>
                <w:p w14:paraId="18215B23">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bCs w:val="0"/>
                      <w:color w:val="000000" w:themeColor="text1"/>
                      <w:sz w:val="21"/>
                      <w:szCs w:val="21"/>
                      <w14:textFill>
                        <w14:solidFill>
                          <w14:schemeClr w14:val="tx1"/>
                        </w14:solidFill>
                      </w14:textFill>
                    </w:rPr>
                  </w:pPr>
                  <w:r>
                    <w:rPr>
                      <w:rFonts w:hint="default" w:ascii="Times New Roman" w:hAnsi="Times New Roman" w:eastAsia="宋体" w:cs="Times New Roman"/>
                      <w:b/>
                      <w:bCs w:val="0"/>
                      <w:color w:val="000000" w:themeColor="text1"/>
                      <w:sz w:val="21"/>
                      <w:szCs w:val="21"/>
                      <w14:textFill>
                        <w14:solidFill>
                          <w14:schemeClr w14:val="tx1"/>
                        </w14:solidFill>
                      </w14:textFill>
                    </w:rPr>
                    <w:t>占标率/%</w:t>
                  </w:r>
                </w:p>
              </w:tc>
              <w:tc>
                <w:tcPr>
                  <w:tcW w:w="598" w:type="pct"/>
                  <w:noWrap w:val="0"/>
                  <w:vAlign w:val="center"/>
                </w:tcPr>
                <w:p w14:paraId="3E0A344B">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bCs w:val="0"/>
                      <w:color w:val="000000" w:themeColor="text1"/>
                      <w:sz w:val="21"/>
                      <w:szCs w:val="21"/>
                      <w14:textFill>
                        <w14:solidFill>
                          <w14:schemeClr w14:val="tx1"/>
                        </w14:solidFill>
                      </w14:textFill>
                    </w:rPr>
                  </w:pPr>
                  <w:r>
                    <w:rPr>
                      <w:rFonts w:hint="default" w:ascii="Times New Roman" w:hAnsi="Times New Roman" w:eastAsia="宋体" w:cs="Times New Roman"/>
                      <w:b/>
                      <w:bCs w:val="0"/>
                      <w:color w:val="000000" w:themeColor="text1"/>
                      <w:sz w:val="21"/>
                      <w:szCs w:val="21"/>
                      <w14:textFill>
                        <w14:solidFill>
                          <w14:schemeClr w14:val="tx1"/>
                        </w14:solidFill>
                      </w14:textFill>
                    </w:rPr>
                    <w:t>评价结果</w:t>
                  </w:r>
                </w:p>
              </w:tc>
            </w:tr>
            <w:tr w14:paraId="7658FE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19" w:type="pct"/>
                  <w:vMerge w:val="restart"/>
                  <w:noWrap w:val="0"/>
                  <w:vAlign w:val="center"/>
                </w:tcPr>
                <w:p w14:paraId="4778E92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1"/>
                      <w:lang w:val="en-US" w:eastAsia="zh-CN"/>
                      <w14:textFill>
                        <w14:solidFill>
                          <w14:schemeClr w14:val="tx1"/>
                        </w14:solidFill>
                      </w14:textFill>
                    </w:rPr>
                    <w:t>SO</w:t>
                  </w:r>
                  <w:r>
                    <w:rPr>
                      <w:rFonts w:hint="default" w:ascii="Times New Roman" w:hAnsi="Times New Roman" w:eastAsia="宋体" w:cs="Times New Roman"/>
                      <w:bCs/>
                      <w:color w:val="000000" w:themeColor="text1"/>
                      <w:sz w:val="21"/>
                      <w:szCs w:val="21"/>
                      <w:vertAlign w:val="subscript"/>
                      <w:lang w:val="en-US" w:eastAsia="zh-CN"/>
                      <w14:textFill>
                        <w14:solidFill>
                          <w14:schemeClr w14:val="tx1"/>
                        </w14:solidFill>
                      </w14:textFill>
                    </w:rPr>
                    <w:t>2</w:t>
                  </w:r>
                </w:p>
              </w:tc>
              <w:tc>
                <w:tcPr>
                  <w:tcW w:w="1624" w:type="pct"/>
                  <w:noWrap w:val="0"/>
                  <w:vAlign w:val="center"/>
                </w:tcPr>
                <w:p w14:paraId="729C973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年平均质量浓度</w:t>
                  </w:r>
                </w:p>
              </w:tc>
              <w:tc>
                <w:tcPr>
                  <w:tcW w:w="1145" w:type="dxa"/>
                  <w:noWrap w:val="0"/>
                  <w:vAlign w:val="center"/>
                </w:tcPr>
                <w:p w14:paraId="69AFEE73">
                  <w:pPr>
                    <w:pStyle w:val="8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6.89</w:t>
                  </w:r>
                </w:p>
              </w:tc>
              <w:tc>
                <w:tcPr>
                  <w:tcW w:w="730" w:type="pct"/>
                  <w:noWrap w:val="0"/>
                  <w:vAlign w:val="center"/>
                </w:tcPr>
                <w:p w14:paraId="6AAA6F6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1"/>
                      <w:lang w:val="en-US" w:eastAsia="zh-CN"/>
                      <w14:textFill>
                        <w14:solidFill>
                          <w14:schemeClr w14:val="tx1"/>
                        </w14:solidFill>
                      </w14:textFill>
                    </w:rPr>
                    <w:t>60</w:t>
                  </w:r>
                </w:p>
              </w:tc>
              <w:tc>
                <w:tcPr>
                  <w:tcW w:w="1093" w:type="dxa"/>
                  <w:noWrap w:val="0"/>
                  <w:vAlign w:val="center"/>
                </w:tcPr>
                <w:p w14:paraId="29CBC8CE">
                  <w:pPr>
                    <w:pStyle w:val="8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11.4833</w:t>
                  </w:r>
                </w:p>
              </w:tc>
              <w:tc>
                <w:tcPr>
                  <w:tcW w:w="598" w:type="pct"/>
                  <w:noWrap w:val="0"/>
                  <w:vAlign w:val="center"/>
                </w:tcPr>
                <w:p w14:paraId="711EC63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达标</w:t>
                  </w:r>
                </w:p>
              </w:tc>
            </w:tr>
            <w:tr w14:paraId="7DE31A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19" w:type="pct"/>
                  <w:vMerge w:val="continue"/>
                  <w:noWrap w:val="0"/>
                  <w:vAlign w:val="center"/>
                </w:tcPr>
                <w:p w14:paraId="4C415F7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p>
              </w:tc>
              <w:tc>
                <w:tcPr>
                  <w:tcW w:w="1624" w:type="pct"/>
                  <w:noWrap w:val="0"/>
                  <w:vAlign w:val="center"/>
                </w:tcPr>
                <w:p w14:paraId="5AB8EDC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24h平均第98百分位数</w:t>
                  </w:r>
                </w:p>
              </w:tc>
              <w:tc>
                <w:tcPr>
                  <w:tcW w:w="1145" w:type="dxa"/>
                  <w:noWrap w:val="0"/>
                  <w:vAlign w:val="center"/>
                </w:tcPr>
                <w:p w14:paraId="38835755">
                  <w:pPr>
                    <w:pStyle w:val="8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10</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.00</w:t>
                  </w:r>
                </w:p>
              </w:tc>
              <w:tc>
                <w:tcPr>
                  <w:tcW w:w="730" w:type="pct"/>
                  <w:noWrap w:val="0"/>
                  <w:vAlign w:val="center"/>
                </w:tcPr>
                <w:p w14:paraId="1CFC4DD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1"/>
                      <w:lang w:val="en-US" w:eastAsia="zh-CN"/>
                      <w14:textFill>
                        <w14:solidFill>
                          <w14:schemeClr w14:val="tx1"/>
                        </w14:solidFill>
                      </w14:textFill>
                    </w:rPr>
                    <w:t>150</w:t>
                  </w:r>
                </w:p>
              </w:tc>
              <w:tc>
                <w:tcPr>
                  <w:tcW w:w="1093" w:type="dxa"/>
                  <w:noWrap w:val="0"/>
                  <w:vAlign w:val="center"/>
                </w:tcPr>
                <w:p w14:paraId="0315EF0A">
                  <w:pPr>
                    <w:pStyle w:val="8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6.6667</w:t>
                  </w:r>
                </w:p>
              </w:tc>
              <w:tc>
                <w:tcPr>
                  <w:tcW w:w="598" w:type="pct"/>
                  <w:noWrap w:val="0"/>
                  <w:vAlign w:val="center"/>
                </w:tcPr>
                <w:p w14:paraId="326DF7D3">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达标</w:t>
                  </w:r>
                </w:p>
              </w:tc>
            </w:tr>
            <w:tr w14:paraId="072642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19" w:type="pct"/>
                  <w:vMerge w:val="restart"/>
                  <w:noWrap w:val="0"/>
                  <w:vAlign w:val="center"/>
                </w:tcPr>
                <w:p w14:paraId="23E8EE0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1"/>
                      <w:lang w:val="en-US" w:eastAsia="zh-CN"/>
                      <w14:textFill>
                        <w14:solidFill>
                          <w14:schemeClr w14:val="tx1"/>
                        </w14:solidFill>
                      </w14:textFill>
                    </w:rPr>
                    <w:t>NO</w:t>
                  </w:r>
                  <w:r>
                    <w:rPr>
                      <w:rFonts w:hint="default" w:ascii="Times New Roman" w:hAnsi="Times New Roman" w:eastAsia="宋体" w:cs="Times New Roman"/>
                      <w:bCs/>
                      <w:color w:val="000000" w:themeColor="text1"/>
                      <w:sz w:val="21"/>
                      <w:szCs w:val="21"/>
                      <w:vertAlign w:val="subscript"/>
                      <w:lang w:val="en-US" w:eastAsia="zh-CN"/>
                      <w14:textFill>
                        <w14:solidFill>
                          <w14:schemeClr w14:val="tx1"/>
                        </w14:solidFill>
                      </w14:textFill>
                    </w:rPr>
                    <w:t>2</w:t>
                  </w:r>
                </w:p>
              </w:tc>
              <w:tc>
                <w:tcPr>
                  <w:tcW w:w="1624" w:type="pct"/>
                  <w:noWrap w:val="0"/>
                  <w:vAlign w:val="center"/>
                </w:tcPr>
                <w:p w14:paraId="370C9FF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年平均质量浓度</w:t>
                  </w:r>
                </w:p>
              </w:tc>
              <w:tc>
                <w:tcPr>
                  <w:tcW w:w="1145" w:type="dxa"/>
                  <w:noWrap w:val="0"/>
                  <w:vAlign w:val="center"/>
                </w:tcPr>
                <w:p w14:paraId="1416BD6C">
                  <w:pPr>
                    <w:pStyle w:val="8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19.35</w:t>
                  </w:r>
                </w:p>
              </w:tc>
              <w:tc>
                <w:tcPr>
                  <w:tcW w:w="730" w:type="pct"/>
                  <w:noWrap w:val="0"/>
                  <w:vAlign w:val="center"/>
                </w:tcPr>
                <w:p w14:paraId="403399FB">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1"/>
                      <w:lang w:val="en-US" w:eastAsia="zh-CN"/>
                      <w14:textFill>
                        <w14:solidFill>
                          <w14:schemeClr w14:val="tx1"/>
                        </w14:solidFill>
                      </w14:textFill>
                    </w:rPr>
                    <w:t>40</w:t>
                  </w:r>
                </w:p>
              </w:tc>
              <w:tc>
                <w:tcPr>
                  <w:tcW w:w="1093" w:type="dxa"/>
                  <w:noWrap w:val="0"/>
                  <w:vAlign w:val="center"/>
                </w:tcPr>
                <w:p w14:paraId="528350FA">
                  <w:pPr>
                    <w:pStyle w:val="8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48.375</w:t>
                  </w:r>
                </w:p>
              </w:tc>
              <w:tc>
                <w:tcPr>
                  <w:tcW w:w="598" w:type="pct"/>
                  <w:noWrap w:val="0"/>
                  <w:vAlign w:val="center"/>
                </w:tcPr>
                <w:p w14:paraId="1A33A95A">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达标</w:t>
                  </w:r>
                </w:p>
              </w:tc>
            </w:tr>
            <w:tr w14:paraId="27A471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19" w:type="pct"/>
                  <w:vMerge w:val="continue"/>
                  <w:noWrap w:val="0"/>
                  <w:vAlign w:val="center"/>
                </w:tcPr>
                <w:p w14:paraId="5E5953F3">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p>
              </w:tc>
              <w:tc>
                <w:tcPr>
                  <w:tcW w:w="1624" w:type="pct"/>
                  <w:noWrap w:val="0"/>
                  <w:vAlign w:val="center"/>
                </w:tcPr>
                <w:p w14:paraId="400121F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24h平均第98百分位数</w:t>
                  </w:r>
                </w:p>
              </w:tc>
              <w:tc>
                <w:tcPr>
                  <w:tcW w:w="1145" w:type="dxa"/>
                  <w:noWrap w:val="0"/>
                  <w:vAlign w:val="center"/>
                </w:tcPr>
                <w:p w14:paraId="25259D07">
                  <w:pPr>
                    <w:pStyle w:val="8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42</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.00</w:t>
                  </w:r>
                </w:p>
              </w:tc>
              <w:tc>
                <w:tcPr>
                  <w:tcW w:w="730" w:type="pct"/>
                  <w:noWrap w:val="0"/>
                  <w:vAlign w:val="center"/>
                </w:tcPr>
                <w:p w14:paraId="439C2E6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1"/>
                      <w:lang w:val="en-US" w:eastAsia="zh-CN"/>
                      <w14:textFill>
                        <w14:solidFill>
                          <w14:schemeClr w14:val="tx1"/>
                        </w14:solidFill>
                      </w14:textFill>
                    </w:rPr>
                    <w:t>80</w:t>
                  </w:r>
                </w:p>
              </w:tc>
              <w:tc>
                <w:tcPr>
                  <w:tcW w:w="1093" w:type="dxa"/>
                  <w:noWrap w:val="0"/>
                  <w:vAlign w:val="center"/>
                </w:tcPr>
                <w:p w14:paraId="6167AA81">
                  <w:pPr>
                    <w:pStyle w:val="8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52.5</w:t>
                  </w:r>
                </w:p>
              </w:tc>
              <w:tc>
                <w:tcPr>
                  <w:tcW w:w="598" w:type="pct"/>
                  <w:noWrap w:val="0"/>
                  <w:vAlign w:val="center"/>
                </w:tcPr>
                <w:p w14:paraId="4F9FD95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达标</w:t>
                  </w:r>
                </w:p>
              </w:tc>
            </w:tr>
            <w:tr w14:paraId="0CE586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19" w:type="pct"/>
                  <w:vMerge w:val="restart"/>
                  <w:noWrap w:val="0"/>
                  <w:vAlign w:val="center"/>
                </w:tcPr>
                <w:p w14:paraId="4DDA832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1"/>
                      <w:lang w:val="en-US" w:eastAsia="zh-CN"/>
                      <w14:textFill>
                        <w14:solidFill>
                          <w14:schemeClr w14:val="tx1"/>
                        </w14:solidFill>
                      </w14:textFill>
                    </w:rPr>
                    <w:t>PM</w:t>
                  </w:r>
                  <w:r>
                    <w:rPr>
                      <w:rFonts w:hint="default" w:ascii="Times New Roman" w:hAnsi="Times New Roman" w:eastAsia="宋体" w:cs="Times New Roman"/>
                      <w:bCs/>
                      <w:color w:val="000000" w:themeColor="text1"/>
                      <w:sz w:val="21"/>
                      <w:szCs w:val="21"/>
                      <w:vertAlign w:val="subscript"/>
                      <w:lang w:val="en-US" w:eastAsia="zh-CN"/>
                      <w14:textFill>
                        <w14:solidFill>
                          <w14:schemeClr w14:val="tx1"/>
                        </w14:solidFill>
                      </w14:textFill>
                    </w:rPr>
                    <w:t>10</w:t>
                  </w:r>
                </w:p>
              </w:tc>
              <w:tc>
                <w:tcPr>
                  <w:tcW w:w="1624" w:type="pct"/>
                  <w:noWrap w:val="0"/>
                  <w:vAlign w:val="center"/>
                </w:tcPr>
                <w:p w14:paraId="299DA41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年平均质量浓度</w:t>
                  </w:r>
                </w:p>
              </w:tc>
              <w:tc>
                <w:tcPr>
                  <w:tcW w:w="1145" w:type="dxa"/>
                  <w:noWrap w:val="0"/>
                  <w:vAlign w:val="center"/>
                </w:tcPr>
                <w:p w14:paraId="6E786B7E">
                  <w:pPr>
                    <w:pStyle w:val="8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29.73</w:t>
                  </w:r>
                </w:p>
              </w:tc>
              <w:tc>
                <w:tcPr>
                  <w:tcW w:w="1145" w:type="dxa"/>
                  <w:noWrap w:val="0"/>
                  <w:vAlign w:val="center"/>
                </w:tcPr>
                <w:p w14:paraId="33FB9028">
                  <w:pPr>
                    <w:pStyle w:val="8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60</w:t>
                  </w:r>
                </w:p>
              </w:tc>
              <w:tc>
                <w:tcPr>
                  <w:tcW w:w="1093" w:type="dxa"/>
                  <w:noWrap w:val="0"/>
                  <w:vAlign w:val="center"/>
                </w:tcPr>
                <w:p w14:paraId="03F32379">
                  <w:pPr>
                    <w:pStyle w:val="8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49.55</w:t>
                  </w:r>
                </w:p>
              </w:tc>
              <w:tc>
                <w:tcPr>
                  <w:tcW w:w="598" w:type="pct"/>
                  <w:noWrap w:val="0"/>
                  <w:vAlign w:val="center"/>
                </w:tcPr>
                <w:p w14:paraId="074AE00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达标</w:t>
                  </w:r>
                </w:p>
              </w:tc>
            </w:tr>
            <w:tr w14:paraId="47E05A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19" w:type="pct"/>
                  <w:vMerge w:val="continue"/>
                  <w:noWrap w:val="0"/>
                  <w:vAlign w:val="center"/>
                </w:tcPr>
                <w:p w14:paraId="2C6C229D">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p>
              </w:tc>
              <w:tc>
                <w:tcPr>
                  <w:tcW w:w="1624" w:type="pct"/>
                  <w:noWrap w:val="0"/>
                  <w:vAlign w:val="center"/>
                </w:tcPr>
                <w:p w14:paraId="23C566EB">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24h平均第95百分位数</w:t>
                  </w:r>
                </w:p>
              </w:tc>
              <w:tc>
                <w:tcPr>
                  <w:tcW w:w="1145" w:type="dxa"/>
                  <w:noWrap w:val="0"/>
                  <w:vAlign w:val="center"/>
                </w:tcPr>
                <w:p w14:paraId="446080DE">
                  <w:pPr>
                    <w:pStyle w:val="8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58</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.00</w:t>
                  </w:r>
                </w:p>
              </w:tc>
              <w:tc>
                <w:tcPr>
                  <w:tcW w:w="1145" w:type="dxa"/>
                  <w:noWrap w:val="0"/>
                  <w:vAlign w:val="center"/>
                </w:tcPr>
                <w:p w14:paraId="05366DE5">
                  <w:pPr>
                    <w:pStyle w:val="8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120</w:t>
                  </w:r>
                </w:p>
              </w:tc>
              <w:tc>
                <w:tcPr>
                  <w:tcW w:w="1093" w:type="dxa"/>
                  <w:noWrap w:val="0"/>
                  <w:vAlign w:val="center"/>
                </w:tcPr>
                <w:p w14:paraId="40B1FEC2">
                  <w:pPr>
                    <w:pStyle w:val="8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48.3333</w:t>
                  </w:r>
                </w:p>
              </w:tc>
              <w:tc>
                <w:tcPr>
                  <w:tcW w:w="598" w:type="pct"/>
                  <w:noWrap w:val="0"/>
                  <w:vAlign w:val="center"/>
                </w:tcPr>
                <w:p w14:paraId="490E18E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达标</w:t>
                  </w:r>
                </w:p>
              </w:tc>
            </w:tr>
            <w:tr w14:paraId="3B877D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19" w:type="pct"/>
                  <w:vMerge w:val="restart"/>
                  <w:noWrap w:val="0"/>
                  <w:vAlign w:val="center"/>
                </w:tcPr>
                <w:p w14:paraId="21B3C49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1"/>
                      <w:lang w:val="en-US" w:eastAsia="zh-CN"/>
                      <w14:textFill>
                        <w14:solidFill>
                          <w14:schemeClr w14:val="tx1"/>
                        </w14:solidFill>
                      </w14:textFill>
                    </w:rPr>
                    <w:t>PM</w:t>
                  </w:r>
                  <w:r>
                    <w:rPr>
                      <w:rFonts w:hint="default" w:ascii="Times New Roman" w:hAnsi="Times New Roman" w:eastAsia="宋体" w:cs="Times New Roman"/>
                      <w:bCs/>
                      <w:color w:val="000000" w:themeColor="text1"/>
                      <w:sz w:val="21"/>
                      <w:szCs w:val="21"/>
                      <w:vertAlign w:val="subscript"/>
                      <w:lang w:val="en-US" w:eastAsia="zh-CN"/>
                      <w14:textFill>
                        <w14:solidFill>
                          <w14:schemeClr w14:val="tx1"/>
                        </w14:solidFill>
                      </w14:textFill>
                    </w:rPr>
                    <w:t>2.5</w:t>
                  </w:r>
                </w:p>
              </w:tc>
              <w:tc>
                <w:tcPr>
                  <w:tcW w:w="1624" w:type="pct"/>
                  <w:noWrap w:val="0"/>
                  <w:vAlign w:val="center"/>
                </w:tcPr>
                <w:p w14:paraId="5D15283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年平均质量浓度</w:t>
                  </w:r>
                </w:p>
              </w:tc>
              <w:tc>
                <w:tcPr>
                  <w:tcW w:w="1145" w:type="dxa"/>
                  <w:noWrap w:val="0"/>
                  <w:vAlign w:val="center"/>
                </w:tcPr>
                <w:p w14:paraId="703E9852">
                  <w:pPr>
                    <w:pStyle w:val="8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17.00</w:t>
                  </w:r>
                </w:p>
              </w:tc>
              <w:tc>
                <w:tcPr>
                  <w:tcW w:w="1145" w:type="dxa"/>
                  <w:noWrap w:val="0"/>
                  <w:vAlign w:val="center"/>
                </w:tcPr>
                <w:p w14:paraId="6C7D7514">
                  <w:pPr>
                    <w:pStyle w:val="8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30</w:t>
                  </w:r>
                </w:p>
              </w:tc>
              <w:tc>
                <w:tcPr>
                  <w:tcW w:w="1093" w:type="dxa"/>
                  <w:noWrap w:val="0"/>
                  <w:vAlign w:val="center"/>
                </w:tcPr>
                <w:p w14:paraId="6054AA07">
                  <w:pPr>
                    <w:pStyle w:val="8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56.6667</w:t>
                  </w:r>
                </w:p>
              </w:tc>
              <w:tc>
                <w:tcPr>
                  <w:tcW w:w="598" w:type="pct"/>
                  <w:noWrap w:val="0"/>
                  <w:vAlign w:val="center"/>
                </w:tcPr>
                <w:p w14:paraId="0D13516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达标</w:t>
                  </w:r>
                </w:p>
              </w:tc>
            </w:tr>
            <w:tr w14:paraId="737514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19" w:type="pct"/>
                  <w:vMerge w:val="continue"/>
                  <w:noWrap w:val="0"/>
                  <w:vAlign w:val="center"/>
                </w:tcPr>
                <w:p w14:paraId="7C1F4E2A">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p>
              </w:tc>
              <w:tc>
                <w:tcPr>
                  <w:tcW w:w="1624" w:type="pct"/>
                  <w:noWrap w:val="0"/>
                  <w:vAlign w:val="center"/>
                </w:tcPr>
                <w:p w14:paraId="72122950">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24h平均第95百分位数</w:t>
                  </w:r>
                </w:p>
              </w:tc>
              <w:tc>
                <w:tcPr>
                  <w:tcW w:w="1145" w:type="dxa"/>
                  <w:noWrap w:val="0"/>
                  <w:vAlign w:val="center"/>
                </w:tcPr>
                <w:p w14:paraId="594A34FF">
                  <w:pPr>
                    <w:pStyle w:val="8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33</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.00</w:t>
                  </w:r>
                </w:p>
              </w:tc>
              <w:tc>
                <w:tcPr>
                  <w:tcW w:w="1145" w:type="dxa"/>
                  <w:noWrap w:val="0"/>
                  <w:vAlign w:val="center"/>
                </w:tcPr>
                <w:p w14:paraId="37C8AAEE">
                  <w:pPr>
                    <w:pStyle w:val="8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60</w:t>
                  </w:r>
                </w:p>
              </w:tc>
              <w:tc>
                <w:tcPr>
                  <w:tcW w:w="1093" w:type="dxa"/>
                  <w:noWrap w:val="0"/>
                  <w:vAlign w:val="center"/>
                </w:tcPr>
                <w:p w14:paraId="2BE3B212">
                  <w:pPr>
                    <w:pStyle w:val="8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55</w:t>
                  </w:r>
                </w:p>
              </w:tc>
              <w:tc>
                <w:tcPr>
                  <w:tcW w:w="598" w:type="pct"/>
                  <w:noWrap w:val="0"/>
                  <w:vAlign w:val="center"/>
                </w:tcPr>
                <w:p w14:paraId="6C6A753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达标</w:t>
                  </w:r>
                </w:p>
              </w:tc>
            </w:tr>
            <w:tr w14:paraId="4256EB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19" w:type="pct"/>
                  <w:noWrap w:val="0"/>
                  <w:vAlign w:val="center"/>
                </w:tcPr>
                <w:p w14:paraId="054823C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1"/>
                      <w:lang w:val="en-US" w:eastAsia="zh-CN"/>
                      <w14:textFill>
                        <w14:solidFill>
                          <w14:schemeClr w14:val="tx1"/>
                        </w14:solidFill>
                      </w14:textFill>
                    </w:rPr>
                    <w:t>CO</w:t>
                  </w:r>
                </w:p>
              </w:tc>
              <w:tc>
                <w:tcPr>
                  <w:tcW w:w="1624" w:type="pct"/>
                  <w:noWrap w:val="0"/>
                  <w:vAlign w:val="center"/>
                </w:tcPr>
                <w:p w14:paraId="6D5D724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24h平均第95百分位数</w:t>
                  </w:r>
                </w:p>
              </w:tc>
              <w:tc>
                <w:tcPr>
                  <w:tcW w:w="1145" w:type="dxa"/>
                  <w:noWrap w:val="0"/>
                  <w:vAlign w:val="center"/>
                </w:tcPr>
                <w:p w14:paraId="20467B97">
                  <w:pPr>
                    <w:pStyle w:val="8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10</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00.00</w:t>
                  </w:r>
                </w:p>
              </w:tc>
              <w:tc>
                <w:tcPr>
                  <w:tcW w:w="730" w:type="pct"/>
                  <w:noWrap w:val="0"/>
                  <w:vAlign w:val="center"/>
                </w:tcPr>
                <w:p w14:paraId="1580182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1"/>
                      <w:lang w:val="en-US" w:eastAsia="zh-CN"/>
                      <w14:textFill>
                        <w14:solidFill>
                          <w14:schemeClr w14:val="tx1"/>
                        </w14:solidFill>
                      </w14:textFill>
                    </w:rPr>
                    <w:t>4000</w:t>
                  </w:r>
                </w:p>
              </w:tc>
              <w:tc>
                <w:tcPr>
                  <w:tcW w:w="1093" w:type="dxa"/>
                  <w:noWrap w:val="0"/>
                  <w:vAlign w:val="center"/>
                </w:tcPr>
                <w:p w14:paraId="314720B1">
                  <w:pPr>
                    <w:pStyle w:val="8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25</w:t>
                  </w:r>
                </w:p>
              </w:tc>
              <w:tc>
                <w:tcPr>
                  <w:tcW w:w="598" w:type="pct"/>
                  <w:noWrap w:val="0"/>
                  <w:vAlign w:val="center"/>
                </w:tcPr>
                <w:p w14:paraId="53ABBC7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达标</w:t>
                  </w:r>
                </w:p>
              </w:tc>
            </w:tr>
            <w:tr w14:paraId="1B6560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619" w:type="pct"/>
                  <w:noWrap w:val="0"/>
                  <w:vAlign w:val="center"/>
                </w:tcPr>
                <w:p w14:paraId="4AE247CB">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1"/>
                      <w:lang w:val="en-US" w:eastAsia="zh-CN"/>
                      <w14:textFill>
                        <w14:solidFill>
                          <w14:schemeClr w14:val="tx1"/>
                        </w14:solidFill>
                      </w14:textFill>
                    </w:rPr>
                    <w:t>O</w:t>
                  </w:r>
                  <w:r>
                    <w:rPr>
                      <w:rFonts w:hint="default" w:ascii="Times New Roman" w:hAnsi="Times New Roman" w:eastAsia="宋体" w:cs="Times New Roman"/>
                      <w:bCs/>
                      <w:color w:val="000000" w:themeColor="text1"/>
                      <w:sz w:val="21"/>
                      <w:szCs w:val="21"/>
                      <w:vertAlign w:val="subscript"/>
                      <w:lang w:val="en-US" w:eastAsia="zh-CN"/>
                      <w14:textFill>
                        <w14:solidFill>
                          <w14:schemeClr w14:val="tx1"/>
                        </w14:solidFill>
                      </w14:textFill>
                    </w:rPr>
                    <w:t>3</w:t>
                  </w:r>
                </w:p>
              </w:tc>
              <w:tc>
                <w:tcPr>
                  <w:tcW w:w="1624" w:type="pct"/>
                  <w:noWrap w:val="0"/>
                  <w:vAlign w:val="center"/>
                </w:tcPr>
                <w:p w14:paraId="16EB2F63">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8h平均第90百分位数</w:t>
                  </w:r>
                </w:p>
              </w:tc>
              <w:tc>
                <w:tcPr>
                  <w:tcW w:w="1145" w:type="dxa"/>
                  <w:noWrap w:val="0"/>
                  <w:vAlign w:val="center"/>
                </w:tcPr>
                <w:p w14:paraId="5B4F554F">
                  <w:pPr>
                    <w:pStyle w:val="8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136</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.00</w:t>
                  </w:r>
                </w:p>
              </w:tc>
              <w:tc>
                <w:tcPr>
                  <w:tcW w:w="730" w:type="pct"/>
                  <w:noWrap w:val="0"/>
                  <w:vAlign w:val="center"/>
                </w:tcPr>
                <w:p w14:paraId="66CC5470">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Cs/>
                      <w:color w:val="000000" w:themeColor="text1"/>
                      <w:sz w:val="21"/>
                      <w:szCs w:val="21"/>
                      <w:lang w:val="en-US" w:eastAsia="zh-CN"/>
                      <w14:textFill>
                        <w14:solidFill>
                          <w14:schemeClr w14:val="tx1"/>
                        </w14:solidFill>
                      </w14:textFill>
                    </w:rPr>
                    <w:t>160</w:t>
                  </w:r>
                </w:p>
              </w:tc>
              <w:tc>
                <w:tcPr>
                  <w:tcW w:w="1093" w:type="dxa"/>
                  <w:noWrap w:val="0"/>
                  <w:vAlign w:val="center"/>
                </w:tcPr>
                <w:p w14:paraId="75FD1328">
                  <w:pPr>
                    <w:pStyle w:val="8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85</w:t>
                  </w:r>
                </w:p>
              </w:tc>
              <w:tc>
                <w:tcPr>
                  <w:tcW w:w="598" w:type="pct"/>
                  <w:noWrap w:val="0"/>
                  <w:vAlign w:val="center"/>
                </w:tcPr>
                <w:p w14:paraId="10F1FFE3">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达标</w:t>
                  </w:r>
                </w:p>
              </w:tc>
            </w:tr>
          </w:tbl>
          <w:p w14:paraId="25E40548">
            <w:pPr>
              <w:keepNext w:val="0"/>
              <w:keepLines w:val="0"/>
              <w:pageBreakBefore w:val="0"/>
              <w:kinsoku/>
              <w:wordWrap/>
              <w:overflowPunct/>
              <w:topLinePunct w:val="0"/>
              <w:autoSpaceDE/>
              <w:autoSpaceDN/>
              <w:bidi w:val="0"/>
              <w:adjustRightInd w:val="0"/>
              <w:snapToGrid w:val="0"/>
              <w:spacing w:line="360" w:lineRule="auto"/>
              <w:ind w:left="0" w:leftChars="0" w:firstLine="480" w:firstLineChars="200"/>
              <w:jc w:val="both"/>
              <w:textAlignment w:val="auto"/>
              <w:rPr>
                <w:rFonts w:hint="default" w:ascii="Times New Roman" w:hAnsi="Times New Roman" w:eastAsia="宋体" w:cs="Times New Roman"/>
                <w:bCs/>
                <w:color w:val="000000" w:themeColor="text1"/>
                <w:sz w:val="24"/>
                <w14:textFill>
                  <w14:solidFill>
                    <w14:schemeClr w14:val="tx1"/>
                  </w14:solidFill>
                </w14:textFill>
              </w:rPr>
            </w:pPr>
          </w:p>
          <w:p w14:paraId="5045985A">
            <w:pPr>
              <w:keepNext w:val="0"/>
              <w:keepLines w:val="0"/>
              <w:pageBreakBefore w:val="0"/>
              <w:kinsoku/>
              <w:wordWrap/>
              <w:overflowPunct/>
              <w:topLinePunct w:val="0"/>
              <w:autoSpaceDE/>
              <w:autoSpaceDN/>
              <w:bidi w:val="0"/>
              <w:adjustRightInd w:val="0"/>
              <w:snapToGrid w:val="0"/>
              <w:spacing w:line="360" w:lineRule="auto"/>
              <w:ind w:left="0" w:leftChars="0" w:firstLine="480" w:firstLineChars="200"/>
              <w:jc w:val="both"/>
              <w:textAlignment w:val="auto"/>
              <w:rPr>
                <w:rFonts w:hint="default" w:ascii="Times New Roman" w:hAnsi="Times New Roman" w:eastAsia="宋体" w:cs="Times New Roman"/>
                <w:bCs/>
                <w:color w:val="000000" w:themeColor="text1"/>
                <w:sz w:val="24"/>
                <w14:textFill>
                  <w14:solidFill>
                    <w14:schemeClr w14:val="tx1"/>
                  </w14:solidFill>
                </w14:textFill>
              </w:rPr>
            </w:pPr>
            <w:r>
              <w:rPr>
                <w:rFonts w:hint="default" w:ascii="Times New Roman" w:hAnsi="Times New Roman" w:eastAsia="宋体" w:cs="Times New Roman"/>
                <w:bCs/>
                <w:color w:val="000000" w:themeColor="text1"/>
                <w:sz w:val="24"/>
                <w14:textFill>
                  <w14:solidFill>
                    <w14:schemeClr w14:val="tx1"/>
                  </w14:solidFill>
                </w14:textFill>
              </w:rPr>
              <w:t>根据上表所示：</w:t>
            </w:r>
            <w:r>
              <w:rPr>
                <w:rFonts w:hint="default" w:ascii="Times New Roman" w:hAnsi="Times New Roman" w:eastAsia="宋体" w:cs="Times New Roman"/>
                <w:bCs/>
                <w:color w:val="000000" w:themeColor="text1"/>
                <w:sz w:val="24"/>
                <w:highlight w:val="none"/>
                <w14:textFill>
                  <w14:solidFill>
                    <w14:schemeClr w14:val="tx1"/>
                  </w14:solidFill>
                </w14:textFill>
              </w:rPr>
              <w:t>20</w:t>
            </w:r>
            <w:r>
              <w:rPr>
                <w:rFonts w:hint="default" w:ascii="Times New Roman" w:hAnsi="Times New Roman" w:eastAsia="宋体" w:cs="Times New Roman"/>
                <w:bCs/>
                <w:color w:val="000000" w:themeColor="text1"/>
                <w:sz w:val="24"/>
                <w:highlight w:val="none"/>
                <w:lang w:val="en-US" w:eastAsia="zh-CN"/>
                <w14:textFill>
                  <w14:solidFill>
                    <w14:schemeClr w14:val="tx1"/>
                  </w14:solidFill>
                </w14:textFill>
              </w:rPr>
              <w:t>2</w:t>
            </w:r>
            <w:r>
              <w:rPr>
                <w:rFonts w:hint="eastAsia" w:ascii="Times New Roman" w:hAnsi="Times New Roman" w:cs="Times New Roman"/>
                <w:bCs/>
                <w:color w:val="000000" w:themeColor="text1"/>
                <w:sz w:val="24"/>
                <w:highlight w:val="none"/>
                <w:lang w:val="en-US" w:eastAsia="zh-CN"/>
                <w14:textFill>
                  <w14:solidFill>
                    <w14:schemeClr w14:val="tx1"/>
                  </w14:solidFill>
                </w14:textFill>
              </w:rPr>
              <w:t>4</w:t>
            </w:r>
            <w:r>
              <w:rPr>
                <w:rFonts w:hint="default" w:ascii="Times New Roman" w:hAnsi="Times New Roman" w:eastAsia="宋体" w:cs="Times New Roman"/>
                <w:bCs/>
                <w:color w:val="000000" w:themeColor="text1"/>
                <w:sz w:val="24"/>
                <w:highlight w:val="none"/>
                <w14:textFill>
                  <w14:solidFill>
                    <w14:schemeClr w14:val="tx1"/>
                  </w14:solidFill>
                </w14:textFill>
              </w:rPr>
              <w:t>年</w:t>
            </w:r>
            <w:r>
              <w:rPr>
                <w:rFonts w:hint="default" w:ascii="Times New Roman" w:hAnsi="Times New Roman" w:eastAsia="宋体" w:cs="Times New Roman"/>
                <w:bCs/>
                <w:color w:val="000000" w:themeColor="text1"/>
                <w:sz w:val="24"/>
                <w:highlight w:val="none"/>
                <w:lang w:val="en-US" w:eastAsia="zh-CN"/>
                <w14:textFill>
                  <w14:solidFill>
                    <w14:schemeClr w14:val="tx1"/>
                  </w14:solidFill>
                </w14:textFill>
              </w:rPr>
              <w:t>峨山县</w:t>
            </w:r>
            <w:r>
              <w:rPr>
                <w:rFonts w:hint="default" w:ascii="Times New Roman" w:hAnsi="Times New Roman" w:eastAsia="宋体" w:cs="Times New Roman"/>
                <w:bCs/>
                <w:color w:val="000000" w:themeColor="text1"/>
                <w:sz w:val="24"/>
                <w:highlight w:val="none"/>
                <w14:textFill>
                  <w14:solidFill>
                    <w14:schemeClr w14:val="tx1"/>
                  </w14:solidFill>
                </w14:textFill>
              </w:rPr>
              <w:t>环境</w:t>
            </w:r>
            <w:r>
              <w:rPr>
                <w:rFonts w:hint="default" w:ascii="Times New Roman" w:hAnsi="Times New Roman" w:eastAsia="宋体" w:cs="Times New Roman"/>
                <w:bCs/>
                <w:color w:val="000000" w:themeColor="text1"/>
                <w:sz w:val="24"/>
                <w14:textFill>
                  <w14:solidFill>
                    <w14:schemeClr w14:val="tx1"/>
                  </w14:solidFill>
                </w14:textFill>
              </w:rPr>
              <w:t>空气PM</w:t>
            </w:r>
            <w:r>
              <w:rPr>
                <w:rFonts w:hint="default" w:ascii="Times New Roman" w:hAnsi="Times New Roman" w:eastAsia="宋体" w:cs="Times New Roman"/>
                <w:bCs/>
                <w:color w:val="000000" w:themeColor="text1"/>
                <w:sz w:val="24"/>
                <w:vertAlign w:val="subscript"/>
                <w14:textFill>
                  <w14:solidFill>
                    <w14:schemeClr w14:val="tx1"/>
                  </w14:solidFill>
                </w14:textFill>
              </w:rPr>
              <w:t>10</w:t>
            </w:r>
            <w:r>
              <w:rPr>
                <w:rFonts w:hint="default" w:ascii="Times New Roman" w:hAnsi="Times New Roman" w:eastAsia="宋体" w:cs="Times New Roman"/>
                <w:bCs/>
                <w:color w:val="000000" w:themeColor="text1"/>
                <w:sz w:val="24"/>
                <w14:textFill>
                  <w14:solidFill>
                    <w14:schemeClr w14:val="tx1"/>
                  </w14:solidFill>
                </w14:textFill>
              </w:rPr>
              <w:t>、PM</w:t>
            </w:r>
            <w:r>
              <w:rPr>
                <w:rFonts w:hint="default" w:ascii="Times New Roman" w:hAnsi="Times New Roman" w:eastAsia="宋体" w:cs="Times New Roman"/>
                <w:bCs/>
                <w:color w:val="000000" w:themeColor="text1"/>
                <w:sz w:val="24"/>
                <w:vertAlign w:val="subscript"/>
                <w14:textFill>
                  <w14:solidFill>
                    <w14:schemeClr w14:val="tx1"/>
                  </w14:solidFill>
                </w14:textFill>
              </w:rPr>
              <w:t>2.5</w:t>
            </w:r>
            <w:r>
              <w:rPr>
                <w:rFonts w:hint="default" w:ascii="Times New Roman" w:hAnsi="Times New Roman" w:eastAsia="宋体" w:cs="Times New Roman"/>
                <w:bCs/>
                <w:color w:val="000000" w:themeColor="text1"/>
                <w:sz w:val="24"/>
                <w14:textFill>
                  <w14:solidFill>
                    <w14:schemeClr w14:val="tx1"/>
                  </w14:solidFill>
                </w14:textFill>
              </w:rPr>
              <w:t>、SO</w:t>
            </w:r>
            <w:r>
              <w:rPr>
                <w:rFonts w:hint="default" w:ascii="Times New Roman" w:hAnsi="Times New Roman" w:eastAsia="宋体" w:cs="Times New Roman"/>
                <w:bCs/>
                <w:color w:val="000000" w:themeColor="text1"/>
                <w:sz w:val="24"/>
                <w:vertAlign w:val="subscript"/>
                <w14:textFill>
                  <w14:solidFill>
                    <w14:schemeClr w14:val="tx1"/>
                  </w14:solidFill>
                </w14:textFill>
              </w:rPr>
              <w:t>2</w:t>
            </w:r>
            <w:r>
              <w:rPr>
                <w:rFonts w:hint="default" w:ascii="Times New Roman" w:hAnsi="Times New Roman" w:eastAsia="宋体" w:cs="Times New Roman"/>
                <w:bCs/>
                <w:color w:val="000000" w:themeColor="text1"/>
                <w:sz w:val="24"/>
                <w14:textFill>
                  <w14:solidFill>
                    <w14:schemeClr w14:val="tx1"/>
                  </w14:solidFill>
                </w14:textFill>
              </w:rPr>
              <w:t>、NO</w:t>
            </w:r>
            <w:r>
              <w:rPr>
                <w:rFonts w:hint="default" w:ascii="Times New Roman" w:hAnsi="Times New Roman" w:eastAsia="宋体" w:cs="Times New Roman"/>
                <w:bCs/>
                <w:color w:val="000000" w:themeColor="text1"/>
                <w:sz w:val="24"/>
                <w:vertAlign w:val="subscript"/>
                <w14:textFill>
                  <w14:solidFill>
                    <w14:schemeClr w14:val="tx1"/>
                  </w14:solidFill>
                </w14:textFill>
              </w:rPr>
              <w:t>2</w:t>
            </w:r>
            <w:r>
              <w:rPr>
                <w:rFonts w:hint="default" w:ascii="Times New Roman" w:hAnsi="Times New Roman" w:eastAsia="宋体" w:cs="Times New Roman"/>
                <w:bCs/>
                <w:color w:val="000000" w:themeColor="text1"/>
                <w:sz w:val="24"/>
                <w14:textFill>
                  <w14:solidFill>
                    <w14:schemeClr w14:val="tx1"/>
                  </w14:solidFill>
                </w14:textFill>
              </w:rPr>
              <w:t>、CO、O</w:t>
            </w:r>
            <w:r>
              <w:rPr>
                <w:rFonts w:hint="default" w:ascii="Times New Roman" w:hAnsi="Times New Roman" w:eastAsia="宋体" w:cs="Times New Roman"/>
                <w:bCs/>
                <w:color w:val="000000" w:themeColor="text1"/>
                <w:sz w:val="24"/>
                <w:vertAlign w:val="subscript"/>
                <w14:textFill>
                  <w14:solidFill>
                    <w14:schemeClr w14:val="tx1"/>
                  </w14:solidFill>
                </w14:textFill>
              </w:rPr>
              <w:t>3</w:t>
            </w:r>
            <w:r>
              <w:rPr>
                <w:rFonts w:hint="default" w:ascii="Times New Roman" w:hAnsi="Times New Roman" w:eastAsia="宋体" w:cs="Times New Roman"/>
                <w:bCs/>
                <w:color w:val="000000" w:themeColor="text1"/>
                <w:sz w:val="24"/>
                <w:vertAlign w:val="baseline"/>
                <w14:textFill>
                  <w14:solidFill>
                    <w14:schemeClr w14:val="tx1"/>
                  </w14:solidFill>
                </w14:textFill>
              </w:rPr>
              <w:t>监测结果均能达到《环境空气质量标准》（GB3095-20</w:t>
            </w:r>
            <w:r>
              <w:rPr>
                <w:rFonts w:hint="eastAsia" w:ascii="Times New Roman" w:hAnsi="Times New Roman" w:cs="Times New Roman"/>
                <w:bCs/>
                <w:color w:val="000000" w:themeColor="text1"/>
                <w:sz w:val="24"/>
                <w:vertAlign w:val="baseline"/>
                <w:lang w:val="en-US" w:eastAsia="zh-CN"/>
                <w14:textFill>
                  <w14:solidFill>
                    <w14:schemeClr w14:val="tx1"/>
                  </w14:solidFill>
                </w14:textFill>
              </w:rPr>
              <w:t>26</w:t>
            </w:r>
            <w:r>
              <w:rPr>
                <w:rFonts w:hint="eastAsia" w:ascii="Times New Roman" w:hAnsi="Times New Roman" w:cs="Times New Roman"/>
                <w:bCs/>
                <w:color w:val="000000" w:themeColor="text1"/>
                <w:sz w:val="24"/>
                <w:vertAlign w:val="baseline"/>
                <w:lang w:eastAsia="zh-CN"/>
                <w14:textFill>
                  <w14:solidFill>
                    <w14:schemeClr w14:val="tx1"/>
                  </w14:solidFill>
                </w14:textFill>
              </w:rPr>
              <w:t>）</w:t>
            </w:r>
            <w:r>
              <w:rPr>
                <w:rFonts w:hint="default" w:ascii="Times New Roman" w:hAnsi="Times New Roman" w:eastAsia="宋体" w:cs="Times New Roman"/>
                <w:bCs/>
                <w:color w:val="000000" w:themeColor="text1"/>
                <w:sz w:val="24"/>
                <w:vertAlign w:val="baseline"/>
                <w14:textFill>
                  <w14:solidFill>
                    <w14:schemeClr w14:val="tx1"/>
                  </w14:solidFill>
                </w14:textFill>
              </w:rPr>
              <w:t>中的</w:t>
            </w:r>
            <w:r>
              <w:rPr>
                <w:rFonts w:hint="eastAsia" w:ascii="Times New Roman" w:hAnsi="Times New Roman" w:cs="Times New Roman"/>
                <w:bCs/>
                <w:color w:val="000000" w:themeColor="text1"/>
                <w:sz w:val="24"/>
                <w:vertAlign w:val="baseline"/>
                <w:lang w:val="en-US" w:eastAsia="zh-CN"/>
                <w14:textFill>
                  <w14:solidFill>
                    <w14:schemeClr w14:val="tx1"/>
                  </w14:solidFill>
                </w14:textFill>
              </w:rPr>
              <w:t>过渡阶段</w:t>
            </w:r>
            <w:r>
              <w:rPr>
                <w:rFonts w:hint="default" w:ascii="Times New Roman" w:hAnsi="Times New Roman" w:eastAsia="宋体" w:cs="Times New Roman"/>
                <w:bCs/>
                <w:color w:val="000000" w:themeColor="text1"/>
                <w:sz w:val="24"/>
                <w:vertAlign w:val="baseline"/>
                <w14:textFill>
                  <w14:solidFill>
                    <w14:schemeClr w14:val="tx1"/>
                  </w14:solidFill>
                </w14:textFill>
              </w:rPr>
              <w:t>二级标准要求，因此项目所在地为达标区</w:t>
            </w:r>
            <w:r>
              <w:rPr>
                <w:rFonts w:hint="default" w:ascii="Times New Roman" w:hAnsi="Times New Roman" w:eastAsia="宋体" w:cs="Times New Roman"/>
                <w:bCs/>
                <w:color w:val="000000" w:themeColor="text1"/>
                <w:sz w:val="24"/>
                <w14:textFill>
                  <w14:solidFill>
                    <w14:schemeClr w14:val="tx1"/>
                  </w14:solidFill>
                </w14:textFill>
              </w:rPr>
              <w:t>。</w:t>
            </w:r>
          </w:p>
          <w:p w14:paraId="4F2C245C">
            <w:pPr>
              <w:keepNext w:val="0"/>
              <w:keepLines w:val="0"/>
              <w:pageBreakBefore w:val="0"/>
              <w:kinsoku/>
              <w:wordWrap/>
              <w:overflowPunct/>
              <w:topLinePunct w:val="0"/>
              <w:autoSpaceDE/>
              <w:autoSpaceDN/>
              <w:bidi w:val="0"/>
              <w:adjustRightInd w:val="0"/>
              <w:snapToGrid w:val="0"/>
              <w:jc w:val="both"/>
              <w:textAlignment w:val="auto"/>
              <w:rPr>
                <w:rFonts w:hint="default" w:ascii="Times New Roman" w:hAnsi="Times New Roman" w:cs="Times New Roman"/>
                <w:b/>
                <w:bCs/>
                <w:color w:val="000000" w:themeColor="text1"/>
                <w:lang w:val="en-US" w:eastAsia="zh-CN"/>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2、地表水</w:t>
            </w:r>
          </w:p>
          <w:p w14:paraId="5572DD0B">
            <w:pPr>
              <w:keepNext w:val="0"/>
              <w:keepLines w:val="0"/>
              <w:pageBreakBefore w:val="0"/>
              <w:kinsoku/>
              <w:wordWrap/>
              <w:overflowPunct/>
              <w:topLinePunct w:val="0"/>
              <w:autoSpaceDE/>
              <w:autoSpaceDN/>
              <w:bidi w:val="0"/>
              <w:adjustRightInd w:val="0"/>
              <w:snapToGrid w:val="0"/>
              <w:jc w:val="both"/>
              <w:textAlignment w:val="auto"/>
              <w:rPr>
                <w:rFonts w:hint="default" w:ascii="Times New Roman" w:hAnsi="Times New Roman" w:cs="Times New Roman"/>
                <w:b/>
                <w:bCs/>
                <w:color w:val="000000" w:themeColor="text1"/>
                <w:lang w:val="en-US" w:eastAsia="zh-CN"/>
                <w14:textFill>
                  <w14:solidFill>
                    <w14:schemeClr w14:val="tx1"/>
                  </w14:solidFill>
                </w14:textFill>
              </w:rPr>
            </w:pPr>
            <w:r>
              <w:rPr>
                <w:rFonts w:hint="eastAsia" w:ascii="Times New Roman" w:hAnsi="Times New Roman" w:cs="Times New Roman"/>
                <w:b/>
                <w:bCs/>
                <w:color w:val="000000" w:themeColor="text1"/>
                <w:lang w:val="en-US" w:eastAsia="zh-CN"/>
                <w14:textFill>
                  <w14:solidFill>
                    <w14:schemeClr w14:val="tx1"/>
                  </w14:solidFill>
                </w14:textFill>
              </w:rPr>
              <w:t>（1）</w:t>
            </w:r>
            <w:r>
              <w:rPr>
                <w:rFonts w:hint="default" w:ascii="Times New Roman" w:hAnsi="Times New Roman" w:cs="Times New Roman"/>
                <w:b/>
                <w:bCs/>
                <w:color w:val="000000" w:themeColor="text1"/>
                <w:lang w:val="en-US" w:eastAsia="zh-CN"/>
                <w14:textFill>
                  <w14:solidFill>
                    <w14:schemeClr w14:val="tx1"/>
                  </w14:solidFill>
                </w14:textFill>
              </w:rPr>
              <w:t>地表水环境质量标准</w:t>
            </w:r>
          </w:p>
          <w:p w14:paraId="63EA9D55">
            <w:pPr>
              <w:pStyle w:val="7"/>
              <w:keepNext w:val="0"/>
              <w:keepLines w:val="0"/>
              <w:pageBreakBefore w:val="0"/>
              <w:kinsoku/>
              <w:wordWrap/>
              <w:overflowPunct/>
              <w:topLinePunct w:val="0"/>
              <w:autoSpaceDE/>
              <w:autoSpaceDN/>
              <w:bidi w:val="0"/>
              <w:adjustRightInd w:val="0"/>
              <w:snapToGrid w:val="0"/>
              <w:spacing w:line="360" w:lineRule="auto"/>
              <w:ind w:left="0" w:leftChars="0" w:firstLine="480" w:firstLineChars="200"/>
              <w:jc w:val="both"/>
              <w:textAlignment w:val="auto"/>
              <w:rPr>
                <w:rFonts w:hint="default" w:ascii="Times New Roman" w:hAnsi="Times New Roman" w:eastAsia="宋体" w:cs="Times New Roman"/>
                <w:bCs/>
                <w:color w:val="000000" w:themeColor="text1"/>
                <w:sz w:val="24"/>
                <w:szCs w:val="24"/>
                <w:highlight w:val="none"/>
                <w:lang w:val="zh-CN"/>
                <w14:textFill>
                  <w14:solidFill>
                    <w14:schemeClr w14:val="tx1"/>
                  </w14:solidFill>
                </w14:textFill>
              </w:rPr>
            </w:pPr>
            <w:r>
              <w:rPr>
                <w:rFonts w:hint="default" w:ascii="Times New Roman" w:hAnsi="Times New Roman" w:eastAsia="宋体" w:cs="Times New Roman"/>
                <w:bCs/>
                <w:color w:val="000000" w:themeColor="text1"/>
                <w:sz w:val="24"/>
                <w:szCs w:val="24"/>
                <w:highlight w:val="none"/>
                <w:lang w:val="zh-CN"/>
                <w14:textFill>
                  <w14:solidFill>
                    <w14:schemeClr w14:val="tx1"/>
                  </w14:solidFill>
                </w14:textFill>
              </w:rPr>
              <w:t>本项目</w:t>
            </w:r>
            <w:r>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t>大西水库</w:t>
            </w:r>
            <w:r>
              <w:rPr>
                <w:rFonts w:hint="default" w:ascii="Times New Roman" w:hAnsi="Times New Roman" w:eastAsia="宋体" w:cs="Times New Roman"/>
                <w:bCs/>
                <w:color w:val="000000" w:themeColor="text1"/>
                <w:sz w:val="24"/>
                <w:szCs w:val="24"/>
                <w:highlight w:val="none"/>
                <w:lang w:val="zh-CN"/>
                <w14:textFill>
                  <w14:solidFill>
                    <w14:schemeClr w14:val="tx1"/>
                  </w14:solidFill>
                </w14:textFill>
              </w:rPr>
              <w:t>、</w:t>
            </w:r>
            <w:r>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t>尼去本水库、花街水库3</w:t>
            </w:r>
            <w:r>
              <w:rPr>
                <w:rFonts w:hint="default" w:ascii="Times New Roman" w:hAnsi="Times New Roman" w:eastAsia="宋体" w:cs="Times New Roman"/>
                <w:bCs/>
                <w:color w:val="000000" w:themeColor="text1"/>
                <w:sz w:val="24"/>
                <w:szCs w:val="24"/>
                <w:highlight w:val="none"/>
                <w:lang w:val="zh-CN"/>
                <w14:textFill>
                  <w14:solidFill>
                    <w14:schemeClr w14:val="tx1"/>
                  </w14:solidFill>
                </w14:textFill>
              </w:rPr>
              <w:t>个水库及</w:t>
            </w:r>
            <w:r>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t>他甲</w:t>
            </w:r>
            <w:r>
              <w:rPr>
                <w:rFonts w:hint="default" w:ascii="Times New Roman" w:hAnsi="Times New Roman" w:eastAsia="宋体" w:cs="Times New Roman"/>
                <w:bCs/>
                <w:color w:val="000000" w:themeColor="text1"/>
                <w:sz w:val="24"/>
                <w:szCs w:val="24"/>
                <w:highlight w:val="none"/>
                <w:lang w:val="zh-CN"/>
                <w14:textFill>
                  <w14:solidFill>
                    <w14:schemeClr w14:val="tx1"/>
                  </w14:solidFill>
                </w14:textFill>
              </w:rPr>
              <w:t>河、</w:t>
            </w:r>
            <w:r>
              <w:rPr>
                <w:rFonts w:hint="default" w:ascii="Times New Roman" w:hAnsi="Times New Roman" w:eastAsia="宋体" w:cs="Times New Roman"/>
                <w:bCs/>
                <w:color w:val="000000" w:themeColor="text1"/>
                <w:sz w:val="24"/>
                <w:szCs w:val="24"/>
                <w:highlight w:val="none"/>
                <w:lang w:val="en-US" w:eastAsia="zh-CN"/>
                <w14:textFill>
                  <w14:solidFill>
                    <w14:schemeClr w14:val="tx1"/>
                  </w14:solidFill>
                </w14:textFill>
              </w:rPr>
              <w:t>迭嘎个拉河、小河底河3</w:t>
            </w:r>
            <w:r>
              <w:rPr>
                <w:rFonts w:hint="default" w:ascii="Times New Roman" w:hAnsi="Times New Roman" w:eastAsia="宋体" w:cs="Times New Roman"/>
                <w:bCs/>
                <w:color w:val="000000" w:themeColor="text1"/>
                <w:sz w:val="24"/>
                <w:szCs w:val="24"/>
                <w:highlight w:val="none"/>
                <w:lang w:val="zh-CN"/>
                <w14:textFill>
                  <w14:solidFill>
                    <w14:schemeClr w14:val="tx1"/>
                  </w14:solidFill>
                </w14:textFill>
              </w:rPr>
              <w:t>条河流为主要供水水源。</w:t>
            </w:r>
          </w:p>
          <w:p w14:paraId="08D1D0A8">
            <w:pPr>
              <w:pStyle w:val="7"/>
              <w:keepNext w:val="0"/>
              <w:keepLines w:val="0"/>
              <w:pageBreakBefore w:val="0"/>
              <w:kinsoku/>
              <w:wordWrap/>
              <w:overflowPunct/>
              <w:topLinePunct w:val="0"/>
              <w:autoSpaceDE/>
              <w:autoSpaceDN/>
              <w:bidi w:val="0"/>
              <w:adjustRightInd w:val="0"/>
              <w:snapToGrid w:val="0"/>
              <w:spacing w:line="360" w:lineRule="auto"/>
              <w:ind w:left="0" w:leftChars="0" w:firstLine="480" w:firstLineChars="200"/>
              <w:jc w:val="both"/>
              <w:textAlignment w:val="auto"/>
              <w:rPr>
                <w:rFonts w:hint="default"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项目一</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片</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区涉及地表水体为小河底</w:t>
            </w:r>
            <w:r>
              <w:rPr>
                <w:rFonts w:hint="default"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河、大西水库。小河底河自西向东汇入大西水库，</w:t>
            </w:r>
            <w:r>
              <w:rPr>
                <w:rFonts w:hint="eastAsia" w:ascii="Times New Roman" w:hAnsi="Times New Roman" w:cs="Times New Roman"/>
                <w:b w:val="0"/>
                <w:bCs/>
                <w:color w:val="000000" w:themeColor="text1"/>
                <w:sz w:val="24"/>
                <w:szCs w:val="24"/>
                <w:highlight w:val="none"/>
                <w:lang w:val="en-US" w:eastAsia="zh-CN"/>
                <w14:textFill>
                  <w14:solidFill>
                    <w14:schemeClr w14:val="tx1"/>
                  </w14:solidFill>
                </w14:textFill>
              </w:rPr>
              <w:t>然后由</w:t>
            </w:r>
            <w:r>
              <w:rPr>
                <w:rFonts w:hint="default"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大西水库汇入尼去本水库；</w:t>
            </w:r>
          </w:p>
          <w:p w14:paraId="4F1B9458">
            <w:pPr>
              <w:pStyle w:val="7"/>
              <w:keepNext w:val="0"/>
              <w:keepLines w:val="0"/>
              <w:pageBreakBefore w:val="0"/>
              <w:kinsoku/>
              <w:wordWrap/>
              <w:overflowPunct/>
              <w:topLinePunct w:val="0"/>
              <w:autoSpaceDE/>
              <w:autoSpaceDN/>
              <w:bidi w:val="0"/>
              <w:adjustRightInd w:val="0"/>
              <w:snapToGrid w:val="0"/>
              <w:spacing w:line="360" w:lineRule="auto"/>
              <w:ind w:left="0" w:leftChars="0" w:firstLine="480" w:firstLineChars="200"/>
              <w:jc w:val="both"/>
              <w:textAlignment w:val="auto"/>
              <w:rPr>
                <w:rFonts w:hint="eastAsia" w:ascii="Times New Roman" w:hAnsi="Times New Roman" w:cs="Times New Roman"/>
                <w:b w:val="0"/>
                <w:bCs/>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项目二</w:t>
            </w:r>
            <w:r>
              <w:rPr>
                <w:rFonts w:hint="eastAsia" w:ascii="Times New Roman" w:hAnsi="Times New Roman" w:cs="Times New Roman"/>
                <w:b w:val="0"/>
                <w:bCs/>
                <w:color w:val="000000" w:themeColor="text1"/>
                <w:sz w:val="24"/>
                <w:szCs w:val="24"/>
                <w:highlight w:val="none"/>
                <w:lang w:val="en-US" w:eastAsia="zh-CN"/>
                <w14:textFill>
                  <w14:solidFill>
                    <w14:schemeClr w14:val="tx1"/>
                  </w14:solidFill>
                </w14:textFill>
              </w:rPr>
              <w:t>片</w:t>
            </w:r>
            <w:r>
              <w:rPr>
                <w:rFonts w:hint="default"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区涉及的地表水体为迭嘎个拉河</w:t>
            </w:r>
            <w:r>
              <w:rPr>
                <w:rFonts w:hint="eastAsia" w:ascii="Times New Roman" w:hAnsi="Times New Roman" w:cs="Times New Roman"/>
                <w:b w:val="0"/>
                <w:bCs/>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迭嘎个拉河自西</w:t>
            </w:r>
            <w:r>
              <w:rPr>
                <w:rFonts w:hint="default"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向东汇入</w:t>
            </w:r>
            <w:r>
              <w:rPr>
                <w:rFonts w:hint="default"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尼去本水库</w:t>
            </w:r>
            <w:r>
              <w:rPr>
                <w:rFonts w:hint="eastAsia" w:ascii="Times New Roman" w:hAnsi="Times New Roman" w:cs="Times New Roman"/>
                <w:b w:val="0"/>
                <w:bCs/>
                <w:color w:val="000000" w:themeColor="text1"/>
                <w:sz w:val="24"/>
                <w:szCs w:val="24"/>
                <w:highlight w:val="none"/>
                <w:lang w:val="en-US" w:eastAsia="zh-CN"/>
                <w14:textFill>
                  <w14:solidFill>
                    <w14:schemeClr w14:val="tx1"/>
                  </w14:solidFill>
                </w14:textFill>
              </w:rPr>
              <w:t>。</w:t>
            </w:r>
          </w:p>
          <w:p w14:paraId="1C5DF6A4">
            <w:pPr>
              <w:pStyle w:val="7"/>
              <w:keepNext w:val="0"/>
              <w:keepLines w:val="0"/>
              <w:pageBreakBefore w:val="0"/>
              <w:kinsoku/>
              <w:wordWrap/>
              <w:overflowPunct/>
              <w:topLinePunct w:val="0"/>
              <w:autoSpaceDE/>
              <w:autoSpaceDN/>
              <w:bidi w:val="0"/>
              <w:adjustRightInd w:val="0"/>
              <w:snapToGrid w:val="0"/>
              <w:spacing w:line="360" w:lineRule="auto"/>
              <w:ind w:left="0" w:leftChars="0" w:firstLine="480" w:firstLineChars="200"/>
              <w:jc w:val="both"/>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尼去本水库出水河流自北向东南汇入小河底河</w:t>
            </w:r>
            <w:r>
              <w:rPr>
                <w:rFonts w:hint="eastAsia" w:ascii="Times New Roman" w:hAnsi="Times New Roman" w:cs="Times New Roman"/>
                <w:b w:val="0"/>
                <w:bCs/>
                <w:color w:val="000000" w:themeColor="text1"/>
                <w:sz w:val="24"/>
                <w:szCs w:val="24"/>
                <w:highlight w:val="none"/>
                <w:lang w:val="en-US" w:eastAsia="zh-CN"/>
                <w14:textFill>
                  <w14:solidFill>
                    <w14:schemeClr w14:val="tx1"/>
                  </w14:solidFill>
                </w14:textFill>
              </w:rPr>
              <w:t>（涉及峨山段：尼去本水库出口至峨山彝族自治县小亚尼村西南侧，约1.26kM；新平段：峨山彝族自治县小亚尼村西南侧约1.26kM至新平彝族傣族自治县丙聋村西南侧约1.53kM处以及元江段：新平彝族傣族自治县丙聋村西南侧约1.53kM至元江哈尼族彝族傣族自治县阿地坡村东北侧约2.3kM处）</w:t>
            </w:r>
            <w:r>
              <w:rPr>
                <w:rFonts w:hint="default" w:ascii="Times New Roman" w:hAnsi="Times New Roman" w:eastAsia="宋体" w:cs="Times New Roman"/>
                <w:b w:val="0"/>
                <w:bCs/>
                <w:color w:val="000000" w:themeColor="text1"/>
                <w:sz w:val="24"/>
                <w:szCs w:val="24"/>
                <w:highlight w:val="none"/>
                <w:lang w:val="en-US" w:eastAsia="zh-CN"/>
                <w14:textFill>
                  <w14:solidFill>
                    <w14:schemeClr w14:val="tx1"/>
                  </w14:solidFill>
                </w14:textFill>
              </w:rPr>
              <w:t>，最终汇入元江</w:t>
            </w:r>
            <w:r>
              <w:rPr>
                <w:rFonts w:hint="eastAsia" w:ascii="Times New Roman" w:hAnsi="Times New Roman" w:cs="Times New Roman"/>
                <w:b w:val="0"/>
                <w:bCs/>
                <w:color w:val="000000" w:themeColor="text1"/>
                <w:sz w:val="24"/>
                <w:szCs w:val="24"/>
                <w:highlight w:val="none"/>
                <w:lang w:val="en-US" w:eastAsia="zh-CN"/>
                <w14:textFill>
                  <w14:solidFill>
                    <w14:schemeClr w14:val="tx1"/>
                  </w14:solidFill>
                </w14:textFill>
              </w:rPr>
              <w:t>。</w:t>
            </w:r>
          </w:p>
          <w:p w14:paraId="42C17B35">
            <w:pPr>
              <w:pStyle w:val="2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firstLine="0"/>
              <w:jc w:val="both"/>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sz w:val="24"/>
                <w:szCs w:val="24"/>
                <w:lang w:val="en-US" w:eastAsia="zh-CN"/>
                <w14:textFill>
                  <w14:solidFill>
                    <w14:schemeClr w14:val="tx1"/>
                  </w14:solidFill>
                </w14:textFill>
              </w:rPr>
              <w:t>根据</w:t>
            </w:r>
            <w:r>
              <w:rPr>
                <w:rFonts w:hint="default" w:ascii="Times New Roman" w:hAnsi="Times New Roman" w:eastAsia="宋体" w:cs="Times New Roman"/>
                <w:b w:val="0"/>
                <w:bCs/>
                <w:color w:val="000000" w:themeColor="text1"/>
                <w:sz w:val="24"/>
                <w:szCs w:val="24"/>
                <w14:textFill>
                  <w14:solidFill>
                    <w14:schemeClr w14:val="tx1"/>
                  </w14:solidFill>
                </w14:textFill>
              </w:rPr>
              <w:t>《云南省水功能区划（2014年修订版）》，</w:t>
            </w:r>
            <w:r>
              <w:rPr>
                <w:rFonts w:hint="default" w:ascii="Times New Roman" w:hAnsi="Times New Roman" w:eastAsia="宋体" w:cs="Times New Roman"/>
                <w:b w:val="0"/>
                <w:bCs/>
                <w:color w:val="000000" w:themeColor="text1"/>
                <w:sz w:val="24"/>
                <w:szCs w:val="24"/>
                <w:lang w:val="en-US" w:eastAsia="zh-CN"/>
                <w14:textFill>
                  <w14:solidFill>
                    <w14:schemeClr w14:val="tx1"/>
                  </w14:solidFill>
                </w14:textFill>
              </w:rPr>
              <w:t>项目区域</w:t>
            </w:r>
            <w:r>
              <w:rPr>
                <w:rFonts w:hint="default" w:ascii="Times New Roman" w:hAnsi="Times New Roman" w:eastAsia="宋体" w:cs="Times New Roman"/>
                <w:b w:val="0"/>
                <w:bCs/>
                <w:color w:val="000000" w:themeColor="text1"/>
                <w:sz w:val="24"/>
                <w:szCs w:val="24"/>
                <w14:textFill>
                  <w14:solidFill>
                    <w14:schemeClr w14:val="tx1"/>
                  </w14:solidFill>
                </w14:textFill>
              </w:rPr>
              <w:t>属于</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b w:val="0"/>
                <w:bCs/>
                <w:color w:val="000000" w:themeColor="text1"/>
                <w:sz w:val="24"/>
                <w:szCs w:val="24"/>
                <w:lang w:val="en-US" w:eastAsia="zh-CN"/>
                <w14:textFill>
                  <w14:solidFill>
                    <w14:schemeClr w14:val="tx1"/>
                  </w14:solidFill>
                </w14:textFill>
              </w:rPr>
              <w:t>小河底河新平</w:t>
            </w:r>
            <w:r>
              <w:rPr>
                <w:rFonts w:hint="eastAsia" w:ascii="Times New Roman" w:hAnsi="Times New Roman" w:cs="Times New Roman"/>
                <w:b w:val="0"/>
                <w:bCs/>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b w:val="0"/>
                <w:bCs/>
                <w:color w:val="000000" w:themeColor="text1"/>
                <w:sz w:val="24"/>
                <w:szCs w:val="24"/>
                <w:lang w:val="en-US" w:eastAsia="zh-CN"/>
                <w14:textFill>
                  <w14:solidFill>
                    <w14:schemeClr w14:val="tx1"/>
                  </w14:solidFill>
                </w14:textFill>
              </w:rPr>
              <w:t>元江保留区</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r>
              <w:rPr>
                <w:rFonts w:hint="eastAsia" w:ascii="Times New Roman" w:hAnsi="Times New Roman" w:cs="Times New Roman"/>
                <w:color w:val="000000" w:themeColor="text1"/>
                <w:sz w:val="24"/>
                <w:szCs w:val="24"/>
                <w:lang w:eastAsia="zh-CN"/>
                <w14:textFill>
                  <w14:solidFill>
                    <w14:schemeClr w14:val="tx1"/>
                  </w14:solidFill>
                </w14:textFill>
              </w:rPr>
              <w:t>（新平大开门</w:t>
            </w:r>
            <w:r>
              <w:rPr>
                <w:rFonts w:hint="eastAsia" w:ascii="Times New Roman" w:hAnsi="Times New Roman" w:cs="Times New Roman"/>
                <w:color w:val="000000" w:themeColor="text1"/>
                <w:sz w:val="24"/>
                <w:szCs w:val="24"/>
                <w:lang w:val="en-US" w:eastAsia="zh-CN"/>
                <w14:textFill>
                  <w14:solidFill>
                    <w14:schemeClr w14:val="tx1"/>
                  </w14:solidFill>
                </w14:textFill>
              </w:rPr>
              <w:t>至入元江口</w:t>
            </w:r>
            <w:r>
              <w:rPr>
                <w:rFonts w:hint="eastAsia"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b w:val="0"/>
                <w:bCs/>
                <w:color w:val="000000" w:themeColor="text1"/>
                <w:sz w:val="24"/>
                <w:szCs w:val="24"/>
                <w:lang w:eastAsia="zh-CN"/>
                <w14:textFill>
                  <w14:solidFill>
                    <w14:schemeClr w14:val="tx1"/>
                  </w14:solidFill>
                </w14:textFill>
              </w:rPr>
              <w:t>，</w:t>
            </w:r>
            <w:r>
              <w:rPr>
                <w:rFonts w:hint="default" w:ascii="Times New Roman" w:hAnsi="Times New Roman" w:eastAsia="宋体" w:cs="Times New Roman"/>
                <w:b w:val="0"/>
                <w:bCs/>
                <w:color w:val="000000" w:themeColor="text1"/>
                <w:sz w:val="24"/>
                <w:szCs w:val="24"/>
                <w14:textFill>
                  <w14:solidFill>
                    <w14:schemeClr w14:val="tx1"/>
                  </w14:solidFill>
                </w14:textFill>
              </w:rPr>
              <w:t>水环境功能为景观、农业</w:t>
            </w:r>
            <w:r>
              <w:rPr>
                <w:rFonts w:hint="default" w:ascii="Times New Roman" w:hAnsi="Times New Roman" w:eastAsia="宋体" w:cs="Times New Roman"/>
                <w:b w:val="0"/>
                <w:bCs/>
                <w:color w:val="000000" w:themeColor="text1"/>
                <w:sz w:val="24"/>
                <w:szCs w:val="24"/>
                <w:lang w:val="en-US" w:eastAsia="zh-CN"/>
                <w14:textFill>
                  <w14:solidFill>
                    <w14:schemeClr w14:val="tx1"/>
                  </w14:solidFill>
                </w14:textFill>
              </w:rPr>
              <w:t>用水。</w:t>
            </w:r>
            <w:r>
              <w:rPr>
                <w:rFonts w:hint="default" w:ascii="Times New Roman" w:hAnsi="Times New Roman" w:eastAsia="宋体" w:cs="Times New Roman"/>
                <w:b w:val="0"/>
                <w:color w:val="000000" w:themeColor="text1"/>
                <w:sz w:val="24"/>
                <w:szCs w:val="24"/>
                <w:highlight w:val="none"/>
                <w14:textFill>
                  <w14:solidFill>
                    <w14:schemeClr w14:val="tx1"/>
                  </w14:solidFill>
                </w14:textFill>
              </w:rPr>
              <w:t>2020年水质目标为Ⅳ类，2030年水质目标为Ⅲ类。地表水水质执行《地表水环境质量标准》（GB3838-2002）Ⅲ类水质标准</w:t>
            </w:r>
            <w:r>
              <w:rPr>
                <w:rFonts w:hint="default" w:ascii="Times New Roman" w:hAnsi="Times New Roman" w:eastAsia="宋体" w:cs="Times New Roman"/>
                <w:b w:val="0"/>
                <w:color w:val="000000" w:themeColor="text1"/>
                <w:sz w:val="24"/>
                <w:szCs w:val="24"/>
                <w:highlight w:val="none"/>
                <w14:textFill>
                  <w14:solidFill>
                    <w14:schemeClr w14:val="tx1"/>
                  </w14:solidFill>
                </w14:textFill>
              </w:rPr>
              <w:t>。</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项目</w:t>
            </w: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涉及地表水</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小河底河汇入元江</w:t>
            </w: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上游</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为化念水库（小河底河）</w:t>
            </w: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根据《2024年玉溪市生态环境状况公报》，化念水库（小河底河）2024年水质类别为</w:t>
            </w:r>
            <w:r>
              <w:rPr>
                <w:rFonts w:hint="default" w:ascii="Times New Roman" w:hAnsi="Times New Roman" w:eastAsia="宋体" w:cs="Times New Roman"/>
                <w:b w:val="0"/>
                <w:color w:val="000000" w:themeColor="text1"/>
                <w:sz w:val="24"/>
                <w:szCs w:val="24"/>
                <w:highlight w:val="none"/>
                <w14:textFill>
                  <w14:solidFill>
                    <w14:schemeClr w14:val="tx1"/>
                  </w14:solidFill>
                </w14:textFill>
              </w:rPr>
              <w:t>Ⅲ</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类，</w:t>
            </w: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汇入元江</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下游红河桥断面2024年水质类别为Ⅱ类</w:t>
            </w:r>
            <w:r>
              <w:rPr>
                <w:rFonts w:hint="default" w:ascii="Times New Roman" w:hAnsi="Times New Roman" w:eastAsia="宋体" w:cs="Times New Roman"/>
                <w:bCs/>
                <w:color w:val="000000" w:themeColor="text1"/>
                <w:sz w:val="24"/>
                <w:szCs w:val="24"/>
                <w:highlight w:val="none"/>
                <w:lang w:val="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项目</w:t>
            </w:r>
            <w:r>
              <w:rPr>
                <w:rFonts w:hint="eastAsia" w:ascii="Times New Roman" w:hAnsi="Times New Roman" w:cs="Times New Roman"/>
                <w:color w:val="000000" w:themeColor="text1"/>
                <w:sz w:val="24"/>
                <w:szCs w:val="24"/>
                <w:lang w:val="en-US" w:eastAsia="zh-CN"/>
                <w14:textFill>
                  <w14:solidFill>
                    <w14:schemeClr w14:val="tx1"/>
                  </w14:solidFill>
                </w14:textFill>
              </w:rPr>
              <w:t>涉及</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的地表水体小河底</w:t>
            </w:r>
            <w:r>
              <w:rPr>
                <w:rFonts w:hint="default" w:ascii="Times New Roman" w:hAnsi="Times New Roman" w:eastAsia="宋体" w:cs="Times New Roman"/>
                <w:b w:val="0"/>
                <w:bCs/>
                <w:color w:val="000000" w:themeColor="text1"/>
                <w:sz w:val="24"/>
                <w:szCs w:val="24"/>
                <w:lang w:val="en-US" w:eastAsia="zh-CN"/>
                <w14:textFill>
                  <w14:solidFill>
                    <w14:schemeClr w14:val="tx1"/>
                  </w14:solidFill>
                </w14:textFill>
              </w:rPr>
              <w:t>河、大西水库、迭嘎个拉河和尼去本水库</w:t>
            </w:r>
            <w:r>
              <w:rPr>
                <w:rFonts w:hint="default" w:ascii="Times New Roman" w:hAnsi="Times New Roman" w:eastAsia="宋体" w:cs="Times New Roman"/>
                <w:bCs/>
                <w:color w:val="000000" w:themeColor="text1"/>
                <w:sz w:val="24"/>
                <w:szCs w:val="24"/>
                <w:highlight w:val="none"/>
                <w:lang w:val="zh-CN"/>
                <w14:textFill>
                  <w14:solidFill>
                    <w14:schemeClr w14:val="tx1"/>
                  </w14:solidFill>
                </w14:textFill>
              </w:rPr>
              <w:t>，参照执行《地表水环境质量标准》（GB3838一2002）</w:t>
            </w:r>
            <w:r>
              <w:rPr>
                <w:rFonts w:hint="default" w:ascii="Times New Roman" w:hAnsi="Times New Roman" w:eastAsia="宋体" w:cs="Times New Roman"/>
                <w:b w:val="0"/>
                <w:color w:val="000000" w:themeColor="text1"/>
                <w:sz w:val="24"/>
                <w:szCs w:val="24"/>
                <w:highlight w:val="none"/>
                <w14:textFill>
                  <w14:solidFill>
                    <w14:schemeClr w14:val="tx1"/>
                  </w14:solidFill>
                </w14:textFill>
              </w:rPr>
              <w:t>Ⅲ</w:t>
            </w:r>
            <w:r>
              <w:rPr>
                <w:rFonts w:hint="default" w:ascii="Times New Roman" w:hAnsi="Times New Roman" w:eastAsia="宋体" w:cs="Times New Roman"/>
                <w:bCs/>
                <w:color w:val="000000" w:themeColor="text1"/>
                <w:sz w:val="24"/>
                <w:szCs w:val="24"/>
                <w:highlight w:val="none"/>
                <w:lang w:val="zh-CN"/>
                <w14:textFill>
                  <w14:solidFill>
                    <w14:schemeClr w14:val="tx1"/>
                  </w14:solidFill>
                </w14:textFill>
              </w:rPr>
              <w:t>类标准。</w:t>
            </w:r>
          </w:p>
          <w:p w14:paraId="6BE1A9D3">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p>
          <w:p w14:paraId="0285787D">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p>
          <w:p w14:paraId="63953E14">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表3-</w:t>
            </w:r>
            <w:r>
              <w:rPr>
                <w:rFonts w:hint="eastAsia" w:ascii="Times New Roman" w:hAnsi="Times New Roman" w:eastAsia="宋体" w:cs="Times New Roman"/>
                <w:b/>
                <w:bCs/>
                <w:color w:val="000000" w:themeColor="text1"/>
                <w:sz w:val="21"/>
                <w:szCs w:val="21"/>
                <w:lang w:val="en-US" w:eastAsia="zh-CN"/>
                <w14:textFill>
                  <w14:solidFill>
                    <w14:schemeClr w14:val="tx1"/>
                  </w14:solidFill>
                </w14:textFill>
              </w:rPr>
              <w:t xml:space="preserve">9    </w:t>
            </w: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地表水环境质量标准</w:t>
            </w:r>
          </w:p>
          <w:tbl>
            <w:tblPr>
              <w:tblStyle w:val="26"/>
              <w:tblW w:w="491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0"/>
              <w:gridCol w:w="3773"/>
              <w:gridCol w:w="2877"/>
            </w:tblGrid>
            <w:tr w14:paraId="2FC23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19" w:type="pct"/>
                  <w:noWrap w:val="0"/>
                  <w:vAlign w:val="center"/>
                </w:tcPr>
                <w:p w14:paraId="3012E30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bCs/>
                      <w:color w:val="000000" w:themeColor="text1"/>
                      <w:sz w:val="21"/>
                      <w:lang w:eastAsia="zh-CN"/>
                      <w14:textFill>
                        <w14:solidFill>
                          <w14:schemeClr w14:val="tx1"/>
                        </w14:solidFill>
                      </w14:textFill>
                    </w:rPr>
                  </w:pPr>
                  <w:r>
                    <w:rPr>
                      <w:rFonts w:hint="default" w:ascii="Times New Roman" w:hAnsi="Times New Roman" w:eastAsia="宋体" w:cs="Times New Roman"/>
                      <w:b/>
                      <w:bCs/>
                      <w:color w:val="000000" w:themeColor="text1"/>
                      <w:sz w:val="21"/>
                      <w:lang w:eastAsia="zh-CN"/>
                      <w14:textFill>
                        <w14:solidFill>
                          <w14:schemeClr w14:val="tx1"/>
                        </w14:solidFill>
                      </w14:textFill>
                    </w:rPr>
                    <w:t>序号</w:t>
                  </w:r>
                </w:p>
              </w:tc>
              <w:tc>
                <w:tcPr>
                  <w:tcW w:w="2485" w:type="pct"/>
                  <w:noWrap w:val="0"/>
                  <w:vAlign w:val="center"/>
                </w:tcPr>
                <w:p w14:paraId="16ADC9FD">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b/>
                      <w:bCs/>
                      <w:color w:val="000000" w:themeColor="text1"/>
                      <w:sz w:val="21"/>
                      <w14:textFill>
                        <w14:solidFill>
                          <w14:schemeClr w14:val="tx1"/>
                        </w14:solidFill>
                      </w14:textFill>
                    </w:rPr>
                  </w:pPr>
                  <w:r>
                    <w:rPr>
                      <w:rFonts w:hint="default" w:ascii="Times New Roman" w:hAnsi="Times New Roman" w:eastAsia="宋体" w:cs="Times New Roman"/>
                      <w:b/>
                      <w:bCs/>
                      <w:color w:val="000000" w:themeColor="text1"/>
                      <w:sz w:val="21"/>
                      <w14:textFill>
                        <w14:solidFill>
                          <w14:schemeClr w14:val="tx1"/>
                        </w14:solidFill>
                      </w14:textFill>
                    </w:rPr>
                    <w:t>项目</w:t>
                  </w:r>
                </w:p>
              </w:tc>
              <w:tc>
                <w:tcPr>
                  <w:tcW w:w="1895" w:type="pct"/>
                  <w:noWrap w:val="0"/>
                  <w:vAlign w:val="center"/>
                </w:tcPr>
                <w:p w14:paraId="3E1CDF1D">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Ⅲ类标准值（单位mg/L）</w:t>
                  </w:r>
                </w:p>
              </w:tc>
            </w:tr>
            <w:tr w14:paraId="6A845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19" w:type="pct"/>
                  <w:noWrap w:val="0"/>
                  <w:vAlign w:val="center"/>
                </w:tcPr>
                <w:p w14:paraId="46853FD3">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000000" w:themeColor="text1"/>
                      <w:sz w:val="21"/>
                      <w:lang w:val="en-US" w:eastAsia="zh-CN"/>
                      <w14:textFill>
                        <w14:solidFill>
                          <w14:schemeClr w14:val="tx1"/>
                        </w14:solidFill>
                      </w14:textFill>
                    </w:rPr>
                  </w:pPr>
                  <w:r>
                    <w:rPr>
                      <w:rFonts w:hint="default" w:ascii="Times New Roman" w:hAnsi="Times New Roman" w:eastAsia="宋体" w:cs="Times New Roman"/>
                      <w:color w:val="000000" w:themeColor="text1"/>
                      <w:sz w:val="21"/>
                      <w:lang w:val="en-US" w:eastAsia="zh-CN"/>
                      <w14:textFill>
                        <w14:solidFill>
                          <w14:schemeClr w14:val="tx1"/>
                        </w14:solidFill>
                      </w14:textFill>
                    </w:rPr>
                    <w:t>1</w:t>
                  </w:r>
                </w:p>
              </w:tc>
              <w:tc>
                <w:tcPr>
                  <w:tcW w:w="2485" w:type="pct"/>
                  <w:noWrap w:val="0"/>
                  <w:vAlign w:val="center"/>
                </w:tcPr>
                <w:p w14:paraId="79559BB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14:textFill>
                        <w14:solidFill>
                          <w14:schemeClr w14:val="tx1"/>
                        </w14:solidFill>
                      </w14:textFill>
                    </w:rPr>
                  </w:pPr>
                  <w:r>
                    <w:rPr>
                      <w:rFonts w:hint="default" w:ascii="Times New Roman" w:hAnsi="Times New Roman" w:eastAsia="宋体" w:cs="Times New Roman"/>
                      <w:color w:val="000000" w:themeColor="text1"/>
                      <w:sz w:val="21"/>
                      <w14:textFill>
                        <w14:solidFill>
                          <w14:schemeClr w14:val="tx1"/>
                        </w14:solidFill>
                      </w14:textFill>
                    </w:rPr>
                    <w:t>pH值（无量纲）</w:t>
                  </w:r>
                </w:p>
              </w:tc>
              <w:tc>
                <w:tcPr>
                  <w:tcW w:w="1895" w:type="pct"/>
                  <w:noWrap w:val="0"/>
                  <w:vAlign w:val="center"/>
                </w:tcPr>
                <w:p w14:paraId="37CDBE03">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bCs/>
                      <w:color w:val="000000" w:themeColor="text1"/>
                      <w:sz w:val="21"/>
                      <w14:textFill>
                        <w14:solidFill>
                          <w14:schemeClr w14:val="tx1"/>
                        </w14:solidFill>
                      </w14:textFill>
                    </w:rPr>
                  </w:pPr>
                  <w:r>
                    <w:rPr>
                      <w:rFonts w:hint="default" w:ascii="Times New Roman" w:hAnsi="Times New Roman" w:eastAsia="宋体" w:cs="Times New Roman"/>
                      <w:bCs/>
                      <w:color w:val="000000" w:themeColor="text1"/>
                      <w:sz w:val="21"/>
                      <w14:textFill>
                        <w14:solidFill>
                          <w14:schemeClr w14:val="tx1"/>
                        </w14:solidFill>
                      </w14:textFill>
                    </w:rPr>
                    <w:t>6-9</w:t>
                  </w:r>
                </w:p>
              </w:tc>
            </w:tr>
            <w:tr w14:paraId="19763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19" w:type="pct"/>
                  <w:noWrap w:val="0"/>
                  <w:vAlign w:val="center"/>
                </w:tcPr>
                <w:p w14:paraId="5B4D2B4B">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000000" w:themeColor="text1"/>
                      <w:sz w:val="21"/>
                      <w:lang w:val="en-US" w:eastAsia="zh-CN"/>
                      <w14:textFill>
                        <w14:solidFill>
                          <w14:schemeClr w14:val="tx1"/>
                        </w14:solidFill>
                      </w14:textFill>
                    </w:rPr>
                  </w:pPr>
                  <w:r>
                    <w:rPr>
                      <w:rFonts w:hint="default" w:ascii="Times New Roman" w:hAnsi="Times New Roman" w:eastAsia="宋体" w:cs="Times New Roman"/>
                      <w:color w:val="000000" w:themeColor="text1"/>
                      <w:sz w:val="21"/>
                      <w:lang w:val="en-US" w:eastAsia="zh-CN"/>
                      <w14:textFill>
                        <w14:solidFill>
                          <w14:schemeClr w14:val="tx1"/>
                        </w14:solidFill>
                      </w14:textFill>
                    </w:rPr>
                    <w:t>2</w:t>
                  </w:r>
                </w:p>
              </w:tc>
              <w:tc>
                <w:tcPr>
                  <w:tcW w:w="2485" w:type="pct"/>
                  <w:noWrap w:val="0"/>
                  <w:vAlign w:val="center"/>
                </w:tcPr>
                <w:p w14:paraId="6196579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lang w:val="en-US" w:eastAsia="zh-CN"/>
                      <w14:textFill>
                        <w14:solidFill>
                          <w14:schemeClr w14:val="tx1"/>
                        </w14:solidFill>
                      </w14:textFill>
                    </w:rPr>
                  </w:pPr>
                  <w:r>
                    <w:rPr>
                      <w:rFonts w:hint="default" w:ascii="Times New Roman" w:hAnsi="Times New Roman" w:eastAsia="宋体" w:cs="Times New Roman"/>
                      <w:color w:val="000000" w:themeColor="text1"/>
                      <w:sz w:val="21"/>
                      <w:lang w:val="en-US" w:eastAsia="zh-CN"/>
                      <w14:textFill>
                        <w14:solidFill>
                          <w14:schemeClr w14:val="tx1"/>
                        </w14:solidFill>
                      </w14:textFill>
                    </w:rPr>
                    <w:t>溶解氧</w:t>
                  </w:r>
                  <w:r>
                    <w:rPr>
                      <w:rFonts w:hint="eastAsia" w:ascii="Times New Roman" w:hAnsi="Times New Roman" w:cs="Times New Roman"/>
                      <w:color w:val="000000" w:themeColor="text1"/>
                      <w:sz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1"/>
                      <w:lang w:val="en-US" w:eastAsia="zh-CN"/>
                      <w14:textFill>
                        <w14:solidFill>
                          <w14:schemeClr w14:val="tx1"/>
                        </w14:solidFill>
                      </w14:textFill>
                    </w:rPr>
                    <w:t>≥</w:t>
                  </w:r>
                </w:p>
              </w:tc>
              <w:tc>
                <w:tcPr>
                  <w:tcW w:w="1895" w:type="pct"/>
                  <w:noWrap w:val="0"/>
                  <w:vAlign w:val="center"/>
                </w:tcPr>
                <w:p w14:paraId="1A3003C3">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bCs/>
                      <w:color w:val="000000" w:themeColor="text1"/>
                      <w:sz w:val="21"/>
                      <w:lang w:val="en-US" w:eastAsia="zh-CN"/>
                      <w14:textFill>
                        <w14:solidFill>
                          <w14:schemeClr w14:val="tx1"/>
                        </w14:solidFill>
                      </w14:textFill>
                    </w:rPr>
                  </w:pPr>
                  <w:r>
                    <w:rPr>
                      <w:rFonts w:hint="default" w:ascii="Times New Roman" w:hAnsi="Times New Roman" w:eastAsia="宋体" w:cs="Times New Roman"/>
                      <w:bCs/>
                      <w:color w:val="000000" w:themeColor="text1"/>
                      <w:sz w:val="21"/>
                      <w:lang w:val="en-US" w:eastAsia="zh-CN"/>
                      <w14:textFill>
                        <w14:solidFill>
                          <w14:schemeClr w14:val="tx1"/>
                        </w14:solidFill>
                      </w14:textFill>
                    </w:rPr>
                    <w:t>5.0</w:t>
                  </w:r>
                </w:p>
              </w:tc>
            </w:tr>
            <w:tr w14:paraId="04442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19" w:type="pct"/>
                  <w:noWrap w:val="0"/>
                  <w:vAlign w:val="center"/>
                </w:tcPr>
                <w:p w14:paraId="2FB33285">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000000" w:themeColor="text1"/>
                      <w:sz w:val="21"/>
                      <w:lang w:val="en-US" w:eastAsia="zh-CN"/>
                      <w14:textFill>
                        <w14:solidFill>
                          <w14:schemeClr w14:val="tx1"/>
                        </w14:solidFill>
                      </w14:textFill>
                    </w:rPr>
                  </w:pPr>
                  <w:r>
                    <w:rPr>
                      <w:rFonts w:hint="default" w:ascii="Times New Roman" w:hAnsi="Times New Roman" w:eastAsia="宋体" w:cs="Times New Roman"/>
                      <w:color w:val="000000" w:themeColor="text1"/>
                      <w:sz w:val="21"/>
                      <w:lang w:val="en-US" w:eastAsia="zh-CN"/>
                      <w14:textFill>
                        <w14:solidFill>
                          <w14:schemeClr w14:val="tx1"/>
                        </w14:solidFill>
                      </w14:textFill>
                    </w:rPr>
                    <w:t>3</w:t>
                  </w:r>
                </w:p>
              </w:tc>
              <w:tc>
                <w:tcPr>
                  <w:tcW w:w="2485" w:type="pct"/>
                  <w:noWrap w:val="0"/>
                  <w:vAlign w:val="center"/>
                </w:tcPr>
                <w:p w14:paraId="30DA68F0">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lang w:val="en-US" w:eastAsia="zh-CN"/>
                      <w14:textFill>
                        <w14:solidFill>
                          <w14:schemeClr w14:val="tx1"/>
                        </w14:solidFill>
                      </w14:textFill>
                    </w:rPr>
                  </w:pPr>
                  <w:r>
                    <w:rPr>
                      <w:rFonts w:hint="default" w:ascii="Times New Roman" w:hAnsi="Times New Roman" w:eastAsia="宋体" w:cs="Times New Roman"/>
                      <w:color w:val="000000" w:themeColor="text1"/>
                      <w:sz w:val="21"/>
                      <w:lang w:val="en-US" w:eastAsia="zh-CN"/>
                      <w14:textFill>
                        <w14:solidFill>
                          <w14:schemeClr w14:val="tx1"/>
                        </w14:solidFill>
                      </w14:textFill>
                    </w:rPr>
                    <w:t>高锰酸盐指数</w:t>
                  </w:r>
                  <w:r>
                    <w:rPr>
                      <w:rFonts w:hint="eastAsia" w:ascii="Times New Roman" w:hAnsi="Times New Roman" w:cs="Times New Roman"/>
                      <w:color w:val="000000" w:themeColor="text1"/>
                      <w:sz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1"/>
                      <w14:textFill>
                        <w14:solidFill>
                          <w14:schemeClr w14:val="tx1"/>
                        </w14:solidFill>
                      </w14:textFill>
                    </w:rPr>
                    <w:t>≤</w:t>
                  </w:r>
                </w:p>
              </w:tc>
              <w:tc>
                <w:tcPr>
                  <w:tcW w:w="1895" w:type="pct"/>
                  <w:noWrap w:val="0"/>
                  <w:vAlign w:val="center"/>
                </w:tcPr>
                <w:p w14:paraId="2144B077">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bCs/>
                      <w:color w:val="000000" w:themeColor="text1"/>
                      <w:sz w:val="21"/>
                      <w:lang w:val="en-US" w:eastAsia="zh-CN"/>
                      <w14:textFill>
                        <w14:solidFill>
                          <w14:schemeClr w14:val="tx1"/>
                        </w14:solidFill>
                      </w14:textFill>
                    </w:rPr>
                  </w:pPr>
                  <w:r>
                    <w:rPr>
                      <w:rFonts w:hint="default" w:ascii="Times New Roman" w:hAnsi="Times New Roman" w:eastAsia="宋体" w:cs="Times New Roman"/>
                      <w:bCs/>
                      <w:color w:val="000000" w:themeColor="text1"/>
                      <w:sz w:val="21"/>
                      <w:lang w:val="en-US" w:eastAsia="zh-CN"/>
                      <w14:textFill>
                        <w14:solidFill>
                          <w14:schemeClr w14:val="tx1"/>
                        </w14:solidFill>
                      </w14:textFill>
                    </w:rPr>
                    <w:t>6.0</w:t>
                  </w:r>
                </w:p>
              </w:tc>
            </w:tr>
            <w:tr w14:paraId="320AF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19" w:type="pct"/>
                  <w:noWrap w:val="0"/>
                  <w:vAlign w:val="center"/>
                </w:tcPr>
                <w:p w14:paraId="3FDF74EB">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000000" w:themeColor="text1"/>
                      <w:sz w:val="21"/>
                      <w:lang w:val="en-US" w:eastAsia="zh-CN"/>
                      <w14:textFill>
                        <w14:solidFill>
                          <w14:schemeClr w14:val="tx1"/>
                        </w14:solidFill>
                      </w14:textFill>
                    </w:rPr>
                  </w:pPr>
                  <w:r>
                    <w:rPr>
                      <w:rFonts w:hint="default" w:ascii="Times New Roman" w:hAnsi="Times New Roman" w:eastAsia="宋体" w:cs="Times New Roman"/>
                      <w:color w:val="000000" w:themeColor="text1"/>
                      <w:sz w:val="21"/>
                      <w:lang w:val="en-US" w:eastAsia="zh-CN"/>
                      <w14:textFill>
                        <w14:solidFill>
                          <w14:schemeClr w14:val="tx1"/>
                        </w14:solidFill>
                      </w14:textFill>
                    </w:rPr>
                    <w:t>4</w:t>
                  </w:r>
                </w:p>
              </w:tc>
              <w:tc>
                <w:tcPr>
                  <w:tcW w:w="2485" w:type="pct"/>
                  <w:noWrap w:val="0"/>
                  <w:vAlign w:val="center"/>
                </w:tcPr>
                <w:p w14:paraId="7B59573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14:textFill>
                        <w14:solidFill>
                          <w14:schemeClr w14:val="tx1"/>
                        </w14:solidFill>
                      </w14:textFill>
                    </w:rPr>
                  </w:pPr>
                  <w:r>
                    <w:rPr>
                      <w:rFonts w:hint="default" w:ascii="Times New Roman" w:hAnsi="Times New Roman" w:eastAsia="宋体" w:cs="Times New Roman"/>
                      <w:color w:val="000000" w:themeColor="text1"/>
                      <w:sz w:val="21"/>
                      <w14:textFill>
                        <w14:solidFill>
                          <w14:schemeClr w14:val="tx1"/>
                        </w14:solidFill>
                      </w14:textFill>
                    </w:rPr>
                    <w:t>化学需氧量（COD）</w:t>
                  </w:r>
                  <w:r>
                    <w:rPr>
                      <w:rFonts w:hint="eastAsia" w:ascii="Times New Roman" w:hAnsi="Times New Roman" w:cs="Times New Roman"/>
                      <w:color w:val="000000" w:themeColor="text1"/>
                      <w:sz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1"/>
                      <w14:textFill>
                        <w14:solidFill>
                          <w14:schemeClr w14:val="tx1"/>
                        </w14:solidFill>
                      </w14:textFill>
                    </w:rPr>
                    <w:t>≤</w:t>
                  </w:r>
                </w:p>
              </w:tc>
              <w:tc>
                <w:tcPr>
                  <w:tcW w:w="1895" w:type="pct"/>
                  <w:noWrap w:val="0"/>
                  <w:vAlign w:val="center"/>
                </w:tcPr>
                <w:p w14:paraId="5D0DE1A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lang w:val="en-US" w:eastAsia="zh-CN"/>
                      <w14:textFill>
                        <w14:solidFill>
                          <w14:schemeClr w14:val="tx1"/>
                        </w14:solidFill>
                      </w14:textFill>
                    </w:rPr>
                  </w:pPr>
                  <w:r>
                    <w:rPr>
                      <w:rFonts w:hint="default" w:ascii="Times New Roman" w:hAnsi="Times New Roman" w:eastAsia="宋体" w:cs="Times New Roman"/>
                      <w:color w:val="000000" w:themeColor="text1"/>
                      <w:sz w:val="21"/>
                      <w:lang w:val="en-US" w:eastAsia="zh-CN"/>
                      <w14:textFill>
                        <w14:solidFill>
                          <w14:schemeClr w14:val="tx1"/>
                        </w14:solidFill>
                      </w14:textFill>
                    </w:rPr>
                    <w:t>2</w:t>
                  </w:r>
                  <w:r>
                    <w:rPr>
                      <w:rFonts w:hint="default" w:ascii="Times New Roman" w:hAnsi="Times New Roman" w:eastAsia="宋体" w:cs="Times New Roman"/>
                      <w:color w:val="000000" w:themeColor="text1"/>
                      <w:sz w:val="21"/>
                      <w14:textFill>
                        <w14:solidFill>
                          <w14:schemeClr w14:val="tx1"/>
                        </w14:solidFill>
                      </w14:textFill>
                    </w:rPr>
                    <w:t>0</w:t>
                  </w:r>
                  <w:r>
                    <w:rPr>
                      <w:rFonts w:hint="default" w:ascii="Times New Roman" w:hAnsi="Times New Roman" w:eastAsia="宋体" w:cs="Times New Roman"/>
                      <w:color w:val="000000" w:themeColor="text1"/>
                      <w:sz w:val="21"/>
                      <w:lang w:val="en-US" w:eastAsia="zh-CN"/>
                      <w14:textFill>
                        <w14:solidFill>
                          <w14:schemeClr w14:val="tx1"/>
                        </w14:solidFill>
                      </w14:textFill>
                    </w:rPr>
                    <w:t>.0</w:t>
                  </w:r>
                </w:p>
              </w:tc>
            </w:tr>
            <w:tr w14:paraId="1A992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19" w:type="pct"/>
                  <w:noWrap w:val="0"/>
                  <w:vAlign w:val="center"/>
                </w:tcPr>
                <w:p w14:paraId="4A326397">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000000" w:themeColor="text1"/>
                      <w:sz w:val="21"/>
                      <w:lang w:val="en-US" w:eastAsia="zh-CN"/>
                      <w14:textFill>
                        <w14:solidFill>
                          <w14:schemeClr w14:val="tx1"/>
                        </w14:solidFill>
                      </w14:textFill>
                    </w:rPr>
                  </w:pPr>
                  <w:r>
                    <w:rPr>
                      <w:rFonts w:hint="default" w:ascii="Times New Roman" w:hAnsi="Times New Roman" w:eastAsia="宋体" w:cs="Times New Roman"/>
                      <w:color w:val="000000" w:themeColor="text1"/>
                      <w:sz w:val="21"/>
                      <w:lang w:val="en-US" w:eastAsia="zh-CN"/>
                      <w14:textFill>
                        <w14:solidFill>
                          <w14:schemeClr w14:val="tx1"/>
                        </w14:solidFill>
                      </w14:textFill>
                    </w:rPr>
                    <w:t>5</w:t>
                  </w:r>
                </w:p>
              </w:tc>
              <w:tc>
                <w:tcPr>
                  <w:tcW w:w="2485" w:type="pct"/>
                  <w:noWrap w:val="0"/>
                  <w:vAlign w:val="center"/>
                </w:tcPr>
                <w:p w14:paraId="1280DD8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14:textFill>
                        <w14:solidFill>
                          <w14:schemeClr w14:val="tx1"/>
                        </w14:solidFill>
                      </w14:textFill>
                    </w:rPr>
                  </w:pPr>
                  <w:r>
                    <w:rPr>
                      <w:rFonts w:hint="default" w:ascii="Times New Roman" w:hAnsi="Times New Roman" w:eastAsia="宋体" w:cs="Times New Roman"/>
                      <w:color w:val="000000" w:themeColor="text1"/>
                      <w:sz w:val="21"/>
                      <w14:textFill>
                        <w14:solidFill>
                          <w14:schemeClr w14:val="tx1"/>
                        </w14:solidFill>
                      </w14:textFill>
                    </w:rPr>
                    <w:t>五日生化需氧量（BOD</w:t>
                  </w:r>
                  <w:r>
                    <w:rPr>
                      <w:rFonts w:hint="default" w:ascii="Times New Roman" w:hAnsi="Times New Roman" w:eastAsia="宋体" w:cs="Times New Roman"/>
                      <w:color w:val="000000" w:themeColor="text1"/>
                      <w:sz w:val="21"/>
                      <w:vertAlign w:val="subscript"/>
                      <w14:textFill>
                        <w14:solidFill>
                          <w14:schemeClr w14:val="tx1"/>
                        </w14:solidFill>
                      </w14:textFill>
                    </w:rPr>
                    <w:t>5</w:t>
                  </w:r>
                  <w:r>
                    <w:rPr>
                      <w:rFonts w:hint="default" w:ascii="Times New Roman" w:hAnsi="Times New Roman" w:eastAsia="宋体" w:cs="Times New Roman"/>
                      <w:color w:val="000000" w:themeColor="text1"/>
                      <w:sz w:val="21"/>
                      <w14:textFill>
                        <w14:solidFill>
                          <w14:schemeClr w14:val="tx1"/>
                        </w14:solidFill>
                      </w14:textFill>
                    </w:rPr>
                    <w:t>）</w:t>
                  </w:r>
                  <w:r>
                    <w:rPr>
                      <w:rFonts w:hint="eastAsia" w:ascii="Times New Roman" w:hAnsi="Times New Roman" w:cs="Times New Roman"/>
                      <w:color w:val="000000" w:themeColor="text1"/>
                      <w:sz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1"/>
                      <w14:textFill>
                        <w14:solidFill>
                          <w14:schemeClr w14:val="tx1"/>
                        </w14:solidFill>
                      </w14:textFill>
                    </w:rPr>
                    <w:t>≤</w:t>
                  </w:r>
                </w:p>
              </w:tc>
              <w:tc>
                <w:tcPr>
                  <w:tcW w:w="1895" w:type="pct"/>
                  <w:noWrap w:val="0"/>
                  <w:vAlign w:val="center"/>
                </w:tcPr>
                <w:p w14:paraId="0D5DB56E">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000000" w:themeColor="text1"/>
                      <w:sz w:val="21"/>
                      <w:lang w:val="en-US" w:eastAsia="zh-CN"/>
                      <w14:textFill>
                        <w14:solidFill>
                          <w14:schemeClr w14:val="tx1"/>
                        </w14:solidFill>
                      </w14:textFill>
                    </w:rPr>
                  </w:pPr>
                  <w:r>
                    <w:rPr>
                      <w:rFonts w:hint="default" w:ascii="Times New Roman" w:hAnsi="Times New Roman" w:eastAsia="宋体" w:cs="Times New Roman"/>
                      <w:color w:val="000000" w:themeColor="text1"/>
                      <w:sz w:val="21"/>
                      <w:lang w:val="en-US" w:eastAsia="zh-CN"/>
                      <w14:textFill>
                        <w14:solidFill>
                          <w14:schemeClr w14:val="tx1"/>
                        </w14:solidFill>
                      </w14:textFill>
                    </w:rPr>
                    <w:t>4.0</w:t>
                  </w:r>
                </w:p>
              </w:tc>
            </w:tr>
            <w:tr w14:paraId="69562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19" w:type="pct"/>
                  <w:noWrap w:val="0"/>
                  <w:vAlign w:val="center"/>
                </w:tcPr>
                <w:p w14:paraId="74A44520">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000000" w:themeColor="text1"/>
                      <w:sz w:val="21"/>
                      <w:lang w:val="en-US" w:eastAsia="zh-CN"/>
                      <w14:textFill>
                        <w14:solidFill>
                          <w14:schemeClr w14:val="tx1"/>
                        </w14:solidFill>
                      </w14:textFill>
                    </w:rPr>
                  </w:pPr>
                  <w:r>
                    <w:rPr>
                      <w:rFonts w:hint="default" w:ascii="Times New Roman" w:hAnsi="Times New Roman" w:eastAsia="宋体" w:cs="Times New Roman"/>
                      <w:color w:val="000000" w:themeColor="text1"/>
                      <w:sz w:val="21"/>
                      <w:lang w:val="en-US" w:eastAsia="zh-CN"/>
                      <w14:textFill>
                        <w14:solidFill>
                          <w14:schemeClr w14:val="tx1"/>
                        </w14:solidFill>
                      </w14:textFill>
                    </w:rPr>
                    <w:t>6</w:t>
                  </w:r>
                </w:p>
              </w:tc>
              <w:tc>
                <w:tcPr>
                  <w:tcW w:w="2485" w:type="pct"/>
                  <w:noWrap w:val="0"/>
                  <w:vAlign w:val="center"/>
                </w:tcPr>
                <w:p w14:paraId="5A3081D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14:textFill>
                        <w14:solidFill>
                          <w14:schemeClr w14:val="tx1"/>
                        </w14:solidFill>
                      </w14:textFill>
                    </w:rPr>
                  </w:pPr>
                  <w:r>
                    <w:rPr>
                      <w:rFonts w:hint="default" w:ascii="Times New Roman" w:hAnsi="Times New Roman" w:eastAsia="宋体" w:cs="Times New Roman"/>
                      <w:color w:val="000000" w:themeColor="text1"/>
                      <w:sz w:val="21"/>
                      <w14:textFill>
                        <w14:solidFill>
                          <w14:schemeClr w14:val="tx1"/>
                        </w14:solidFill>
                      </w14:textFill>
                    </w:rPr>
                    <w:t>氨氮（NH</w:t>
                  </w:r>
                  <w:r>
                    <w:rPr>
                      <w:rFonts w:hint="default" w:ascii="Times New Roman" w:hAnsi="Times New Roman" w:eastAsia="宋体" w:cs="Times New Roman"/>
                      <w:color w:val="000000" w:themeColor="text1"/>
                      <w:sz w:val="21"/>
                      <w:vertAlign w:val="subscript"/>
                      <w14:textFill>
                        <w14:solidFill>
                          <w14:schemeClr w14:val="tx1"/>
                        </w14:solidFill>
                      </w14:textFill>
                    </w:rPr>
                    <w:t>3</w:t>
                  </w:r>
                  <w:r>
                    <w:rPr>
                      <w:rFonts w:hint="default" w:ascii="Times New Roman" w:hAnsi="Times New Roman" w:eastAsia="宋体" w:cs="Times New Roman"/>
                      <w:color w:val="000000" w:themeColor="text1"/>
                      <w:sz w:val="21"/>
                      <w14:textFill>
                        <w14:solidFill>
                          <w14:schemeClr w14:val="tx1"/>
                        </w14:solidFill>
                      </w14:textFill>
                    </w:rPr>
                    <w:t>-N）</w:t>
                  </w:r>
                  <w:r>
                    <w:rPr>
                      <w:rFonts w:hint="eastAsia" w:ascii="Times New Roman" w:hAnsi="Times New Roman" w:cs="Times New Roman"/>
                      <w:color w:val="000000" w:themeColor="text1"/>
                      <w:sz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1"/>
                      <w14:textFill>
                        <w14:solidFill>
                          <w14:schemeClr w14:val="tx1"/>
                        </w14:solidFill>
                      </w14:textFill>
                    </w:rPr>
                    <w:t>≤</w:t>
                  </w:r>
                </w:p>
              </w:tc>
              <w:tc>
                <w:tcPr>
                  <w:tcW w:w="1895" w:type="pct"/>
                  <w:noWrap w:val="0"/>
                  <w:vAlign w:val="center"/>
                </w:tcPr>
                <w:p w14:paraId="4AD2495E">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000000" w:themeColor="text1"/>
                      <w:sz w:val="21"/>
                      <w:lang w:eastAsia="zh-CN"/>
                      <w14:textFill>
                        <w14:solidFill>
                          <w14:schemeClr w14:val="tx1"/>
                        </w14:solidFill>
                      </w14:textFill>
                    </w:rPr>
                  </w:pPr>
                  <w:r>
                    <w:rPr>
                      <w:rFonts w:hint="default" w:ascii="Times New Roman" w:hAnsi="Times New Roman" w:eastAsia="宋体" w:cs="Times New Roman"/>
                      <w:color w:val="000000" w:themeColor="text1"/>
                      <w:sz w:val="21"/>
                      <w14:textFill>
                        <w14:solidFill>
                          <w14:schemeClr w14:val="tx1"/>
                        </w14:solidFill>
                      </w14:textFill>
                    </w:rPr>
                    <w:t>1.</w:t>
                  </w:r>
                  <w:r>
                    <w:rPr>
                      <w:rFonts w:hint="default" w:ascii="Times New Roman" w:hAnsi="Times New Roman" w:eastAsia="宋体" w:cs="Times New Roman"/>
                      <w:color w:val="000000" w:themeColor="text1"/>
                      <w:sz w:val="21"/>
                      <w:lang w:val="en-US" w:eastAsia="zh-CN"/>
                      <w14:textFill>
                        <w14:solidFill>
                          <w14:schemeClr w14:val="tx1"/>
                        </w14:solidFill>
                      </w14:textFill>
                    </w:rPr>
                    <w:t>0</w:t>
                  </w:r>
                </w:p>
              </w:tc>
            </w:tr>
            <w:tr w14:paraId="36616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19" w:type="pct"/>
                  <w:noWrap w:val="0"/>
                  <w:vAlign w:val="center"/>
                </w:tcPr>
                <w:p w14:paraId="3C9F7BEE">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000000" w:themeColor="text1"/>
                      <w:sz w:val="21"/>
                      <w:lang w:val="en-US" w:eastAsia="zh-CN"/>
                      <w14:textFill>
                        <w14:solidFill>
                          <w14:schemeClr w14:val="tx1"/>
                        </w14:solidFill>
                      </w14:textFill>
                    </w:rPr>
                  </w:pPr>
                  <w:r>
                    <w:rPr>
                      <w:rFonts w:hint="default" w:ascii="Times New Roman" w:hAnsi="Times New Roman" w:eastAsia="宋体" w:cs="Times New Roman"/>
                      <w:color w:val="000000" w:themeColor="text1"/>
                      <w:sz w:val="21"/>
                      <w:lang w:val="en-US" w:eastAsia="zh-CN"/>
                      <w14:textFill>
                        <w14:solidFill>
                          <w14:schemeClr w14:val="tx1"/>
                        </w14:solidFill>
                      </w14:textFill>
                    </w:rPr>
                    <w:t>7</w:t>
                  </w:r>
                </w:p>
              </w:tc>
              <w:tc>
                <w:tcPr>
                  <w:tcW w:w="2485" w:type="pct"/>
                  <w:noWrap w:val="0"/>
                  <w:vAlign w:val="center"/>
                </w:tcPr>
                <w:p w14:paraId="613643C0">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14:textFill>
                        <w14:solidFill>
                          <w14:schemeClr w14:val="tx1"/>
                        </w14:solidFill>
                      </w14:textFill>
                    </w:rPr>
                  </w:pPr>
                  <w:r>
                    <w:rPr>
                      <w:rFonts w:hint="default" w:ascii="Times New Roman" w:hAnsi="Times New Roman" w:eastAsia="宋体" w:cs="Times New Roman"/>
                      <w:color w:val="000000" w:themeColor="text1"/>
                      <w:sz w:val="21"/>
                      <w14:textFill>
                        <w14:solidFill>
                          <w14:schemeClr w14:val="tx1"/>
                        </w14:solidFill>
                      </w14:textFill>
                    </w:rPr>
                    <w:t>总磷（以P计）</w:t>
                  </w:r>
                  <w:r>
                    <w:rPr>
                      <w:rFonts w:hint="eastAsia" w:ascii="Times New Roman" w:hAnsi="Times New Roman" w:cs="Times New Roman"/>
                      <w:color w:val="000000" w:themeColor="text1"/>
                      <w:sz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1"/>
                      <w14:textFill>
                        <w14:solidFill>
                          <w14:schemeClr w14:val="tx1"/>
                        </w14:solidFill>
                      </w14:textFill>
                    </w:rPr>
                    <w:t>≤</w:t>
                  </w:r>
                </w:p>
              </w:tc>
              <w:tc>
                <w:tcPr>
                  <w:tcW w:w="1895" w:type="pct"/>
                  <w:noWrap w:val="0"/>
                  <w:vAlign w:val="center"/>
                </w:tcPr>
                <w:p w14:paraId="0D679667">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000000" w:themeColor="text1"/>
                      <w:sz w:val="21"/>
                      <w:lang w:eastAsia="zh-CN"/>
                      <w14:textFill>
                        <w14:solidFill>
                          <w14:schemeClr w14:val="tx1"/>
                        </w14:solidFill>
                      </w14:textFill>
                    </w:rPr>
                  </w:pPr>
                  <w:r>
                    <w:rPr>
                      <w:rFonts w:hint="default" w:ascii="Times New Roman" w:hAnsi="Times New Roman" w:eastAsia="宋体" w:cs="Times New Roman"/>
                      <w:color w:val="000000" w:themeColor="text1"/>
                      <w:sz w:val="21"/>
                      <w14:textFill>
                        <w14:solidFill>
                          <w14:schemeClr w14:val="tx1"/>
                        </w14:solidFill>
                      </w14:textFill>
                    </w:rPr>
                    <w:t>0.</w:t>
                  </w:r>
                  <w:r>
                    <w:rPr>
                      <w:rFonts w:hint="default" w:ascii="Times New Roman" w:hAnsi="Times New Roman" w:eastAsia="宋体" w:cs="Times New Roman"/>
                      <w:color w:val="000000" w:themeColor="text1"/>
                      <w:sz w:val="21"/>
                      <w:lang w:val="en-US" w:eastAsia="zh-CN"/>
                      <w14:textFill>
                        <w14:solidFill>
                          <w14:schemeClr w14:val="tx1"/>
                        </w14:solidFill>
                      </w14:textFill>
                    </w:rPr>
                    <w:t>2</w:t>
                  </w:r>
                </w:p>
              </w:tc>
            </w:tr>
            <w:tr w14:paraId="093C5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19" w:type="pct"/>
                  <w:noWrap w:val="0"/>
                  <w:vAlign w:val="center"/>
                </w:tcPr>
                <w:p w14:paraId="518BFBFA">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000000" w:themeColor="text1"/>
                      <w:sz w:val="21"/>
                      <w:lang w:val="en-US" w:eastAsia="zh-CN"/>
                      <w14:textFill>
                        <w14:solidFill>
                          <w14:schemeClr w14:val="tx1"/>
                        </w14:solidFill>
                      </w14:textFill>
                    </w:rPr>
                  </w:pPr>
                  <w:r>
                    <w:rPr>
                      <w:rFonts w:hint="default" w:ascii="Times New Roman" w:hAnsi="Times New Roman" w:eastAsia="宋体" w:cs="Times New Roman"/>
                      <w:color w:val="000000" w:themeColor="text1"/>
                      <w:sz w:val="21"/>
                      <w:lang w:val="en-US" w:eastAsia="zh-CN"/>
                      <w14:textFill>
                        <w14:solidFill>
                          <w14:schemeClr w14:val="tx1"/>
                        </w14:solidFill>
                      </w14:textFill>
                    </w:rPr>
                    <w:t>8</w:t>
                  </w:r>
                </w:p>
              </w:tc>
              <w:tc>
                <w:tcPr>
                  <w:tcW w:w="2485" w:type="pct"/>
                  <w:noWrap w:val="0"/>
                  <w:vAlign w:val="center"/>
                </w:tcPr>
                <w:p w14:paraId="2C7D416A">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lang w:val="en-US" w:eastAsia="zh-CN"/>
                      <w14:textFill>
                        <w14:solidFill>
                          <w14:schemeClr w14:val="tx1"/>
                        </w14:solidFill>
                      </w14:textFill>
                    </w:rPr>
                  </w:pPr>
                  <w:r>
                    <w:rPr>
                      <w:rFonts w:hint="default" w:ascii="Times New Roman" w:hAnsi="Times New Roman" w:eastAsia="宋体" w:cs="Times New Roman"/>
                      <w:color w:val="000000" w:themeColor="text1"/>
                      <w:sz w:val="21"/>
                      <w:lang w:eastAsia="zh-CN"/>
                      <w14:textFill>
                        <w14:solidFill>
                          <w14:schemeClr w14:val="tx1"/>
                        </w14:solidFill>
                      </w14:textFill>
                    </w:rPr>
                    <w:t>铜</w:t>
                  </w:r>
                  <w:r>
                    <w:rPr>
                      <w:rFonts w:hint="eastAsia" w:ascii="Times New Roman" w:hAnsi="Times New Roman" w:cs="Times New Roman"/>
                      <w:color w:val="000000" w:themeColor="text1"/>
                      <w:sz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1"/>
                      <w14:textFill>
                        <w14:solidFill>
                          <w14:schemeClr w14:val="tx1"/>
                        </w14:solidFill>
                      </w14:textFill>
                    </w:rPr>
                    <w:t>≤</w:t>
                  </w:r>
                </w:p>
              </w:tc>
              <w:tc>
                <w:tcPr>
                  <w:tcW w:w="1895" w:type="pct"/>
                  <w:noWrap w:val="0"/>
                  <w:vAlign w:val="center"/>
                </w:tcPr>
                <w:p w14:paraId="5F0B2D2E">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000000" w:themeColor="text1"/>
                      <w:sz w:val="21"/>
                      <w:lang w:val="en-US" w:eastAsia="zh-CN"/>
                      <w14:textFill>
                        <w14:solidFill>
                          <w14:schemeClr w14:val="tx1"/>
                        </w14:solidFill>
                      </w14:textFill>
                    </w:rPr>
                  </w:pPr>
                  <w:r>
                    <w:rPr>
                      <w:rFonts w:hint="default" w:ascii="Times New Roman" w:hAnsi="Times New Roman" w:eastAsia="宋体" w:cs="Times New Roman"/>
                      <w:color w:val="000000" w:themeColor="text1"/>
                      <w:sz w:val="21"/>
                      <w:lang w:val="en-US" w:eastAsia="zh-CN"/>
                      <w14:textFill>
                        <w14:solidFill>
                          <w14:schemeClr w14:val="tx1"/>
                        </w14:solidFill>
                      </w14:textFill>
                    </w:rPr>
                    <w:t>1.0</w:t>
                  </w:r>
                </w:p>
              </w:tc>
            </w:tr>
            <w:tr w14:paraId="02908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19" w:type="pct"/>
                  <w:noWrap w:val="0"/>
                  <w:vAlign w:val="center"/>
                </w:tcPr>
                <w:p w14:paraId="14E1CC09">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000000" w:themeColor="text1"/>
                      <w:sz w:val="21"/>
                      <w:lang w:val="en-US" w:eastAsia="zh-CN"/>
                      <w14:textFill>
                        <w14:solidFill>
                          <w14:schemeClr w14:val="tx1"/>
                        </w14:solidFill>
                      </w14:textFill>
                    </w:rPr>
                  </w:pPr>
                  <w:r>
                    <w:rPr>
                      <w:rFonts w:hint="default" w:ascii="Times New Roman" w:hAnsi="Times New Roman" w:eastAsia="宋体" w:cs="Times New Roman"/>
                      <w:color w:val="000000" w:themeColor="text1"/>
                      <w:sz w:val="21"/>
                      <w:lang w:val="en-US" w:eastAsia="zh-CN"/>
                      <w14:textFill>
                        <w14:solidFill>
                          <w14:schemeClr w14:val="tx1"/>
                        </w14:solidFill>
                      </w14:textFill>
                    </w:rPr>
                    <w:t>9</w:t>
                  </w:r>
                </w:p>
              </w:tc>
              <w:tc>
                <w:tcPr>
                  <w:tcW w:w="2485" w:type="pct"/>
                  <w:noWrap w:val="0"/>
                  <w:vAlign w:val="center"/>
                </w:tcPr>
                <w:p w14:paraId="0826B93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lang w:eastAsia="zh-CN"/>
                      <w14:textFill>
                        <w14:solidFill>
                          <w14:schemeClr w14:val="tx1"/>
                        </w14:solidFill>
                      </w14:textFill>
                    </w:rPr>
                  </w:pPr>
                  <w:r>
                    <w:rPr>
                      <w:rFonts w:hint="default" w:ascii="Times New Roman" w:hAnsi="Times New Roman" w:eastAsia="宋体" w:cs="Times New Roman"/>
                      <w:color w:val="000000" w:themeColor="text1"/>
                      <w:sz w:val="21"/>
                      <w:lang w:eastAsia="zh-CN"/>
                      <w14:textFill>
                        <w14:solidFill>
                          <w14:schemeClr w14:val="tx1"/>
                        </w14:solidFill>
                      </w14:textFill>
                    </w:rPr>
                    <w:t>锌</w:t>
                  </w:r>
                  <w:r>
                    <w:rPr>
                      <w:rFonts w:hint="eastAsia" w:ascii="Times New Roman" w:hAnsi="Times New Roman" w:cs="Times New Roman"/>
                      <w:color w:val="000000" w:themeColor="text1"/>
                      <w:sz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1"/>
                      <w14:textFill>
                        <w14:solidFill>
                          <w14:schemeClr w14:val="tx1"/>
                        </w14:solidFill>
                      </w14:textFill>
                    </w:rPr>
                    <w:t>≤</w:t>
                  </w:r>
                </w:p>
              </w:tc>
              <w:tc>
                <w:tcPr>
                  <w:tcW w:w="1895" w:type="pct"/>
                  <w:noWrap w:val="0"/>
                  <w:vAlign w:val="center"/>
                </w:tcPr>
                <w:p w14:paraId="00B0E5FD">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000000" w:themeColor="text1"/>
                      <w:sz w:val="21"/>
                      <w:lang w:val="en-US" w:eastAsia="zh-CN"/>
                      <w14:textFill>
                        <w14:solidFill>
                          <w14:schemeClr w14:val="tx1"/>
                        </w14:solidFill>
                      </w14:textFill>
                    </w:rPr>
                  </w:pPr>
                  <w:r>
                    <w:rPr>
                      <w:rFonts w:hint="default" w:ascii="Times New Roman" w:hAnsi="Times New Roman" w:eastAsia="宋体" w:cs="Times New Roman"/>
                      <w:color w:val="000000" w:themeColor="text1"/>
                      <w:sz w:val="21"/>
                      <w:lang w:val="en-US" w:eastAsia="zh-CN"/>
                      <w14:textFill>
                        <w14:solidFill>
                          <w14:schemeClr w14:val="tx1"/>
                        </w14:solidFill>
                      </w14:textFill>
                    </w:rPr>
                    <w:t>1.0</w:t>
                  </w:r>
                </w:p>
              </w:tc>
            </w:tr>
            <w:tr w14:paraId="32A5E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19" w:type="pct"/>
                  <w:noWrap w:val="0"/>
                  <w:vAlign w:val="center"/>
                </w:tcPr>
                <w:p w14:paraId="0EF428CD">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000000" w:themeColor="text1"/>
                      <w:sz w:val="21"/>
                      <w:lang w:val="en-US" w:eastAsia="zh-CN"/>
                      <w14:textFill>
                        <w14:solidFill>
                          <w14:schemeClr w14:val="tx1"/>
                        </w14:solidFill>
                      </w14:textFill>
                    </w:rPr>
                  </w:pPr>
                  <w:r>
                    <w:rPr>
                      <w:rFonts w:hint="default" w:ascii="Times New Roman" w:hAnsi="Times New Roman" w:eastAsia="宋体" w:cs="Times New Roman"/>
                      <w:color w:val="000000" w:themeColor="text1"/>
                      <w:sz w:val="21"/>
                      <w:lang w:val="en-US" w:eastAsia="zh-CN"/>
                      <w14:textFill>
                        <w14:solidFill>
                          <w14:schemeClr w14:val="tx1"/>
                        </w14:solidFill>
                      </w14:textFill>
                    </w:rPr>
                    <w:t>10</w:t>
                  </w:r>
                </w:p>
              </w:tc>
              <w:tc>
                <w:tcPr>
                  <w:tcW w:w="2485" w:type="pct"/>
                  <w:noWrap w:val="0"/>
                  <w:vAlign w:val="center"/>
                </w:tcPr>
                <w:p w14:paraId="683B7E1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lang w:eastAsia="zh-CN"/>
                      <w14:textFill>
                        <w14:solidFill>
                          <w14:schemeClr w14:val="tx1"/>
                        </w14:solidFill>
                      </w14:textFill>
                    </w:rPr>
                  </w:pPr>
                  <w:r>
                    <w:rPr>
                      <w:rFonts w:hint="default" w:ascii="Times New Roman" w:hAnsi="Times New Roman" w:eastAsia="宋体" w:cs="Times New Roman"/>
                      <w:color w:val="000000" w:themeColor="text1"/>
                      <w:sz w:val="21"/>
                      <w:lang w:eastAsia="zh-CN"/>
                      <w14:textFill>
                        <w14:solidFill>
                          <w14:schemeClr w14:val="tx1"/>
                        </w14:solidFill>
                      </w14:textFill>
                    </w:rPr>
                    <w:t>氟化物（以</w:t>
                  </w:r>
                  <w:r>
                    <w:rPr>
                      <w:rFonts w:hint="default" w:ascii="Times New Roman" w:hAnsi="Times New Roman" w:eastAsia="宋体" w:cs="Times New Roman"/>
                      <w:color w:val="000000" w:themeColor="text1"/>
                      <w:sz w:val="21"/>
                      <w:lang w:val="en-US" w:eastAsia="zh-CN"/>
                      <w14:textFill>
                        <w14:solidFill>
                          <w14:schemeClr w14:val="tx1"/>
                        </w14:solidFill>
                      </w14:textFill>
                    </w:rPr>
                    <w:t>F-计</w:t>
                  </w:r>
                  <w:r>
                    <w:rPr>
                      <w:rFonts w:hint="default" w:ascii="Times New Roman" w:hAnsi="Times New Roman" w:eastAsia="宋体" w:cs="Times New Roman"/>
                      <w:color w:val="000000" w:themeColor="text1"/>
                      <w:sz w:val="21"/>
                      <w:lang w:eastAsia="zh-CN"/>
                      <w14:textFill>
                        <w14:solidFill>
                          <w14:schemeClr w14:val="tx1"/>
                        </w14:solidFill>
                      </w14:textFill>
                    </w:rPr>
                    <w:t>）</w:t>
                  </w:r>
                  <w:r>
                    <w:rPr>
                      <w:rFonts w:hint="eastAsia" w:ascii="Times New Roman" w:hAnsi="Times New Roman" w:cs="Times New Roman"/>
                      <w:color w:val="000000" w:themeColor="text1"/>
                      <w:sz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1"/>
                      <w14:textFill>
                        <w14:solidFill>
                          <w14:schemeClr w14:val="tx1"/>
                        </w14:solidFill>
                      </w14:textFill>
                    </w:rPr>
                    <w:t>≤</w:t>
                  </w:r>
                </w:p>
              </w:tc>
              <w:tc>
                <w:tcPr>
                  <w:tcW w:w="1895" w:type="pct"/>
                  <w:noWrap w:val="0"/>
                  <w:vAlign w:val="center"/>
                </w:tcPr>
                <w:p w14:paraId="4ED14E82">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000000" w:themeColor="text1"/>
                      <w:sz w:val="21"/>
                      <w:lang w:val="en-US" w:eastAsia="zh-CN"/>
                      <w14:textFill>
                        <w14:solidFill>
                          <w14:schemeClr w14:val="tx1"/>
                        </w14:solidFill>
                      </w14:textFill>
                    </w:rPr>
                  </w:pPr>
                  <w:r>
                    <w:rPr>
                      <w:rFonts w:hint="default" w:ascii="Times New Roman" w:hAnsi="Times New Roman" w:eastAsia="宋体" w:cs="Times New Roman"/>
                      <w:color w:val="000000" w:themeColor="text1"/>
                      <w:sz w:val="21"/>
                      <w:lang w:val="en-US" w:eastAsia="zh-CN"/>
                      <w14:textFill>
                        <w14:solidFill>
                          <w14:schemeClr w14:val="tx1"/>
                        </w14:solidFill>
                      </w14:textFill>
                    </w:rPr>
                    <w:t>1.0</w:t>
                  </w:r>
                </w:p>
              </w:tc>
            </w:tr>
            <w:tr w14:paraId="41D53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19" w:type="pct"/>
                  <w:noWrap w:val="0"/>
                  <w:vAlign w:val="center"/>
                </w:tcPr>
                <w:p w14:paraId="0B7A871B">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000000" w:themeColor="text1"/>
                      <w:sz w:val="21"/>
                      <w:lang w:val="en-US" w:eastAsia="zh-CN"/>
                      <w14:textFill>
                        <w14:solidFill>
                          <w14:schemeClr w14:val="tx1"/>
                        </w14:solidFill>
                      </w14:textFill>
                    </w:rPr>
                  </w:pPr>
                  <w:r>
                    <w:rPr>
                      <w:rFonts w:hint="default" w:ascii="Times New Roman" w:hAnsi="Times New Roman" w:eastAsia="宋体" w:cs="Times New Roman"/>
                      <w:color w:val="000000" w:themeColor="text1"/>
                      <w:sz w:val="21"/>
                      <w:lang w:val="en-US" w:eastAsia="zh-CN"/>
                      <w14:textFill>
                        <w14:solidFill>
                          <w14:schemeClr w14:val="tx1"/>
                        </w14:solidFill>
                      </w14:textFill>
                    </w:rPr>
                    <w:t>11</w:t>
                  </w:r>
                </w:p>
              </w:tc>
              <w:tc>
                <w:tcPr>
                  <w:tcW w:w="2485" w:type="pct"/>
                  <w:noWrap w:val="0"/>
                  <w:vAlign w:val="center"/>
                </w:tcPr>
                <w:p w14:paraId="71068AF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lang w:eastAsia="zh-CN"/>
                      <w14:textFill>
                        <w14:solidFill>
                          <w14:schemeClr w14:val="tx1"/>
                        </w14:solidFill>
                      </w14:textFill>
                    </w:rPr>
                  </w:pPr>
                  <w:r>
                    <w:rPr>
                      <w:rFonts w:hint="default" w:ascii="Times New Roman" w:hAnsi="Times New Roman" w:eastAsia="宋体" w:cs="Times New Roman"/>
                      <w:color w:val="000000" w:themeColor="text1"/>
                      <w:sz w:val="21"/>
                      <w:lang w:eastAsia="zh-CN"/>
                      <w14:textFill>
                        <w14:solidFill>
                          <w14:schemeClr w14:val="tx1"/>
                        </w14:solidFill>
                      </w14:textFill>
                    </w:rPr>
                    <w:t>硒</w:t>
                  </w:r>
                  <w:r>
                    <w:rPr>
                      <w:rFonts w:hint="eastAsia" w:ascii="Times New Roman" w:hAnsi="Times New Roman" w:cs="Times New Roman"/>
                      <w:color w:val="000000" w:themeColor="text1"/>
                      <w:sz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1"/>
                      <w14:textFill>
                        <w14:solidFill>
                          <w14:schemeClr w14:val="tx1"/>
                        </w14:solidFill>
                      </w14:textFill>
                    </w:rPr>
                    <w:t>≤</w:t>
                  </w:r>
                </w:p>
              </w:tc>
              <w:tc>
                <w:tcPr>
                  <w:tcW w:w="1895" w:type="pct"/>
                  <w:noWrap w:val="0"/>
                  <w:vAlign w:val="center"/>
                </w:tcPr>
                <w:p w14:paraId="3480A478">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000000" w:themeColor="text1"/>
                      <w:sz w:val="21"/>
                      <w:lang w:val="en-US" w:eastAsia="zh-CN"/>
                      <w14:textFill>
                        <w14:solidFill>
                          <w14:schemeClr w14:val="tx1"/>
                        </w14:solidFill>
                      </w14:textFill>
                    </w:rPr>
                  </w:pPr>
                  <w:r>
                    <w:rPr>
                      <w:rFonts w:hint="default" w:ascii="Times New Roman" w:hAnsi="Times New Roman" w:eastAsia="宋体" w:cs="Times New Roman"/>
                      <w:color w:val="000000" w:themeColor="text1"/>
                      <w:sz w:val="21"/>
                      <w:lang w:val="en-US" w:eastAsia="zh-CN"/>
                      <w14:textFill>
                        <w14:solidFill>
                          <w14:schemeClr w14:val="tx1"/>
                        </w14:solidFill>
                      </w14:textFill>
                    </w:rPr>
                    <w:t>0.01</w:t>
                  </w:r>
                </w:p>
              </w:tc>
            </w:tr>
            <w:tr w14:paraId="2BDF5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19" w:type="pct"/>
                  <w:noWrap w:val="0"/>
                  <w:vAlign w:val="center"/>
                </w:tcPr>
                <w:p w14:paraId="0ED3695C">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000000" w:themeColor="text1"/>
                      <w:sz w:val="21"/>
                      <w:lang w:val="en-US" w:eastAsia="zh-CN"/>
                      <w14:textFill>
                        <w14:solidFill>
                          <w14:schemeClr w14:val="tx1"/>
                        </w14:solidFill>
                      </w14:textFill>
                    </w:rPr>
                  </w:pPr>
                  <w:r>
                    <w:rPr>
                      <w:rFonts w:hint="default" w:ascii="Times New Roman" w:hAnsi="Times New Roman" w:eastAsia="宋体" w:cs="Times New Roman"/>
                      <w:color w:val="000000" w:themeColor="text1"/>
                      <w:sz w:val="21"/>
                      <w:lang w:val="en-US" w:eastAsia="zh-CN"/>
                      <w14:textFill>
                        <w14:solidFill>
                          <w14:schemeClr w14:val="tx1"/>
                        </w14:solidFill>
                      </w14:textFill>
                    </w:rPr>
                    <w:t>12</w:t>
                  </w:r>
                </w:p>
              </w:tc>
              <w:tc>
                <w:tcPr>
                  <w:tcW w:w="2485" w:type="pct"/>
                  <w:noWrap w:val="0"/>
                  <w:vAlign w:val="center"/>
                </w:tcPr>
                <w:p w14:paraId="1412776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lang w:val="en-US" w:eastAsia="zh-CN"/>
                      <w14:textFill>
                        <w14:solidFill>
                          <w14:schemeClr w14:val="tx1"/>
                        </w14:solidFill>
                      </w14:textFill>
                    </w:rPr>
                  </w:pPr>
                  <w:r>
                    <w:rPr>
                      <w:rFonts w:hint="default" w:ascii="Times New Roman" w:hAnsi="Times New Roman" w:eastAsia="宋体" w:cs="Times New Roman"/>
                      <w:color w:val="000000" w:themeColor="text1"/>
                      <w:sz w:val="21"/>
                      <w14:textFill>
                        <w14:solidFill>
                          <w14:schemeClr w14:val="tx1"/>
                        </w14:solidFill>
                      </w14:textFill>
                    </w:rPr>
                    <w:t>砷</w:t>
                  </w:r>
                  <w:r>
                    <w:rPr>
                      <w:rFonts w:hint="eastAsia" w:ascii="Times New Roman" w:hAnsi="Times New Roman" w:cs="Times New Roman"/>
                      <w:color w:val="000000" w:themeColor="text1"/>
                      <w:sz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1"/>
                      <w14:textFill>
                        <w14:solidFill>
                          <w14:schemeClr w14:val="tx1"/>
                        </w14:solidFill>
                      </w14:textFill>
                    </w:rPr>
                    <w:t>≤</w:t>
                  </w:r>
                </w:p>
              </w:tc>
              <w:tc>
                <w:tcPr>
                  <w:tcW w:w="1895" w:type="pct"/>
                  <w:noWrap w:val="0"/>
                  <w:vAlign w:val="center"/>
                </w:tcPr>
                <w:p w14:paraId="163D5110">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000000" w:themeColor="text1"/>
                      <w:sz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lang w:val="en-US" w:eastAsia="zh-CN"/>
                      <w14:textFill>
                        <w14:solidFill>
                          <w14:schemeClr w14:val="tx1"/>
                        </w14:solidFill>
                      </w14:textFill>
                    </w:rPr>
                    <w:t>0.05</w:t>
                  </w:r>
                </w:p>
              </w:tc>
            </w:tr>
            <w:tr w14:paraId="5F6FB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19" w:type="pct"/>
                  <w:noWrap w:val="0"/>
                  <w:vAlign w:val="center"/>
                </w:tcPr>
                <w:p w14:paraId="734A74B2">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000000" w:themeColor="text1"/>
                      <w:sz w:val="21"/>
                      <w:lang w:val="en-US" w:eastAsia="zh-CN"/>
                      <w14:textFill>
                        <w14:solidFill>
                          <w14:schemeClr w14:val="tx1"/>
                        </w14:solidFill>
                      </w14:textFill>
                    </w:rPr>
                  </w:pPr>
                  <w:r>
                    <w:rPr>
                      <w:rFonts w:hint="default" w:ascii="Times New Roman" w:hAnsi="Times New Roman" w:eastAsia="宋体" w:cs="Times New Roman"/>
                      <w:color w:val="000000" w:themeColor="text1"/>
                      <w:sz w:val="21"/>
                      <w:lang w:val="en-US" w:eastAsia="zh-CN"/>
                      <w14:textFill>
                        <w14:solidFill>
                          <w14:schemeClr w14:val="tx1"/>
                        </w14:solidFill>
                      </w14:textFill>
                    </w:rPr>
                    <w:t>13</w:t>
                  </w:r>
                </w:p>
              </w:tc>
              <w:tc>
                <w:tcPr>
                  <w:tcW w:w="2485" w:type="pct"/>
                  <w:noWrap w:val="0"/>
                  <w:vAlign w:val="center"/>
                </w:tcPr>
                <w:p w14:paraId="091E05BA">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lang w:val="en-US" w:eastAsia="zh-CN"/>
                      <w14:textFill>
                        <w14:solidFill>
                          <w14:schemeClr w14:val="tx1"/>
                        </w14:solidFill>
                      </w14:textFill>
                    </w:rPr>
                  </w:pPr>
                  <w:r>
                    <w:rPr>
                      <w:rFonts w:hint="default" w:ascii="Times New Roman" w:hAnsi="Times New Roman" w:eastAsia="宋体" w:cs="Times New Roman"/>
                      <w:color w:val="000000" w:themeColor="text1"/>
                      <w:sz w:val="21"/>
                      <w14:textFill>
                        <w14:solidFill>
                          <w14:schemeClr w14:val="tx1"/>
                        </w14:solidFill>
                      </w14:textFill>
                    </w:rPr>
                    <w:t>汞</w:t>
                  </w:r>
                  <w:r>
                    <w:rPr>
                      <w:rFonts w:hint="eastAsia" w:ascii="Times New Roman" w:hAnsi="Times New Roman" w:cs="Times New Roman"/>
                      <w:color w:val="000000" w:themeColor="text1"/>
                      <w:sz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1"/>
                      <w14:textFill>
                        <w14:solidFill>
                          <w14:schemeClr w14:val="tx1"/>
                        </w14:solidFill>
                      </w14:textFill>
                    </w:rPr>
                    <w:t>≤</w:t>
                  </w:r>
                </w:p>
              </w:tc>
              <w:tc>
                <w:tcPr>
                  <w:tcW w:w="1895" w:type="pct"/>
                  <w:noWrap w:val="0"/>
                  <w:vAlign w:val="center"/>
                </w:tcPr>
                <w:p w14:paraId="14B95EBD">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000000" w:themeColor="text1"/>
                      <w:sz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14:textFill>
                        <w14:solidFill>
                          <w14:schemeClr w14:val="tx1"/>
                        </w14:solidFill>
                      </w14:textFill>
                    </w:rPr>
                    <w:t>0.00</w:t>
                  </w:r>
                  <w:r>
                    <w:rPr>
                      <w:rFonts w:hint="default" w:ascii="Times New Roman" w:hAnsi="Times New Roman" w:eastAsia="宋体" w:cs="Times New Roman"/>
                      <w:color w:val="000000" w:themeColor="text1"/>
                      <w:sz w:val="21"/>
                      <w:lang w:val="en-US" w:eastAsia="zh-CN"/>
                      <w14:textFill>
                        <w14:solidFill>
                          <w14:schemeClr w14:val="tx1"/>
                        </w14:solidFill>
                      </w14:textFill>
                    </w:rPr>
                    <w:t>0</w:t>
                  </w:r>
                  <w:r>
                    <w:rPr>
                      <w:rFonts w:hint="default" w:ascii="Times New Roman" w:hAnsi="Times New Roman" w:eastAsia="宋体" w:cs="Times New Roman"/>
                      <w:color w:val="000000" w:themeColor="text1"/>
                      <w:sz w:val="21"/>
                      <w14:textFill>
                        <w14:solidFill>
                          <w14:schemeClr w14:val="tx1"/>
                        </w14:solidFill>
                      </w14:textFill>
                    </w:rPr>
                    <w:t>1</w:t>
                  </w:r>
                </w:p>
              </w:tc>
            </w:tr>
            <w:tr w14:paraId="417D2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19" w:type="pct"/>
                  <w:noWrap w:val="0"/>
                  <w:vAlign w:val="center"/>
                </w:tcPr>
                <w:p w14:paraId="2F9A69EA">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000000" w:themeColor="text1"/>
                      <w:sz w:val="21"/>
                      <w:lang w:val="en-US" w:eastAsia="zh-CN"/>
                      <w14:textFill>
                        <w14:solidFill>
                          <w14:schemeClr w14:val="tx1"/>
                        </w14:solidFill>
                      </w14:textFill>
                    </w:rPr>
                  </w:pPr>
                  <w:r>
                    <w:rPr>
                      <w:rFonts w:hint="default" w:ascii="Times New Roman" w:hAnsi="Times New Roman" w:eastAsia="宋体" w:cs="Times New Roman"/>
                      <w:color w:val="000000" w:themeColor="text1"/>
                      <w:sz w:val="21"/>
                      <w:lang w:val="en-US" w:eastAsia="zh-CN"/>
                      <w14:textFill>
                        <w14:solidFill>
                          <w14:schemeClr w14:val="tx1"/>
                        </w14:solidFill>
                      </w14:textFill>
                    </w:rPr>
                    <w:t>14</w:t>
                  </w:r>
                </w:p>
              </w:tc>
              <w:tc>
                <w:tcPr>
                  <w:tcW w:w="2485" w:type="pct"/>
                  <w:noWrap w:val="0"/>
                  <w:vAlign w:val="center"/>
                </w:tcPr>
                <w:p w14:paraId="19448D7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lang w:eastAsia="zh-CN"/>
                      <w14:textFill>
                        <w14:solidFill>
                          <w14:schemeClr w14:val="tx1"/>
                        </w14:solidFill>
                      </w14:textFill>
                    </w:rPr>
                  </w:pPr>
                  <w:r>
                    <w:rPr>
                      <w:rFonts w:hint="default" w:ascii="Times New Roman" w:hAnsi="Times New Roman" w:eastAsia="宋体" w:cs="Times New Roman"/>
                      <w:color w:val="000000" w:themeColor="text1"/>
                      <w:sz w:val="21"/>
                      <w:lang w:eastAsia="zh-CN"/>
                      <w14:textFill>
                        <w14:solidFill>
                          <w14:schemeClr w14:val="tx1"/>
                        </w14:solidFill>
                      </w14:textFill>
                    </w:rPr>
                    <w:t>镉</w:t>
                  </w:r>
                  <w:r>
                    <w:rPr>
                      <w:rFonts w:hint="eastAsia" w:ascii="Times New Roman" w:hAnsi="Times New Roman" w:cs="Times New Roman"/>
                      <w:color w:val="000000" w:themeColor="text1"/>
                      <w:sz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1"/>
                      <w14:textFill>
                        <w14:solidFill>
                          <w14:schemeClr w14:val="tx1"/>
                        </w14:solidFill>
                      </w14:textFill>
                    </w:rPr>
                    <w:t>≤</w:t>
                  </w:r>
                </w:p>
              </w:tc>
              <w:tc>
                <w:tcPr>
                  <w:tcW w:w="1895" w:type="pct"/>
                  <w:noWrap w:val="0"/>
                  <w:vAlign w:val="center"/>
                </w:tcPr>
                <w:p w14:paraId="37457CD0">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000000" w:themeColor="text1"/>
                      <w:sz w:val="21"/>
                      <w:lang w:val="en-US" w:eastAsia="zh-CN"/>
                      <w14:textFill>
                        <w14:solidFill>
                          <w14:schemeClr w14:val="tx1"/>
                        </w14:solidFill>
                      </w14:textFill>
                    </w:rPr>
                  </w:pPr>
                  <w:r>
                    <w:rPr>
                      <w:rFonts w:hint="default" w:ascii="Times New Roman" w:hAnsi="Times New Roman" w:eastAsia="宋体" w:cs="Times New Roman"/>
                      <w:color w:val="000000" w:themeColor="text1"/>
                      <w:sz w:val="21"/>
                      <w:lang w:val="en-US" w:eastAsia="zh-CN"/>
                      <w14:textFill>
                        <w14:solidFill>
                          <w14:schemeClr w14:val="tx1"/>
                        </w14:solidFill>
                      </w14:textFill>
                    </w:rPr>
                    <w:t>0.005</w:t>
                  </w:r>
                </w:p>
              </w:tc>
            </w:tr>
            <w:tr w14:paraId="55D46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19" w:type="pct"/>
                  <w:noWrap w:val="0"/>
                  <w:vAlign w:val="center"/>
                </w:tcPr>
                <w:p w14:paraId="1F456DB7">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000000" w:themeColor="text1"/>
                      <w:sz w:val="21"/>
                      <w:lang w:val="en-US" w:eastAsia="zh-CN"/>
                      <w14:textFill>
                        <w14:solidFill>
                          <w14:schemeClr w14:val="tx1"/>
                        </w14:solidFill>
                      </w14:textFill>
                    </w:rPr>
                  </w:pPr>
                  <w:r>
                    <w:rPr>
                      <w:rFonts w:hint="default" w:ascii="Times New Roman" w:hAnsi="Times New Roman" w:eastAsia="宋体" w:cs="Times New Roman"/>
                      <w:color w:val="000000" w:themeColor="text1"/>
                      <w:sz w:val="21"/>
                      <w:lang w:val="en-US" w:eastAsia="zh-CN"/>
                      <w14:textFill>
                        <w14:solidFill>
                          <w14:schemeClr w14:val="tx1"/>
                        </w14:solidFill>
                      </w14:textFill>
                    </w:rPr>
                    <w:t>15</w:t>
                  </w:r>
                </w:p>
              </w:tc>
              <w:tc>
                <w:tcPr>
                  <w:tcW w:w="2485" w:type="pct"/>
                  <w:noWrap w:val="0"/>
                  <w:vAlign w:val="center"/>
                </w:tcPr>
                <w:p w14:paraId="4F2E9C2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lang w:eastAsia="zh-CN"/>
                      <w14:textFill>
                        <w14:solidFill>
                          <w14:schemeClr w14:val="tx1"/>
                        </w14:solidFill>
                      </w14:textFill>
                    </w:rPr>
                  </w:pPr>
                  <w:r>
                    <w:rPr>
                      <w:rFonts w:hint="default" w:ascii="Times New Roman" w:hAnsi="Times New Roman" w:eastAsia="宋体" w:cs="Times New Roman"/>
                      <w:color w:val="000000" w:themeColor="text1"/>
                      <w:sz w:val="21"/>
                      <w:lang w:eastAsia="zh-CN"/>
                      <w14:textFill>
                        <w14:solidFill>
                          <w14:schemeClr w14:val="tx1"/>
                        </w14:solidFill>
                      </w14:textFill>
                    </w:rPr>
                    <w:t>铬（六价）</w:t>
                  </w:r>
                  <w:r>
                    <w:rPr>
                      <w:rFonts w:hint="eastAsia" w:ascii="Times New Roman" w:hAnsi="Times New Roman" w:cs="Times New Roman"/>
                      <w:color w:val="000000" w:themeColor="text1"/>
                      <w:sz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1"/>
                      <w14:textFill>
                        <w14:solidFill>
                          <w14:schemeClr w14:val="tx1"/>
                        </w14:solidFill>
                      </w14:textFill>
                    </w:rPr>
                    <w:t>≤</w:t>
                  </w:r>
                </w:p>
              </w:tc>
              <w:tc>
                <w:tcPr>
                  <w:tcW w:w="1895" w:type="pct"/>
                  <w:noWrap w:val="0"/>
                  <w:vAlign w:val="center"/>
                </w:tcPr>
                <w:p w14:paraId="1283B5B9">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000000" w:themeColor="text1"/>
                      <w:sz w:val="21"/>
                      <w:lang w:val="en-US" w:eastAsia="zh-CN"/>
                      <w14:textFill>
                        <w14:solidFill>
                          <w14:schemeClr w14:val="tx1"/>
                        </w14:solidFill>
                      </w14:textFill>
                    </w:rPr>
                  </w:pPr>
                  <w:r>
                    <w:rPr>
                      <w:rFonts w:hint="default" w:ascii="Times New Roman" w:hAnsi="Times New Roman" w:eastAsia="宋体" w:cs="Times New Roman"/>
                      <w:color w:val="000000" w:themeColor="text1"/>
                      <w:sz w:val="21"/>
                      <w:lang w:val="en-US" w:eastAsia="zh-CN"/>
                      <w14:textFill>
                        <w14:solidFill>
                          <w14:schemeClr w14:val="tx1"/>
                        </w14:solidFill>
                      </w14:textFill>
                    </w:rPr>
                    <w:t>0.05</w:t>
                  </w:r>
                </w:p>
              </w:tc>
            </w:tr>
            <w:tr w14:paraId="5C9FF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19" w:type="pct"/>
                  <w:noWrap w:val="0"/>
                  <w:vAlign w:val="center"/>
                </w:tcPr>
                <w:p w14:paraId="155B2426">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000000" w:themeColor="text1"/>
                      <w:sz w:val="21"/>
                      <w:lang w:val="en-US" w:eastAsia="zh-CN"/>
                      <w14:textFill>
                        <w14:solidFill>
                          <w14:schemeClr w14:val="tx1"/>
                        </w14:solidFill>
                      </w14:textFill>
                    </w:rPr>
                  </w:pPr>
                  <w:r>
                    <w:rPr>
                      <w:rFonts w:hint="default" w:ascii="Times New Roman" w:hAnsi="Times New Roman" w:eastAsia="宋体" w:cs="Times New Roman"/>
                      <w:color w:val="000000" w:themeColor="text1"/>
                      <w:sz w:val="21"/>
                      <w:lang w:val="en-US" w:eastAsia="zh-CN"/>
                      <w14:textFill>
                        <w14:solidFill>
                          <w14:schemeClr w14:val="tx1"/>
                        </w14:solidFill>
                      </w14:textFill>
                    </w:rPr>
                    <w:t>16</w:t>
                  </w:r>
                </w:p>
              </w:tc>
              <w:tc>
                <w:tcPr>
                  <w:tcW w:w="2485" w:type="pct"/>
                  <w:noWrap w:val="0"/>
                  <w:vAlign w:val="center"/>
                </w:tcPr>
                <w:p w14:paraId="6405E59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lang w:eastAsia="zh-CN"/>
                      <w14:textFill>
                        <w14:solidFill>
                          <w14:schemeClr w14:val="tx1"/>
                        </w14:solidFill>
                      </w14:textFill>
                    </w:rPr>
                  </w:pPr>
                  <w:r>
                    <w:rPr>
                      <w:rFonts w:hint="default" w:ascii="Times New Roman" w:hAnsi="Times New Roman" w:eastAsia="宋体" w:cs="Times New Roman"/>
                      <w:color w:val="000000" w:themeColor="text1"/>
                      <w:sz w:val="21"/>
                      <w:lang w:eastAsia="zh-CN"/>
                      <w14:textFill>
                        <w14:solidFill>
                          <w14:schemeClr w14:val="tx1"/>
                        </w14:solidFill>
                      </w14:textFill>
                    </w:rPr>
                    <w:t>铅</w:t>
                  </w:r>
                  <w:r>
                    <w:rPr>
                      <w:rFonts w:hint="eastAsia" w:ascii="Times New Roman" w:hAnsi="Times New Roman" w:cs="Times New Roman"/>
                      <w:color w:val="000000" w:themeColor="text1"/>
                      <w:sz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1"/>
                      <w14:textFill>
                        <w14:solidFill>
                          <w14:schemeClr w14:val="tx1"/>
                        </w14:solidFill>
                      </w14:textFill>
                    </w:rPr>
                    <w:t>≤</w:t>
                  </w:r>
                </w:p>
              </w:tc>
              <w:tc>
                <w:tcPr>
                  <w:tcW w:w="1895" w:type="pct"/>
                  <w:noWrap w:val="0"/>
                  <w:vAlign w:val="center"/>
                </w:tcPr>
                <w:p w14:paraId="174CA40E">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000000" w:themeColor="text1"/>
                      <w:sz w:val="21"/>
                      <w:lang w:val="en-US" w:eastAsia="zh-CN"/>
                      <w14:textFill>
                        <w14:solidFill>
                          <w14:schemeClr w14:val="tx1"/>
                        </w14:solidFill>
                      </w14:textFill>
                    </w:rPr>
                  </w:pPr>
                  <w:r>
                    <w:rPr>
                      <w:rFonts w:hint="default" w:ascii="Times New Roman" w:hAnsi="Times New Roman" w:eastAsia="宋体" w:cs="Times New Roman"/>
                      <w:color w:val="000000" w:themeColor="text1"/>
                      <w:sz w:val="21"/>
                      <w:lang w:val="en-US" w:eastAsia="zh-CN"/>
                      <w14:textFill>
                        <w14:solidFill>
                          <w14:schemeClr w14:val="tx1"/>
                        </w14:solidFill>
                      </w14:textFill>
                    </w:rPr>
                    <w:t>0.05</w:t>
                  </w:r>
                </w:p>
              </w:tc>
            </w:tr>
            <w:tr w14:paraId="72A6C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19" w:type="pct"/>
                  <w:noWrap w:val="0"/>
                  <w:vAlign w:val="center"/>
                </w:tcPr>
                <w:p w14:paraId="58BE496A">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000000" w:themeColor="text1"/>
                      <w:sz w:val="21"/>
                      <w:lang w:val="en-US" w:eastAsia="zh-CN"/>
                      <w14:textFill>
                        <w14:solidFill>
                          <w14:schemeClr w14:val="tx1"/>
                        </w14:solidFill>
                      </w14:textFill>
                    </w:rPr>
                  </w:pPr>
                  <w:r>
                    <w:rPr>
                      <w:rFonts w:hint="default" w:ascii="Times New Roman" w:hAnsi="Times New Roman" w:eastAsia="宋体" w:cs="Times New Roman"/>
                      <w:color w:val="000000" w:themeColor="text1"/>
                      <w:sz w:val="21"/>
                      <w:lang w:val="en-US" w:eastAsia="zh-CN"/>
                      <w14:textFill>
                        <w14:solidFill>
                          <w14:schemeClr w14:val="tx1"/>
                        </w14:solidFill>
                      </w14:textFill>
                    </w:rPr>
                    <w:t>17</w:t>
                  </w:r>
                </w:p>
              </w:tc>
              <w:tc>
                <w:tcPr>
                  <w:tcW w:w="2485" w:type="pct"/>
                  <w:noWrap w:val="0"/>
                  <w:vAlign w:val="center"/>
                </w:tcPr>
                <w:p w14:paraId="672E3FB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lang w:eastAsia="zh-CN"/>
                      <w14:textFill>
                        <w14:solidFill>
                          <w14:schemeClr w14:val="tx1"/>
                        </w14:solidFill>
                      </w14:textFill>
                    </w:rPr>
                  </w:pPr>
                  <w:r>
                    <w:rPr>
                      <w:rFonts w:hint="default" w:ascii="Times New Roman" w:hAnsi="Times New Roman" w:eastAsia="宋体" w:cs="Times New Roman"/>
                      <w:color w:val="000000" w:themeColor="text1"/>
                      <w:sz w:val="21"/>
                      <w:lang w:eastAsia="zh-CN"/>
                      <w14:textFill>
                        <w14:solidFill>
                          <w14:schemeClr w14:val="tx1"/>
                        </w14:solidFill>
                      </w14:textFill>
                    </w:rPr>
                    <w:t>氰化物</w:t>
                  </w:r>
                  <w:r>
                    <w:rPr>
                      <w:rFonts w:hint="eastAsia" w:ascii="Times New Roman" w:hAnsi="Times New Roman" w:cs="Times New Roman"/>
                      <w:color w:val="000000" w:themeColor="text1"/>
                      <w:sz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1"/>
                      <w14:textFill>
                        <w14:solidFill>
                          <w14:schemeClr w14:val="tx1"/>
                        </w14:solidFill>
                      </w14:textFill>
                    </w:rPr>
                    <w:t>≤</w:t>
                  </w:r>
                </w:p>
              </w:tc>
              <w:tc>
                <w:tcPr>
                  <w:tcW w:w="1895" w:type="pct"/>
                  <w:noWrap w:val="0"/>
                  <w:vAlign w:val="center"/>
                </w:tcPr>
                <w:p w14:paraId="6AD9051C">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000000" w:themeColor="text1"/>
                      <w:sz w:val="21"/>
                      <w:lang w:val="en-US" w:eastAsia="zh-CN"/>
                      <w14:textFill>
                        <w14:solidFill>
                          <w14:schemeClr w14:val="tx1"/>
                        </w14:solidFill>
                      </w14:textFill>
                    </w:rPr>
                  </w:pPr>
                  <w:r>
                    <w:rPr>
                      <w:rFonts w:hint="default" w:ascii="Times New Roman" w:hAnsi="Times New Roman" w:eastAsia="宋体" w:cs="Times New Roman"/>
                      <w:color w:val="000000" w:themeColor="text1"/>
                      <w:sz w:val="21"/>
                      <w:lang w:val="en-US" w:eastAsia="zh-CN"/>
                      <w14:textFill>
                        <w14:solidFill>
                          <w14:schemeClr w14:val="tx1"/>
                        </w14:solidFill>
                      </w14:textFill>
                    </w:rPr>
                    <w:t>0.2</w:t>
                  </w:r>
                </w:p>
              </w:tc>
            </w:tr>
            <w:tr w14:paraId="6913A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19" w:type="pct"/>
                  <w:noWrap w:val="0"/>
                  <w:vAlign w:val="center"/>
                </w:tcPr>
                <w:p w14:paraId="500E21A6">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000000" w:themeColor="text1"/>
                      <w:sz w:val="21"/>
                      <w:lang w:val="en-US" w:eastAsia="zh-CN"/>
                      <w14:textFill>
                        <w14:solidFill>
                          <w14:schemeClr w14:val="tx1"/>
                        </w14:solidFill>
                      </w14:textFill>
                    </w:rPr>
                  </w:pPr>
                  <w:r>
                    <w:rPr>
                      <w:rFonts w:hint="default" w:ascii="Times New Roman" w:hAnsi="Times New Roman" w:eastAsia="宋体" w:cs="Times New Roman"/>
                      <w:color w:val="000000" w:themeColor="text1"/>
                      <w:sz w:val="21"/>
                      <w:lang w:val="en-US" w:eastAsia="zh-CN"/>
                      <w14:textFill>
                        <w14:solidFill>
                          <w14:schemeClr w14:val="tx1"/>
                        </w14:solidFill>
                      </w14:textFill>
                    </w:rPr>
                    <w:t>18</w:t>
                  </w:r>
                </w:p>
              </w:tc>
              <w:tc>
                <w:tcPr>
                  <w:tcW w:w="2485" w:type="pct"/>
                  <w:noWrap w:val="0"/>
                  <w:vAlign w:val="center"/>
                </w:tcPr>
                <w:p w14:paraId="1DC35C6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lang w:eastAsia="zh-CN"/>
                      <w14:textFill>
                        <w14:solidFill>
                          <w14:schemeClr w14:val="tx1"/>
                        </w14:solidFill>
                      </w14:textFill>
                    </w:rPr>
                  </w:pPr>
                  <w:r>
                    <w:rPr>
                      <w:rFonts w:hint="default" w:ascii="Times New Roman" w:hAnsi="Times New Roman" w:eastAsia="宋体" w:cs="Times New Roman"/>
                      <w:color w:val="000000" w:themeColor="text1"/>
                      <w:sz w:val="21"/>
                      <w:lang w:eastAsia="zh-CN"/>
                      <w14:textFill>
                        <w14:solidFill>
                          <w14:schemeClr w14:val="tx1"/>
                        </w14:solidFill>
                      </w14:textFill>
                    </w:rPr>
                    <w:t>挥发酚</w:t>
                  </w:r>
                  <w:r>
                    <w:rPr>
                      <w:rFonts w:hint="eastAsia" w:ascii="Times New Roman" w:hAnsi="Times New Roman" w:cs="Times New Roman"/>
                      <w:color w:val="000000" w:themeColor="text1"/>
                      <w:sz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1"/>
                      <w14:textFill>
                        <w14:solidFill>
                          <w14:schemeClr w14:val="tx1"/>
                        </w14:solidFill>
                      </w14:textFill>
                    </w:rPr>
                    <w:t>≤</w:t>
                  </w:r>
                </w:p>
              </w:tc>
              <w:tc>
                <w:tcPr>
                  <w:tcW w:w="1895" w:type="pct"/>
                  <w:noWrap w:val="0"/>
                  <w:vAlign w:val="center"/>
                </w:tcPr>
                <w:p w14:paraId="56CB7D91">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000000" w:themeColor="text1"/>
                      <w:sz w:val="21"/>
                      <w:lang w:val="en-US" w:eastAsia="zh-CN"/>
                      <w14:textFill>
                        <w14:solidFill>
                          <w14:schemeClr w14:val="tx1"/>
                        </w14:solidFill>
                      </w14:textFill>
                    </w:rPr>
                  </w:pPr>
                  <w:r>
                    <w:rPr>
                      <w:rFonts w:hint="default" w:ascii="Times New Roman" w:hAnsi="Times New Roman" w:eastAsia="宋体" w:cs="Times New Roman"/>
                      <w:color w:val="000000" w:themeColor="text1"/>
                      <w:sz w:val="21"/>
                      <w:lang w:val="en-US" w:eastAsia="zh-CN"/>
                      <w14:textFill>
                        <w14:solidFill>
                          <w14:schemeClr w14:val="tx1"/>
                        </w14:solidFill>
                      </w14:textFill>
                    </w:rPr>
                    <w:t>0.0</w:t>
                  </w:r>
                  <w:r>
                    <w:rPr>
                      <w:rFonts w:hint="eastAsia" w:ascii="Times New Roman" w:hAnsi="Times New Roman" w:cs="Times New Roman"/>
                      <w:color w:val="000000" w:themeColor="text1"/>
                      <w:sz w:val="21"/>
                      <w:lang w:val="en-US" w:eastAsia="zh-CN"/>
                      <w14:textFill>
                        <w14:solidFill>
                          <w14:schemeClr w14:val="tx1"/>
                        </w14:solidFill>
                      </w14:textFill>
                    </w:rPr>
                    <w:t>0</w:t>
                  </w:r>
                  <w:r>
                    <w:rPr>
                      <w:rFonts w:hint="default" w:ascii="Times New Roman" w:hAnsi="Times New Roman" w:eastAsia="宋体" w:cs="Times New Roman"/>
                      <w:color w:val="000000" w:themeColor="text1"/>
                      <w:sz w:val="21"/>
                      <w:lang w:val="en-US" w:eastAsia="zh-CN"/>
                      <w14:textFill>
                        <w14:solidFill>
                          <w14:schemeClr w14:val="tx1"/>
                        </w14:solidFill>
                      </w14:textFill>
                    </w:rPr>
                    <w:t>5</w:t>
                  </w:r>
                </w:p>
              </w:tc>
            </w:tr>
            <w:tr w14:paraId="62DAC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19" w:type="pct"/>
                  <w:noWrap w:val="0"/>
                  <w:vAlign w:val="center"/>
                </w:tcPr>
                <w:p w14:paraId="50C99ABE">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000000" w:themeColor="text1"/>
                      <w:sz w:val="21"/>
                      <w:lang w:val="en-US" w:eastAsia="zh-CN"/>
                      <w14:textFill>
                        <w14:solidFill>
                          <w14:schemeClr w14:val="tx1"/>
                        </w14:solidFill>
                      </w14:textFill>
                    </w:rPr>
                  </w:pPr>
                  <w:r>
                    <w:rPr>
                      <w:rFonts w:hint="default" w:ascii="Times New Roman" w:hAnsi="Times New Roman" w:eastAsia="宋体" w:cs="Times New Roman"/>
                      <w:color w:val="000000" w:themeColor="text1"/>
                      <w:sz w:val="21"/>
                      <w:lang w:val="en-US" w:eastAsia="zh-CN"/>
                      <w14:textFill>
                        <w14:solidFill>
                          <w14:schemeClr w14:val="tx1"/>
                        </w14:solidFill>
                      </w14:textFill>
                    </w:rPr>
                    <w:t>19</w:t>
                  </w:r>
                </w:p>
              </w:tc>
              <w:tc>
                <w:tcPr>
                  <w:tcW w:w="2485" w:type="pct"/>
                  <w:noWrap w:val="0"/>
                  <w:vAlign w:val="center"/>
                </w:tcPr>
                <w:p w14:paraId="2F4980A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14:textFill>
                        <w14:solidFill>
                          <w14:schemeClr w14:val="tx1"/>
                        </w14:solidFill>
                      </w14:textFill>
                    </w:rPr>
                  </w:pPr>
                  <w:r>
                    <w:rPr>
                      <w:rFonts w:hint="default" w:ascii="Times New Roman" w:hAnsi="Times New Roman" w:eastAsia="宋体" w:cs="Times New Roman"/>
                      <w:color w:val="000000" w:themeColor="text1"/>
                      <w:sz w:val="21"/>
                      <w14:textFill>
                        <w14:solidFill>
                          <w14:schemeClr w14:val="tx1"/>
                        </w14:solidFill>
                      </w14:textFill>
                    </w:rPr>
                    <w:t>石油类</w:t>
                  </w:r>
                  <w:r>
                    <w:rPr>
                      <w:rFonts w:hint="eastAsia" w:ascii="Times New Roman" w:hAnsi="Times New Roman" w:cs="Times New Roman"/>
                      <w:color w:val="000000" w:themeColor="text1"/>
                      <w:sz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1"/>
                      <w14:textFill>
                        <w14:solidFill>
                          <w14:schemeClr w14:val="tx1"/>
                        </w14:solidFill>
                      </w14:textFill>
                    </w:rPr>
                    <w:t>≤</w:t>
                  </w:r>
                </w:p>
              </w:tc>
              <w:tc>
                <w:tcPr>
                  <w:tcW w:w="1895" w:type="pct"/>
                  <w:noWrap w:val="0"/>
                  <w:vAlign w:val="center"/>
                </w:tcPr>
                <w:p w14:paraId="64706779">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000000" w:themeColor="text1"/>
                      <w:sz w:val="21"/>
                      <w14:textFill>
                        <w14:solidFill>
                          <w14:schemeClr w14:val="tx1"/>
                        </w14:solidFill>
                      </w14:textFill>
                    </w:rPr>
                  </w:pPr>
                  <w:r>
                    <w:rPr>
                      <w:rFonts w:hint="default" w:ascii="Times New Roman" w:hAnsi="Times New Roman" w:eastAsia="宋体" w:cs="Times New Roman"/>
                      <w:color w:val="000000" w:themeColor="text1"/>
                      <w:sz w:val="21"/>
                      <w14:textFill>
                        <w14:solidFill>
                          <w14:schemeClr w14:val="tx1"/>
                        </w14:solidFill>
                      </w14:textFill>
                    </w:rPr>
                    <w:t>0.</w:t>
                  </w:r>
                  <w:r>
                    <w:rPr>
                      <w:rFonts w:hint="default" w:ascii="Times New Roman" w:hAnsi="Times New Roman" w:eastAsia="宋体" w:cs="Times New Roman"/>
                      <w:color w:val="000000" w:themeColor="text1"/>
                      <w:sz w:val="21"/>
                      <w:lang w:val="en-US" w:eastAsia="zh-CN"/>
                      <w14:textFill>
                        <w14:solidFill>
                          <w14:schemeClr w14:val="tx1"/>
                        </w14:solidFill>
                      </w14:textFill>
                    </w:rPr>
                    <w:t>0</w:t>
                  </w:r>
                  <w:r>
                    <w:rPr>
                      <w:rFonts w:hint="default" w:ascii="Times New Roman" w:hAnsi="Times New Roman" w:eastAsia="宋体" w:cs="Times New Roman"/>
                      <w:color w:val="000000" w:themeColor="text1"/>
                      <w:sz w:val="21"/>
                      <w14:textFill>
                        <w14:solidFill>
                          <w14:schemeClr w14:val="tx1"/>
                        </w14:solidFill>
                      </w14:textFill>
                    </w:rPr>
                    <w:t>5</w:t>
                  </w:r>
                </w:p>
              </w:tc>
            </w:tr>
            <w:tr w14:paraId="24DC0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19" w:type="pct"/>
                  <w:noWrap w:val="0"/>
                  <w:vAlign w:val="center"/>
                </w:tcPr>
                <w:p w14:paraId="714B1473">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000000" w:themeColor="text1"/>
                      <w:sz w:val="21"/>
                      <w:lang w:val="en-US" w:eastAsia="zh-CN"/>
                      <w14:textFill>
                        <w14:solidFill>
                          <w14:schemeClr w14:val="tx1"/>
                        </w14:solidFill>
                      </w14:textFill>
                    </w:rPr>
                  </w:pPr>
                  <w:r>
                    <w:rPr>
                      <w:rFonts w:hint="default" w:ascii="Times New Roman" w:hAnsi="Times New Roman" w:eastAsia="宋体" w:cs="Times New Roman"/>
                      <w:color w:val="000000" w:themeColor="text1"/>
                      <w:sz w:val="21"/>
                      <w:lang w:val="en-US" w:eastAsia="zh-CN"/>
                      <w14:textFill>
                        <w14:solidFill>
                          <w14:schemeClr w14:val="tx1"/>
                        </w14:solidFill>
                      </w14:textFill>
                    </w:rPr>
                    <w:t>20</w:t>
                  </w:r>
                </w:p>
              </w:tc>
              <w:tc>
                <w:tcPr>
                  <w:tcW w:w="2485" w:type="pct"/>
                  <w:noWrap w:val="0"/>
                  <w:vAlign w:val="center"/>
                </w:tcPr>
                <w:p w14:paraId="1D357B8A">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lang w:eastAsia="zh-CN"/>
                      <w14:textFill>
                        <w14:solidFill>
                          <w14:schemeClr w14:val="tx1"/>
                        </w14:solidFill>
                      </w14:textFill>
                    </w:rPr>
                  </w:pPr>
                  <w:r>
                    <w:rPr>
                      <w:rFonts w:hint="default" w:ascii="Times New Roman" w:hAnsi="Times New Roman" w:eastAsia="宋体" w:cs="Times New Roman"/>
                      <w:color w:val="000000" w:themeColor="text1"/>
                      <w:sz w:val="21"/>
                      <w:lang w:eastAsia="zh-CN"/>
                      <w14:textFill>
                        <w14:solidFill>
                          <w14:schemeClr w14:val="tx1"/>
                        </w14:solidFill>
                      </w14:textFill>
                    </w:rPr>
                    <w:t>阴离子表面活性剂</w:t>
                  </w:r>
                  <w:r>
                    <w:rPr>
                      <w:rFonts w:hint="eastAsia" w:ascii="Times New Roman" w:hAnsi="Times New Roman" w:cs="Times New Roman"/>
                      <w:color w:val="000000" w:themeColor="text1"/>
                      <w:sz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1"/>
                      <w14:textFill>
                        <w14:solidFill>
                          <w14:schemeClr w14:val="tx1"/>
                        </w14:solidFill>
                      </w14:textFill>
                    </w:rPr>
                    <w:t>≤</w:t>
                  </w:r>
                </w:p>
              </w:tc>
              <w:tc>
                <w:tcPr>
                  <w:tcW w:w="1895" w:type="pct"/>
                  <w:noWrap w:val="0"/>
                  <w:vAlign w:val="center"/>
                </w:tcPr>
                <w:p w14:paraId="7BBEDC1F">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000000" w:themeColor="text1"/>
                      <w:sz w:val="21"/>
                      <w:lang w:val="en-US" w:eastAsia="zh-CN"/>
                      <w14:textFill>
                        <w14:solidFill>
                          <w14:schemeClr w14:val="tx1"/>
                        </w14:solidFill>
                      </w14:textFill>
                    </w:rPr>
                  </w:pPr>
                  <w:r>
                    <w:rPr>
                      <w:rFonts w:hint="default" w:ascii="Times New Roman" w:hAnsi="Times New Roman" w:eastAsia="宋体" w:cs="Times New Roman"/>
                      <w:color w:val="000000" w:themeColor="text1"/>
                      <w:sz w:val="21"/>
                      <w:lang w:val="en-US" w:eastAsia="zh-CN"/>
                      <w14:textFill>
                        <w14:solidFill>
                          <w14:schemeClr w14:val="tx1"/>
                        </w14:solidFill>
                      </w14:textFill>
                    </w:rPr>
                    <w:t>0.2</w:t>
                  </w:r>
                </w:p>
              </w:tc>
            </w:tr>
            <w:tr w14:paraId="789E7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19" w:type="pct"/>
                  <w:noWrap w:val="0"/>
                  <w:vAlign w:val="center"/>
                </w:tcPr>
                <w:p w14:paraId="4F5630E0">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000000" w:themeColor="text1"/>
                      <w:sz w:val="21"/>
                      <w:lang w:val="en-US" w:eastAsia="zh-CN"/>
                      <w14:textFill>
                        <w14:solidFill>
                          <w14:schemeClr w14:val="tx1"/>
                        </w14:solidFill>
                      </w14:textFill>
                    </w:rPr>
                  </w:pPr>
                  <w:r>
                    <w:rPr>
                      <w:rFonts w:hint="default" w:ascii="Times New Roman" w:hAnsi="Times New Roman" w:eastAsia="宋体" w:cs="Times New Roman"/>
                      <w:color w:val="000000" w:themeColor="text1"/>
                      <w:sz w:val="21"/>
                      <w:lang w:val="en-US" w:eastAsia="zh-CN"/>
                      <w14:textFill>
                        <w14:solidFill>
                          <w14:schemeClr w14:val="tx1"/>
                        </w14:solidFill>
                      </w14:textFill>
                    </w:rPr>
                    <w:t>21</w:t>
                  </w:r>
                </w:p>
              </w:tc>
              <w:tc>
                <w:tcPr>
                  <w:tcW w:w="2485" w:type="pct"/>
                  <w:noWrap w:val="0"/>
                  <w:vAlign w:val="center"/>
                </w:tcPr>
                <w:p w14:paraId="78D1B5B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lang w:eastAsia="zh-CN"/>
                      <w14:textFill>
                        <w14:solidFill>
                          <w14:schemeClr w14:val="tx1"/>
                        </w14:solidFill>
                      </w14:textFill>
                    </w:rPr>
                  </w:pPr>
                  <w:r>
                    <w:rPr>
                      <w:rFonts w:hint="default" w:ascii="Times New Roman" w:hAnsi="Times New Roman" w:eastAsia="宋体" w:cs="Times New Roman"/>
                      <w:color w:val="000000" w:themeColor="text1"/>
                      <w:sz w:val="21"/>
                      <w:lang w:eastAsia="zh-CN"/>
                      <w14:textFill>
                        <w14:solidFill>
                          <w14:schemeClr w14:val="tx1"/>
                        </w14:solidFill>
                      </w14:textFill>
                    </w:rPr>
                    <w:t>硫化物</w:t>
                  </w:r>
                  <w:r>
                    <w:rPr>
                      <w:rFonts w:hint="eastAsia" w:ascii="Times New Roman" w:hAnsi="Times New Roman" w:cs="Times New Roman"/>
                      <w:color w:val="000000" w:themeColor="text1"/>
                      <w:sz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1"/>
                      <w14:textFill>
                        <w14:solidFill>
                          <w14:schemeClr w14:val="tx1"/>
                        </w14:solidFill>
                      </w14:textFill>
                    </w:rPr>
                    <w:t>≤</w:t>
                  </w:r>
                </w:p>
              </w:tc>
              <w:tc>
                <w:tcPr>
                  <w:tcW w:w="1895" w:type="pct"/>
                  <w:noWrap w:val="0"/>
                  <w:vAlign w:val="center"/>
                </w:tcPr>
                <w:p w14:paraId="26C2DEB9">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000000" w:themeColor="text1"/>
                      <w:sz w:val="21"/>
                      <w:lang w:val="en-US" w:eastAsia="zh-CN"/>
                      <w14:textFill>
                        <w14:solidFill>
                          <w14:schemeClr w14:val="tx1"/>
                        </w14:solidFill>
                      </w14:textFill>
                    </w:rPr>
                  </w:pPr>
                  <w:r>
                    <w:rPr>
                      <w:rFonts w:hint="default" w:ascii="Times New Roman" w:hAnsi="Times New Roman" w:eastAsia="宋体" w:cs="Times New Roman"/>
                      <w:color w:val="000000" w:themeColor="text1"/>
                      <w:sz w:val="21"/>
                      <w:lang w:val="en-US" w:eastAsia="zh-CN"/>
                      <w14:textFill>
                        <w14:solidFill>
                          <w14:schemeClr w14:val="tx1"/>
                        </w14:solidFill>
                      </w14:textFill>
                    </w:rPr>
                    <w:t>0.2</w:t>
                  </w:r>
                </w:p>
              </w:tc>
            </w:tr>
            <w:tr w14:paraId="1D7E6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19" w:type="pct"/>
                  <w:noWrap w:val="0"/>
                  <w:vAlign w:val="center"/>
                </w:tcPr>
                <w:p w14:paraId="7A748DDB">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000000" w:themeColor="text1"/>
                      <w:sz w:val="21"/>
                      <w:lang w:val="en-US" w:eastAsia="zh-CN"/>
                      <w14:textFill>
                        <w14:solidFill>
                          <w14:schemeClr w14:val="tx1"/>
                        </w14:solidFill>
                      </w14:textFill>
                    </w:rPr>
                  </w:pPr>
                  <w:r>
                    <w:rPr>
                      <w:rFonts w:hint="default" w:ascii="Times New Roman" w:hAnsi="Times New Roman" w:eastAsia="宋体" w:cs="Times New Roman"/>
                      <w:color w:val="000000" w:themeColor="text1"/>
                      <w:sz w:val="21"/>
                      <w:lang w:val="en-US" w:eastAsia="zh-CN"/>
                      <w14:textFill>
                        <w14:solidFill>
                          <w14:schemeClr w14:val="tx1"/>
                        </w14:solidFill>
                      </w14:textFill>
                    </w:rPr>
                    <w:t>22</w:t>
                  </w:r>
                </w:p>
              </w:tc>
              <w:tc>
                <w:tcPr>
                  <w:tcW w:w="2485" w:type="pct"/>
                  <w:noWrap w:val="0"/>
                  <w:vAlign w:val="center"/>
                </w:tcPr>
                <w:p w14:paraId="513A627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lang w:eastAsia="zh-CN"/>
                      <w14:textFill>
                        <w14:solidFill>
                          <w14:schemeClr w14:val="tx1"/>
                        </w14:solidFill>
                      </w14:textFill>
                    </w:rPr>
                  </w:pPr>
                  <w:r>
                    <w:rPr>
                      <w:rFonts w:hint="default" w:ascii="Times New Roman" w:hAnsi="Times New Roman" w:eastAsia="宋体" w:cs="Times New Roman"/>
                      <w:color w:val="000000" w:themeColor="text1"/>
                      <w:sz w:val="21"/>
                      <w:lang w:eastAsia="zh-CN"/>
                      <w14:textFill>
                        <w14:solidFill>
                          <w14:schemeClr w14:val="tx1"/>
                        </w14:solidFill>
                      </w14:textFill>
                    </w:rPr>
                    <w:t>粪大肠菌群（个</w:t>
                  </w:r>
                  <w:r>
                    <w:rPr>
                      <w:rFonts w:hint="default" w:ascii="Times New Roman" w:hAnsi="Times New Roman" w:eastAsia="宋体" w:cs="Times New Roman"/>
                      <w:color w:val="000000" w:themeColor="text1"/>
                      <w:sz w:val="21"/>
                      <w:lang w:val="en-US" w:eastAsia="zh-CN"/>
                      <w14:textFill>
                        <w14:solidFill>
                          <w14:schemeClr w14:val="tx1"/>
                        </w14:solidFill>
                      </w14:textFill>
                    </w:rPr>
                    <w:t>/L</w:t>
                  </w:r>
                  <w:r>
                    <w:rPr>
                      <w:rFonts w:hint="default" w:ascii="Times New Roman" w:hAnsi="Times New Roman" w:eastAsia="宋体" w:cs="Times New Roman"/>
                      <w:color w:val="000000" w:themeColor="text1"/>
                      <w:sz w:val="21"/>
                      <w:lang w:eastAsia="zh-CN"/>
                      <w14:textFill>
                        <w14:solidFill>
                          <w14:schemeClr w14:val="tx1"/>
                        </w14:solidFill>
                      </w14:textFill>
                    </w:rPr>
                    <w:t>）</w:t>
                  </w:r>
                  <w:r>
                    <w:rPr>
                      <w:rFonts w:hint="eastAsia" w:ascii="Times New Roman" w:hAnsi="Times New Roman" w:cs="Times New Roman"/>
                      <w:color w:val="000000" w:themeColor="text1"/>
                      <w:sz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1"/>
                      <w14:textFill>
                        <w14:solidFill>
                          <w14:schemeClr w14:val="tx1"/>
                        </w14:solidFill>
                      </w14:textFill>
                    </w:rPr>
                    <w:t>≤</w:t>
                  </w:r>
                </w:p>
              </w:tc>
              <w:tc>
                <w:tcPr>
                  <w:tcW w:w="1895" w:type="pct"/>
                  <w:noWrap w:val="0"/>
                  <w:vAlign w:val="center"/>
                </w:tcPr>
                <w:p w14:paraId="68F6BA6A">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000000" w:themeColor="text1"/>
                      <w:sz w:val="21"/>
                      <w:lang w:val="en-US" w:eastAsia="zh-CN"/>
                      <w14:textFill>
                        <w14:solidFill>
                          <w14:schemeClr w14:val="tx1"/>
                        </w14:solidFill>
                      </w14:textFill>
                    </w:rPr>
                  </w:pPr>
                  <w:r>
                    <w:rPr>
                      <w:rFonts w:hint="default" w:ascii="Times New Roman" w:hAnsi="Times New Roman" w:eastAsia="宋体" w:cs="Times New Roman"/>
                      <w:color w:val="000000" w:themeColor="text1"/>
                      <w:sz w:val="21"/>
                      <w:lang w:val="en-US" w:eastAsia="zh-CN"/>
                      <w14:textFill>
                        <w14:solidFill>
                          <w14:schemeClr w14:val="tx1"/>
                        </w14:solidFill>
                      </w14:textFill>
                    </w:rPr>
                    <w:t>1</w:t>
                  </w:r>
                  <w:r>
                    <w:rPr>
                      <w:rFonts w:hint="default" w:ascii="Times New Roman" w:hAnsi="Times New Roman" w:eastAsia="宋体" w:cs="Times New Roman"/>
                      <w:color w:val="000000" w:themeColor="text1"/>
                      <w:sz w:val="21"/>
                      <w14:textFill>
                        <w14:solidFill>
                          <w14:schemeClr w14:val="tx1"/>
                        </w14:solidFill>
                      </w14:textFill>
                    </w:rPr>
                    <w:t>0000</w:t>
                  </w:r>
                  <w:r>
                    <w:rPr>
                      <w:rFonts w:hint="default" w:ascii="Times New Roman" w:hAnsi="Times New Roman" w:eastAsia="宋体" w:cs="Times New Roman"/>
                      <w:color w:val="000000" w:themeColor="text1"/>
                      <w:sz w:val="21"/>
                      <w:lang w:val="en-US" w:eastAsia="zh-CN"/>
                      <w14:textFill>
                        <w14:solidFill>
                          <w14:schemeClr w14:val="tx1"/>
                        </w14:solidFill>
                      </w14:textFill>
                    </w:rPr>
                    <w:t>.0</w:t>
                  </w:r>
                </w:p>
              </w:tc>
            </w:tr>
          </w:tbl>
          <w:p w14:paraId="7598F4A6">
            <w:pPr>
              <w:adjustRightInd w:val="0"/>
              <w:snapToGrid w:val="0"/>
              <w:spacing w:line="360" w:lineRule="auto"/>
              <w:jc w:val="both"/>
              <w:rPr>
                <w:rFonts w:hint="default" w:ascii="Times New Roman" w:hAnsi="Times New Roman" w:eastAsia="宋体" w:cs="Times New Roman"/>
                <w:b/>
                <w:bCs/>
                <w:color w:val="000000" w:themeColor="text1"/>
                <w:sz w:val="24"/>
                <w:lang w:eastAsia="zh-CN"/>
                <w14:textFill>
                  <w14:solidFill>
                    <w14:schemeClr w14:val="tx1"/>
                  </w14:solidFill>
                </w14:textFill>
              </w:rPr>
            </w:pPr>
          </w:p>
          <w:p w14:paraId="66C91642">
            <w:pPr>
              <w:adjustRightInd w:val="0"/>
              <w:snapToGrid w:val="0"/>
              <w:spacing w:line="360" w:lineRule="auto"/>
              <w:jc w:val="both"/>
              <w:rPr>
                <w:rFonts w:hint="default" w:ascii="Times New Roman" w:hAnsi="Times New Roman" w:eastAsia="宋体" w:cs="Times New Roman"/>
                <w:b/>
                <w:bCs/>
                <w:color w:val="000000" w:themeColor="text1"/>
                <w:sz w:val="24"/>
                <w14:textFill>
                  <w14:solidFill>
                    <w14:schemeClr w14:val="tx1"/>
                  </w14:solidFill>
                </w14:textFill>
              </w:rPr>
            </w:pPr>
            <w:r>
              <w:rPr>
                <w:rFonts w:hint="default" w:ascii="Times New Roman" w:hAnsi="Times New Roman" w:eastAsia="宋体" w:cs="Times New Roman"/>
                <w:b/>
                <w:bCs/>
                <w:color w:val="000000" w:themeColor="text1"/>
                <w:sz w:val="24"/>
                <w:lang w:eastAsia="zh-CN"/>
                <w14:textFill>
                  <w14:solidFill>
                    <w14:schemeClr w14:val="tx1"/>
                  </w14:solidFill>
                </w14:textFill>
              </w:rPr>
              <w:t>（</w:t>
            </w:r>
            <w:r>
              <w:rPr>
                <w:rFonts w:hint="default" w:ascii="Times New Roman" w:hAnsi="Times New Roman" w:eastAsia="宋体" w:cs="Times New Roman"/>
                <w:b/>
                <w:bCs/>
                <w:color w:val="000000" w:themeColor="text1"/>
                <w:sz w:val="24"/>
                <w:lang w:val="en-US" w:eastAsia="zh-CN"/>
                <w14:textFill>
                  <w14:solidFill>
                    <w14:schemeClr w14:val="tx1"/>
                  </w14:solidFill>
                </w14:textFill>
              </w:rPr>
              <w:t>2</w:t>
            </w:r>
            <w:r>
              <w:rPr>
                <w:rFonts w:hint="default" w:ascii="Times New Roman" w:hAnsi="Times New Roman" w:eastAsia="宋体" w:cs="Times New Roman"/>
                <w:b/>
                <w:bCs/>
                <w:color w:val="000000" w:themeColor="text1"/>
                <w:sz w:val="24"/>
                <w:lang w:eastAsia="zh-CN"/>
                <w14:textFill>
                  <w14:solidFill>
                    <w14:schemeClr w14:val="tx1"/>
                  </w14:solidFill>
                </w14:textFill>
              </w:rPr>
              <w:t>）</w:t>
            </w:r>
            <w:r>
              <w:rPr>
                <w:rFonts w:hint="default" w:ascii="Times New Roman" w:hAnsi="Times New Roman" w:eastAsia="宋体" w:cs="Times New Roman"/>
                <w:b/>
                <w:bCs/>
                <w:color w:val="000000" w:themeColor="text1"/>
                <w:sz w:val="24"/>
                <w14:textFill>
                  <w14:solidFill>
                    <w14:schemeClr w14:val="tx1"/>
                  </w14:solidFill>
                </w14:textFill>
              </w:rPr>
              <w:t>地表水环境质量现状</w:t>
            </w:r>
          </w:p>
          <w:p w14:paraId="79965A1A">
            <w:pPr>
              <w:pStyle w:val="75"/>
              <w:adjustRightInd w:val="0"/>
              <w:snapToGrid w:val="0"/>
              <w:ind w:left="0" w:leftChars="0" w:firstLine="482" w:firstLineChars="200"/>
              <w:jc w:val="both"/>
              <w:rPr>
                <w:rFonts w:hint="default" w:ascii="Times New Roman" w:hAnsi="Times New Roman" w:eastAsia="宋体" w:cs="Times New Roman"/>
                <w:b/>
                <w:bCs/>
                <w:color w:val="000000" w:themeColor="text1"/>
                <w:kern w:val="2"/>
                <w:sz w:val="24"/>
                <w:szCs w:val="24"/>
                <w:lang w:val="en-US" w:eastAsia="zh-CN" w:bidi="ar-SA"/>
                <w14:textFill>
                  <w14:solidFill>
                    <w14:schemeClr w14:val="tx1"/>
                  </w14:solidFill>
                </w14:textFill>
              </w:rPr>
            </w:pPr>
            <w:r>
              <w:rPr>
                <w:rFonts w:hint="eastAsia" w:ascii="Times New Roman" w:hAnsi="Times New Roman" w:cs="Times New Roman"/>
                <w:b/>
                <w:bCs/>
                <w:color w:val="000000" w:themeColor="text1"/>
                <w:kern w:val="2"/>
                <w:sz w:val="24"/>
                <w:szCs w:val="24"/>
                <w:lang w:val="en-US" w:eastAsia="zh-CN" w:bidi="ar-SA"/>
                <w14:textFill>
                  <w14:solidFill>
                    <w14:schemeClr w14:val="tx1"/>
                  </w14:solidFill>
                </w14:textFill>
              </w:rPr>
              <w:t>1）</w:t>
            </w:r>
            <w:r>
              <w:rPr>
                <w:rFonts w:hint="default" w:ascii="Times New Roman" w:hAnsi="Times New Roman" w:eastAsia="宋体" w:cs="Times New Roman"/>
                <w:b/>
                <w:bCs/>
                <w:color w:val="000000" w:themeColor="text1"/>
                <w:kern w:val="2"/>
                <w:sz w:val="24"/>
                <w:szCs w:val="24"/>
                <w:lang w:val="en-US" w:eastAsia="zh-CN" w:bidi="ar-SA"/>
                <w14:textFill>
                  <w14:solidFill>
                    <w14:schemeClr w14:val="tx1"/>
                  </w14:solidFill>
                </w14:textFill>
              </w:rPr>
              <w:t>尼去本水库质量现状</w:t>
            </w:r>
          </w:p>
          <w:p w14:paraId="1906CAD9">
            <w:pPr>
              <w:jc w:val="both"/>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根据</w:t>
            </w:r>
            <w:r>
              <w:rPr>
                <w:rFonts w:hint="default" w:ascii="Times New Roman" w:hAnsi="Times New Roman" w:eastAsia="宋体" w:cs="Times New Roman"/>
                <w:color w:val="000000" w:themeColor="text1"/>
                <w14:textFill>
                  <w14:solidFill>
                    <w14:schemeClr w14:val="tx1"/>
                  </w14:solidFill>
                </w14:textFill>
              </w:rPr>
              <w:t>玉溪市生态环境局峨山分局生态环境监测站</w:t>
            </w:r>
            <w:r>
              <w:rPr>
                <w:rFonts w:hint="eastAsia" w:ascii="Times New Roman" w:hAnsi="Times New Roman" w:cs="Times New Roman"/>
                <w:color w:val="000000" w:themeColor="text1"/>
                <w:lang w:val="en-US" w:eastAsia="zh-CN"/>
                <w14:textFill>
                  <w14:solidFill>
                    <w14:schemeClr w14:val="tx1"/>
                  </w14:solidFill>
                </w14:textFill>
              </w:rPr>
              <w:t>提供2025年9月22日</w:t>
            </w:r>
            <w:r>
              <w:rPr>
                <w:rFonts w:hint="default" w:ascii="Times New Roman" w:hAnsi="Times New Roman" w:eastAsia="宋体" w:cs="Times New Roman"/>
                <w:color w:val="000000" w:themeColor="text1"/>
                <w14:textFill>
                  <w14:solidFill>
                    <w14:schemeClr w14:val="tx1"/>
                  </w14:solidFill>
                </w14:textFill>
              </w:rPr>
              <w:t>对尼去本水库进行监测，采样1次，监测1天，监测项目为《地表水环境质量标准》（GB3838-2002）</w:t>
            </w:r>
            <w:r>
              <w:rPr>
                <w:rFonts w:hint="default" w:ascii="Times New Roman" w:hAnsi="Times New Roman" w:eastAsia="宋体"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尼去本水库水质检测数据如下：</w:t>
            </w:r>
          </w:p>
          <w:p w14:paraId="5CD42D8B">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表3-</w:t>
            </w:r>
            <w:r>
              <w:rPr>
                <w:rFonts w:hint="eastAsia" w:ascii="Times New Roman" w:hAnsi="Times New Roman" w:eastAsia="宋体" w:cs="Times New Roman"/>
                <w:b/>
                <w:bCs/>
                <w:color w:val="000000" w:themeColor="text1"/>
                <w:sz w:val="21"/>
                <w:szCs w:val="21"/>
                <w:lang w:val="en-US" w:eastAsia="zh-CN"/>
                <w14:textFill>
                  <w14:solidFill>
                    <w14:schemeClr w14:val="tx1"/>
                  </w14:solidFill>
                </w14:textFill>
              </w:rPr>
              <w:t xml:space="preserve">10   </w:t>
            </w: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尼去本水库水质监测数据</w:t>
            </w:r>
          </w:p>
          <w:tbl>
            <w:tblPr>
              <w:tblStyle w:val="26"/>
              <w:tblW w:w="494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12"/>
              <w:gridCol w:w="1633"/>
              <w:gridCol w:w="1317"/>
              <w:gridCol w:w="1367"/>
              <w:gridCol w:w="1109"/>
            </w:tblGrid>
            <w:tr w14:paraId="6FAF4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48" w:type="pct"/>
                  <w:vMerge w:val="restart"/>
                  <w:tcBorders>
                    <w:top w:val="single" w:color="auto" w:sz="4" w:space="0"/>
                    <w:left w:val="single" w:color="auto" w:sz="4" w:space="0"/>
                    <w:bottom w:val="single" w:color="auto" w:sz="4" w:space="0"/>
                    <w:right w:val="single" w:color="auto" w:sz="4" w:space="0"/>
                    <w:tl2br w:val="single" w:color="auto" w:sz="4" w:space="0"/>
                  </w:tcBorders>
                  <w:vAlign w:val="center"/>
                </w:tcPr>
                <w:p w14:paraId="4AF9108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right"/>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eastAsia" w:ascii="Times New Roman" w:hAnsi="Times New Roman" w:cs="Times New Roman"/>
                      <w:bCs/>
                      <w:color w:val="000000" w:themeColor="text1"/>
                      <w:sz w:val="21"/>
                      <w:szCs w:val="21"/>
                      <w:lang w:val="en-US" w:eastAsia="zh-CN"/>
                      <w14:textFill>
                        <w14:solidFill>
                          <w14:schemeClr w14:val="tx1"/>
                        </w14:solidFill>
                      </w14:textFill>
                    </w:rPr>
                    <w:t>监测</w:t>
                  </w:r>
                  <w:r>
                    <w:rPr>
                      <w:rFonts w:hint="default" w:ascii="Times New Roman" w:hAnsi="Times New Roman" w:eastAsia="宋体" w:cs="Times New Roman"/>
                      <w:bCs/>
                      <w:color w:val="000000" w:themeColor="text1"/>
                      <w:sz w:val="21"/>
                      <w:szCs w:val="21"/>
                      <w14:textFill>
                        <w14:solidFill>
                          <w14:schemeClr w14:val="tx1"/>
                        </w14:solidFill>
                      </w14:textFill>
                    </w:rPr>
                    <w:t>点</w:t>
                  </w:r>
                </w:p>
                <w:p w14:paraId="2C0D2B7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项目</w:t>
                  </w:r>
                </w:p>
              </w:tc>
              <w:tc>
                <w:tcPr>
                  <w:tcW w:w="1931" w:type="pct"/>
                  <w:gridSpan w:val="2"/>
                  <w:tcBorders>
                    <w:top w:val="single" w:color="auto" w:sz="4" w:space="0"/>
                    <w:left w:val="single" w:color="auto" w:sz="4" w:space="0"/>
                    <w:bottom w:val="single" w:color="auto" w:sz="4" w:space="0"/>
                    <w:right w:val="single" w:color="auto" w:sz="4" w:space="0"/>
                  </w:tcBorders>
                  <w:vAlign w:val="center"/>
                </w:tcPr>
                <w:p w14:paraId="25AB94B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尼去本水库</w:t>
                  </w:r>
                </w:p>
              </w:tc>
              <w:tc>
                <w:tcPr>
                  <w:tcW w:w="894" w:type="pct"/>
                  <w:vMerge w:val="restart"/>
                  <w:tcBorders>
                    <w:top w:val="single" w:color="auto" w:sz="4" w:space="0"/>
                    <w:left w:val="single" w:color="auto" w:sz="4" w:space="0"/>
                    <w:bottom w:val="single" w:color="auto" w:sz="4" w:space="0"/>
                    <w:right w:val="single" w:color="auto" w:sz="4" w:space="0"/>
                  </w:tcBorders>
                  <w:vAlign w:val="center"/>
                </w:tcPr>
                <w:p w14:paraId="4FABDB6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Ⅲ类标准限值</w:t>
                  </w:r>
                </w:p>
              </w:tc>
              <w:tc>
                <w:tcPr>
                  <w:tcW w:w="725" w:type="pct"/>
                  <w:vMerge w:val="restart"/>
                  <w:tcBorders>
                    <w:top w:val="single" w:color="auto" w:sz="4" w:space="0"/>
                    <w:left w:val="single" w:color="auto" w:sz="4" w:space="0"/>
                    <w:right w:val="single" w:color="auto" w:sz="4" w:space="0"/>
                  </w:tcBorders>
                  <w:vAlign w:val="center"/>
                </w:tcPr>
                <w:p w14:paraId="5D172C0B">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cs="Times New Roman"/>
                      <w:bCs/>
                      <w:color w:val="000000" w:themeColor="text1"/>
                      <w:sz w:val="21"/>
                      <w:szCs w:val="21"/>
                      <w:lang w:val="en-US" w:eastAsia="zh-CN"/>
                      <w14:textFill>
                        <w14:solidFill>
                          <w14:schemeClr w14:val="tx1"/>
                        </w14:solidFill>
                      </w14:textFill>
                    </w:rPr>
                    <w:t>单位</w:t>
                  </w:r>
                </w:p>
              </w:tc>
            </w:tr>
            <w:tr w14:paraId="207AA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48" w:type="pct"/>
                  <w:vMerge w:val="continue"/>
                  <w:tcBorders>
                    <w:top w:val="single" w:color="auto" w:sz="4" w:space="0"/>
                    <w:left w:val="single" w:color="auto" w:sz="4" w:space="0"/>
                    <w:bottom w:val="single" w:color="auto" w:sz="4" w:space="0"/>
                    <w:right w:val="single" w:color="auto" w:sz="4" w:space="0"/>
                    <w:tl2br w:val="single" w:color="auto" w:sz="4" w:space="0"/>
                  </w:tcBorders>
                  <w:vAlign w:val="center"/>
                </w:tcPr>
                <w:p w14:paraId="514F26AD">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1068" w:type="pct"/>
                  <w:tcBorders>
                    <w:top w:val="single" w:color="auto" w:sz="4" w:space="0"/>
                    <w:left w:val="single" w:color="auto" w:sz="4" w:space="0"/>
                    <w:bottom w:val="single" w:color="auto" w:sz="4" w:space="0"/>
                    <w:right w:val="single" w:color="auto" w:sz="4" w:space="0"/>
                  </w:tcBorders>
                  <w:vAlign w:val="center"/>
                </w:tcPr>
                <w:p w14:paraId="7F95546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监测值</w:t>
                  </w:r>
                </w:p>
              </w:tc>
              <w:tc>
                <w:tcPr>
                  <w:tcW w:w="862" w:type="pct"/>
                  <w:tcBorders>
                    <w:top w:val="single" w:color="auto" w:sz="4" w:space="0"/>
                    <w:left w:val="single" w:color="auto" w:sz="4" w:space="0"/>
                    <w:bottom w:val="single" w:color="auto" w:sz="4" w:space="0"/>
                    <w:right w:val="single" w:color="auto" w:sz="4" w:space="0"/>
                  </w:tcBorders>
                  <w:vAlign w:val="center"/>
                </w:tcPr>
                <w:p w14:paraId="6350C783">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评价结果</w:t>
                  </w:r>
                </w:p>
                <w:p w14:paraId="0335C5C2">
                  <w:pPr>
                    <w:pStyle w:val="25"/>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0" w:firstLineChars="0"/>
                    <w:jc w:val="center"/>
                    <w:textAlignment w:val="auto"/>
                    <w:rPr>
                      <w:rFonts w:hint="eastAsia" w:eastAsia="宋体"/>
                      <w:color w:val="000000" w:themeColor="text1"/>
                      <w:lang w:val="en-US" w:eastAsia="zh-CN"/>
                      <w14:textFill>
                        <w14:solidFill>
                          <w14:schemeClr w14:val="tx1"/>
                        </w14:solidFill>
                      </w14:textFill>
                    </w:rPr>
                  </w:pPr>
                  <w:r>
                    <w:rPr>
                      <w:rFonts w:hint="eastAsia" w:ascii="Times New Roman" w:hAnsi="Times New Roman" w:cs="Times New Roman"/>
                      <w:bCs/>
                      <w:color w:val="000000" w:themeColor="text1"/>
                      <w:sz w:val="21"/>
                      <w:szCs w:val="21"/>
                      <w:lang w:val="en-US" w:eastAsia="zh-CN"/>
                      <w14:textFill>
                        <w14:solidFill>
                          <w14:schemeClr w14:val="tx1"/>
                        </w14:solidFill>
                      </w14:textFill>
                    </w:rPr>
                    <w:t>类别</w:t>
                  </w:r>
                </w:p>
              </w:tc>
              <w:tc>
                <w:tcPr>
                  <w:tcW w:w="894" w:type="pct"/>
                  <w:vMerge w:val="continue"/>
                  <w:tcBorders>
                    <w:top w:val="single" w:color="auto" w:sz="4" w:space="0"/>
                    <w:left w:val="single" w:color="auto" w:sz="4" w:space="0"/>
                    <w:bottom w:val="single" w:color="auto" w:sz="4" w:space="0"/>
                    <w:right w:val="single" w:color="auto" w:sz="4" w:space="0"/>
                  </w:tcBorders>
                  <w:vAlign w:val="center"/>
                </w:tcPr>
                <w:p w14:paraId="2F22F5AB">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725" w:type="pct"/>
                  <w:vMerge w:val="continue"/>
                  <w:tcBorders>
                    <w:left w:val="single" w:color="auto" w:sz="4" w:space="0"/>
                    <w:bottom w:val="single" w:color="auto" w:sz="4" w:space="0"/>
                    <w:right w:val="single" w:color="auto" w:sz="4" w:space="0"/>
                  </w:tcBorders>
                  <w:vAlign w:val="center"/>
                </w:tcPr>
                <w:p w14:paraId="665E0A8D">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r>
            <w:tr w14:paraId="17357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48" w:type="pct"/>
                  <w:tcBorders>
                    <w:top w:val="single" w:color="auto" w:sz="4" w:space="0"/>
                    <w:left w:val="single" w:color="auto" w:sz="4" w:space="0"/>
                    <w:bottom w:val="single" w:color="auto" w:sz="4" w:space="0"/>
                    <w:right w:val="single" w:color="auto" w:sz="4" w:space="0"/>
                  </w:tcBorders>
                  <w:vAlign w:val="center"/>
                </w:tcPr>
                <w:p w14:paraId="0FDE602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水温</w:t>
                  </w:r>
                </w:p>
              </w:tc>
              <w:tc>
                <w:tcPr>
                  <w:tcW w:w="1068" w:type="pct"/>
                  <w:tcBorders>
                    <w:top w:val="single" w:color="auto" w:sz="4" w:space="0"/>
                    <w:left w:val="single" w:color="auto" w:sz="4" w:space="0"/>
                    <w:bottom w:val="single" w:color="auto" w:sz="4" w:space="0"/>
                    <w:right w:val="single" w:color="auto" w:sz="4" w:space="0"/>
                  </w:tcBorders>
                  <w:vAlign w:val="center"/>
                </w:tcPr>
                <w:p w14:paraId="49A7EA5B">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22.8</w:t>
                  </w:r>
                </w:p>
              </w:tc>
              <w:tc>
                <w:tcPr>
                  <w:tcW w:w="862" w:type="pct"/>
                  <w:tcBorders>
                    <w:top w:val="single" w:color="auto" w:sz="4" w:space="0"/>
                    <w:left w:val="single" w:color="auto" w:sz="4" w:space="0"/>
                    <w:bottom w:val="single" w:color="auto" w:sz="4" w:space="0"/>
                    <w:right w:val="single" w:color="auto" w:sz="4" w:space="0"/>
                  </w:tcBorders>
                  <w:vAlign w:val="center"/>
                </w:tcPr>
                <w:p w14:paraId="28A378C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w:t>
                  </w:r>
                </w:p>
              </w:tc>
              <w:tc>
                <w:tcPr>
                  <w:tcW w:w="894" w:type="pct"/>
                  <w:tcBorders>
                    <w:left w:val="single" w:color="auto" w:sz="4" w:space="0"/>
                  </w:tcBorders>
                  <w:vAlign w:val="center"/>
                </w:tcPr>
                <w:p w14:paraId="6BF5831D">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w:t>
                  </w:r>
                </w:p>
              </w:tc>
              <w:tc>
                <w:tcPr>
                  <w:tcW w:w="725" w:type="pct"/>
                  <w:tcBorders>
                    <w:left w:val="single" w:color="auto" w:sz="4" w:space="0"/>
                  </w:tcBorders>
                  <w:vAlign w:val="center"/>
                </w:tcPr>
                <w:p w14:paraId="4D04D3B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w:t>
                  </w:r>
                </w:p>
              </w:tc>
            </w:tr>
            <w:tr w14:paraId="01B61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48" w:type="pct"/>
                  <w:tcBorders>
                    <w:top w:val="single" w:color="auto" w:sz="4" w:space="0"/>
                    <w:left w:val="single" w:color="auto" w:sz="4" w:space="0"/>
                    <w:bottom w:val="single" w:color="auto" w:sz="4" w:space="0"/>
                    <w:right w:val="single" w:color="auto" w:sz="4" w:space="0"/>
                  </w:tcBorders>
                  <w:vAlign w:val="center"/>
                </w:tcPr>
                <w:p w14:paraId="23FB80E0">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pH</w:t>
                  </w:r>
                </w:p>
              </w:tc>
              <w:tc>
                <w:tcPr>
                  <w:tcW w:w="1068" w:type="pct"/>
                  <w:tcBorders>
                    <w:top w:val="single" w:color="auto" w:sz="4" w:space="0"/>
                    <w:left w:val="single" w:color="auto" w:sz="4" w:space="0"/>
                    <w:bottom w:val="single" w:color="auto" w:sz="4" w:space="0"/>
                    <w:right w:val="single" w:color="auto" w:sz="4" w:space="0"/>
                  </w:tcBorders>
                  <w:vAlign w:val="center"/>
                </w:tcPr>
                <w:p w14:paraId="34371173">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8.3</w:t>
                  </w:r>
                </w:p>
              </w:tc>
              <w:tc>
                <w:tcPr>
                  <w:tcW w:w="862" w:type="pct"/>
                  <w:tcBorders>
                    <w:top w:val="single" w:color="auto" w:sz="4" w:space="0"/>
                    <w:left w:val="single" w:color="auto" w:sz="4" w:space="0"/>
                    <w:bottom w:val="single" w:color="auto" w:sz="4" w:space="0"/>
                    <w:right w:val="single" w:color="auto" w:sz="4" w:space="0"/>
                  </w:tcBorders>
                  <w:vAlign w:val="center"/>
                </w:tcPr>
                <w:p w14:paraId="5028901B">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达标</w:t>
                  </w:r>
                </w:p>
              </w:tc>
              <w:tc>
                <w:tcPr>
                  <w:tcW w:w="894" w:type="pct"/>
                  <w:tcBorders>
                    <w:left w:val="single" w:color="auto" w:sz="4" w:space="0"/>
                  </w:tcBorders>
                  <w:vAlign w:val="center"/>
                </w:tcPr>
                <w:p w14:paraId="26CECFDA">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6~9</w:t>
                  </w:r>
                </w:p>
              </w:tc>
              <w:tc>
                <w:tcPr>
                  <w:tcW w:w="725" w:type="pct"/>
                  <w:tcBorders>
                    <w:left w:val="single" w:color="auto" w:sz="4" w:space="0"/>
                  </w:tcBorders>
                  <w:vAlign w:val="center"/>
                </w:tcPr>
                <w:p w14:paraId="043C3B4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无量纲</w:t>
                  </w:r>
                </w:p>
              </w:tc>
            </w:tr>
            <w:tr w14:paraId="51A9B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48" w:type="pct"/>
                  <w:tcBorders>
                    <w:top w:val="single" w:color="auto" w:sz="4" w:space="0"/>
                    <w:left w:val="single" w:color="auto" w:sz="4" w:space="0"/>
                    <w:bottom w:val="single" w:color="auto" w:sz="4" w:space="0"/>
                    <w:right w:val="single" w:color="auto" w:sz="4" w:space="0"/>
                  </w:tcBorders>
                  <w:vAlign w:val="center"/>
                </w:tcPr>
                <w:p w14:paraId="47E4206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溶解氧</w:t>
                  </w:r>
                </w:p>
              </w:tc>
              <w:tc>
                <w:tcPr>
                  <w:tcW w:w="1068" w:type="pct"/>
                  <w:tcBorders>
                    <w:top w:val="single" w:color="auto" w:sz="4" w:space="0"/>
                    <w:left w:val="single" w:color="auto" w:sz="4" w:space="0"/>
                    <w:bottom w:val="single" w:color="auto" w:sz="4" w:space="0"/>
                    <w:right w:val="single" w:color="auto" w:sz="4" w:space="0"/>
                  </w:tcBorders>
                  <w:vAlign w:val="center"/>
                </w:tcPr>
                <w:p w14:paraId="091D0A5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7.2</w:t>
                  </w:r>
                </w:p>
              </w:tc>
              <w:tc>
                <w:tcPr>
                  <w:tcW w:w="862" w:type="pct"/>
                  <w:tcBorders>
                    <w:top w:val="single" w:color="auto" w:sz="4" w:space="0"/>
                    <w:left w:val="single" w:color="auto" w:sz="4" w:space="0"/>
                    <w:bottom w:val="single" w:color="auto" w:sz="4" w:space="0"/>
                    <w:right w:val="single" w:color="auto" w:sz="4" w:space="0"/>
                  </w:tcBorders>
                  <w:vAlign w:val="center"/>
                </w:tcPr>
                <w:p w14:paraId="6251BA13">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fldChar w:fldCharType="begin"/>
                  </w:r>
                  <w:r>
                    <w:rPr>
                      <w:rFonts w:hint="default" w:ascii="Times New Roman" w:hAnsi="Times New Roman" w:eastAsia="宋体" w:cs="Times New Roman"/>
                      <w:color w:val="000000" w:themeColor="text1"/>
                      <w:sz w:val="21"/>
                      <w:szCs w:val="21"/>
                      <w14:textFill>
                        <w14:solidFill>
                          <w14:schemeClr w14:val="tx1"/>
                        </w14:solidFill>
                      </w14:textFill>
                    </w:rPr>
                    <w:instrText xml:space="preserve">=2\*ROMAN</w:instrText>
                  </w:r>
                  <w:r>
                    <w:rPr>
                      <w:rFonts w:hint="default" w:ascii="Times New Roman" w:hAnsi="Times New Roman" w:eastAsia="宋体" w:cs="Times New Roman"/>
                      <w:color w:val="000000" w:themeColor="text1"/>
                      <w:sz w:val="21"/>
                      <w:szCs w:val="21"/>
                      <w14:textFill>
                        <w14:solidFill>
                          <w14:schemeClr w14:val="tx1"/>
                        </w14:solidFill>
                      </w14:textFill>
                    </w:rPr>
                    <w:fldChar w:fldCharType="separate"/>
                  </w:r>
                  <w:r>
                    <w:rPr>
                      <w:rFonts w:hint="default" w:ascii="Times New Roman" w:hAnsi="Times New Roman" w:eastAsia="宋体" w:cs="Times New Roman"/>
                      <w:color w:val="000000" w:themeColor="text1"/>
                      <w:sz w:val="21"/>
                      <w:szCs w:val="21"/>
                      <w14:textFill>
                        <w14:solidFill>
                          <w14:schemeClr w14:val="tx1"/>
                        </w14:solidFill>
                      </w14:textFill>
                    </w:rPr>
                    <w:t>II</w:t>
                  </w:r>
                  <w:r>
                    <w:rPr>
                      <w:rFonts w:hint="default" w:ascii="Times New Roman" w:hAnsi="Times New Roman" w:eastAsia="宋体" w:cs="Times New Roman"/>
                      <w:color w:val="000000" w:themeColor="text1"/>
                      <w:sz w:val="21"/>
                      <w:szCs w:val="21"/>
                      <w14:textFill>
                        <w14:solidFill>
                          <w14:schemeClr w14:val="tx1"/>
                        </w14:solidFill>
                      </w14:textFill>
                    </w:rPr>
                    <w:fldChar w:fldCharType="end"/>
                  </w:r>
                </w:p>
              </w:tc>
              <w:tc>
                <w:tcPr>
                  <w:tcW w:w="894" w:type="pct"/>
                  <w:tcBorders>
                    <w:left w:val="single" w:color="auto" w:sz="4" w:space="0"/>
                  </w:tcBorders>
                  <w:vAlign w:val="center"/>
                </w:tcPr>
                <w:p w14:paraId="383C539B">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≥5</w:t>
                  </w:r>
                </w:p>
              </w:tc>
              <w:tc>
                <w:tcPr>
                  <w:tcW w:w="725" w:type="pct"/>
                  <w:tcBorders>
                    <w:left w:val="single" w:color="auto" w:sz="4" w:space="0"/>
                  </w:tcBorders>
                  <w:vAlign w:val="center"/>
                </w:tcPr>
                <w:p w14:paraId="6819D373">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14:textFill>
                        <w14:solidFill>
                          <w14:schemeClr w14:val="tx1"/>
                        </w14:solidFill>
                      </w14:textFill>
                    </w:rPr>
                    <w:t>mg/L</w:t>
                  </w:r>
                </w:p>
              </w:tc>
            </w:tr>
            <w:tr w14:paraId="16847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48" w:type="pct"/>
                  <w:tcBorders>
                    <w:top w:val="single" w:color="auto" w:sz="4" w:space="0"/>
                    <w:left w:val="single" w:color="auto" w:sz="4" w:space="0"/>
                    <w:bottom w:val="single" w:color="auto" w:sz="4" w:space="0"/>
                    <w:right w:val="single" w:color="auto" w:sz="4" w:space="0"/>
                  </w:tcBorders>
                  <w:vAlign w:val="center"/>
                </w:tcPr>
                <w:p w14:paraId="43DD43C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高锰酸盐指数</w:t>
                  </w:r>
                </w:p>
                <w:p w14:paraId="61FFF57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（耗氧量）</w:t>
                  </w:r>
                </w:p>
              </w:tc>
              <w:tc>
                <w:tcPr>
                  <w:tcW w:w="1068" w:type="pct"/>
                  <w:tcBorders>
                    <w:top w:val="single" w:color="auto" w:sz="4" w:space="0"/>
                    <w:left w:val="single" w:color="auto" w:sz="4" w:space="0"/>
                    <w:bottom w:val="single" w:color="auto" w:sz="4" w:space="0"/>
                    <w:right w:val="single" w:color="auto" w:sz="4" w:space="0"/>
                  </w:tcBorders>
                  <w:vAlign w:val="center"/>
                </w:tcPr>
                <w:p w14:paraId="5206211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2.2</w:t>
                  </w:r>
                </w:p>
              </w:tc>
              <w:tc>
                <w:tcPr>
                  <w:tcW w:w="862" w:type="pct"/>
                  <w:tcBorders>
                    <w:top w:val="single" w:color="auto" w:sz="4" w:space="0"/>
                    <w:left w:val="single" w:color="auto" w:sz="4" w:space="0"/>
                    <w:bottom w:val="single" w:color="auto" w:sz="4" w:space="0"/>
                    <w:right w:val="single" w:color="auto" w:sz="4" w:space="0"/>
                  </w:tcBorders>
                  <w:vAlign w:val="center"/>
                </w:tcPr>
                <w:p w14:paraId="50DEFC1D">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fldChar w:fldCharType="begin"/>
                  </w:r>
                  <w:r>
                    <w:rPr>
                      <w:rFonts w:hint="default" w:ascii="Times New Roman" w:hAnsi="Times New Roman" w:eastAsia="宋体" w:cs="Times New Roman"/>
                      <w:color w:val="000000" w:themeColor="text1"/>
                      <w:sz w:val="21"/>
                      <w:szCs w:val="21"/>
                      <w14:textFill>
                        <w14:solidFill>
                          <w14:schemeClr w14:val="tx1"/>
                        </w14:solidFill>
                      </w14:textFill>
                    </w:rPr>
                    <w:instrText xml:space="preserve">=2\*ROMAN</w:instrText>
                  </w:r>
                  <w:r>
                    <w:rPr>
                      <w:rFonts w:hint="default" w:ascii="Times New Roman" w:hAnsi="Times New Roman" w:eastAsia="宋体" w:cs="Times New Roman"/>
                      <w:color w:val="000000" w:themeColor="text1"/>
                      <w:sz w:val="21"/>
                      <w:szCs w:val="21"/>
                      <w14:textFill>
                        <w14:solidFill>
                          <w14:schemeClr w14:val="tx1"/>
                        </w14:solidFill>
                      </w14:textFill>
                    </w:rPr>
                    <w:fldChar w:fldCharType="separate"/>
                  </w:r>
                  <w:r>
                    <w:rPr>
                      <w:rFonts w:hint="default" w:ascii="Times New Roman" w:hAnsi="Times New Roman" w:eastAsia="宋体" w:cs="Times New Roman"/>
                      <w:color w:val="000000" w:themeColor="text1"/>
                      <w:sz w:val="21"/>
                      <w:szCs w:val="21"/>
                      <w14:textFill>
                        <w14:solidFill>
                          <w14:schemeClr w14:val="tx1"/>
                        </w14:solidFill>
                      </w14:textFill>
                    </w:rPr>
                    <w:t>II</w:t>
                  </w:r>
                  <w:r>
                    <w:rPr>
                      <w:rFonts w:hint="default" w:ascii="Times New Roman" w:hAnsi="Times New Roman" w:eastAsia="宋体" w:cs="Times New Roman"/>
                      <w:color w:val="000000" w:themeColor="text1"/>
                      <w:sz w:val="21"/>
                      <w:szCs w:val="21"/>
                      <w14:textFill>
                        <w14:solidFill>
                          <w14:schemeClr w14:val="tx1"/>
                        </w14:solidFill>
                      </w14:textFill>
                    </w:rPr>
                    <w:fldChar w:fldCharType="end"/>
                  </w:r>
                </w:p>
              </w:tc>
              <w:tc>
                <w:tcPr>
                  <w:tcW w:w="894" w:type="pct"/>
                  <w:tcBorders>
                    <w:left w:val="single" w:color="auto" w:sz="4" w:space="0"/>
                  </w:tcBorders>
                  <w:vAlign w:val="center"/>
                </w:tcPr>
                <w:p w14:paraId="2A91CEF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≤6</w:t>
                  </w:r>
                </w:p>
              </w:tc>
              <w:tc>
                <w:tcPr>
                  <w:tcW w:w="725" w:type="pct"/>
                  <w:tcBorders>
                    <w:left w:val="single" w:color="auto" w:sz="4" w:space="0"/>
                  </w:tcBorders>
                  <w:vAlign w:val="center"/>
                </w:tcPr>
                <w:p w14:paraId="0653DE8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14:textFill>
                        <w14:solidFill>
                          <w14:schemeClr w14:val="tx1"/>
                        </w14:solidFill>
                      </w14:textFill>
                    </w:rPr>
                    <w:t>mg/L</w:t>
                  </w:r>
                </w:p>
              </w:tc>
            </w:tr>
            <w:tr w14:paraId="14E0A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48" w:type="pct"/>
                  <w:tcBorders>
                    <w:top w:val="single" w:color="auto" w:sz="4" w:space="0"/>
                    <w:left w:val="single" w:color="auto" w:sz="4" w:space="0"/>
                    <w:bottom w:val="single" w:color="auto" w:sz="4" w:space="0"/>
                    <w:right w:val="single" w:color="auto" w:sz="4" w:space="0"/>
                  </w:tcBorders>
                  <w:vAlign w:val="center"/>
                </w:tcPr>
                <w:p w14:paraId="77CB770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化学需氧量</w:t>
                  </w:r>
                </w:p>
              </w:tc>
              <w:tc>
                <w:tcPr>
                  <w:tcW w:w="1068" w:type="pct"/>
                  <w:tcBorders>
                    <w:top w:val="single" w:color="auto" w:sz="4" w:space="0"/>
                    <w:left w:val="single" w:color="auto" w:sz="4" w:space="0"/>
                    <w:bottom w:val="single" w:color="auto" w:sz="4" w:space="0"/>
                    <w:right w:val="single" w:color="auto" w:sz="4" w:space="0"/>
                  </w:tcBorders>
                  <w:vAlign w:val="center"/>
                </w:tcPr>
                <w:p w14:paraId="5D11C31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6</w:t>
                  </w:r>
                </w:p>
              </w:tc>
              <w:tc>
                <w:tcPr>
                  <w:tcW w:w="862" w:type="pct"/>
                  <w:tcBorders>
                    <w:top w:val="single" w:color="auto" w:sz="4" w:space="0"/>
                    <w:left w:val="single" w:color="auto" w:sz="4" w:space="0"/>
                    <w:bottom w:val="single" w:color="auto" w:sz="4" w:space="0"/>
                    <w:right w:val="single" w:color="auto" w:sz="4" w:space="0"/>
                  </w:tcBorders>
                  <w:vAlign w:val="center"/>
                </w:tcPr>
                <w:p w14:paraId="7B53356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Ⅰ</w:t>
                  </w:r>
                </w:p>
              </w:tc>
              <w:tc>
                <w:tcPr>
                  <w:tcW w:w="894" w:type="pct"/>
                  <w:tcBorders>
                    <w:left w:val="single" w:color="auto" w:sz="4" w:space="0"/>
                  </w:tcBorders>
                  <w:vAlign w:val="center"/>
                </w:tcPr>
                <w:p w14:paraId="15467E7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14:textFill>
                        <w14:solidFill>
                          <w14:schemeClr w14:val="tx1"/>
                        </w14:solidFill>
                      </w14:textFill>
                    </w:rPr>
                    <w:t>≤</w:t>
                  </w:r>
                  <w:r>
                    <w:rPr>
                      <w:rFonts w:hint="eastAsia" w:ascii="Times New Roman" w:hAnsi="Times New Roman" w:eastAsia="宋体" w:cs="Times New Roman"/>
                      <w:color w:val="000000" w:themeColor="text1"/>
                      <w:sz w:val="21"/>
                      <w:lang w:val="en-US" w:eastAsia="zh-CN"/>
                      <w14:textFill>
                        <w14:solidFill>
                          <w14:schemeClr w14:val="tx1"/>
                        </w14:solidFill>
                      </w14:textFill>
                    </w:rPr>
                    <w:t>20</w:t>
                  </w:r>
                </w:p>
              </w:tc>
              <w:tc>
                <w:tcPr>
                  <w:tcW w:w="725" w:type="pct"/>
                  <w:tcBorders>
                    <w:left w:val="single" w:color="auto" w:sz="4" w:space="0"/>
                  </w:tcBorders>
                  <w:vAlign w:val="center"/>
                </w:tcPr>
                <w:p w14:paraId="21DFB04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14:textFill>
                        <w14:solidFill>
                          <w14:schemeClr w14:val="tx1"/>
                        </w14:solidFill>
                      </w14:textFill>
                    </w:rPr>
                    <w:t>mg/L</w:t>
                  </w:r>
                </w:p>
              </w:tc>
            </w:tr>
            <w:tr w14:paraId="47C0B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48" w:type="pct"/>
                  <w:tcBorders>
                    <w:top w:val="single" w:color="auto" w:sz="4" w:space="0"/>
                    <w:left w:val="single" w:color="auto" w:sz="4" w:space="0"/>
                    <w:bottom w:val="single" w:color="auto" w:sz="4" w:space="0"/>
                    <w:right w:val="single" w:color="auto" w:sz="4" w:space="0"/>
                  </w:tcBorders>
                  <w:vAlign w:val="center"/>
                </w:tcPr>
                <w:p w14:paraId="63F49C7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五日生化需氧量</w:t>
                  </w:r>
                </w:p>
              </w:tc>
              <w:tc>
                <w:tcPr>
                  <w:tcW w:w="1068" w:type="pct"/>
                  <w:tcBorders>
                    <w:top w:val="single" w:color="auto" w:sz="4" w:space="0"/>
                    <w:left w:val="single" w:color="auto" w:sz="4" w:space="0"/>
                    <w:bottom w:val="single" w:color="auto" w:sz="4" w:space="0"/>
                    <w:right w:val="single" w:color="auto" w:sz="4" w:space="0"/>
                  </w:tcBorders>
                  <w:vAlign w:val="center"/>
                </w:tcPr>
                <w:p w14:paraId="5F4F4A0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0.6</w:t>
                  </w:r>
                </w:p>
              </w:tc>
              <w:tc>
                <w:tcPr>
                  <w:tcW w:w="862" w:type="pct"/>
                  <w:tcBorders>
                    <w:top w:val="single" w:color="auto" w:sz="4" w:space="0"/>
                    <w:left w:val="single" w:color="auto" w:sz="4" w:space="0"/>
                    <w:bottom w:val="single" w:color="auto" w:sz="4" w:space="0"/>
                    <w:right w:val="single" w:color="auto" w:sz="4" w:space="0"/>
                  </w:tcBorders>
                  <w:vAlign w:val="center"/>
                </w:tcPr>
                <w:p w14:paraId="65A6D59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Ⅰ</w:t>
                  </w:r>
                </w:p>
              </w:tc>
              <w:tc>
                <w:tcPr>
                  <w:tcW w:w="894" w:type="pct"/>
                  <w:tcBorders>
                    <w:left w:val="single" w:color="auto" w:sz="4" w:space="0"/>
                  </w:tcBorders>
                  <w:vAlign w:val="center"/>
                </w:tcPr>
                <w:p w14:paraId="3DFC2ED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≤4</w:t>
                  </w:r>
                </w:p>
              </w:tc>
              <w:tc>
                <w:tcPr>
                  <w:tcW w:w="725" w:type="pct"/>
                  <w:tcBorders>
                    <w:left w:val="single" w:color="auto" w:sz="4" w:space="0"/>
                  </w:tcBorders>
                  <w:vAlign w:val="center"/>
                </w:tcPr>
                <w:p w14:paraId="6DA246FD">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14:textFill>
                        <w14:solidFill>
                          <w14:schemeClr w14:val="tx1"/>
                        </w14:solidFill>
                      </w14:textFill>
                    </w:rPr>
                    <w:t>mg/L</w:t>
                  </w:r>
                </w:p>
              </w:tc>
            </w:tr>
            <w:tr w14:paraId="17851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48" w:type="pct"/>
                  <w:tcBorders>
                    <w:top w:val="single" w:color="auto" w:sz="4" w:space="0"/>
                    <w:left w:val="single" w:color="auto" w:sz="4" w:space="0"/>
                    <w:bottom w:val="single" w:color="auto" w:sz="4" w:space="0"/>
                    <w:right w:val="single" w:color="auto" w:sz="4" w:space="0"/>
                  </w:tcBorders>
                  <w:vAlign w:val="center"/>
                </w:tcPr>
                <w:p w14:paraId="034BA35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氨氮</w:t>
                  </w:r>
                </w:p>
              </w:tc>
              <w:tc>
                <w:tcPr>
                  <w:tcW w:w="1068" w:type="pct"/>
                  <w:tcBorders>
                    <w:top w:val="single" w:color="auto" w:sz="4" w:space="0"/>
                    <w:left w:val="single" w:color="auto" w:sz="4" w:space="0"/>
                    <w:bottom w:val="single" w:color="auto" w:sz="4" w:space="0"/>
                    <w:right w:val="single" w:color="auto" w:sz="4" w:space="0"/>
                  </w:tcBorders>
                  <w:vAlign w:val="center"/>
                </w:tcPr>
                <w:p w14:paraId="46DC5E4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0.054</w:t>
                  </w:r>
                </w:p>
              </w:tc>
              <w:tc>
                <w:tcPr>
                  <w:tcW w:w="862" w:type="pct"/>
                  <w:tcBorders>
                    <w:top w:val="single" w:color="auto" w:sz="4" w:space="0"/>
                    <w:left w:val="single" w:color="auto" w:sz="4" w:space="0"/>
                    <w:bottom w:val="single" w:color="auto" w:sz="4" w:space="0"/>
                    <w:right w:val="single" w:color="auto" w:sz="4" w:space="0"/>
                  </w:tcBorders>
                  <w:vAlign w:val="center"/>
                </w:tcPr>
                <w:p w14:paraId="028CC95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Ⅰ</w:t>
                  </w:r>
                </w:p>
              </w:tc>
              <w:tc>
                <w:tcPr>
                  <w:tcW w:w="894" w:type="pct"/>
                  <w:tcBorders>
                    <w:left w:val="single" w:color="auto" w:sz="4" w:space="0"/>
                  </w:tcBorders>
                  <w:vAlign w:val="center"/>
                </w:tcPr>
                <w:p w14:paraId="185C92D0">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w:t>
                  </w:r>
                </w:p>
              </w:tc>
              <w:tc>
                <w:tcPr>
                  <w:tcW w:w="725" w:type="pct"/>
                  <w:tcBorders>
                    <w:left w:val="single" w:color="auto" w:sz="4" w:space="0"/>
                  </w:tcBorders>
                  <w:vAlign w:val="center"/>
                </w:tcPr>
                <w:p w14:paraId="5CC79FA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14:textFill>
                        <w14:solidFill>
                          <w14:schemeClr w14:val="tx1"/>
                        </w14:solidFill>
                      </w14:textFill>
                    </w:rPr>
                    <w:t>mg/L</w:t>
                  </w:r>
                </w:p>
              </w:tc>
            </w:tr>
            <w:tr w14:paraId="795D2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48" w:type="pct"/>
                  <w:tcBorders>
                    <w:top w:val="single" w:color="auto" w:sz="4" w:space="0"/>
                    <w:left w:val="single" w:color="auto" w:sz="4" w:space="0"/>
                    <w:bottom w:val="single" w:color="auto" w:sz="4" w:space="0"/>
                    <w:right w:val="single" w:color="auto" w:sz="4" w:space="0"/>
                  </w:tcBorders>
                  <w:vAlign w:val="center"/>
                </w:tcPr>
                <w:p w14:paraId="23C9E49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总磷</w:t>
                  </w:r>
                </w:p>
              </w:tc>
              <w:tc>
                <w:tcPr>
                  <w:tcW w:w="1068" w:type="pct"/>
                  <w:tcBorders>
                    <w:top w:val="single" w:color="auto" w:sz="4" w:space="0"/>
                    <w:left w:val="single" w:color="auto" w:sz="4" w:space="0"/>
                    <w:bottom w:val="single" w:color="auto" w:sz="4" w:space="0"/>
                    <w:right w:val="single" w:color="auto" w:sz="4" w:space="0"/>
                  </w:tcBorders>
                  <w:vAlign w:val="center"/>
                </w:tcPr>
                <w:p w14:paraId="6A1BC9B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0.02</w:t>
                  </w:r>
                </w:p>
              </w:tc>
              <w:tc>
                <w:tcPr>
                  <w:tcW w:w="862" w:type="pct"/>
                  <w:tcBorders>
                    <w:top w:val="single" w:color="auto" w:sz="4" w:space="0"/>
                    <w:left w:val="single" w:color="auto" w:sz="4" w:space="0"/>
                    <w:bottom w:val="single" w:color="auto" w:sz="4" w:space="0"/>
                    <w:right w:val="single" w:color="auto" w:sz="4" w:space="0"/>
                  </w:tcBorders>
                  <w:vAlign w:val="center"/>
                </w:tcPr>
                <w:p w14:paraId="17C0132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fldChar w:fldCharType="begin"/>
                  </w:r>
                  <w:r>
                    <w:rPr>
                      <w:rFonts w:hint="default" w:ascii="Times New Roman" w:hAnsi="Times New Roman" w:eastAsia="宋体" w:cs="Times New Roman"/>
                      <w:color w:val="000000" w:themeColor="text1"/>
                      <w:sz w:val="21"/>
                      <w:szCs w:val="21"/>
                      <w14:textFill>
                        <w14:solidFill>
                          <w14:schemeClr w14:val="tx1"/>
                        </w14:solidFill>
                      </w14:textFill>
                    </w:rPr>
                    <w:instrText xml:space="preserve">=2\*ROMAN</w:instrText>
                  </w:r>
                  <w:r>
                    <w:rPr>
                      <w:rFonts w:hint="default" w:ascii="Times New Roman" w:hAnsi="Times New Roman" w:eastAsia="宋体" w:cs="Times New Roman"/>
                      <w:color w:val="000000" w:themeColor="text1"/>
                      <w:sz w:val="21"/>
                      <w:szCs w:val="21"/>
                      <w14:textFill>
                        <w14:solidFill>
                          <w14:schemeClr w14:val="tx1"/>
                        </w14:solidFill>
                      </w14:textFill>
                    </w:rPr>
                    <w:fldChar w:fldCharType="separate"/>
                  </w:r>
                  <w:r>
                    <w:rPr>
                      <w:rFonts w:hint="default" w:ascii="Times New Roman" w:hAnsi="Times New Roman" w:eastAsia="宋体" w:cs="Times New Roman"/>
                      <w:color w:val="000000" w:themeColor="text1"/>
                      <w:sz w:val="21"/>
                      <w:szCs w:val="21"/>
                      <w14:textFill>
                        <w14:solidFill>
                          <w14:schemeClr w14:val="tx1"/>
                        </w14:solidFill>
                      </w14:textFill>
                    </w:rPr>
                    <w:t>II</w:t>
                  </w:r>
                  <w:r>
                    <w:rPr>
                      <w:rFonts w:hint="default" w:ascii="Times New Roman" w:hAnsi="Times New Roman" w:eastAsia="宋体" w:cs="Times New Roman"/>
                      <w:color w:val="000000" w:themeColor="text1"/>
                      <w:sz w:val="21"/>
                      <w:szCs w:val="21"/>
                      <w14:textFill>
                        <w14:solidFill>
                          <w14:schemeClr w14:val="tx1"/>
                        </w14:solidFill>
                      </w14:textFill>
                    </w:rPr>
                    <w:fldChar w:fldCharType="end"/>
                  </w:r>
                </w:p>
              </w:tc>
              <w:tc>
                <w:tcPr>
                  <w:tcW w:w="894" w:type="pct"/>
                  <w:tcBorders>
                    <w:left w:val="single" w:color="auto" w:sz="4" w:space="0"/>
                  </w:tcBorders>
                  <w:vAlign w:val="center"/>
                </w:tcPr>
                <w:p w14:paraId="0A05594D">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w:t>
                  </w:r>
                  <w:r>
                    <w:rPr>
                      <w:rFonts w:hint="eastAsia" w:ascii="Times New Roman" w:hAnsi="Times New Roman" w:cs="Times New Roman"/>
                      <w:color w:val="000000" w:themeColor="text1"/>
                      <w:sz w:val="21"/>
                      <w:szCs w:val="21"/>
                      <w:lang w:val="en-US" w:eastAsia="zh-CN"/>
                      <w14:textFill>
                        <w14:solidFill>
                          <w14:schemeClr w14:val="tx1"/>
                        </w14:solidFill>
                      </w14:textFill>
                    </w:rPr>
                    <w:t>0.2</w:t>
                  </w:r>
                </w:p>
              </w:tc>
              <w:tc>
                <w:tcPr>
                  <w:tcW w:w="725" w:type="pct"/>
                  <w:tcBorders>
                    <w:left w:val="single" w:color="auto" w:sz="4" w:space="0"/>
                  </w:tcBorders>
                  <w:vAlign w:val="center"/>
                </w:tcPr>
                <w:p w14:paraId="63D59CB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14:textFill>
                        <w14:solidFill>
                          <w14:schemeClr w14:val="tx1"/>
                        </w14:solidFill>
                      </w14:textFill>
                    </w:rPr>
                    <w:t>mg/L</w:t>
                  </w:r>
                </w:p>
              </w:tc>
            </w:tr>
            <w:tr w14:paraId="5CBE7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48" w:type="pct"/>
                  <w:tcBorders>
                    <w:top w:val="single" w:color="auto" w:sz="4" w:space="0"/>
                    <w:left w:val="single" w:color="auto" w:sz="4" w:space="0"/>
                    <w:bottom w:val="single" w:color="auto" w:sz="4" w:space="0"/>
                    <w:right w:val="single" w:color="auto" w:sz="4" w:space="0"/>
                  </w:tcBorders>
                  <w:vAlign w:val="center"/>
                </w:tcPr>
                <w:p w14:paraId="31085B4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总氮</w:t>
                  </w:r>
                </w:p>
              </w:tc>
              <w:tc>
                <w:tcPr>
                  <w:tcW w:w="1068" w:type="pct"/>
                  <w:tcBorders>
                    <w:top w:val="single" w:color="auto" w:sz="4" w:space="0"/>
                    <w:left w:val="single" w:color="auto" w:sz="4" w:space="0"/>
                    <w:bottom w:val="single" w:color="auto" w:sz="4" w:space="0"/>
                    <w:right w:val="single" w:color="auto" w:sz="4" w:space="0"/>
                  </w:tcBorders>
                  <w:vAlign w:val="center"/>
                </w:tcPr>
                <w:p w14:paraId="14A1964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0.9</w:t>
                  </w:r>
                </w:p>
              </w:tc>
              <w:tc>
                <w:tcPr>
                  <w:tcW w:w="862" w:type="pct"/>
                  <w:tcBorders>
                    <w:top w:val="single" w:color="auto" w:sz="4" w:space="0"/>
                    <w:left w:val="single" w:color="auto" w:sz="4" w:space="0"/>
                    <w:bottom w:val="single" w:color="auto" w:sz="4" w:space="0"/>
                    <w:right w:val="single" w:color="auto" w:sz="4" w:space="0"/>
                  </w:tcBorders>
                  <w:vAlign w:val="center"/>
                </w:tcPr>
                <w:p w14:paraId="7526AC3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Ⅲ</w:t>
                  </w:r>
                </w:p>
              </w:tc>
              <w:tc>
                <w:tcPr>
                  <w:tcW w:w="894" w:type="pct"/>
                  <w:tcBorders>
                    <w:left w:val="single" w:color="auto" w:sz="4" w:space="0"/>
                  </w:tcBorders>
                  <w:vAlign w:val="center"/>
                </w:tcPr>
                <w:p w14:paraId="3EC2316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≤1.0</w:t>
                  </w:r>
                </w:p>
              </w:tc>
              <w:tc>
                <w:tcPr>
                  <w:tcW w:w="725" w:type="pct"/>
                  <w:tcBorders>
                    <w:left w:val="single" w:color="auto" w:sz="4" w:space="0"/>
                  </w:tcBorders>
                  <w:vAlign w:val="center"/>
                </w:tcPr>
                <w:p w14:paraId="4C62615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14:textFill>
                        <w14:solidFill>
                          <w14:schemeClr w14:val="tx1"/>
                        </w14:solidFill>
                      </w14:textFill>
                    </w:rPr>
                    <w:t>mg/L</w:t>
                  </w:r>
                </w:p>
              </w:tc>
            </w:tr>
            <w:tr w14:paraId="53230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48" w:type="pct"/>
                  <w:tcBorders>
                    <w:top w:val="single" w:color="auto" w:sz="4" w:space="0"/>
                    <w:left w:val="single" w:color="auto" w:sz="4" w:space="0"/>
                    <w:bottom w:val="single" w:color="auto" w:sz="4" w:space="0"/>
                    <w:right w:val="single" w:color="auto" w:sz="4" w:space="0"/>
                  </w:tcBorders>
                  <w:vAlign w:val="center"/>
                </w:tcPr>
                <w:p w14:paraId="35FB338D">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铜</w:t>
                  </w:r>
                </w:p>
              </w:tc>
              <w:tc>
                <w:tcPr>
                  <w:tcW w:w="1068" w:type="pct"/>
                  <w:tcBorders>
                    <w:top w:val="single" w:color="auto" w:sz="4" w:space="0"/>
                    <w:left w:val="single" w:color="auto" w:sz="4" w:space="0"/>
                    <w:bottom w:val="single" w:color="auto" w:sz="4" w:space="0"/>
                    <w:right w:val="single" w:color="auto" w:sz="4" w:space="0"/>
                  </w:tcBorders>
                  <w:vAlign w:val="center"/>
                </w:tcPr>
                <w:p w14:paraId="1F9E4F9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0.001L</w:t>
                  </w:r>
                </w:p>
              </w:tc>
              <w:tc>
                <w:tcPr>
                  <w:tcW w:w="862" w:type="pct"/>
                  <w:tcBorders>
                    <w:top w:val="single" w:color="auto" w:sz="4" w:space="0"/>
                    <w:left w:val="single" w:color="auto" w:sz="4" w:space="0"/>
                    <w:bottom w:val="single" w:color="auto" w:sz="4" w:space="0"/>
                    <w:right w:val="single" w:color="auto" w:sz="4" w:space="0"/>
                  </w:tcBorders>
                  <w:vAlign w:val="center"/>
                </w:tcPr>
                <w:p w14:paraId="6B7A6D9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Ⅰ</w:t>
                  </w:r>
                </w:p>
              </w:tc>
              <w:tc>
                <w:tcPr>
                  <w:tcW w:w="894" w:type="pct"/>
                  <w:tcBorders>
                    <w:left w:val="single" w:color="auto" w:sz="4" w:space="0"/>
                  </w:tcBorders>
                  <w:vAlign w:val="center"/>
                </w:tcPr>
                <w:p w14:paraId="1C3161C3">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≤1.0</w:t>
                  </w:r>
                </w:p>
              </w:tc>
              <w:tc>
                <w:tcPr>
                  <w:tcW w:w="725" w:type="pct"/>
                  <w:tcBorders>
                    <w:left w:val="single" w:color="auto" w:sz="4" w:space="0"/>
                  </w:tcBorders>
                  <w:vAlign w:val="center"/>
                </w:tcPr>
                <w:p w14:paraId="37007EE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14:textFill>
                        <w14:solidFill>
                          <w14:schemeClr w14:val="tx1"/>
                        </w14:solidFill>
                      </w14:textFill>
                    </w:rPr>
                    <w:t>mg/L</w:t>
                  </w:r>
                </w:p>
              </w:tc>
            </w:tr>
            <w:tr w14:paraId="0ADDC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48" w:type="pct"/>
                  <w:tcBorders>
                    <w:top w:val="single" w:color="auto" w:sz="4" w:space="0"/>
                    <w:left w:val="single" w:color="auto" w:sz="4" w:space="0"/>
                    <w:bottom w:val="single" w:color="auto" w:sz="4" w:space="0"/>
                    <w:right w:val="single" w:color="auto" w:sz="4" w:space="0"/>
                  </w:tcBorders>
                  <w:vAlign w:val="center"/>
                </w:tcPr>
                <w:p w14:paraId="7E16DCF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锌</w:t>
                  </w:r>
                </w:p>
              </w:tc>
              <w:tc>
                <w:tcPr>
                  <w:tcW w:w="1068" w:type="pct"/>
                  <w:tcBorders>
                    <w:top w:val="single" w:color="auto" w:sz="4" w:space="0"/>
                    <w:left w:val="single" w:color="auto" w:sz="4" w:space="0"/>
                    <w:bottom w:val="single" w:color="auto" w:sz="4" w:space="0"/>
                    <w:right w:val="single" w:color="auto" w:sz="4" w:space="0"/>
                  </w:tcBorders>
                  <w:vAlign w:val="center"/>
                </w:tcPr>
                <w:p w14:paraId="5A31C1C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0.005L</w:t>
                  </w:r>
                </w:p>
              </w:tc>
              <w:tc>
                <w:tcPr>
                  <w:tcW w:w="862" w:type="pct"/>
                  <w:tcBorders>
                    <w:top w:val="single" w:color="auto" w:sz="4" w:space="0"/>
                    <w:left w:val="single" w:color="auto" w:sz="4" w:space="0"/>
                    <w:bottom w:val="single" w:color="auto" w:sz="4" w:space="0"/>
                    <w:right w:val="single" w:color="auto" w:sz="4" w:space="0"/>
                  </w:tcBorders>
                  <w:vAlign w:val="center"/>
                </w:tcPr>
                <w:p w14:paraId="47D90ECD">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Ⅰ</w:t>
                  </w:r>
                </w:p>
              </w:tc>
              <w:tc>
                <w:tcPr>
                  <w:tcW w:w="894" w:type="pct"/>
                  <w:tcBorders>
                    <w:left w:val="single" w:color="auto" w:sz="4" w:space="0"/>
                  </w:tcBorders>
                  <w:vAlign w:val="center"/>
                </w:tcPr>
                <w:p w14:paraId="3472F47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≤1.0</w:t>
                  </w:r>
                </w:p>
              </w:tc>
              <w:tc>
                <w:tcPr>
                  <w:tcW w:w="725" w:type="pct"/>
                  <w:tcBorders>
                    <w:left w:val="single" w:color="auto" w:sz="4" w:space="0"/>
                  </w:tcBorders>
                  <w:vAlign w:val="center"/>
                </w:tcPr>
                <w:p w14:paraId="378EE6D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14:textFill>
                        <w14:solidFill>
                          <w14:schemeClr w14:val="tx1"/>
                        </w14:solidFill>
                      </w14:textFill>
                    </w:rPr>
                    <w:t>mg/L</w:t>
                  </w:r>
                </w:p>
              </w:tc>
            </w:tr>
            <w:tr w14:paraId="2DB86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48" w:type="pct"/>
                  <w:tcBorders>
                    <w:top w:val="single" w:color="auto" w:sz="4" w:space="0"/>
                    <w:left w:val="single" w:color="auto" w:sz="4" w:space="0"/>
                    <w:bottom w:val="single" w:color="auto" w:sz="4" w:space="0"/>
                    <w:right w:val="single" w:color="auto" w:sz="4" w:space="0"/>
                  </w:tcBorders>
                  <w:vAlign w:val="center"/>
                </w:tcPr>
                <w:p w14:paraId="64E9556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氟化物</w:t>
                  </w:r>
                </w:p>
              </w:tc>
              <w:tc>
                <w:tcPr>
                  <w:tcW w:w="1068" w:type="pct"/>
                  <w:tcBorders>
                    <w:top w:val="single" w:color="auto" w:sz="4" w:space="0"/>
                    <w:left w:val="single" w:color="auto" w:sz="4" w:space="0"/>
                    <w:bottom w:val="single" w:color="auto" w:sz="4" w:space="0"/>
                    <w:right w:val="single" w:color="auto" w:sz="4" w:space="0"/>
                  </w:tcBorders>
                  <w:vAlign w:val="center"/>
                </w:tcPr>
                <w:p w14:paraId="67D72AC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0.07</w:t>
                  </w:r>
                </w:p>
              </w:tc>
              <w:tc>
                <w:tcPr>
                  <w:tcW w:w="862" w:type="pct"/>
                  <w:tcBorders>
                    <w:top w:val="single" w:color="auto" w:sz="4" w:space="0"/>
                    <w:left w:val="single" w:color="auto" w:sz="4" w:space="0"/>
                    <w:bottom w:val="single" w:color="auto" w:sz="4" w:space="0"/>
                    <w:right w:val="single" w:color="auto" w:sz="4" w:space="0"/>
                  </w:tcBorders>
                  <w:vAlign w:val="center"/>
                </w:tcPr>
                <w:p w14:paraId="1016CEA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Ⅰ</w:t>
                  </w:r>
                </w:p>
              </w:tc>
              <w:tc>
                <w:tcPr>
                  <w:tcW w:w="894" w:type="pct"/>
                  <w:tcBorders>
                    <w:left w:val="single" w:color="auto" w:sz="4" w:space="0"/>
                  </w:tcBorders>
                  <w:vAlign w:val="center"/>
                </w:tcPr>
                <w:p w14:paraId="4DE64C6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≤1.0</w:t>
                  </w:r>
                </w:p>
              </w:tc>
              <w:tc>
                <w:tcPr>
                  <w:tcW w:w="725" w:type="pct"/>
                  <w:tcBorders>
                    <w:left w:val="single" w:color="auto" w:sz="4" w:space="0"/>
                  </w:tcBorders>
                  <w:vAlign w:val="center"/>
                </w:tcPr>
                <w:p w14:paraId="78E0F33A">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14:textFill>
                        <w14:solidFill>
                          <w14:schemeClr w14:val="tx1"/>
                        </w14:solidFill>
                      </w14:textFill>
                    </w:rPr>
                    <w:t>mg/L</w:t>
                  </w:r>
                </w:p>
              </w:tc>
            </w:tr>
            <w:tr w14:paraId="236F8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48" w:type="pct"/>
                  <w:tcBorders>
                    <w:top w:val="single" w:color="auto" w:sz="4" w:space="0"/>
                    <w:left w:val="single" w:color="auto" w:sz="4" w:space="0"/>
                    <w:bottom w:val="single" w:color="auto" w:sz="4" w:space="0"/>
                    <w:right w:val="single" w:color="auto" w:sz="4" w:space="0"/>
                  </w:tcBorders>
                  <w:vAlign w:val="center"/>
                </w:tcPr>
                <w:p w14:paraId="2B52D8BB">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硒</w:t>
                  </w:r>
                </w:p>
              </w:tc>
              <w:tc>
                <w:tcPr>
                  <w:tcW w:w="1068" w:type="pct"/>
                  <w:tcBorders>
                    <w:top w:val="single" w:color="auto" w:sz="4" w:space="0"/>
                    <w:left w:val="single" w:color="auto" w:sz="4" w:space="0"/>
                    <w:bottom w:val="single" w:color="auto" w:sz="4" w:space="0"/>
                    <w:right w:val="single" w:color="auto" w:sz="4" w:space="0"/>
                  </w:tcBorders>
                  <w:vAlign w:val="center"/>
                </w:tcPr>
                <w:p w14:paraId="62837FC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0.0008</w:t>
                  </w:r>
                </w:p>
              </w:tc>
              <w:tc>
                <w:tcPr>
                  <w:tcW w:w="862" w:type="pct"/>
                  <w:tcBorders>
                    <w:top w:val="single" w:color="auto" w:sz="4" w:space="0"/>
                    <w:left w:val="single" w:color="auto" w:sz="4" w:space="0"/>
                    <w:bottom w:val="single" w:color="auto" w:sz="4" w:space="0"/>
                    <w:right w:val="single" w:color="auto" w:sz="4" w:space="0"/>
                  </w:tcBorders>
                  <w:vAlign w:val="center"/>
                </w:tcPr>
                <w:p w14:paraId="3B3A863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Ⅰ</w:t>
                  </w:r>
                </w:p>
              </w:tc>
              <w:tc>
                <w:tcPr>
                  <w:tcW w:w="894" w:type="pct"/>
                  <w:tcBorders>
                    <w:left w:val="single" w:color="auto" w:sz="4" w:space="0"/>
                  </w:tcBorders>
                  <w:vAlign w:val="center"/>
                </w:tcPr>
                <w:p w14:paraId="33CB7D5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≤0.01</w:t>
                  </w:r>
                </w:p>
              </w:tc>
              <w:tc>
                <w:tcPr>
                  <w:tcW w:w="725" w:type="pct"/>
                  <w:tcBorders>
                    <w:left w:val="single" w:color="auto" w:sz="4" w:space="0"/>
                  </w:tcBorders>
                  <w:vAlign w:val="center"/>
                </w:tcPr>
                <w:p w14:paraId="082B82B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14:textFill>
                        <w14:solidFill>
                          <w14:schemeClr w14:val="tx1"/>
                        </w14:solidFill>
                      </w14:textFill>
                    </w:rPr>
                    <w:t>mg/L</w:t>
                  </w:r>
                </w:p>
              </w:tc>
            </w:tr>
            <w:tr w14:paraId="3FE50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48" w:type="pct"/>
                  <w:tcBorders>
                    <w:top w:val="single" w:color="auto" w:sz="4" w:space="0"/>
                    <w:left w:val="single" w:color="auto" w:sz="4" w:space="0"/>
                    <w:bottom w:val="single" w:color="auto" w:sz="4" w:space="0"/>
                    <w:right w:val="single" w:color="auto" w:sz="4" w:space="0"/>
                  </w:tcBorders>
                  <w:vAlign w:val="center"/>
                </w:tcPr>
                <w:p w14:paraId="2F62BEFB">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砷</w:t>
                  </w:r>
                </w:p>
              </w:tc>
              <w:tc>
                <w:tcPr>
                  <w:tcW w:w="1068" w:type="pct"/>
                  <w:tcBorders>
                    <w:top w:val="single" w:color="auto" w:sz="4" w:space="0"/>
                    <w:left w:val="single" w:color="auto" w:sz="4" w:space="0"/>
                    <w:bottom w:val="single" w:color="auto" w:sz="4" w:space="0"/>
                    <w:right w:val="single" w:color="auto" w:sz="4" w:space="0"/>
                  </w:tcBorders>
                  <w:vAlign w:val="center"/>
                </w:tcPr>
                <w:p w14:paraId="37629F0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0.0007</w:t>
                  </w:r>
                </w:p>
              </w:tc>
              <w:tc>
                <w:tcPr>
                  <w:tcW w:w="862" w:type="pct"/>
                  <w:tcBorders>
                    <w:top w:val="single" w:color="auto" w:sz="4" w:space="0"/>
                    <w:left w:val="single" w:color="auto" w:sz="4" w:space="0"/>
                    <w:bottom w:val="single" w:color="auto" w:sz="4" w:space="0"/>
                    <w:right w:val="single" w:color="auto" w:sz="4" w:space="0"/>
                  </w:tcBorders>
                  <w:vAlign w:val="center"/>
                </w:tcPr>
                <w:p w14:paraId="4FE77D4A">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Ⅰ</w:t>
                  </w:r>
                </w:p>
              </w:tc>
              <w:tc>
                <w:tcPr>
                  <w:tcW w:w="894" w:type="pct"/>
                  <w:tcBorders>
                    <w:left w:val="single" w:color="auto" w:sz="4" w:space="0"/>
                  </w:tcBorders>
                  <w:vAlign w:val="center"/>
                </w:tcPr>
                <w:p w14:paraId="7167ADB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≤0.05</w:t>
                  </w:r>
                </w:p>
              </w:tc>
              <w:tc>
                <w:tcPr>
                  <w:tcW w:w="725" w:type="pct"/>
                  <w:tcBorders>
                    <w:left w:val="single" w:color="auto" w:sz="4" w:space="0"/>
                  </w:tcBorders>
                  <w:vAlign w:val="center"/>
                </w:tcPr>
                <w:p w14:paraId="0C95DF8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14:textFill>
                        <w14:solidFill>
                          <w14:schemeClr w14:val="tx1"/>
                        </w14:solidFill>
                      </w14:textFill>
                    </w:rPr>
                    <w:t>mg/L</w:t>
                  </w:r>
                </w:p>
              </w:tc>
            </w:tr>
            <w:tr w14:paraId="421D1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48" w:type="pct"/>
                  <w:tcBorders>
                    <w:top w:val="single" w:color="auto" w:sz="4" w:space="0"/>
                    <w:left w:val="single" w:color="auto" w:sz="4" w:space="0"/>
                    <w:bottom w:val="single" w:color="auto" w:sz="4" w:space="0"/>
                    <w:right w:val="single" w:color="auto" w:sz="4" w:space="0"/>
                  </w:tcBorders>
                  <w:vAlign w:val="center"/>
                </w:tcPr>
                <w:p w14:paraId="1D82DEF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汞</w:t>
                  </w:r>
                </w:p>
              </w:tc>
              <w:tc>
                <w:tcPr>
                  <w:tcW w:w="1068" w:type="pct"/>
                  <w:tcBorders>
                    <w:top w:val="single" w:color="auto" w:sz="4" w:space="0"/>
                    <w:left w:val="single" w:color="auto" w:sz="4" w:space="0"/>
                    <w:bottom w:val="single" w:color="auto" w:sz="4" w:space="0"/>
                    <w:right w:val="single" w:color="auto" w:sz="4" w:space="0"/>
                  </w:tcBorders>
                  <w:vAlign w:val="center"/>
                </w:tcPr>
                <w:p w14:paraId="3876E24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color w:val="000000" w:themeColor="text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0.00004L</w:t>
                  </w:r>
                </w:p>
              </w:tc>
              <w:tc>
                <w:tcPr>
                  <w:tcW w:w="862" w:type="pct"/>
                  <w:tcBorders>
                    <w:top w:val="single" w:color="auto" w:sz="4" w:space="0"/>
                    <w:left w:val="single" w:color="auto" w:sz="4" w:space="0"/>
                    <w:bottom w:val="single" w:color="auto" w:sz="4" w:space="0"/>
                    <w:right w:val="single" w:color="auto" w:sz="4" w:space="0"/>
                  </w:tcBorders>
                  <w:vAlign w:val="center"/>
                </w:tcPr>
                <w:p w14:paraId="6FEE72D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Ⅰ</w:t>
                  </w:r>
                </w:p>
              </w:tc>
              <w:tc>
                <w:tcPr>
                  <w:tcW w:w="894" w:type="pct"/>
                  <w:tcBorders>
                    <w:left w:val="single" w:color="auto" w:sz="4" w:space="0"/>
                  </w:tcBorders>
                  <w:vAlign w:val="center"/>
                </w:tcPr>
                <w:p w14:paraId="5C15FA6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≤0.0001</w:t>
                  </w:r>
                </w:p>
              </w:tc>
              <w:tc>
                <w:tcPr>
                  <w:tcW w:w="725" w:type="pct"/>
                  <w:tcBorders>
                    <w:left w:val="single" w:color="auto" w:sz="4" w:space="0"/>
                  </w:tcBorders>
                  <w:vAlign w:val="center"/>
                </w:tcPr>
                <w:p w14:paraId="034A08E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14:textFill>
                        <w14:solidFill>
                          <w14:schemeClr w14:val="tx1"/>
                        </w14:solidFill>
                      </w14:textFill>
                    </w:rPr>
                    <w:t>mg/L</w:t>
                  </w:r>
                </w:p>
              </w:tc>
            </w:tr>
            <w:tr w14:paraId="3149E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48" w:type="pct"/>
                  <w:tcBorders>
                    <w:top w:val="single" w:color="auto" w:sz="4" w:space="0"/>
                    <w:left w:val="single" w:color="auto" w:sz="4" w:space="0"/>
                    <w:bottom w:val="single" w:color="auto" w:sz="4" w:space="0"/>
                    <w:right w:val="single" w:color="auto" w:sz="4" w:space="0"/>
                  </w:tcBorders>
                  <w:vAlign w:val="center"/>
                </w:tcPr>
                <w:p w14:paraId="7D456EDA">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镉</w:t>
                  </w:r>
                </w:p>
              </w:tc>
              <w:tc>
                <w:tcPr>
                  <w:tcW w:w="1068" w:type="pct"/>
                  <w:tcBorders>
                    <w:top w:val="single" w:color="auto" w:sz="4" w:space="0"/>
                    <w:left w:val="single" w:color="auto" w:sz="4" w:space="0"/>
                    <w:bottom w:val="single" w:color="auto" w:sz="4" w:space="0"/>
                    <w:right w:val="single" w:color="auto" w:sz="4" w:space="0"/>
                  </w:tcBorders>
                  <w:vAlign w:val="center"/>
                </w:tcPr>
                <w:p w14:paraId="5411592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0.0006L</w:t>
                  </w:r>
                </w:p>
              </w:tc>
              <w:tc>
                <w:tcPr>
                  <w:tcW w:w="862" w:type="pct"/>
                  <w:tcBorders>
                    <w:top w:val="single" w:color="auto" w:sz="4" w:space="0"/>
                    <w:left w:val="single" w:color="auto" w:sz="4" w:space="0"/>
                    <w:bottom w:val="single" w:color="auto" w:sz="4" w:space="0"/>
                    <w:right w:val="single" w:color="auto" w:sz="4" w:space="0"/>
                  </w:tcBorders>
                  <w:vAlign w:val="center"/>
                </w:tcPr>
                <w:p w14:paraId="19A983F3">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Ⅰ</w:t>
                  </w:r>
                </w:p>
              </w:tc>
              <w:tc>
                <w:tcPr>
                  <w:tcW w:w="894" w:type="pct"/>
                  <w:tcBorders>
                    <w:left w:val="single" w:color="auto" w:sz="4" w:space="0"/>
                  </w:tcBorders>
                  <w:vAlign w:val="center"/>
                </w:tcPr>
                <w:p w14:paraId="38B51D2A">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≤0.005</w:t>
                  </w:r>
                </w:p>
              </w:tc>
              <w:tc>
                <w:tcPr>
                  <w:tcW w:w="725" w:type="pct"/>
                  <w:tcBorders>
                    <w:left w:val="single" w:color="auto" w:sz="4" w:space="0"/>
                  </w:tcBorders>
                  <w:vAlign w:val="center"/>
                </w:tcPr>
                <w:p w14:paraId="1F0432B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14:textFill>
                        <w14:solidFill>
                          <w14:schemeClr w14:val="tx1"/>
                        </w14:solidFill>
                      </w14:textFill>
                    </w:rPr>
                    <w:t>mg/L</w:t>
                  </w:r>
                </w:p>
              </w:tc>
            </w:tr>
            <w:tr w14:paraId="133F4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48" w:type="pct"/>
                  <w:tcBorders>
                    <w:top w:val="single" w:color="auto" w:sz="4" w:space="0"/>
                    <w:left w:val="single" w:color="auto" w:sz="4" w:space="0"/>
                    <w:bottom w:val="single" w:color="auto" w:sz="4" w:space="0"/>
                    <w:right w:val="single" w:color="auto" w:sz="4" w:space="0"/>
                  </w:tcBorders>
                  <w:vAlign w:val="center"/>
                </w:tcPr>
                <w:p w14:paraId="2E0945DA">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六价铬</w:t>
                  </w:r>
                </w:p>
              </w:tc>
              <w:tc>
                <w:tcPr>
                  <w:tcW w:w="1068" w:type="pct"/>
                  <w:tcBorders>
                    <w:top w:val="single" w:color="auto" w:sz="4" w:space="0"/>
                    <w:left w:val="single" w:color="auto" w:sz="4" w:space="0"/>
                    <w:bottom w:val="single" w:color="auto" w:sz="4" w:space="0"/>
                    <w:right w:val="single" w:color="auto" w:sz="4" w:space="0"/>
                  </w:tcBorders>
                  <w:vAlign w:val="center"/>
                </w:tcPr>
                <w:p w14:paraId="58A89F6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0.0</w:t>
                  </w:r>
                  <w:r>
                    <w:rPr>
                      <w:rFonts w:hint="eastAsia" w:ascii="Times New Roman" w:hAnsi="Times New Roman" w:cs="Times New Roman"/>
                      <w:color w:val="000000" w:themeColor="text1"/>
                      <w:sz w:val="21"/>
                      <w:szCs w:val="21"/>
                      <w:lang w:val="en-US" w:eastAsia="zh-CN"/>
                      <w14:textFill>
                        <w14:solidFill>
                          <w14:schemeClr w14:val="tx1"/>
                        </w14:solidFill>
                      </w14:textFill>
                    </w:rPr>
                    <w:t>1</w:t>
                  </w:r>
                </w:p>
              </w:tc>
              <w:tc>
                <w:tcPr>
                  <w:tcW w:w="862" w:type="pct"/>
                  <w:tcBorders>
                    <w:top w:val="single" w:color="auto" w:sz="4" w:space="0"/>
                    <w:left w:val="single" w:color="auto" w:sz="4" w:space="0"/>
                    <w:bottom w:val="single" w:color="auto" w:sz="4" w:space="0"/>
                    <w:right w:val="single" w:color="auto" w:sz="4" w:space="0"/>
                  </w:tcBorders>
                  <w:vAlign w:val="center"/>
                </w:tcPr>
                <w:p w14:paraId="520864F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Ⅰ</w:t>
                  </w:r>
                </w:p>
              </w:tc>
              <w:tc>
                <w:tcPr>
                  <w:tcW w:w="894" w:type="pct"/>
                  <w:tcBorders>
                    <w:left w:val="single" w:color="auto" w:sz="4" w:space="0"/>
                  </w:tcBorders>
                  <w:vAlign w:val="center"/>
                </w:tcPr>
                <w:p w14:paraId="21A8609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≤0.05</w:t>
                  </w:r>
                </w:p>
              </w:tc>
              <w:tc>
                <w:tcPr>
                  <w:tcW w:w="725" w:type="pct"/>
                  <w:tcBorders>
                    <w:left w:val="single" w:color="auto" w:sz="4" w:space="0"/>
                  </w:tcBorders>
                  <w:vAlign w:val="center"/>
                </w:tcPr>
                <w:p w14:paraId="67CAA48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14:textFill>
                        <w14:solidFill>
                          <w14:schemeClr w14:val="tx1"/>
                        </w14:solidFill>
                      </w14:textFill>
                    </w:rPr>
                    <w:t>mg/L</w:t>
                  </w:r>
                </w:p>
              </w:tc>
            </w:tr>
            <w:tr w14:paraId="075F5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48" w:type="pct"/>
                  <w:tcBorders>
                    <w:top w:val="single" w:color="auto" w:sz="4" w:space="0"/>
                    <w:left w:val="single" w:color="auto" w:sz="4" w:space="0"/>
                    <w:bottom w:val="single" w:color="auto" w:sz="4" w:space="0"/>
                    <w:right w:val="single" w:color="auto" w:sz="4" w:space="0"/>
                  </w:tcBorders>
                  <w:vAlign w:val="center"/>
                </w:tcPr>
                <w:p w14:paraId="1B79EC9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铅</w:t>
                  </w:r>
                </w:p>
              </w:tc>
              <w:tc>
                <w:tcPr>
                  <w:tcW w:w="1068" w:type="pct"/>
                  <w:tcBorders>
                    <w:top w:val="single" w:color="auto" w:sz="4" w:space="0"/>
                    <w:left w:val="single" w:color="auto" w:sz="4" w:space="0"/>
                    <w:bottom w:val="single" w:color="auto" w:sz="4" w:space="0"/>
                    <w:right w:val="single" w:color="auto" w:sz="4" w:space="0"/>
                  </w:tcBorders>
                  <w:vAlign w:val="center"/>
                </w:tcPr>
                <w:p w14:paraId="383B826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0.001L</w:t>
                  </w:r>
                </w:p>
              </w:tc>
              <w:tc>
                <w:tcPr>
                  <w:tcW w:w="862" w:type="pct"/>
                  <w:tcBorders>
                    <w:top w:val="single" w:color="auto" w:sz="4" w:space="0"/>
                    <w:left w:val="single" w:color="auto" w:sz="4" w:space="0"/>
                    <w:bottom w:val="single" w:color="auto" w:sz="4" w:space="0"/>
                    <w:right w:val="single" w:color="auto" w:sz="4" w:space="0"/>
                  </w:tcBorders>
                  <w:vAlign w:val="center"/>
                </w:tcPr>
                <w:p w14:paraId="5B577E0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Ⅰ</w:t>
                  </w:r>
                </w:p>
              </w:tc>
              <w:tc>
                <w:tcPr>
                  <w:tcW w:w="894" w:type="pct"/>
                  <w:tcBorders>
                    <w:left w:val="single" w:color="auto" w:sz="4" w:space="0"/>
                  </w:tcBorders>
                  <w:vAlign w:val="center"/>
                </w:tcPr>
                <w:p w14:paraId="41A5424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≤0.05</w:t>
                  </w:r>
                </w:p>
              </w:tc>
              <w:tc>
                <w:tcPr>
                  <w:tcW w:w="725" w:type="pct"/>
                  <w:tcBorders>
                    <w:left w:val="single" w:color="auto" w:sz="4" w:space="0"/>
                  </w:tcBorders>
                  <w:vAlign w:val="center"/>
                </w:tcPr>
                <w:p w14:paraId="07BB92C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14:textFill>
                        <w14:solidFill>
                          <w14:schemeClr w14:val="tx1"/>
                        </w14:solidFill>
                      </w14:textFill>
                    </w:rPr>
                    <w:t>mg/L</w:t>
                  </w:r>
                </w:p>
              </w:tc>
            </w:tr>
            <w:tr w14:paraId="609F2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48" w:type="pct"/>
                  <w:tcBorders>
                    <w:top w:val="single" w:color="auto" w:sz="4" w:space="0"/>
                    <w:left w:val="single" w:color="auto" w:sz="4" w:space="0"/>
                    <w:bottom w:val="single" w:color="auto" w:sz="4" w:space="0"/>
                    <w:right w:val="single" w:color="auto" w:sz="4" w:space="0"/>
                  </w:tcBorders>
                  <w:vAlign w:val="center"/>
                </w:tcPr>
                <w:p w14:paraId="5ED0EB1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氰化物</w:t>
                  </w:r>
                </w:p>
              </w:tc>
              <w:tc>
                <w:tcPr>
                  <w:tcW w:w="1068" w:type="pct"/>
                  <w:tcBorders>
                    <w:top w:val="single" w:color="auto" w:sz="4" w:space="0"/>
                    <w:left w:val="single" w:color="auto" w:sz="4" w:space="0"/>
                    <w:bottom w:val="single" w:color="auto" w:sz="4" w:space="0"/>
                    <w:right w:val="single" w:color="auto" w:sz="4" w:space="0"/>
                  </w:tcBorders>
                  <w:vAlign w:val="center"/>
                </w:tcPr>
                <w:p w14:paraId="0F0D837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0.004L</w:t>
                  </w:r>
                </w:p>
              </w:tc>
              <w:tc>
                <w:tcPr>
                  <w:tcW w:w="862" w:type="pct"/>
                  <w:tcBorders>
                    <w:top w:val="single" w:color="auto" w:sz="4" w:space="0"/>
                    <w:left w:val="single" w:color="auto" w:sz="4" w:space="0"/>
                    <w:bottom w:val="single" w:color="auto" w:sz="4" w:space="0"/>
                    <w:right w:val="single" w:color="auto" w:sz="4" w:space="0"/>
                  </w:tcBorders>
                  <w:vAlign w:val="center"/>
                </w:tcPr>
                <w:p w14:paraId="14561FAB">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Ⅰ</w:t>
                  </w:r>
                </w:p>
              </w:tc>
              <w:tc>
                <w:tcPr>
                  <w:tcW w:w="894" w:type="pct"/>
                  <w:tcBorders>
                    <w:left w:val="single" w:color="auto" w:sz="4" w:space="0"/>
                  </w:tcBorders>
                  <w:vAlign w:val="center"/>
                </w:tcPr>
                <w:p w14:paraId="41E0E75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≤0.2</w:t>
                  </w:r>
                </w:p>
              </w:tc>
              <w:tc>
                <w:tcPr>
                  <w:tcW w:w="725" w:type="pct"/>
                  <w:tcBorders>
                    <w:left w:val="single" w:color="auto" w:sz="4" w:space="0"/>
                  </w:tcBorders>
                  <w:vAlign w:val="center"/>
                </w:tcPr>
                <w:p w14:paraId="0AFB4A63">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14:textFill>
                        <w14:solidFill>
                          <w14:schemeClr w14:val="tx1"/>
                        </w14:solidFill>
                      </w14:textFill>
                    </w:rPr>
                    <w:t>mg/L</w:t>
                  </w:r>
                </w:p>
              </w:tc>
            </w:tr>
            <w:tr w14:paraId="62745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48" w:type="pct"/>
                  <w:tcBorders>
                    <w:top w:val="single" w:color="auto" w:sz="4" w:space="0"/>
                    <w:left w:val="single" w:color="auto" w:sz="4" w:space="0"/>
                    <w:bottom w:val="single" w:color="auto" w:sz="4" w:space="0"/>
                    <w:right w:val="single" w:color="auto" w:sz="4" w:space="0"/>
                  </w:tcBorders>
                  <w:vAlign w:val="center"/>
                </w:tcPr>
                <w:p w14:paraId="567EA7C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挥发酚</w:t>
                  </w:r>
                </w:p>
              </w:tc>
              <w:tc>
                <w:tcPr>
                  <w:tcW w:w="1068" w:type="pct"/>
                  <w:tcBorders>
                    <w:top w:val="single" w:color="auto" w:sz="4" w:space="0"/>
                    <w:left w:val="single" w:color="auto" w:sz="4" w:space="0"/>
                    <w:bottom w:val="single" w:color="auto" w:sz="4" w:space="0"/>
                    <w:right w:val="single" w:color="auto" w:sz="4" w:space="0"/>
                  </w:tcBorders>
                  <w:vAlign w:val="center"/>
                </w:tcPr>
                <w:p w14:paraId="6FC1E80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0.0003L</w:t>
                  </w:r>
                </w:p>
              </w:tc>
              <w:tc>
                <w:tcPr>
                  <w:tcW w:w="862" w:type="pct"/>
                  <w:tcBorders>
                    <w:top w:val="single" w:color="auto" w:sz="4" w:space="0"/>
                    <w:left w:val="single" w:color="auto" w:sz="4" w:space="0"/>
                    <w:bottom w:val="single" w:color="auto" w:sz="4" w:space="0"/>
                    <w:right w:val="single" w:color="auto" w:sz="4" w:space="0"/>
                  </w:tcBorders>
                  <w:vAlign w:val="center"/>
                </w:tcPr>
                <w:p w14:paraId="1F2C4F7A">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Ⅰ</w:t>
                  </w:r>
                </w:p>
              </w:tc>
              <w:tc>
                <w:tcPr>
                  <w:tcW w:w="894" w:type="pct"/>
                  <w:tcBorders>
                    <w:left w:val="single" w:color="auto" w:sz="4" w:space="0"/>
                  </w:tcBorders>
                  <w:vAlign w:val="center"/>
                </w:tcPr>
                <w:p w14:paraId="5371DF0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≤0.005</w:t>
                  </w:r>
                </w:p>
              </w:tc>
              <w:tc>
                <w:tcPr>
                  <w:tcW w:w="725" w:type="pct"/>
                  <w:tcBorders>
                    <w:left w:val="single" w:color="auto" w:sz="4" w:space="0"/>
                  </w:tcBorders>
                  <w:vAlign w:val="center"/>
                </w:tcPr>
                <w:p w14:paraId="74B4367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14:textFill>
                        <w14:solidFill>
                          <w14:schemeClr w14:val="tx1"/>
                        </w14:solidFill>
                      </w14:textFill>
                    </w:rPr>
                    <w:t>mg/L</w:t>
                  </w:r>
                </w:p>
              </w:tc>
            </w:tr>
            <w:tr w14:paraId="2158B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48" w:type="pct"/>
                  <w:tcBorders>
                    <w:top w:val="single" w:color="auto" w:sz="4" w:space="0"/>
                    <w:left w:val="single" w:color="auto" w:sz="4" w:space="0"/>
                    <w:bottom w:val="single" w:color="auto" w:sz="4" w:space="0"/>
                    <w:right w:val="single" w:color="auto" w:sz="4" w:space="0"/>
                  </w:tcBorders>
                  <w:vAlign w:val="center"/>
                </w:tcPr>
                <w:p w14:paraId="6A6CA1C3">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石油类</w:t>
                  </w:r>
                </w:p>
              </w:tc>
              <w:tc>
                <w:tcPr>
                  <w:tcW w:w="1068" w:type="pct"/>
                  <w:tcBorders>
                    <w:top w:val="single" w:color="auto" w:sz="4" w:space="0"/>
                    <w:left w:val="single" w:color="auto" w:sz="4" w:space="0"/>
                    <w:bottom w:val="single" w:color="auto" w:sz="4" w:space="0"/>
                    <w:right w:val="single" w:color="auto" w:sz="4" w:space="0"/>
                  </w:tcBorders>
                  <w:vAlign w:val="center"/>
                </w:tcPr>
                <w:p w14:paraId="2F2B019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0.01L</w:t>
                  </w:r>
                </w:p>
              </w:tc>
              <w:tc>
                <w:tcPr>
                  <w:tcW w:w="862" w:type="pct"/>
                  <w:tcBorders>
                    <w:top w:val="single" w:color="auto" w:sz="4" w:space="0"/>
                    <w:left w:val="single" w:color="auto" w:sz="4" w:space="0"/>
                    <w:bottom w:val="single" w:color="auto" w:sz="4" w:space="0"/>
                    <w:right w:val="single" w:color="auto" w:sz="4" w:space="0"/>
                  </w:tcBorders>
                  <w:vAlign w:val="center"/>
                </w:tcPr>
                <w:p w14:paraId="13B89FB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Ⅰ</w:t>
                  </w:r>
                </w:p>
              </w:tc>
              <w:tc>
                <w:tcPr>
                  <w:tcW w:w="894" w:type="pct"/>
                  <w:tcBorders>
                    <w:left w:val="single" w:color="auto" w:sz="4" w:space="0"/>
                  </w:tcBorders>
                  <w:vAlign w:val="center"/>
                </w:tcPr>
                <w:p w14:paraId="0338D0D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≤0.05</w:t>
                  </w:r>
                </w:p>
              </w:tc>
              <w:tc>
                <w:tcPr>
                  <w:tcW w:w="725" w:type="pct"/>
                  <w:tcBorders>
                    <w:left w:val="single" w:color="auto" w:sz="4" w:space="0"/>
                  </w:tcBorders>
                  <w:vAlign w:val="center"/>
                </w:tcPr>
                <w:p w14:paraId="7B57501D">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14:textFill>
                        <w14:solidFill>
                          <w14:schemeClr w14:val="tx1"/>
                        </w14:solidFill>
                      </w14:textFill>
                    </w:rPr>
                    <w:t>mg/L</w:t>
                  </w:r>
                </w:p>
              </w:tc>
            </w:tr>
            <w:tr w14:paraId="69614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48" w:type="pct"/>
                  <w:tcBorders>
                    <w:top w:val="single" w:color="auto" w:sz="4" w:space="0"/>
                    <w:left w:val="single" w:color="auto" w:sz="4" w:space="0"/>
                    <w:bottom w:val="single" w:color="auto" w:sz="4" w:space="0"/>
                    <w:right w:val="single" w:color="auto" w:sz="4" w:space="0"/>
                  </w:tcBorders>
                  <w:vAlign w:val="center"/>
                </w:tcPr>
                <w:p w14:paraId="0C3075B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阴离子表面活性剂</w:t>
                  </w:r>
                </w:p>
              </w:tc>
              <w:tc>
                <w:tcPr>
                  <w:tcW w:w="1068" w:type="pct"/>
                  <w:tcBorders>
                    <w:top w:val="single" w:color="auto" w:sz="4" w:space="0"/>
                    <w:left w:val="single" w:color="auto" w:sz="4" w:space="0"/>
                    <w:bottom w:val="single" w:color="auto" w:sz="4" w:space="0"/>
                    <w:right w:val="single" w:color="auto" w:sz="4" w:space="0"/>
                  </w:tcBorders>
                  <w:vAlign w:val="center"/>
                </w:tcPr>
                <w:p w14:paraId="6F14144A">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0.05L</w:t>
                  </w:r>
                </w:p>
              </w:tc>
              <w:tc>
                <w:tcPr>
                  <w:tcW w:w="862" w:type="pct"/>
                  <w:tcBorders>
                    <w:top w:val="single" w:color="auto" w:sz="4" w:space="0"/>
                    <w:left w:val="single" w:color="auto" w:sz="4" w:space="0"/>
                    <w:bottom w:val="single" w:color="auto" w:sz="4" w:space="0"/>
                    <w:right w:val="single" w:color="auto" w:sz="4" w:space="0"/>
                  </w:tcBorders>
                  <w:vAlign w:val="center"/>
                </w:tcPr>
                <w:p w14:paraId="291188C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Ⅰ</w:t>
                  </w:r>
                </w:p>
              </w:tc>
              <w:tc>
                <w:tcPr>
                  <w:tcW w:w="894" w:type="pct"/>
                  <w:tcBorders>
                    <w:left w:val="single" w:color="auto" w:sz="4" w:space="0"/>
                  </w:tcBorders>
                  <w:vAlign w:val="center"/>
                </w:tcPr>
                <w:p w14:paraId="6B6CB1B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≤0.2</w:t>
                  </w:r>
                </w:p>
              </w:tc>
              <w:tc>
                <w:tcPr>
                  <w:tcW w:w="725" w:type="pct"/>
                  <w:tcBorders>
                    <w:left w:val="single" w:color="auto" w:sz="4" w:space="0"/>
                  </w:tcBorders>
                  <w:vAlign w:val="center"/>
                </w:tcPr>
                <w:p w14:paraId="11B7061B">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14:textFill>
                        <w14:solidFill>
                          <w14:schemeClr w14:val="tx1"/>
                        </w14:solidFill>
                      </w14:textFill>
                    </w:rPr>
                    <w:t>mg/L</w:t>
                  </w:r>
                </w:p>
              </w:tc>
            </w:tr>
            <w:tr w14:paraId="73B9F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48" w:type="pct"/>
                  <w:tcBorders>
                    <w:top w:val="single" w:color="auto" w:sz="4" w:space="0"/>
                    <w:left w:val="single" w:color="auto" w:sz="4" w:space="0"/>
                    <w:bottom w:val="single" w:color="auto" w:sz="4" w:space="0"/>
                    <w:right w:val="single" w:color="auto" w:sz="4" w:space="0"/>
                  </w:tcBorders>
                  <w:vAlign w:val="center"/>
                </w:tcPr>
                <w:p w14:paraId="595ACCEB">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硫化物</w:t>
                  </w:r>
                </w:p>
              </w:tc>
              <w:tc>
                <w:tcPr>
                  <w:tcW w:w="1068" w:type="pct"/>
                  <w:tcBorders>
                    <w:top w:val="single" w:color="auto" w:sz="4" w:space="0"/>
                    <w:left w:val="single" w:color="auto" w:sz="4" w:space="0"/>
                    <w:bottom w:val="single" w:color="auto" w:sz="4" w:space="0"/>
                    <w:right w:val="single" w:color="auto" w:sz="4" w:space="0"/>
                  </w:tcBorders>
                  <w:vAlign w:val="center"/>
                </w:tcPr>
                <w:p w14:paraId="15E183F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0.01L</w:t>
                  </w:r>
                </w:p>
              </w:tc>
              <w:tc>
                <w:tcPr>
                  <w:tcW w:w="862" w:type="pct"/>
                  <w:tcBorders>
                    <w:top w:val="single" w:color="auto" w:sz="4" w:space="0"/>
                    <w:left w:val="single" w:color="auto" w:sz="4" w:space="0"/>
                    <w:bottom w:val="single" w:color="auto" w:sz="4" w:space="0"/>
                    <w:right w:val="single" w:color="auto" w:sz="4" w:space="0"/>
                  </w:tcBorders>
                  <w:vAlign w:val="center"/>
                </w:tcPr>
                <w:p w14:paraId="7E0BD6B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Ⅰ</w:t>
                  </w:r>
                </w:p>
              </w:tc>
              <w:tc>
                <w:tcPr>
                  <w:tcW w:w="894" w:type="pct"/>
                  <w:tcBorders>
                    <w:left w:val="single" w:color="auto" w:sz="4" w:space="0"/>
                  </w:tcBorders>
                  <w:vAlign w:val="center"/>
                </w:tcPr>
                <w:p w14:paraId="3FC489D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≤0.2</w:t>
                  </w:r>
                </w:p>
              </w:tc>
              <w:tc>
                <w:tcPr>
                  <w:tcW w:w="725" w:type="pct"/>
                  <w:tcBorders>
                    <w:left w:val="single" w:color="auto" w:sz="4" w:space="0"/>
                  </w:tcBorders>
                  <w:vAlign w:val="center"/>
                </w:tcPr>
                <w:p w14:paraId="17E0794A">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14:textFill>
                        <w14:solidFill>
                          <w14:schemeClr w14:val="tx1"/>
                        </w14:solidFill>
                      </w14:textFill>
                    </w:rPr>
                    <w:t>mg/L</w:t>
                  </w:r>
                </w:p>
              </w:tc>
            </w:tr>
            <w:tr w14:paraId="183A8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48" w:type="pct"/>
                  <w:tcBorders>
                    <w:top w:val="single" w:color="auto" w:sz="4" w:space="0"/>
                    <w:left w:val="single" w:color="auto" w:sz="4" w:space="0"/>
                    <w:bottom w:val="single" w:color="auto" w:sz="4" w:space="0"/>
                    <w:right w:val="single" w:color="auto" w:sz="4" w:space="0"/>
                  </w:tcBorders>
                  <w:vAlign w:val="center"/>
                </w:tcPr>
                <w:p w14:paraId="37EF362B">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硫酸盐</w:t>
                  </w:r>
                </w:p>
              </w:tc>
              <w:tc>
                <w:tcPr>
                  <w:tcW w:w="1068" w:type="pct"/>
                  <w:tcBorders>
                    <w:top w:val="single" w:color="auto" w:sz="4" w:space="0"/>
                    <w:left w:val="single" w:color="auto" w:sz="4" w:space="0"/>
                    <w:bottom w:val="single" w:color="auto" w:sz="4" w:space="0"/>
                    <w:right w:val="single" w:color="auto" w:sz="4" w:space="0"/>
                  </w:tcBorders>
                  <w:vAlign w:val="center"/>
                </w:tcPr>
                <w:p w14:paraId="56140820">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8L</w:t>
                  </w:r>
                </w:p>
              </w:tc>
              <w:tc>
                <w:tcPr>
                  <w:tcW w:w="862" w:type="pct"/>
                  <w:tcBorders>
                    <w:top w:val="single" w:color="auto" w:sz="4" w:space="0"/>
                    <w:left w:val="single" w:color="auto" w:sz="4" w:space="0"/>
                    <w:bottom w:val="single" w:color="auto" w:sz="4" w:space="0"/>
                    <w:right w:val="single" w:color="auto" w:sz="4" w:space="0"/>
                  </w:tcBorders>
                  <w:vAlign w:val="center"/>
                </w:tcPr>
                <w:p w14:paraId="03E9306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达标</w:t>
                  </w:r>
                </w:p>
              </w:tc>
              <w:tc>
                <w:tcPr>
                  <w:tcW w:w="894" w:type="pct"/>
                  <w:tcBorders>
                    <w:left w:val="single" w:color="auto" w:sz="4" w:space="0"/>
                  </w:tcBorders>
                  <w:vAlign w:val="center"/>
                </w:tcPr>
                <w:p w14:paraId="0685B49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≤250</w:t>
                  </w:r>
                </w:p>
              </w:tc>
              <w:tc>
                <w:tcPr>
                  <w:tcW w:w="725" w:type="pct"/>
                  <w:tcBorders>
                    <w:left w:val="single" w:color="auto" w:sz="4" w:space="0"/>
                  </w:tcBorders>
                  <w:vAlign w:val="center"/>
                </w:tcPr>
                <w:p w14:paraId="37F86B3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14:textFill>
                        <w14:solidFill>
                          <w14:schemeClr w14:val="tx1"/>
                        </w14:solidFill>
                      </w14:textFill>
                    </w:rPr>
                    <w:t>mg/L</w:t>
                  </w:r>
                </w:p>
              </w:tc>
            </w:tr>
            <w:tr w14:paraId="7FC91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48" w:type="pct"/>
                  <w:tcBorders>
                    <w:top w:val="single" w:color="auto" w:sz="4" w:space="0"/>
                    <w:left w:val="single" w:color="auto" w:sz="4" w:space="0"/>
                    <w:bottom w:val="single" w:color="auto" w:sz="4" w:space="0"/>
                    <w:right w:val="single" w:color="auto" w:sz="4" w:space="0"/>
                  </w:tcBorders>
                  <w:vAlign w:val="center"/>
                </w:tcPr>
                <w:p w14:paraId="07BA1273">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氯化物</w:t>
                  </w:r>
                </w:p>
              </w:tc>
              <w:tc>
                <w:tcPr>
                  <w:tcW w:w="1068" w:type="pct"/>
                  <w:tcBorders>
                    <w:top w:val="single" w:color="auto" w:sz="4" w:space="0"/>
                    <w:left w:val="single" w:color="auto" w:sz="4" w:space="0"/>
                    <w:bottom w:val="single" w:color="auto" w:sz="4" w:space="0"/>
                    <w:right w:val="single" w:color="auto" w:sz="4" w:space="0"/>
                  </w:tcBorders>
                  <w:vAlign w:val="center"/>
                </w:tcPr>
                <w:p w14:paraId="37600D2A">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10L</w:t>
                  </w:r>
                </w:p>
              </w:tc>
              <w:tc>
                <w:tcPr>
                  <w:tcW w:w="862" w:type="pct"/>
                  <w:tcBorders>
                    <w:top w:val="single" w:color="auto" w:sz="4" w:space="0"/>
                    <w:left w:val="single" w:color="auto" w:sz="4" w:space="0"/>
                    <w:bottom w:val="single" w:color="auto" w:sz="4" w:space="0"/>
                    <w:right w:val="single" w:color="auto" w:sz="4" w:space="0"/>
                  </w:tcBorders>
                  <w:vAlign w:val="center"/>
                </w:tcPr>
                <w:p w14:paraId="7BE30FA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达标</w:t>
                  </w:r>
                </w:p>
              </w:tc>
              <w:tc>
                <w:tcPr>
                  <w:tcW w:w="894" w:type="pct"/>
                  <w:tcBorders>
                    <w:left w:val="single" w:color="auto" w:sz="4" w:space="0"/>
                  </w:tcBorders>
                  <w:vAlign w:val="center"/>
                </w:tcPr>
                <w:p w14:paraId="6188551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≤250</w:t>
                  </w:r>
                </w:p>
              </w:tc>
              <w:tc>
                <w:tcPr>
                  <w:tcW w:w="725" w:type="pct"/>
                  <w:tcBorders>
                    <w:left w:val="single" w:color="auto" w:sz="4" w:space="0"/>
                  </w:tcBorders>
                  <w:vAlign w:val="center"/>
                </w:tcPr>
                <w:p w14:paraId="6DAD7800">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14:textFill>
                        <w14:solidFill>
                          <w14:schemeClr w14:val="tx1"/>
                        </w14:solidFill>
                      </w14:textFill>
                    </w:rPr>
                    <w:t>mg/L</w:t>
                  </w:r>
                </w:p>
              </w:tc>
            </w:tr>
            <w:tr w14:paraId="45759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48" w:type="pct"/>
                  <w:tcBorders>
                    <w:top w:val="single" w:color="auto" w:sz="4" w:space="0"/>
                    <w:left w:val="single" w:color="auto" w:sz="4" w:space="0"/>
                    <w:bottom w:val="single" w:color="auto" w:sz="4" w:space="0"/>
                    <w:right w:val="single" w:color="auto" w:sz="4" w:space="0"/>
                  </w:tcBorders>
                  <w:shd w:val="clear" w:color="auto" w:fill="auto"/>
                  <w:vAlign w:val="center"/>
                </w:tcPr>
                <w:p w14:paraId="6B642C7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铁</w:t>
                  </w:r>
                </w:p>
              </w:tc>
              <w:tc>
                <w:tcPr>
                  <w:tcW w:w="1068" w:type="pct"/>
                  <w:tcBorders>
                    <w:top w:val="single" w:color="auto" w:sz="4" w:space="0"/>
                    <w:left w:val="single" w:color="auto" w:sz="4" w:space="0"/>
                    <w:bottom w:val="single" w:color="auto" w:sz="4" w:space="0"/>
                    <w:right w:val="single" w:color="auto" w:sz="4" w:space="0"/>
                  </w:tcBorders>
                  <w:shd w:val="clear" w:color="auto" w:fill="auto"/>
                  <w:vAlign w:val="center"/>
                </w:tcPr>
                <w:p w14:paraId="7EB49C1D">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0.03L</w:t>
                  </w:r>
                </w:p>
              </w:tc>
              <w:tc>
                <w:tcPr>
                  <w:tcW w:w="862" w:type="pct"/>
                  <w:tcBorders>
                    <w:top w:val="single" w:color="auto" w:sz="4" w:space="0"/>
                    <w:left w:val="single" w:color="auto" w:sz="4" w:space="0"/>
                    <w:bottom w:val="single" w:color="auto" w:sz="4" w:space="0"/>
                    <w:right w:val="single" w:color="auto" w:sz="4" w:space="0"/>
                  </w:tcBorders>
                  <w:shd w:val="clear" w:color="auto" w:fill="auto"/>
                  <w:vAlign w:val="center"/>
                </w:tcPr>
                <w:p w14:paraId="756EAABD">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达标</w:t>
                  </w:r>
                </w:p>
              </w:tc>
              <w:tc>
                <w:tcPr>
                  <w:tcW w:w="894" w:type="pct"/>
                  <w:tcBorders>
                    <w:left w:val="single" w:color="auto" w:sz="4" w:space="0"/>
                  </w:tcBorders>
                  <w:shd w:val="clear" w:color="auto" w:fill="auto"/>
                  <w:vAlign w:val="center"/>
                </w:tcPr>
                <w:p w14:paraId="0EBBC51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≤0.3</w:t>
                  </w:r>
                </w:p>
              </w:tc>
              <w:tc>
                <w:tcPr>
                  <w:tcW w:w="725" w:type="pct"/>
                  <w:tcBorders>
                    <w:left w:val="single" w:color="auto" w:sz="4" w:space="0"/>
                  </w:tcBorders>
                  <w:shd w:val="clear" w:color="auto" w:fill="auto"/>
                  <w:vAlign w:val="center"/>
                </w:tcPr>
                <w:p w14:paraId="3E91C88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14:textFill>
                        <w14:solidFill>
                          <w14:schemeClr w14:val="tx1"/>
                        </w14:solidFill>
                      </w14:textFill>
                    </w:rPr>
                    <w:t>mg/L</w:t>
                  </w:r>
                </w:p>
              </w:tc>
            </w:tr>
            <w:tr w14:paraId="3A3DC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48" w:type="pct"/>
                  <w:tcBorders>
                    <w:top w:val="single" w:color="auto" w:sz="4" w:space="0"/>
                    <w:left w:val="single" w:color="auto" w:sz="4" w:space="0"/>
                    <w:bottom w:val="single" w:color="auto" w:sz="4" w:space="0"/>
                    <w:right w:val="single" w:color="auto" w:sz="4" w:space="0"/>
                  </w:tcBorders>
                  <w:shd w:val="clear" w:color="auto" w:fill="auto"/>
                  <w:vAlign w:val="center"/>
                </w:tcPr>
                <w:p w14:paraId="600DE5B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锰</w:t>
                  </w:r>
                </w:p>
              </w:tc>
              <w:tc>
                <w:tcPr>
                  <w:tcW w:w="1068" w:type="pct"/>
                  <w:tcBorders>
                    <w:top w:val="single" w:color="auto" w:sz="4" w:space="0"/>
                    <w:left w:val="single" w:color="auto" w:sz="4" w:space="0"/>
                    <w:bottom w:val="single" w:color="auto" w:sz="4" w:space="0"/>
                    <w:right w:val="single" w:color="auto" w:sz="4" w:space="0"/>
                  </w:tcBorders>
                  <w:shd w:val="clear" w:color="auto" w:fill="auto"/>
                  <w:vAlign w:val="center"/>
                </w:tcPr>
                <w:p w14:paraId="7072824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0.01L</w:t>
                  </w:r>
                </w:p>
              </w:tc>
              <w:tc>
                <w:tcPr>
                  <w:tcW w:w="862" w:type="pct"/>
                  <w:tcBorders>
                    <w:top w:val="single" w:color="auto" w:sz="4" w:space="0"/>
                    <w:left w:val="single" w:color="auto" w:sz="4" w:space="0"/>
                    <w:bottom w:val="single" w:color="auto" w:sz="4" w:space="0"/>
                    <w:right w:val="single" w:color="auto" w:sz="4" w:space="0"/>
                  </w:tcBorders>
                  <w:shd w:val="clear" w:color="auto" w:fill="auto"/>
                  <w:vAlign w:val="center"/>
                </w:tcPr>
                <w:p w14:paraId="0547805D">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达标</w:t>
                  </w:r>
                </w:p>
              </w:tc>
              <w:tc>
                <w:tcPr>
                  <w:tcW w:w="894" w:type="pct"/>
                  <w:tcBorders>
                    <w:left w:val="single" w:color="auto" w:sz="4" w:space="0"/>
                  </w:tcBorders>
                  <w:shd w:val="clear" w:color="auto" w:fill="auto"/>
                  <w:vAlign w:val="center"/>
                </w:tcPr>
                <w:p w14:paraId="6EE7C8A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≤0.1</w:t>
                  </w:r>
                </w:p>
              </w:tc>
              <w:tc>
                <w:tcPr>
                  <w:tcW w:w="725" w:type="pct"/>
                  <w:tcBorders>
                    <w:left w:val="single" w:color="auto" w:sz="4" w:space="0"/>
                  </w:tcBorders>
                  <w:shd w:val="clear" w:color="auto" w:fill="auto"/>
                  <w:vAlign w:val="center"/>
                </w:tcPr>
                <w:p w14:paraId="75BD138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14:textFill>
                        <w14:solidFill>
                          <w14:schemeClr w14:val="tx1"/>
                        </w14:solidFill>
                      </w14:textFill>
                    </w:rPr>
                    <w:t>mg/L</w:t>
                  </w:r>
                </w:p>
              </w:tc>
            </w:tr>
            <w:tr w14:paraId="11957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48" w:type="pct"/>
                  <w:tcBorders>
                    <w:top w:val="single" w:color="auto" w:sz="4" w:space="0"/>
                    <w:left w:val="single" w:color="auto" w:sz="4" w:space="0"/>
                    <w:bottom w:val="single" w:color="auto" w:sz="4" w:space="0"/>
                    <w:right w:val="single" w:color="auto" w:sz="4" w:space="0"/>
                  </w:tcBorders>
                  <w:vAlign w:val="center"/>
                </w:tcPr>
                <w:p w14:paraId="0AC1DB9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硝酸盐氮</w:t>
                  </w:r>
                </w:p>
              </w:tc>
              <w:tc>
                <w:tcPr>
                  <w:tcW w:w="1068" w:type="pct"/>
                  <w:tcBorders>
                    <w:top w:val="single" w:color="auto" w:sz="4" w:space="0"/>
                    <w:left w:val="single" w:color="auto" w:sz="4" w:space="0"/>
                    <w:bottom w:val="single" w:color="auto" w:sz="4" w:space="0"/>
                    <w:right w:val="single" w:color="auto" w:sz="4" w:space="0"/>
                  </w:tcBorders>
                  <w:vAlign w:val="center"/>
                </w:tcPr>
                <w:p w14:paraId="1387A20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0.02L</w:t>
                  </w:r>
                </w:p>
              </w:tc>
              <w:tc>
                <w:tcPr>
                  <w:tcW w:w="862" w:type="pct"/>
                  <w:tcBorders>
                    <w:top w:val="single" w:color="auto" w:sz="4" w:space="0"/>
                    <w:left w:val="single" w:color="auto" w:sz="4" w:space="0"/>
                    <w:bottom w:val="single" w:color="auto" w:sz="4" w:space="0"/>
                    <w:right w:val="single" w:color="auto" w:sz="4" w:space="0"/>
                  </w:tcBorders>
                  <w:vAlign w:val="center"/>
                </w:tcPr>
                <w:p w14:paraId="6BEAC3FB">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达标</w:t>
                  </w:r>
                </w:p>
              </w:tc>
              <w:tc>
                <w:tcPr>
                  <w:tcW w:w="894" w:type="pct"/>
                  <w:tcBorders>
                    <w:left w:val="single" w:color="auto" w:sz="4" w:space="0"/>
                  </w:tcBorders>
                  <w:vAlign w:val="center"/>
                </w:tcPr>
                <w:p w14:paraId="6F6D4A6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≤10</w:t>
                  </w:r>
                  <w:r>
                    <w:rPr>
                      <w:rFonts w:hint="eastAsia" w:ascii="Times New Roman" w:hAnsi="Times New Roman" w:cs="Times New Roman"/>
                      <w:color w:val="000000" w:themeColor="text1"/>
                      <w:sz w:val="21"/>
                      <w:szCs w:val="21"/>
                      <w:lang w:val="en-US" w:eastAsia="zh-CN"/>
                      <w14:textFill>
                        <w14:solidFill>
                          <w14:schemeClr w14:val="tx1"/>
                        </w14:solidFill>
                      </w14:textFill>
                    </w:rPr>
                    <w:t>.0</w:t>
                  </w:r>
                </w:p>
              </w:tc>
              <w:tc>
                <w:tcPr>
                  <w:tcW w:w="725" w:type="pct"/>
                  <w:tcBorders>
                    <w:left w:val="single" w:color="auto" w:sz="4" w:space="0"/>
                  </w:tcBorders>
                  <w:vAlign w:val="center"/>
                </w:tcPr>
                <w:p w14:paraId="5D79953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14:textFill>
                        <w14:solidFill>
                          <w14:schemeClr w14:val="tx1"/>
                        </w14:solidFill>
                      </w14:textFill>
                    </w:rPr>
                    <w:t>mg/L</w:t>
                  </w:r>
                </w:p>
              </w:tc>
            </w:tr>
            <w:tr w14:paraId="0DDC4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48" w:type="pct"/>
                  <w:tcBorders>
                    <w:top w:val="single" w:color="auto" w:sz="4" w:space="0"/>
                    <w:left w:val="single" w:color="auto" w:sz="4" w:space="0"/>
                    <w:bottom w:val="single" w:color="auto" w:sz="4" w:space="0"/>
                    <w:right w:val="single" w:color="auto" w:sz="4" w:space="0"/>
                  </w:tcBorders>
                  <w:vAlign w:val="center"/>
                </w:tcPr>
                <w:p w14:paraId="3803AC8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粪大肠菌群</w:t>
                  </w:r>
                </w:p>
              </w:tc>
              <w:tc>
                <w:tcPr>
                  <w:tcW w:w="1068" w:type="pct"/>
                  <w:tcBorders>
                    <w:top w:val="single" w:color="auto" w:sz="4" w:space="0"/>
                    <w:left w:val="single" w:color="auto" w:sz="4" w:space="0"/>
                    <w:bottom w:val="single" w:color="auto" w:sz="4" w:space="0"/>
                    <w:right w:val="single" w:color="auto" w:sz="4" w:space="0"/>
                  </w:tcBorders>
                  <w:vAlign w:val="center"/>
                </w:tcPr>
                <w:p w14:paraId="6399BC53">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790</w:t>
                  </w:r>
                </w:p>
              </w:tc>
              <w:tc>
                <w:tcPr>
                  <w:tcW w:w="862" w:type="pct"/>
                  <w:tcBorders>
                    <w:top w:val="single" w:color="auto" w:sz="4" w:space="0"/>
                    <w:left w:val="single" w:color="auto" w:sz="4" w:space="0"/>
                    <w:bottom w:val="single" w:color="auto" w:sz="4" w:space="0"/>
                    <w:right w:val="single" w:color="auto" w:sz="4" w:space="0"/>
                  </w:tcBorders>
                  <w:vAlign w:val="center"/>
                </w:tcPr>
                <w:p w14:paraId="7FAC3EC3">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Ⅱ</w:t>
                  </w:r>
                </w:p>
              </w:tc>
              <w:tc>
                <w:tcPr>
                  <w:tcW w:w="894" w:type="pct"/>
                  <w:tcBorders>
                    <w:left w:val="single" w:color="auto" w:sz="4" w:space="0"/>
                  </w:tcBorders>
                  <w:vAlign w:val="center"/>
                </w:tcPr>
                <w:p w14:paraId="0434549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w:t>
                  </w:r>
                  <w:r>
                    <w:rPr>
                      <w:rFonts w:hint="eastAsia" w:ascii="Times New Roman" w:hAnsi="Times New Roman" w:cs="Times New Roman"/>
                      <w:color w:val="000000" w:themeColor="text1"/>
                      <w:sz w:val="21"/>
                      <w:szCs w:val="21"/>
                      <w:lang w:val="en-US" w:eastAsia="zh-CN"/>
                      <w14:textFill>
                        <w14:solidFill>
                          <w14:schemeClr w14:val="tx1"/>
                        </w14:solidFill>
                      </w14:textFill>
                    </w:rPr>
                    <w:t>10000.0</w:t>
                  </w:r>
                </w:p>
              </w:tc>
              <w:tc>
                <w:tcPr>
                  <w:tcW w:w="725" w:type="pct"/>
                  <w:tcBorders>
                    <w:left w:val="single" w:color="auto" w:sz="4" w:space="0"/>
                  </w:tcBorders>
                  <w:vAlign w:val="center"/>
                </w:tcPr>
                <w:p w14:paraId="709C950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个</w:t>
                  </w:r>
                  <w:r>
                    <w:rPr>
                      <w:rFonts w:hint="default" w:ascii="Times New Roman" w:hAnsi="Times New Roman" w:eastAsia="宋体" w:cs="Times New Roman"/>
                      <w:color w:val="000000" w:themeColor="text1"/>
                      <w:sz w:val="21"/>
                      <w:szCs w:val="21"/>
                      <w14:textFill>
                        <w14:solidFill>
                          <w14:schemeClr w14:val="tx1"/>
                        </w14:solidFill>
                      </w14:textFill>
                    </w:rPr>
                    <w:t>/L</w:t>
                  </w:r>
                </w:p>
              </w:tc>
            </w:tr>
            <w:tr w14:paraId="49CE8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48" w:type="pct"/>
                  <w:tcBorders>
                    <w:top w:val="single" w:color="auto" w:sz="4" w:space="0"/>
                    <w:left w:val="single" w:color="auto" w:sz="4" w:space="0"/>
                    <w:bottom w:val="single" w:color="auto" w:sz="4" w:space="0"/>
                    <w:right w:val="single" w:color="auto" w:sz="4" w:space="0"/>
                  </w:tcBorders>
                  <w:vAlign w:val="center"/>
                </w:tcPr>
                <w:p w14:paraId="2B5B41FA">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备注</w:t>
                  </w:r>
                </w:p>
              </w:tc>
              <w:tc>
                <w:tcPr>
                  <w:tcW w:w="3551" w:type="pct"/>
                  <w:gridSpan w:val="4"/>
                  <w:tcBorders>
                    <w:top w:val="single" w:color="auto" w:sz="4" w:space="0"/>
                    <w:left w:val="single" w:color="auto" w:sz="4" w:space="0"/>
                    <w:bottom w:val="single" w:color="auto" w:sz="4" w:space="0"/>
                    <w:right w:val="single" w:color="auto" w:sz="4" w:space="0"/>
                  </w:tcBorders>
                  <w:vAlign w:val="center"/>
                </w:tcPr>
                <w:p w14:paraId="7ABB13CB">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1.</w:t>
                  </w:r>
                  <w:r>
                    <w:rPr>
                      <w:rFonts w:hint="default" w:ascii="Times New Roman" w:hAnsi="Times New Roman" w:eastAsia="宋体" w:cs="Times New Roman"/>
                      <w:color w:val="000000" w:themeColor="text1"/>
                      <w:sz w:val="21"/>
                      <w:szCs w:val="21"/>
                      <w14:textFill>
                        <w14:solidFill>
                          <w14:schemeClr w14:val="tx1"/>
                        </w14:solidFill>
                      </w14:textFill>
                    </w:rPr>
                    <w:t>表中数值后带“L”为测值小于检出限，“L”前数值为该项目检出限；</w:t>
                  </w:r>
                </w:p>
                <w:p w14:paraId="46A0299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14:textFill>
                        <w14:solidFill>
                          <w14:schemeClr w14:val="tx1"/>
                        </w14:solidFill>
                      </w14:textFill>
                    </w:rPr>
                    <w:t>.执行《地表水环境质量标准》</w:t>
                  </w:r>
                  <w:r>
                    <w:rPr>
                      <w:rFonts w:hint="eastAsia" w:ascii="Times New Roman" w:hAnsi="Times New Roman" w:cs="Times New Roman"/>
                      <w:color w:val="000000" w:themeColor="text1"/>
                      <w:sz w:val="21"/>
                      <w:szCs w:val="21"/>
                      <w:lang w:eastAsia="zh-CN"/>
                      <w14:textFill>
                        <w14:solidFill>
                          <w14:schemeClr w14:val="tx1"/>
                        </w14:solidFill>
                      </w14:textFill>
                    </w:rPr>
                    <w:t>（</w:t>
                  </w:r>
                  <w:r>
                    <w:rPr>
                      <w:rFonts w:hint="default" w:ascii="Times New Roman" w:hAnsi="Times New Roman" w:eastAsia="宋体" w:cs="Times New Roman"/>
                      <w:color w:val="000000" w:themeColor="text1"/>
                      <w:sz w:val="21"/>
                      <w:szCs w:val="21"/>
                      <w14:textFill>
                        <w14:solidFill>
                          <w14:schemeClr w14:val="tx1"/>
                        </w14:solidFill>
                      </w14:textFill>
                    </w:rPr>
                    <w:t>GB3838-2002</w:t>
                  </w:r>
                  <w:r>
                    <w:rPr>
                      <w:rFonts w:hint="eastAsia" w:ascii="Times New Roman" w:hAnsi="Times New Roman" w:cs="Times New Roman"/>
                      <w:color w:val="000000" w:themeColor="text1"/>
                      <w:sz w:val="21"/>
                      <w:szCs w:val="21"/>
                      <w:lang w:eastAsia="zh-CN"/>
                      <w14:textFill>
                        <w14:solidFill>
                          <w14:schemeClr w14:val="tx1"/>
                        </w14:solidFill>
                      </w14:textFill>
                    </w:rPr>
                    <w:t>）</w:t>
                  </w:r>
                  <w:r>
                    <w:rPr>
                      <w:rFonts w:hint="default" w:ascii="Times New Roman" w:hAnsi="Times New Roman" w:eastAsia="宋体" w:cs="Times New Roman"/>
                      <w:color w:val="000000" w:themeColor="text1"/>
                      <w:sz w:val="21"/>
                      <w:szCs w:val="21"/>
                      <w14:textFill>
                        <w14:solidFill>
                          <w14:schemeClr w14:val="tx1"/>
                        </w14:solidFill>
                      </w14:textFill>
                    </w:rPr>
                    <w:t>。</w:t>
                  </w:r>
                </w:p>
              </w:tc>
            </w:tr>
          </w:tbl>
          <w:p w14:paraId="0E8F4F99">
            <w:pPr>
              <w:pStyle w:val="8"/>
              <w:keepNext w:val="0"/>
              <w:keepLines w:val="0"/>
              <w:pageBreakBefore w:val="0"/>
              <w:kinsoku/>
              <w:wordWrap/>
              <w:overflowPunct/>
              <w:topLinePunct w:val="0"/>
              <w:autoSpaceDE/>
              <w:autoSpaceDN/>
              <w:bidi w:val="0"/>
              <w:adjustRightInd w:val="0"/>
              <w:snapToGrid w:val="0"/>
              <w:spacing w:before="0" w:after="0" w:line="360" w:lineRule="auto"/>
              <w:ind w:left="0" w:leftChars="0" w:right="0" w:firstLine="480" w:firstLineChars="200"/>
              <w:jc w:val="both"/>
              <w:textAlignment w:val="auto"/>
              <w:rPr>
                <w:rFonts w:hint="default" w:ascii="Times New Roman" w:hAnsi="Times New Roman" w:eastAsia="宋体" w:cs="Times New Roman"/>
                <w:color w:val="000000" w:themeColor="text1"/>
                <w:sz w:val="24"/>
                <w:szCs w:val="24"/>
                <w14:textFill>
                  <w14:solidFill>
                    <w14:schemeClr w14:val="tx1"/>
                  </w14:solidFill>
                </w14:textFill>
              </w:rPr>
            </w:pPr>
          </w:p>
          <w:p w14:paraId="2CCBA7B3">
            <w:pPr>
              <w:pStyle w:val="2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firstLine="0"/>
              <w:jc w:val="both"/>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根据尼去本水库水质监测报告，水质达到《地表水环境质量标准》（GB3838-2002）Ⅲ类水标准</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地表水环境质量</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良好</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w:t>
            </w:r>
          </w:p>
          <w:p w14:paraId="3422BEEB">
            <w:pPr>
              <w:pStyle w:val="75"/>
              <w:keepNext w:val="0"/>
              <w:keepLines w:val="0"/>
              <w:pageBreakBefore w:val="0"/>
              <w:kinsoku/>
              <w:wordWrap/>
              <w:overflowPunct/>
              <w:topLinePunct w:val="0"/>
              <w:autoSpaceDE/>
              <w:autoSpaceDN/>
              <w:bidi w:val="0"/>
              <w:adjustRightInd w:val="0"/>
              <w:snapToGrid w:val="0"/>
              <w:spacing w:line="360" w:lineRule="auto"/>
              <w:ind w:right="0" w:firstLine="482"/>
              <w:jc w:val="both"/>
              <w:textAlignment w:val="auto"/>
              <w:rPr>
                <w:rFonts w:hint="default" w:ascii="Times New Roman" w:hAnsi="Times New Roman" w:eastAsia="宋体" w:cs="Times New Roman"/>
                <w:b/>
                <w:bCs/>
                <w:color w:val="000000" w:themeColor="text1"/>
                <w:kern w:val="2"/>
                <w:sz w:val="24"/>
                <w:szCs w:val="24"/>
                <w:lang w:val="en-US" w:eastAsia="zh-CN" w:bidi="ar-SA"/>
                <w14:textFill>
                  <w14:solidFill>
                    <w14:schemeClr w14:val="tx1"/>
                  </w14:solidFill>
                </w14:textFill>
              </w:rPr>
            </w:pPr>
            <w:r>
              <w:rPr>
                <w:rFonts w:hint="eastAsia" w:ascii="Times New Roman" w:hAnsi="Times New Roman" w:cs="Times New Roman"/>
                <w:b/>
                <w:bCs/>
                <w:color w:val="000000" w:themeColor="text1"/>
                <w:kern w:val="2"/>
                <w:sz w:val="24"/>
                <w:szCs w:val="24"/>
                <w:lang w:val="en-US" w:eastAsia="zh-CN" w:bidi="ar-SA"/>
                <w14:textFill>
                  <w14:solidFill>
                    <w14:schemeClr w14:val="tx1"/>
                  </w14:solidFill>
                </w14:textFill>
              </w:rPr>
              <w:t>2）</w:t>
            </w:r>
            <w:r>
              <w:rPr>
                <w:rFonts w:hint="default" w:ascii="Times New Roman" w:hAnsi="Times New Roman" w:eastAsia="宋体" w:cs="Times New Roman"/>
                <w:b/>
                <w:bCs/>
                <w:color w:val="000000" w:themeColor="text1"/>
                <w:kern w:val="2"/>
                <w:sz w:val="24"/>
                <w:szCs w:val="24"/>
                <w:lang w:val="en-US" w:eastAsia="zh-CN" w:bidi="ar-SA"/>
                <w14:textFill>
                  <w14:solidFill>
                    <w14:schemeClr w14:val="tx1"/>
                  </w14:solidFill>
                </w14:textFill>
              </w:rPr>
              <w:t>大西水库质量现状</w:t>
            </w:r>
          </w:p>
          <w:p w14:paraId="30C589D5">
            <w:pPr>
              <w:keepNext w:val="0"/>
              <w:keepLines w:val="0"/>
              <w:pageBreakBefore w:val="0"/>
              <w:kinsoku/>
              <w:wordWrap/>
              <w:overflowPunct/>
              <w:topLinePunct w:val="0"/>
              <w:autoSpaceDE/>
              <w:autoSpaceDN/>
              <w:bidi w:val="0"/>
              <w:adjustRightInd w:val="0"/>
              <w:snapToGrid w:val="0"/>
              <w:spacing w:line="360" w:lineRule="auto"/>
              <w:ind w:right="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根据</w:t>
            </w:r>
            <w:r>
              <w:rPr>
                <w:rFonts w:hint="default" w:ascii="Times New Roman" w:hAnsi="Times New Roman" w:eastAsia="宋体" w:cs="Times New Roman"/>
                <w:color w:val="000000" w:themeColor="text1"/>
                <w14:textFill>
                  <w14:solidFill>
                    <w14:schemeClr w14:val="tx1"/>
                  </w14:solidFill>
                </w14:textFill>
              </w:rPr>
              <w:t>玉溪市生态环境局峨山分局生态环境监测站</w:t>
            </w:r>
            <w:r>
              <w:rPr>
                <w:rFonts w:hint="eastAsia" w:ascii="Times New Roman" w:hAnsi="Times New Roman" w:cs="Times New Roman"/>
                <w:color w:val="000000" w:themeColor="text1"/>
                <w:lang w:val="en-US" w:eastAsia="zh-CN"/>
                <w14:textFill>
                  <w14:solidFill>
                    <w14:schemeClr w14:val="tx1"/>
                  </w14:solidFill>
                </w14:textFill>
              </w:rPr>
              <w:t>提供2025年6月3日</w:t>
            </w:r>
            <w:r>
              <w:rPr>
                <w:rFonts w:hint="default" w:ascii="Times New Roman" w:hAnsi="Times New Roman" w:eastAsia="宋体" w:cs="Times New Roman"/>
                <w:color w:val="000000" w:themeColor="text1"/>
                <w14:textFill>
                  <w14:solidFill>
                    <w14:schemeClr w14:val="tx1"/>
                  </w14:solidFill>
                </w14:textFill>
              </w:rPr>
              <w:t>对大西水库进行监测，采样1次，监测1天，监测项目为《地表水环境质量标准》（GB3838-2002）</w:t>
            </w:r>
            <w:r>
              <w:rPr>
                <w:rFonts w:hint="default" w:ascii="Times New Roman" w:hAnsi="Times New Roman" w:eastAsia="宋体" w:cs="Times New Roman"/>
                <w:color w:val="000000" w:themeColor="text1"/>
                <w:lang w:eastAsia="zh-CN"/>
                <w14:textFill>
                  <w14:solidFill>
                    <w14:schemeClr w14:val="tx1"/>
                  </w14:solidFill>
                </w14:textFill>
              </w:rPr>
              <w:t>，大西水库</w:t>
            </w:r>
            <w:r>
              <w:rPr>
                <w:rFonts w:hint="default" w:ascii="Times New Roman" w:hAnsi="Times New Roman" w:eastAsia="宋体" w:cs="Times New Roman"/>
                <w:color w:val="000000" w:themeColor="text1"/>
                <w:lang w:val="en-US" w:eastAsia="zh-CN"/>
                <w14:textFill>
                  <w14:solidFill>
                    <w14:schemeClr w14:val="tx1"/>
                  </w14:solidFill>
                </w14:textFill>
              </w:rPr>
              <w:t>水质检测数据如下：</w:t>
            </w:r>
          </w:p>
          <w:p w14:paraId="4C1CAEB6">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表3-1</w:t>
            </w:r>
            <w:r>
              <w:rPr>
                <w:rFonts w:hint="eastAsia" w:ascii="Times New Roman" w:hAnsi="Times New Roman" w:eastAsia="宋体" w:cs="Times New Roman"/>
                <w:b/>
                <w:bCs/>
                <w:color w:val="000000" w:themeColor="text1"/>
                <w:sz w:val="21"/>
                <w:szCs w:val="21"/>
                <w:lang w:val="en-US" w:eastAsia="zh-CN"/>
                <w14:textFill>
                  <w14:solidFill>
                    <w14:schemeClr w14:val="tx1"/>
                  </w14:solidFill>
                </w14:textFill>
              </w:rPr>
              <w:t xml:space="preserve">1  </w:t>
            </w: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大西水库水质监测数据</w:t>
            </w:r>
          </w:p>
          <w:tbl>
            <w:tblPr>
              <w:tblStyle w:val="26"/>
              <w:tblW w:w="494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12"/>
              <w:gridCol w:w="1633"/>
              <w:gridCol w:w="1317"/>
              <w:gridCol w:w="1367"/>
              <w:gridCol w:w="1109"/>
            </w:tblGrid>
            <w:tr w14:paraId="0DCA5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48" w:type="pct"/>
                  <w:vMerge w:val="restart"/>
                  <w:tcBorders>
                    <w:top w:val="single" w:color="auto" w:sz="4" w:space="0"/>
                    <w:left w:val="single" w:color="auto" w:sz="4" w:space="0"/>
                    <w:bottom w:val="single" w:color="auto" w:sz="4" w:space="0"/>
                    <w:right w:val="single" w:color="auto" w:sz="4" w:space="0"/>
                    <w:tl2br w:val="single" w:color="auto" w:sz="4" w:space="0"/>
                  </w:tcBorders>
                  <w:vAlign w:val="center"/>
                </w:tcPr>
                <w:p w14:paraId="4F14ACE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right"/>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eastAsia" w:ascii="Times New Roman" w:hAnsi="Times New Roman" w:cs="Times New Roman"/>
                      <w:bCs/>
                      <w:color w:val="000000" w:themeColor="text1"/>
                      <w:sz w:val="21"/>
                      <w:szCs w:val="21"/>
                      <w:lang w:val="en-US" w:eastAsia="zh-CN"/>
                      <w14:textFill>
                        <w14:solidFill>
                          <w14:schemeClr w14:val="tx1"/>
                        </w14:solidFill>
                      </w14:textFill>
                    </w:rPr>
                    <w:t>监</w:t>
                  </w:r>
                  <w:r>
                    <w:rPr>
                      <w:rFonts w:hint="default" w:ascii="Times New Roman" w:hAnsi="Times New Roman" w:eastAsia="宋体" w:cs="Times New Roman"/>
                      <w:bCs/>
                      <w:color w:val="000000" w:themeColor="text1"/>
                      <w:sz w:val="21"/>
                      <w:szCs w:val="21"/>
                      <w14:textFill>
                        <w14:solidFill>
                          <w14:schemeClr w14:val="tx1"/>
                        </w14:solidFill>
                      </w14:textFill>
                    </w:rPr>
                    <w:t>测点</w:t>
                  </w:r>
                </w:p>
                <w:p w14:paraId="409AA02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项目</w:t>
                  </w:r>
                </w:p>
              </w:tc>
              <w:tc>
                <w:tcPr>
                  <w:tcW w:w="1931" w:type="pct"/>
                  <w:gridSpan w:val="2"/>
                  <w:tcBorders>
                    <w:top w:val="single" w:color="auto" w:sz="4" w:space="0"/>
                    <w:left w:val="single" w:color="auto" w:sz="4" w:space="0"/>
                    <w:bottom w:val="single" w:color="auto" w:sz="4" w:space="0"/>
                    <w:right w:val="single" w:color="auto" w:sz="4" w:space="0"/>
                  </w:tcBorders>
                  <w:vAlign w:val="center"/>
                </w:tcPr>
                <w:p w14:paraId="4EDAC86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大西水库</w:t>
                  </w:r>
                </w:p>
              </w:tc>
              <w:tc>
                <w:tcPr>
                  <w:tcW w:w="894" w:type="pct"/>
                  <w:vMerge w:val="restart"/>
                  <w:tcBorders>
                    <w:top w:val="single" w:color="auto" w:sz="4" w:space="0"/>
                    <w:left w:val="single" w:color="auto" w:sz="4" w:space="0"/>
                    <w:bottom w:val="single" w:color="auto" w:sz="4" w:space="0"/>
                    <w:right w:val="single" w:color="auto" w:sz="4" w:space="0"/>
                  </w:tcBorders>
                  <w:vAlign w:val="center"/>
                </w:tcPr>
                <w:p w14:paraId="7EFAA0B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Ⅲ类标准限值</w:t>
                  </w:r>
                </w:p>
              </w:tc>
              <w:tc>
                <w:tcPr>
                  <w:tcW w:w="725" w:type="pct"/>
                  <w:vMerge w:val="restart"/>
                  <w:tcBorders>
                    <w:top w:val="single" w:color="auto" w:sz="4" w:space="0"/>
                    <w:left w:val="single" w:color="auto" w:sz="4" w:space="0"/>
                    <w:right w:val="single" w:color="auto" w:sz="4" w:space="0"/>
                  </w:tcBorders>
                  <w:vAlign w:val="center"/>
                </w:tcPr>
                <w:p w14:paraId="4703673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宋体" w:cs="Times New Roman"/>
                      <w:bCs/>
                      <w:color w:val="000000" w:themeColor="text1"/>
                      <w:sz w:val="21"/>
                      <w:szCs w:val="21"/>
                      <w:lang w:val="en-US" w:eastAsia="zh-CN"/>
                      <w14:textFill>
                        <w14:solidFill>
                          <w14:schemeClr w14:val="tx1"/>
                        </w14:solidFill>
                      </w14:textFill>
                    </w:rPr>
                  </w:pPr>
                  <w:r>
                    <w:rPr>
                      <w:rFonts w:hint="eastAsia" w:ascii="Times New Roman" w:hAnsi="Times New Roman" w:cs="Times New Roman"/>
                      <w:bCs/>
                      <w:color w:val="000000" w:themeColor="text1"/>
                      <w:sz w:val="21"/>
                      <w:szCs w:val="21"/>
                      <w:lang w:val="en-US" w:eastAsia="zh-CN"/>
                      <w14:textFill>
                        <w14:solidFill>
                          <w14:schemeClr w14:val="tx1"/>
                        </w14:solidFill>
                      </w14:textFill>
                    </w:rPr>
                    <w:t>单位</w:t>
                  </w:r>
                </w:p>
              </w:tc>
            </w:tr>
            <w:tr w14:paraId="32DFD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48" w:type="pct"/>
                  <w:vMerge w:val="continue"/>
                  <w:tcBorders>
                    <w:top w:val="single" w:color="auto" w:sz="4" w:space="0"/>
                    <w:left w:val="single" w:color="auto" w:sz="4" w:space="0"/>
                    <w:bottom w:val="single" w:color="auto" w:sz="4" w:space="0"/>
                    <w:right w:val="single" w:color="auto" w:sz="4" w:space="0"/>
                    <w:tl2br w:val="single" w:color="auto" w:sz="4" w:space="0"/>
                  </w:tcBorders>
                  <w:vAlign w:val="center"/>
                </w:tcPr>
                <w:p w14:paraId="436F97A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1068" w:type="pct"/>
                  <w:tcBorders>
                    <w:top w:val="single" w:color="auto" w:sz="4" w:space="0"/>
                    <w:left w:val="single" w:color="auto" w:sz="4" w:space="0"/>
                    <w:bottom w:val="single" w:color="auto" w:sz="4" w:space="0"/>
                    <w:right w:val="single" w:color="auto" w:sz="4" w:space="0"/>
                  </w:tcBorders>
                  <w:vAlign w:val="center"/>
                </w:tcPr>
                <w:p w14:paraId="51B16DA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监测值</w:t>
                  </w:r>
                </w:p>
              </w:tc>
              <w:tc>
                <w:tcPr>
                  <w:tcW w:w="862" w:type="pct"/>
                  <w:tcBorders>
                    <w:top w:val="single" w:color="auto" w:sz="4" w:space="0"/>
                    <w:left w:val="single" w:color="auto" w:sz="4" w:space="0"/>
                    <w:bottom w:val="single" w:color="auto" w:sz="4" w:space="0"/>
                    <w:right w:val="single" w:color="auto" w:sz="4" w:space="0"/>
                  </w:tcBorders>
                  <w:vAlign w:val="center"/>
                </w:tcPr>
                <w:p w14:paraId="7CFFDA3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评价结果</w:t>
                  </w:r>
                </w:p>
                <w:p w14:paraId="32AF6CD4">
                  <w:pPr>
                    <w:pStyle w:val="25"/>
                    <w:keepNext w:val="0"/>
                    <w:keepLines w:val="0"/>
                    <w:pageBreakBefore w:val="0"/>
                    <w:widowControl w:val="0"/>
                    <w:kinsoku/>
                    <w:wordWrap/>
                    <w:overflowPunct/>
                    <w:topLinePunct w:val="0"/>
                    <w:autoSpaceDE/>
                    <w:autoSpaceDN/>
                    <w:bidi w:val="0"/>
                    <w:adjustRightInd w:val="0"/>
                    <w:snapToGrid w:val="0"/>
                    <w:spacing w:after="0" w:afterLines="0" w:line="240" w:lineRule="auto"/>
                    <w:ind w:left="0" w:leftChars="0" w:firstLine="0" w:firstLineChars="0"/>
                    <w:jc w:val="center"/>
                    <w:textAlignment w:val="auto"/>
                    <w:rPr>
                      <w:rFonts w:hint="eastAsia" w:eastAsia="宋体"/>
                      <w:color w:val="000000" w:themeColor="text1"/>
                      <w:lang w:val="en-US" w:eastAsia="zh-CN"/>
                      <w14:textFill>
                        <w14:solidFill>
                          <w14:schemeClr w14:val="tx1"/>
                        </w14:solidFill>
                      </w14:textFill>
                    </w:rPr>
                  </w:pPr>
                  <w:r>
                    <w:rPr>
                      <w:rFonts w:hint="eastAsia" w:ascii="Times New Roman" w:hAnsi="Times New Roman" w:cs="Times New Roman"/>
                      <w:bCs/>
                      <w:color w:val="000000" w:themeColor="text1"/>
                      <w:sz w:val="21"/>
                      <w:szCs w:val="21"/>
                      <w:lang w:val="en-US" w:eastAsia="zh-CN"/>
                      <w14:textFill>
                        <w14:solidFill>
                          <w14:schemeClr w14:val="tx1"/>
                        </w14:solidFill>
                      </w14:textFill>
                    </w:rPr>
                    <w:t>类别</w:t>
                  </w:r>
                </w:p>
              </w:tc>
              <w:tc>
                <w:tcPr>
                  <w:tcW w:w="894" w:type="pct"/>
                  <w:vMerge w:val="continue"/>
                  <w:tcBorders>
                    <w:top w:val="single" w:color="auto" w:sz="4" w:space="0"/>
                    <w:left w:val="single" w:color="auto" w:sz="4" w:space="0"/>
                    <w:bottom w:val="single" w:color="auto" w:sz="4" w:space="0"/>
                    <w:right w:val="single" w:color="auto" w:sz="4" w:space="0"/>
                  </w:tcBorders>
                  <w:vAlign w:val="center"/>
                </w:tcPr>
                <w:p w14:paraId="13607DA3">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725" w:type="pct"/>
                  <w:vMerge w:val="continue"/>
                  <w:tcBorders>
                    <w:left w:val="single" w:color="auto" w:sz="4" w:space="0"/>
                    <w:bottom w:val="single" w:color="auto" w:sz="4" w:space="0"/>
                    <w:right w:val="single" w:color="auto" w:sz="4" w:space="0"/>
                  </w:tcBorders>
                  <w:vAlign w:val="center"/>
                </w:tcPr>
                <w:p w14:paraId="7EDDFCA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r>
            <w:tr w14:paraId="03A28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1448" w:type="pct"/>
                  <w:tcBorders>
                    <w:top w:val="single" w:color="auto" w:sz="4" w:space="0"/>
                    <w:left w:val="single" w:color="auto" w:sz="4" w:space="0"/>
                    <w:bottom w:val="single" w:color="auto" w:sz="4" w:space="0"/>
                    <w:right w:val="single" w:color="auto" w:sz="4" w:space="0"/>
                  </w:tcBorders>
                  <w:vAlign w:val="center"/>
                </w:tcPr>
                <w:p w14:paraId="5069413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水温</w:t>
                  </w:r>
                </w:p>
              </w:tc>
              <w:tc>
                <w:tcPr>
                  <w:tcW w:w="1068" w:type="pct"/>
                  <w:tcBorders>
                    <w:top w:val="single" w:color="auto" w:sz="4" w:space="0"/>
                    <w:left w:val="single" w:color="auto" w:sz="4" w:space="0"/>
                    <w:bottom w:val="single" w:color="auto" w:sz="4" w:space="0"/>
                    <w:right w:val="single" w:color="auto" w:sz="4" w:space="0"/>
                  </w:tcBorders>
                  <w:vAlign w:val="center"/>
                </w:tcPr>
                <w:p w14:paraId="669A254A">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22.7</w:t>
                  </w:r>
                </w:p>
              </w:tc>
              <w:tc>
                <w:tcPr>
                  <w:tcW w:w="862" w:type="pct"/>
                  <w:tcBorders>
                    <w:top w:val="single" w:color="auto" w:sz="4" w:space="0"/>
                    <w:left w:val="single" w:color="auto" w:sz="4" w:space="0"/>
                    <w:bottom w:val="single" w:color="auto" w:sz="4" w:space="0"/>
                    <w:right w:val="single" w:color="auto" w:sz="4" w:space="0"/>
                  </w:tcBorders>
                  <w:vAlign w:val="center"/>
                </w:tcPr>
                <w:p w14:paraId="4C93840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w:t>
                  </w:r>
                </w:p>
              </w:tc>
              <w:tc>
                <w:tcPr>
                  <w:tcW w:w="894" w:type="pct"/>
                  <w:tcBorders>
                    <w:left w:val="single" w:color="auto" w:sz="4" w:space="0"/>
                  </w:tcBorders>
                  <w:vAlign w:val="center"/>
                </w:tcPr>
                <w:p w14:paraId="26FC394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w:t>
                  </w:r>
                </w:p>
              </w:tc>
              <w:tc>
                <w:tcPr>
                  <w:tcW w:w="725" w:type="pct"/>
                  <w:tcBorders>
                    <w:left w:val="single" w:color="auto" w:sz="4" w:space="0"/>
                  </w:tcBorders>
                  <w:vAlign w:val="center"/>
                </w:tcPr>
                <w:p w14:paraId="5D6A66E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w:t>
                  </w:r>
                </w:p>
              </w:tc>
            </w:tr>
            <w:tr w14:paraId="5AE0E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48" w:type="pct"/>
                  <w:tcBorders>
                    <w:top w:val="single" w:color="auto" w:sz="4" w:space="0"/>
                    <w:left w:val="single" w:color="auto" w:sz="4" w:space="0"/>
                    <w:bottom w:val="single" w:color="auto" w:sz="4" w:space="0"/>
                    <w:right w:val="single" w:color="auto" w:sz="4" w:space="0"/>
                  </w:tcBorders>
                  <w:vAlign w:val="center"/>
                </w:tcPr>
                <w:p w14:paraId="5DB5836A">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pH</w:t>
                  </w:r>
                </w:p>
              </w:tc>
              <w:tc>
                <w:tcPr>
                  <w:tcW w:w="1068" w:type="pct"/>
                  <w:tcBorders>
                    <w:top w:val="single" w:color="auto" w:sz="4" w:space="0"/>
                    <w:left w:val="single" w:color="auto" w:sz="4" w:space="0"/>
                    <w:bottom w:val="single" w:color="auto" w:sz="4" w:space="0"/>
                    <w:right w:val="single" w:color="auto" w:sz="4" w:space="0"/>
                  </w:tcBorders>
                  <w:vAlign w:val="center"/>
                </w:tcPr>
                <w:p w14:paraId="37A4D08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8.4</w:t>
                  </w:r>
                </w:p>
              </w:tc>
              <w:tc>
                <w:tcPr>
                  <w:tcW w:w="862" w:type="pct"/>
                  <w:tcBorders>
                    <w:top w:val="single" w:color="auto" w:sz="4" w:space="0"/>
                    <w:left w:val="single" w:color="auto" w:sz="4" w:space="0"/>
                    <w:bottom w:val="single" w:color="auto" w:sz="4" w:space="0"/>
                    <w:right w:val="single" w:color="auto" w:sz="4" w:space="0"/>
                  </w:tcBorders>
                  <w:vAlign w:val="center"/>
                </w:tcPr>
                <w:p w14:paraId="42BD697A">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达标</w:t>
                  </w:r>
                </w:p>
              </w:tc>
              <w:tc>
                <w:tcPr>
                  <w:tcW w:w="894" w:type="pct"/>
                  <w:tcBorders>
                    <w:left w:val="single" w:color="auto" w:sz="4" w:space="0"/>
                  </w:tcBorders>
                  <w:vAlign w:val="center"/>
                </w:tcPr>
                <w:p w14:paraId="0D476B6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6~9</w:t>
                  </w:r>
                </w:p>
              </w:tc>
              <w:tc>
                <w:tcPr>
                  <w:tcW w:w="725" w:type="pct"/>
                  <w:tcBorders>
                    <w:left w:val="single" w:color="auto" w:sz="4" w:space="0"/>
                  </w:tcBorders>
                  <w:vAlign w:val="center"/>
                </w:tcPr>
                <w:p w14:paraId="04B6D68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无量纲</w:t>
                  </w:r>
                </w:p>
              </w:tc>
            </w:tr>
            <w:tr w14:paraId="63EE9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48" w:type="pct"/>
                  <w:tcBorders>
                    <w:top w:val="single" w:color="auto" w:sz="4" w:space="0"/>
                    <w:left w:val="single" w:color="auto" w:sz="4" w:space="0"/>
                    <w:bottom w:val="single" w:color="auto" w:sz="4" w:space="0"/>
                    <w:right w:val="single" w:color="auto" w:sz="4" w:space="0"/>
                  </w:tcBorders>
                  <w:vAlign w:val="center"/>
                </w:tcPr>
                <w:p w14:paraId="1CB52BD0">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溶解氧</w:t>
                  </w:r>
                </w:p>
              </w:tc>
              <w:tc>
                <w:tcPr>
                  <w:tcW w:w="1068" w:type="pct"/>
                  <w:tcBorders>
                    <w:top w:val="single" w:color="auto" w:sz="4" w:space="0"/>
                    <w:left w:val="single" w:color="auto" w:sz="4" w:space="0"/>
                    <w:bottom w:val="single" w:color="auto" w:sz="4" w:space="0"/>
                    <w:right w:val="single" w:color="auto" w:sz="4" w:space="0"/>
                  </w:tcBorders>
                  <w:vAlign w:val="center"/>
                </w:tcPr>
                <w:p w14:paraId="4AEBCF2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9.58</w:t>
                  </w:r>
                </w:p>
              </w:tc>
              <w:tc>
                <w:tcPr>
                  <w:tcW w:w="862" w:type="pct"/>
                  <w:tcBorders>
                    <w:top w:val="single" w:color="auto" w:sz="4" w:space="0"/>
                    <w:left w:val="single" w:color="auto" w:sz="4" w:space="0"/>
                    <w:bottom w:val="single" w:color="auto" w:sz="4" w:space="0"/>
                    <w:right w:val="single" w:color="auto" w:sz="4" w:space="0"/>
                  </w:tcBorders>
                  <w:vAlign w:val="center"/>
                </w:tcPr>
                <w:p w14:paraId="0F64A78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Ⅰ</w:t>
                  </w:r>
                </w:p>
              </w:tc>
              <w:tc>
                <w:tcPr>
                  <w:tcW w:w="894" w:type="pct"/>
                  <w:tcBorders>
                    <w:left w:val="single" w:color="auto" w:sz="4" w:space="0"/>
                  </w:tcBorders>
                  <w:vAlign w:val="center"/>
                </w:tcPr>
                <w:p w14:paraId="739380E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≥5</w:t>
                  </w:r>
                </w:p>
              </w:tc>
              <w:tc>
                <w:tcPr>
                  <w:tcW w:w="725" w:type="pct"/>
                  <w:tcBorders>
                    <w:left w:val="single" w:color="auto" w:sz="4" w:space="0"/>
                  </w:tcBorders>
                  <w:vAlign w:val="center"/>
                </w:tcPr>
                <w:p w14:paraId="67BC0DAD">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14:textFill>
                        <w14:solidFill>
                          <w14:schemeClr w14:val="tx1"/>
                        </w14:solidFill>
                      </w14:textFill>
                    </w:rPr>
                    <w:t>mg/L</w:t>
                  </w:r>
                </w:p>
              </w:tc>
            </w:tr>
            <w:tr w14:paraId="150F8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48" w:type="pct"/>
                  <w:tcBorders>
                    <w:top w:val="single" w:color="auto" w:sz="4" w:space="0"/>
                    <w:left w:val="single" w:color="auto" w:sz="4" w:space="0"/>
                    <w:bottom w:val="single" w:color="auto" w:sz="4" w:space="0"/>
                    <w:right w:val="single" w:color="auto" w:sz="4" w:space="0"/>
                  </w:tcBorders>
                  <w:vAlign w:val="center"/>
                </w:tcPr>
                <w:p w14:paraId="763EB61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高锰酸盐指数</w:t>
                  </w:r>
                </w:p>
                <w:p w14:paraId="4BA4C5C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（耗氧量）</w:t>
                  </w:r>
                </w:p>
              </w:tc>
              <w:tc>
                <w:tcPr>
                  <w:tcW w:w="1068" w:type="pct"/>
                  <w:tcBorders>
                    <w:top w:val="single" w:color="auto" w:sz="4" w:space="0"/>
                    <w:left w:val="single" w:color="auto" w:sz="4" w:space="0"/>
                    <w:bottom w:val="single" w:color="auto" w:sz="4" w:space="0"/>
                    <w:right w:val="single" w:color="auto" w:sz="4" w:space="0"/>
                  </w:tcBorders>
                  <w:vAlign w:val="center"/>
                </w:tcPr>
                <w:p w14:paraId="1A03024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2.2</w:t>
                  </w:r>
                </w:p>
              </w:tc>
              <w:tc>
                <w:tcPr>
                  <w:tcW w:w="862" w:type="pct"/>
                  <w:tcBorders>
                    <w:top w:val="single" w:color="auto" w:sz="4" w:space="0"/>
                    <w:left w:val="single" w:color="auto" w:sz="4" w:space="0"/>
                    <w:bottom w:val="single" w:color="auto" w:sz="4" w:space="0"/>
                    <w:right w:val="single" w:color="auto" w:sz="4" w:space="0"/>
                  </w:tcBorders>
                  <w:vAlign w:val="center"/>
                </w:tcPr>
                <w:p w14:paraId="2810A73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Ⅱ</w:t>
                  </w:r>
                </w:p>
              </w:tc>
              <w:tc>
                <w:tcPr>
                  <w:tcW w:w="894" w:type="pct"/>
                  <w:tcBorders>
                    <w:left w:val="single" w:color="auto" w:sz="4" w:space="0"/>
                  </w:tcBorders>
                  <w:vAlign w:val="center"/>
                </w:tcPr>
                <w:p w14:paraId="70E11680">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≤6</w:t>
                  </w:r>
                </w:p>
              </w:tc>
              <w:tc>
                <w:tcPr>
                  <w:tcW w:w="725" w:type="pct"/>
                  <w:tcBorders>
                    <w:left w:val="single" w:color="auto" w:sz="4" w:space="0"/>
                  </w:tcBorders>
                  <w:vAlign w:val="center"/>
                </w:tcPr>
                <w:p w14:paraId="119B4BE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14:textFill>
                        <w14:solidFill>
                          <w14:schemeClr w14:val="tx1"/>
                        </w14:solidFill>
                      </w14:textFill>
                    </w:rPr>
                    <w:t>mg/L</w:t>
                  </w:r>
                </w:p>
              </w:tc>
            </w:tr>
            <w:tr w14:paraId="4ADC2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48" w:type="pct"/>
                  <w:tcBorders>
                    <w:top w:val="single" w:color="auto" w:sz="4" w:space="0"/>
                    <w:left w:val="single" w:color="auto" w:sz="4" w:space="0"/>
                    <w:bottom w:val="single" w:color="auto" w:sz="4" w:space="0"/>
                    <w:right w:val="single" w:color="auto" w:sz="4" w:space="0"/>
                  </w:tcBorders>
                  <w:vAlign w:val="center"/>
                </w:tcPr>
                <w:p w14:paraId="487409F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五日生化需氧量</w:t>
                  </w:r>
                </w:p>
              </w:tc>
              <w:tc>
                <w:tcPr>
                  <w:tcW w:w="1068" w:type="pct"/>
                  <w:tcBorders>
                    <w:top w:val="single" w:color="auto" w:sz="4" w:space="0"/>
                    <w:left w:val="single" w:color="auto" w:sz="4" w:space="0"/>
                    <w:bottom w:val="single" w:color="auto" w:sz="4" w:space="0"/>
                    <w:right w:val="single" w:color="auto" w:sz="4" w:space="0"/>
                  </w:tcBorders>
                  <w:vAlign w:val="center"/>
                </w:tcPr>
                <w:p w14:paraId="0D54DBB3">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1.4</w:t>
                  </w:r>
                </w:p>
              </w:tc>
              <w:tc>
                <w:tcPr>
                  <w:tcW w:w="862" w:type="pct"/>
                  <w:tcBorders>
                    <w:top w:val="single" w:color="auto" w:sz="4" w:space="0"/>
                    <w:left w:val="single" w:color="auto" w:sz="4" w:space="0"/>
                    <w:bottom w:val="single" w:color="auto" w:sz="4" w:space="0"/>
                    <w:right w:val="single" w:color="auto" w:sz="4" w:space="0"/>
                  </w:tcBorders>
                  <w:vAlign w:val="center"/>
                </w:tcPr>
                <w:p w14:paraId="33F67633">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Ⅰ</w:t>
                  </w:r>
                </w:p>
              </w:tc>
              <w:tc>
                <w:tcPr>
                  <w:tcW w:w="894" w:type="pct"/>
                  <w:tcBorders>
                    <w:left w:val="single" w:color="auto" w:sz="4" w:space="0"/>
                  </w:tcBorders>
                  <w:vAlign w:val="center"/>
                </w:tcPr>
                <w:p w14:paraId="03CEF34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≤4</w:t>
                  </w:r>
                </w:p>
              </w:tc>
              <w:tc>
                <w:tcPr>
                  <w:tcW w:w="725" w:type="pct"/>
                  <w:tcBorders>
                    <w:left w:val="single" w:color="auto" w:sz="4" w:space="0"/>
                  </w:tcBorders>
                  <w:vAlign w:val="center"/>
                </w:tcPr>
                <w:p w14:paraId="6BAD8AA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14:textFill>
                        <w14:solidFill>
                          <w14:schemeClr w14:val="tx1"/>
                        </w14:solidFill>
                      </w14:textFill>
                    </w:rPr>
                    <w:t>mg/L</w:t>
                  </w:r>
                </w:p>
              </w:tc>
            </w:tr>
            <w:tr w14:paraId="6F266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48" w:type="pct"/>
                  <w:tcBorders>
                    <w:top w:val="single" w:color="auto" w:sz="4" w:space="0"/>
                    <w:left w:val="single" w:color="auto" w:sz="4" w:space="0"/>
                    <w:bottom w:val="single" w:color="auto" w:sz="4" w:space="0"/>
                    <w:right w:val="single" w:color="auto" w:sz="4" w:space="0"/>
                  </w:tcBorders>
                  <w:vAlign w:val="center"/>
                </w:tcPr>
                <w:p w14:paraId="0630CEE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氨氮</w:t>
                  </w:r>
                </w:p>
              </w:tc>
              <w:tc>
                <w:tcPr>
                  <w:tcW w:w="1068" w:type="pct"/>
                  <w:tcBorders>
                    <w:top w:val="single" w:color="auto" w:sz="4" w:space="0"/>
                    <w:left w:val="single" w:color="auto" w:sz="4" w:space="0"/>
                    <w:bottom w:val="single" w:color="auto" w:sz="4" w:space="0"/>
                    <w:right w:val="single" w:color="auto" w:sz="4" w:space="0"/>
                  </w:tcBorders>
                  <w:vAlign w:val="center"/>
                </w:tcPr>
                <w:p w14:paraId="03D0330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0.16</w:t>
                  </w:r>
                </w:p>
              </w:tc>
              <w:tc>
                <w:tcPr>
                  <w:tcW w:w="862" w:type="pct"/>
                  <w:tcBorders>
                    <w:top w:val="single" w:color="auto" w:sz="4" w:space="0"/>
                    <w:left w:val="single" w:color="auto" w:sz="4" w:space="0"/>
                    <w:bottom w:val="single" w:color="auto" w:sz="4" w:space="0"/>
                    <w:right w:val="single" w:color="auto" w:sz="4" w:space="0"/>
                  </w:tcBorders>
                  <w:vAlign w:val="center"/>
                </w:tcPr>
                <w:p w14:paraId="61A325CD">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Ⅱ</w:t>
                  </w:r>
                </w:p>
              </w:tc>
              <w:tc>
                <w:tcPr>
                  <w:tcW w:w="894" w:type="pct"/>
                  <w:tcBorders>
                    <w:left w:val="single" w:color="auto" w:sz="4" w:space="0"/>
                  </w:tcBorders>
                  <w:vAlign w:val="center"/>
                </w:tcPr>
                <w:p w14:paraId="2D3D1DF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w:t>
                  </w:r>
                </w:p>
              </w:tc>
              <w:tc>
                <w:tcPr>
                  <w:tcW w:w="725" w:type="pct"/>
                  <w:tcBorders>
                    <w:left w:val="single" w:color="auto" w:sz="4" w:space="0"/>
                  </w:tcBorders>
                  <w:vAlign w:val="center"/>
                </w:tcPr>
                <w:p w14:paraId="12D9D7F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14:textFill>
                        <w14:solidFill>
                          <w14:schemeClr w14:val="tx1"/>
                        </w14:solidFill>
                      </w14:textFill>
                    </w:rPr>
                    <w:t>mg/L</w:t>
                  </w:r>
                </w:p>
              </w:tc>
            </w:tr>
            <w:tr w14:paraId="22402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48" w:type="pct"/>
                  <w:tcBorders>
                    <w:top w:val="single" w:color="auto" w:sz="4" w:space="0"/>
                    <w:left w:val="single" w:color="auto" w:sz="4" w:space="0"/>
                    <w:bottom w:val="single" w:color="auto" w:sz="4" w:space="0"/>
                    <w:right w:val="single" w:color="auto" w:sz="4" w:space="0"/>
                  </w:tcBorders>
                  <w:vAlign w:val="center"/>
                </w:tcPr>
                <w:p w14:paraId="2EE27D5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总磷</w:t>
                  </w:r>
                </w:p>
              </w:tc>
              <w:tc>
                <w:tcPr>
                  <w:tcW w:w="1068" w:type="pct"/>
                  <w:tcBorders>
                    <w:top w:val="single" w:color="auto" w:sz="4" w:space="0"/>
                    <w:left w:val="single" w:color="auto" w:sz="4" w:space="0"/>
                    <w:bottom w:val="single" w:color="auto" w:sz="4" w:space="0"/>
                    <w:right w:val="single" w:color="auto" w:sz="4" w:space="0"/>
                  </w:tcBorders>
                  <w:vAlign w:val="center"/>
                </w:tcPr>
                <w:p w14:paraId="25D927B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0.02</w:t>
                  </w:r>
                </w:p>
              </w:tc>
              <w:tc>
                <w:tcPr>
                  <w:tcW w:w="862" w:type="pct"/>
                  <w:tcBorders>
                    <w:top w:val="single" w:color="auto" w:sz="4" w:space="0"/>
                    <w:left w:val="single" w:color="auto" w:sz="4" w:space="0"/>
                    <w:bottom w:val="single" w:color="auto" w:sz="4" w:space="0"/>
                    <w:right w:val="single" w:color="auto" w:sz="4" w:space="0"/>
                  </w:tcBorders>
                  <w:vAlign w:val="center"/>
                </w:tcPr>
                <w:p w14:paraId="41D9D89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Ⅱ</w:t>
                  </w:r>
                </w:p>
              </w:tc>
              <w:tc>
                <w:tcPr>
                  <w:tcW w:w="894" w:type="pct"/>
                  <w:tcBorders>
                    <w:left w:val="single" w:color="auto" w:sz="4" w:space="0"/>
                  </w:tcBorders>
                  <w:vAlign w:val="center"/>
                </w:tcPr>
                <w:p w14:paraId="3DE6903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w:t>
                  </w:r>
                  <w:r>
                    <w:rPr>
                      <w:rFonts w:hint="eastAsia" w:ascii="Times New Roman" w:hAnsi="Times New Roman" w:cs="Times New Roman"/>
                      <w:color w:val="000000" w:themeColor="text1"/>
                      <w:sz w:val="21"/>
                      <w:szCs w:val="21"/>
                      <w:lang w:val="en-US" w:eastAsia="zh-CN"/>
                      <w14:textFill>
                        <w14:solidFill>
                          <w14:schemeClr w14:val="tx1"/>
                        </w14:solidFill>
                      </w14:textFill>
                    </w:rPr>
                    <w:t>0.2</w:t>
                  </w:r>
                </w:p>
              </w:tc>
              <w:tc>
                <w:tcPr>
                  <w:tcW w:w="725" w:type="pct"/>
                  <w:tcBorders>
                    <w:left w:val="single" w:color="auto" w:sz="4" w:space="0"/>
                  </w:tcBorders>
                  <w:vAlign w:val="center"/>
                </w:tcPr>
                <w:p w14:paraId="7A4C8CA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14:textFill>
                        <w14:solidFill>
                          <w14:schemeClr w14:val="tx1"/>
                        </w14:solidFill>
                      </w14:textFill>
                    </w:rPr>
                    <w:t>mg/L</w:t>
                  </w:r>
                </w:p>
              </w:tc>
            </w:tr>
            <w:tr w14:paraId="0842A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48" w:type="pct"/>
                  <w:tcBorders>
                    <w:top w:val="single" w:color="auto" w:sz="4" w:space="0"/>
                    <w:left w:val="single" w:color="auto" w:sz="4" w:space="0"/>
                    <w:bottom w:val="single" w:color="auto" w:sz="4" w:space="0"/>
                    <w:right w:val="single" w:color="auto" w:sz="4" w:space="0"/>
                  </w:tcBorders>
                  <w:vAlign w:val="center"/>
                </w:tcPr>
                <w:p w14:paraId="4B45ADF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总氮</w:t>
                  </w:r>
                </w:p>
              </w:tc>
              <w:tc>
                <w:tcPr>
                  <w:tcW w:w="1068" w:type="pct"/>
                  <w:tcBorders>
                    <w:top w:val="single" w:color="auto" w:sz="4" w:space="0"/>
                    <w:left w:val="single" w:color="auto" w:sz="4" w:space="0"/>
                    <w:bottom w:val="single" w:color="auto" w:sz="4" w:space="0"/>
                    <w:right w:val="single" w:color="auto" w:sz="4" w:space="0"/>
                  </w:tcBorders>
                  <w:vAlign w:val="center"/>
                </w:tcPr>
                <w:p w14:paraId="54A8EF1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0.69</w:t>
                  </w:r>
                </w:p>
              </w:tc>
              <w:tc>
                <w:tcPr>
                  <w:tcW w:w="862" w:type="pct"/>
                  <w:tcBorders>
                    <w:top w:val="single" w:color="auto" w:sz="4" w:space="0"/>
                    <w:left w:val="single" w:color="auto" w:sz="4" w:space="0"/>
                    <w:bottom w:val="single" w:color="auto" w:sz="4" w:space="0"/>
                    <w:right w:val="single" w:color="auto" w:sz="4" w:space="0"/>
                  </w:tcBorders>
                  <w:vAlign w:val="center"/>
                </w:tcPr>
                <w:p w14:paraId="3D6EB18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Ⅲ</w:t>
                  </w:r>
                </w:p>
              </w:tc>
              <w:tc>
                <w:tcPr>
                  <w:tcW w:w="894" w:type="pct"/>
                  <w:tcBorders>
                    <w:left w:val="single" w:color="auto" w:sz="4" w:space="0"/>
                  </w:tcBorders>
                  <w:vAlign w:val="center"/>
                </w:tcPr>
                <w:p w14:paraId="69C0B94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≤1.0</w:t>
                  </w:r>
                </w:p>
              </w:tc>
              <w:tc>
                <w:tcPr>
                  <w:tcW w:w="725" w:type="pct"/>
                  <w:tcBorders>
                    <w:left w:val="single" w:color="auto" w:sz="4" w:space="0"/>
                  </w:tcBorders>
                  <w:vAlign w:val="center"/>
                </w:tcPr>
                <w:p w14:paraId="687E46BD">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14:textFill>
                        <w14:solidFill>
                          <w14:schemeClr w14:val="tx1"/>
                        </w14:solidFill>
                      </w14:textFill>
                    </w:rPr>
                    <w:t>mg/L</w:t>
                  </w:r>
                </w:p>
              </w:tc>
            </w:tr>
            <w:tr w14:paraId="1003A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48" w:type="pct"/>
                  <w:tcBorders>
                    <w:top w:val="single" w:color="auto" w:sz="4" w:space="0"/>
                    <w:left w:val="single" w:color="auto" w:sz="4" w:space="0"/>
                    <w:bottom w:val="single" w:color="auto" w:sz="4" w:space="0"/>
                    <w:right w:val="single" w:color="auto" w:sz="4" w:space="0"/>
                  </w:tcBorders>
                  <w:vAlign w:val="center"/>
                </w:tcPr>
                <w:p w14:paraId="331ED930">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铜</w:t>
                  </w:r>
                </w:p>
              </w:tc>
              <w:tc>
                <w:tcPr>
                  <w:tcW w:w="1068" w:type="pct"/>
                  <w:tcBorders>
                    <w:top w:val="single" w:color="auto" w:sz="4" w:space="0"/>
                    <w:left w:val="single" w:color="auto" w:sz="4" w:space="0"/>
                    <w:bottom w:val="single" w:color="auto" w:sz="4" w:space="0"/>
                    <w:right w:val="single" w:color="auto" w:sz="4" w:space="0"/>
                  </w:tcBorders>
                  <w:vAlign w:val="center"/>
                </w:tcPr>
                <w:p w14:paraId="04F7528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0.001L</w:t>
                  </w:r>
                </w:p>
              </w:tc>
              <w:tc>
                <w:tcPr>
                  <w:tcW w:w="862" w:type="pct"/>
                  <w:tcBorders>
                    <w:top w:val="single" w:color="auto" w:sz="4" w:space="0"/>
                    <w:left w:val="single" w:color="auto" w:sz="4" w:space="0"/>
                    <w:bottom w:val="single" w:color="auto" w:sz="4" w:space="0"/>
                    <w:right w:val="single" w:color="auto" w:sz="4" w:space="0"/>
                  </w:tcBorders>
                  <w:vAlign w:val="center"/>
                </w:tcPr>
                <w:p w14:paraId="77677FF0">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Ⅰ</w:t>
                  </w:r>
                </w:p>
              </w:tc>
              <w:tc>
                <w:tcPr>
                  <w:tcW w:w="894" w:type="pct"/>
                  <w:tcBorders>
                    <w:left w:val="single" w:color="auto" w:sz="4" w:space="0"/>
                  </w:tcBorders>
                  <w:vAlign w:val="center"/>
                </w:tcPr>
                <w:p w14:paraId="31E9A15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≤1.0</w:t>
                  </w:r>
                </w:p>
              </w:tc>
              <w:tc>
                <w:tcPr>
                  <w:tcW w:w="725" w:type="pct"/>
                  <w:tcBorders>
                    <w:left w:val="single" w:color="auto" w:sz="4" w:space="0"/>
                  </w:tcBorders>
                  <w:vAlign w:val="center"/>
                </w:tcPr>
                <w:p w14:paraId="79FC8353">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14:textFill>
                        <w14:solidFill>
                          <w14:schemeClr w14:val="tx1"/>
                        </w14:solidFill>
                      </w14:textFill>
                    </w:rPr>
                    <w:t>mg/L</w:t>
                  </w:r>
                </w:p>
              </w:tc>
            </w:tr>
            <w:tr w14:paraId="00DDF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48" w:type="pct"/>
                  <w:tcBorders>
                    <w:top w:val="single" w:color="auto" w:sz="4" w:space="0"/>
                    <w:left w:val="single" w:color="auto" w:sz="4" w:space="0"/>
                    <w:bottom w:val="single" w:color="auto" w:sz="4" w:space="0"/>
                    <w:right w:val="single" w:color="auto" w:sz="4" w:space="0"/>
                  </w:tcBorders>
                  <w:vAlign w:val="center"/>
                </w:tcPr>
                <w:p w14:paraId="35376DA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锌</w:t>
                  </w:r>
                </w:p>
              </w:tc>
              <w:tc>
                <w:tcPr>
                  <w:tcW w:w="1068" w:type="pct"/>
                  <w:tcBorders>
                    <w:top w:val="single" w:color="auto" w:sz="4" w:space="0"/>
                    <w:left w:val="single" w:color="auto" w:sz="4" w:space="0"/>
                    <w:bottom w:val="single" w:color="auto" w:sz="4" w:space="0"/>
                    <w:right w:val="single" w:color="auto" w:sz="4" w:space="0"/>
                  </w:tcBorders>
                  <w:vAlign w:val="center"/>
                </w:tcPr>
                <w:p w14:paraId="5768DC8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0.005L</w:t>
                  </w:r>
                </w:p>
              </w:tc>
              <w:tc>
                <w:tcPr>
                  <w:tcW w:w="862" w:type="pct"/>
                  <w:tcBorders>
                    <w:top w:val="single" w:color="auto" w:sz="4" w:space="0"/>
                    <w:left w:val="single" w:color="auto" w:sz="4" w:space="0"/>
                    <w:bottom w:val="single" w:color="auto" w:sz="4" w:space="0"/>
                    <w:right w:val="single" w:color="auto" w:sz="4" w:space="0"/>
                  </w:tcBorders>
                  <w:vAlign w:val="center"/>
                </w:tcPr>
                <w:p w14:paraId="3D6A115A">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Ⅰ</w:t>
                  </w:r>
                </w:p>
              </w:tc>
              <w:tc>
                <w:tcPr>
                  <w:tcW w:w="894" w:type="pct"/>
                  <w:tcBorders>
                    <w:left w:val="single" w:color="auto" w:sz="4" w:space="0"/>
                  </w:tcBorders>
                  <w:vAlign w:val="center"/>
                </w:tcPr>
                <w:p w14:paraId="50299A8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≤1.0</w:t>
                  </w:r>
                </w:p>
              </w:tc>
              <w:tc>
                <w:tcPr>
                  <w:tcW w:w="725" w:type="pct"/>
                  <w:tcBorders>
                    <w:left w:val="single" w:color="auto" w:sz="4" w:space="0"/>
                  </w:tcBorders>
                  <w:vAlign w:val="center"/>
                </w:tcPr>
                <w:p w14:paraId="195DFBB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14:textFill>
                        <w14:solidFill>
                          <w14:schemeClr w14:val="tx1"/>
                        </w14:solidFill>
                      </w14:textFill>
                    </w:rPr>
                    <w:t>mg/L</w:t>
                  </w:r>
                </w:p>
              </w:tc>
            </w:tr>
            <w:tr w14:paraId="00E0A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48" w:type="pct"/>
                  <w:tcBorders>
                    <w:top w:val="single" w:color="auto" w:sz="4" w:space="0"/>
                    <w:left w:val="single" w:color="auto" w:sz="4" w:space="0"/>
                    <w:bottom w:val="single" w:color="auto" w:sz="4" w:space="0"/>
                    <w:right w:val="single" w:color="auto" w:sz="4" w:space="0"/>
                  </w:tcBorders>
                  <w:vAlign w:val="center"/>
                </w:tcPr>
                <w:p w14:paraId="6FDF255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氟化物</w:t>
                  </w:r>
                </w:p>
              </w:tc>
              <w:tc>
                <w:tcPr>
                  <w:tcW w:w="1068" w:type="pct"/>
                  <w:tcBorders>
                    <w:top w:val="single" w:color="auto" w:sz="4" w:space="0"/>
                    <w:left w:val="single" w:color="auto" w:sz="4" w:space="0"/>
                    <w:bottom w:val="single" w:color="auto" w:sz="4" w:space="0"/>
                    <w:right w:val="single" w:color="auto" w:sz="4" w:space="0"/>
                  </w:tcBorders>
                  <w:vAlign w:val="center"/>
                </w:tcPr>
                <w:p w14:paraId="57E9211D">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0.09</w:t>
                  </w:r>
                </w:p>
              </w:tc>
              <w:tc>
                <w:tcPr>
                  <w:tcW w:w="862" w:type="pct"/>
                  <w:tcBorders>
                    <w:top w:val="single" w:color="auto" w:sz="4" w:space="0"/>
                    <w:left w:val="single" w:color="auto" w:sz="4" w:space="0"/>
                    <w:bottom w:val="single" w:color="auto" w:sz="4" w:space="0"/>
                    <w:right w:val="single" w:color="auto" w:sz="4" w:space="0"/>
                  </w:tcBorders>
                  <w:vAlign w:val="center"/>
                </w:tcPr>
                <w:p w14:paraId="43BC46C3">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Ⅰ</w:t>
                  </w:r>
                </w:p>
              </w:tc>
              <w:tc>
                <w:tcPr>
                  <w:tcW w:w="894" w:type="pct"/>
                  <w:tcBorders>
                    <w:left w:val="single" w:color="auto" w:sz="4" w:space="0"/>
                  </w:tcBorders>
                  <w:vAlign w:val="center"/>
                </w:tcPr>
                <w:p w14:paraId="03DB04F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≤1.0</w:t>
                  </w:r>
                </w:p>
              </w:tc>
              <w:tc>
                <w:tcPr>
                  <w:tcW w:w="725" w:type="pct"/>
                  <w:tcBorders>
                    <w:left w:val="single" w:color="auto" w:sz="4" w:space="0"/>
                  </w:tcBorders>
                  <w:vAlign w:val="center"/>
                </w:tcPr>
                <w:p w14:paraId="0C638A0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14:textFill>
                        <w14:solidFill>
                          <w14:schemeClr w14:val="tx1"/>
                        </w14:solidFill>
                      </w14:textFill>
                    </w:rPr>
                    <w:t>mg/L</w:t>
                  </w:r>
                </w:p>
              </w:tc>
            </w:tr>
            <w:tr w14:paraId="28A75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48" w:type="pct"/>
                  <w:tcBorders>
                    <w:top w:val="single" w:color="auto" w:sz="4" w:space="0"/>
                    <w:left w:val="single" w:color="auto" w:sz="4" w:space="0"/>
                    <w:bottom w:val="single" w:color="auto" w:sz="4" w:space="0"/>
                    <w:right w:val="single" w:color="auto" w:sz="4" w:space="0"/>
                  </w:tcBorders>
                  <w:vAlign w:val="center"/>
                </w:tcPr>
                <w:p w14:paraId="10CB5E7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硒</w:t>
                  </w:r>
                </w:p>
              </w:tc>
              <w:tc>
                <w:tcPr>
                  <w:tcW w:w="1068" w:type="pct"/>
                  <w:tcBorders>
                    <w:top w:val="single" w:color="auto" w:sz="4" w:space="0"/>
                    <w:left w:val="single" w:color="auto" w:sz="4" w:space="0"/>
                    <w:bottom w:val="single" w:color="auto" w:sz="4" w:space="0"/>
                    <w:right w:val="single" w:color="auto" w:sz="4" w:space="0"/>
                  </w:tcBorders>
                  <w:vAlign w:val="center"/>
                </w:tcPr>
                <w:p w14:paraId="5372388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0.0004L</w:t>
                  </w:r>
                </w:p>
              </w:tc>
              <w:tc>
                <w:tcPr>
                  <w:tcW w:w="862" w:type="pct"/>
                  <w:tcBorders>
                    <w:top w:val="single" w:color="auto" w:sz="4" w:space="0"/>
                    <w:left w:val="single" w:color="auto" w:sz="4" w:space="0"/>
                    <w:bottom w:val="single" w:color="auto" w:sz="4" w:space="0"/>
                    <w:right w:val="single" w:color="auto" w:sz="4" w:space="0"/>
                  </w:tcBorders>
                  <w:vAlign w:val="center"/>
                </w:tcPr>
                <w:p w14:paraId="1CCA2DE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Ⅰ</w:t>
                  </w:r>
                </w:p>
              </w:tc>
              <w:tc>
                <w:tcPr>
                  <w:tcW w:w="894" w:type="pct"/>
                  <w:tcBorders>
                    <w:left w:val="single" w:color="auto" w:sz="4" w:space="0"/>
                  </w:tcBorders>
                  <w:vAlign w:val="center"/>
                </w:tcPr>
                <w:p w14:paraId="2C7EB8A3">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≤0.01</w:t>
                  </w:r>
                </w:p>
              </w:tc>
              <w:tc>
                <w:tcPr>
                  <w:tcW w:w="725" w:type="pct"/>
                  <w:tcBorders>
                    <w:left w:val="single" w:color="auto" w:sz="4" w:space="0"/>
                  </w:tcBorders>
                  <w:vAlign w:val="center"/>
                </w:tcPr>
                <w:p w14:paraId="642BD55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14:textFill>
                        <w14:solidFill>
                          <w14:schemeClr w14:val="tx1"/>
                        </w14:solidFill>
                      </w14:textFill>
                    </w:rPr>
                    <w:t>mg/L</w:t>
                  </w:r>
                </w:p>
              </w:tc>
            </w:tr>
            <w:tr w14:paraId="4EEE0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48" w:type="pct"/>
                  <w:tcBorders>
                    <w:top w:val="single" w:color="auto" w:sz="4" w:space="0"/>
                    <w:left w:val="single" w:color="auto" w:sz="4" w:space="0"/>
                    <w:bottom w:val="single" w:color="auto" w:sz="4" w:space="0"/>
                    <w:right w:val="single" w:color="auto" w:sz="4" w:space="0"/>
                  </w:tcBorders>
                  <w:vAlign w:val="center"/>
                </w:tcPr>
                <w:p w14:paraId="37C2535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砷</w:t>
                  </w:r>
                </w:p>
              </w:tc>
              <w:tc>
                <w:tcPr>
                  <w:tcW w:w="1068" w:type="pct"/>
                  <w:tcBorders>
                    <w:top w:val="single" w:color="auto" w:sz="4" w:space="0"/>
                    <w:left w:val="single" w:color="auto" w:sz="4" w:space="0"/>
                    <w:bottom w:val="single" w:color="auto" w:sz="4" w:space="0"/>
                    <w:right w:val="single" w:color="auto" w:sz="4" w:space="0"/>
                  </w:tcBorders>
                  <w:vAlign w:val="center"/>
                </w:tcPr>
                <w:p w14:paraId="1061400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0.0003L</w:t>
                  </w:r>
                </w:p>
              </w:tc>
              <w:tc>
                <w:tcPr>
                  <w:tcW w:w="862" w:type="pct"/>
                  <w:tcBorders>
                    <w:top w:val="single" w:color="auto" w:sz="4" w:space="0"/>
                    <w:left w:val="single" w:color="auto" w:sz="4" w:space="0"/>
                    <w:bottom w:val="single" w:color="auto" w:sz="4" w:space="0"/>
                    <w:right w:val="single" w:color="auto" w:sz="4" w:space="0"/>
                  </w:tcBorders>
                  <w:vAlign w:val="center"/>
                </w:tcPr>
                <w:p w14:paraId="6CDAD1A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Ⅰ</w:t>
                  </w:r>
                </w:p>
              </w:tc>
              <w:tc>
                <w:tcPr>
                  <w:tcW w:w="894" w:type="pct"/>
                  <w:tcBorders>
                    <w:left w:val="single" w:color="auto" w:sz="4" w:space="0"/>
                  </w:tcBorders>
                  <w:vAlign w:val="center"/>
                </w:tcPr>
                <w:p w14:paraId="088EDCAB">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≤0.05</w:t>
                  </w:r>
                </w:p>
              </w:tc>
              <w:tc>
                <w:tcPr>
                  <w:tcW w:w="725" w:type="pct"/>
                  <w:tcBorders>
                    <w:left w:val="single" w:color="auto" w:sz="4" w:space="0"/>
                  </w:tcBorders>
                  <w:vAlign w:val="center"/>
                </w:tcPr>
                <w:p w14:paraId="6495403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14:textFill>
                        <w14:solidFill>
                          <w14:schemeClr w14:val="tx1"/>
                        </w14:solidFill>
                      </w14:textFill>
                    </w:rPr>
                    <w:t>mg/L</w:t>
                  </w:r>
                </w:p>
              </w:tc>
            </w:tr>
            <w:tr w14:paraId="7E3F9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48" w:type="pct"/>
                  <w:tcBorders>
                    <w:top w:val="single" w:color="auto" w:sz="4" w:space="0"/>
                    <w:left w:val="single" w:color="auto" w:sz="4" w:space="0"/>
                    <w:bottom w:val="single" w:color="auto" w:sz="4" w:space="0"/>
                    <w:right w:val="single" w:color="auto" w:sz="4" w:space="0"/>
                  </w:tcBorders>
                  <w:vAlign w:val="center"/>
                </w:tcPr>
                <w:p w14:paraId="5A407BF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汞</w:t>
                  </w:r>
                </w:p>
              </w:tc>
              <w:tc>
                <w:tcPr>
                  <w:tcW w:w="1068" w:type="pct"/>
                  <w:tcBorders>
                    <w:top w:val="single" w:color="auto" w:sz="4" w:space="0"/>
                    <w:left w:val="single" w:color="auto" w:sz="4" w:space="0"/>
                    <w:bottom w:val="single" w:color="auto" w:sz="4" w:space="0"/>
                    <w:right w:val="single" w:color="auto" w:sz="4" w:space="0"/>
                  </w:tcBorders>
                  <w:vAlign w:val="center"/>
                </w:tcPr>
                <w:p w14:paraId="78EE1D90">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color w:val="000000" w:themeColor="text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0.0004L</w:t>
                  </w:r>
                </w:p>
              </w:tc>
              <w:tc>
                <w:tcPr>
                  <w:tcW w:w="862" w:type="pct"/>
                  <w:tcBorders>
                    <w:top w:val="single" w:color="auto" w:sz="4" w:space="0"/>
                    <w:left w:val="single" w:color="auto" w:sz="4" w:space="0"/>
                    <w:bottom w:val="single" w:color="auto" w:sz="4" w:space="0"/>
                    <w:right w:val="single" w:color="auto" w:sz="4" w:space="0"/>
                  </w:tcBorders>
                  <w:vAlign w:val="center"/>
                </w:tcPr>
                <w:p w14:paraId="5DB86DB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Ⅰ</w:t>
                  </w:r>
                </w:p>
              </w:tc>
              <w:tc>
                <w:tcPr>
                  <w:tcW w:w="894" w:type="pct"/>
                  <w:tcBorders>
                    <w:left w:val="single" w:color="auto" w:sz="4" w:space="0"/>
                  </w:tcBorders>
                  <w:vAlign w:val="center"/>
                </w:tcPr>
                <w:p w14:paraId="7CEB6F0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≤0.0001</w:t>
                  </w:r>
                </w:p>
              </w:tc>
              <w:tc>
                <w:tcPr>
                  <w:tcW w:w="725" w:type="pct"/>
                  <w:tcBorders>
                    <w:left w:val="single" w:color="auto" w:sz="4" w:space="0"/>
                  </w:tcBorders>
                  <w:vAlign w:val="center"/>
                </w:tcPr>
                <w:p w14:paraId="7D2F7DA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14:textFill>
                        <w14:solidFill>
                          <w14:schemeClr w14:val="tx1"/>
                        </w14:solidFill>
                      </w14:textFill>
                    </w:rPr>
                    <w:t>mg/L</w:t>
                  </w:r>
                </w:p>
              </w:tc>
            </w:tr>
            <w:tr w14:paraId="6DA14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48" w:type="pct"/>
                  <w:tcBorders>
                    <w:top w:val="single" w:color="auto" w:sz="4" w:space="0"/>
                    <w:left w:val="single" w:color="auto" w:sz="4" w:space="0"/>
                    <w:bottom w:val="single" w:color="auto" w:sz="4" w:space="0"/>
                    <w:right w:val="single" w:color="auto" w:sz="4" w:space="0"/>
                  </w:tcBorders>
                  <w:vAlign w:val="center"/>
                </w:tcPr>
                <w:p w14:paraId="3847BD2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镉</w:t>
                  </w:r>
                </w:p>
              </w:tc>
              <w:tc>
                <w:tcPr>
                  <w:tcW w:w="1068" w:type="pct"/>
                  <w:tcBorders>
                    <w:top w:val="single" w:color="auto" w:sz="4" w:space="0"/>
                    <w:left w:val="single" w:color="auto" w:sz="4" w:space="0"/>
                    <w:bottom w:val="single" w:color="auto" w:sz="4" w:space="0"/>
                    <w:right w:val="single" w:color="auto" w:sz="4" w:space="0"/>
                  </w:tcBorders>
                  <w:vAlign w:val="center"/>
                </w:tcPr>
                <w:p w14:paraId="6A57F56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0.0006L</w:t>
                  </w:r>
                </w:p>
              </w:tc>
              <w:tc>
                <w:tcPr>
                  <w:tcW w:w="862" w:type="pct"/>
                  <w:tcBorders>
                    <w:top w:val="single" w:color="auto" w:sz="4" w:space="0"/>
                    <w:left w:val="single" w:color="auto" w:sz="4" w:space="0"/>
                    <w:bottom w:val="single" w:color="auto" w:sz="4" w:space="0"/>
                    <w:right w:val="single" w:color="auto" w:sz="4" w:space="0"/>
                  </w:tcBorders>
                  <w:vAlign w:val="center"/>
                </w:tcPr>
                <w:p w14:paraId="15559DB0">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Ⅰ</w:t>
                  </w:r>
                </w:p>
              </w:tc>
              <w:tc>
                <w:tcPr>
                  <w:tcW w:w="894" w:type="pct"/>
                  <w:tcBorders>
                    <w:left w:val="single" w:color="auto" w:sz="4" w:space="0"/>
                  </w:tcBorders>
                  <w:vAlign w:val="center"/>
                </w:tcPr>
                <w:p w14:paraId="3672424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≤0.005</w:t>
                  </w:r>
                </w:p>
              </w:tc>
              <w:tc>
                <w:tcPr>
                  <w:tcW w:w="725" w:type="pct"/>
                  <w:tcBorders>
                    <w:left w:val="single" w:color="auto" w:sz="4" w:space="0"/>
                  </w:tcBorders>
                  <w:vAlign w:val="center"/>
                </w:tcPr>
                <w:p w14:paraId="6A870F7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14:textFill>
                        <w14:solidFill>
                          <w14:schemeClr w14:val="tx1"/>
                        </w14:solidFill>
                      </w14:textFill>
                    </w:rPr>
                    <w:t>mg/L</w:t>
                  </w:r>
                </w:p>
              </w:tc>
            </w:tr>
            <w:tr w14:paraId="01CDD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48" w:type="pct"/>
                  <w:tcBorders>
                    <w:top w:val="single" w:color="auto" w:sz="4" w:space="0"/>
                    <w:left w:val="single" w:color="auto" w:sz="4" w:space="0"/>
                    <w:bottom w:val="single" w:color="auto" w:sz="4" w:space="0"/>
                    <w:right w:val="single" w:color="auto" w:sz="4" w:space="0"/>
                  </w:tcBorders>
                  <w:vAlign w:val="center"/>
                </w:tcPr>
                <w:p w14:paraId="52B4DDFB">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六价铬</w:t>
                  </w:r>
                </w:p>
              </w:tc>
              <w:tc>
                <w:tcPr>
                  <w:tcW w:w="1068" w:type="pct"/>
                  <w:tcBorders>
                    <w:top w:val="single" w:color="auto" w:sz="4" w:space="0"/>
                    <w:left w:val="single" w:color="auto" w:sz="4" w:space="0"/>
                    <w:bottom w:val="single" w:color="auto" w:sz="4" w:space="0"/>
                    <w:right w:val="single" w:color="auto" w:sz="4" w:space="0"/>
                  </w:tcBorders>
                  <w:vAlign w:val="center"/>
                </w:tcPr>
                <w:p w14:paraId="17B97EA3">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0.08</w:t>
                  </w:r>
                </w:p>
              </w:tc>
              <w:tc>
                <w:tcPr>
                  <w:tcW w:w="862" w:type="pct"/>
                  <w:tcBorders>
                    <w:top w:val="single" w:color="auto" w:sz="4" w:space="0"/>
                    <w:left w:val="single" w:color="auto" w:sz="4" w:space="0"/>
                    <w:bottom w:val="single" w:color="auto" w:sz="4" w:space="0"/>
                    <w:right w:val="single" w:color="auto" w:sz="4" w:space="0"/>
                  </w:tcBorders>
                  <w:vAlign w:val="center"/>
                </w:tcPr>
                <w:p w14:paraId="428A47B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Ⅰ</w:t>
                  </w:r>
                </w:p>
              </w:tc>
              <w:tc>
                <w:tcPr>
                  <w:tcW w:w="894" w:type="pct"/>
                  <w:tcBorders>
                    <w:left w:val="single" w:color="auto" w:sz="4" w:space="0"/>
                  </w:tcBorders>
                  <w:vAlign w:val="center"/>
                </w:tcPr>
                <w:p w14:paraId="0A6BE9DB">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≤0.05</w:t>
                  </w:r>
                </w:p>
              </w:tc>
              <w:tc>
                <w:tcPr>
                  <w:tcW w:w="725" w:type="pct"/>
                  <w:tcBorders>
                    <w:left w:val="single" w:color="auto" w:sz="4" w:space="0"/>
                  </w:tcBorders>
                  <w:vAlign w:val="center"/>
                </w:tcPr>
                <w:p w14:paraId="169A0580">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14:textFill>
                        <w14:solidFill>
                          <w14:schemeClr w14:val="tx1"/>
                        </w14:solidFill>
                      </w14:textFill>
                    </w:rPr>
                    <w:t>mg/L</w:t>
                  </w:r>
                </w:p>
              </w:tc>
            </w:tr>
            <w:tr w14:paraId="039FB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48" w:type="pct"/>
                  <w:tcBorders>
                    <w:top w:val="single" w:color="auto" w:sz="4" w:space="0"/>
                    <w:left w:val="single" w:color="auto" w:sz="4" w:space="0"/>
                    <w:bottom w:val="single" w:color="auto" w:sz="4" w:space="0"/>
                    <w:right w:val="single" w:color="auto" w:sz="4" w:space="0"/>
                  </w:tcBorders>
                  <w:vAlign w:val="center"/>
                </w:tcPr>
                <w:p w14:paraId="6F3F7DA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铅</w:t>
                  </w:r>
                </w:p>
              </w:tc>
              <w:tc>
                <w:tcPr>
                  <w:tcW w:w="1068" w:type="pct"/>
                  <w:tcBorders>
                    <w:top w:val="single" w:color="auto" w:sz="4" w:space="0"/>
                    <w:left w:val="single" w:color="auto" w:sz="4" w:space="0"/>
                    <w:bottom w:val="single" w:color="auto" w:sz="4" w:space="0"/>
                    <w:right w:val="single" w:color="auto" w:sz="4" w:space="0"/>
                  </w:tcBorders>
                  <w:vAlign w:val="center"/>
                </w:tcPr>
                <w:p w14:paraId="3D35DC3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0.001L</w:t>
                  </w:r>
                </w:p>
              </w:tc>
              <w:tc>
                <w:tcPr>
                  <w:tcW w:w="862" w:type="pct"/>
                  <w:tcBorders>
                    <w:top w:val="single" w:color="auto" w:sz="4" w:space="0"/>
                    <w:left w:val="single" w:color="auto" w:sz="4" w:space="0"/>
                    <w:bottom w:val="single" w:color="auto" w:sz="4" w:space="0"/>
                    <w:right w:val="single" w:color="auto" w:sz="4" w:space="0"/>
                  </w:tcBorders>
                  <w:vAlign w:val="center"/>
                </w:tcPr>
                <w:p w14:paraId="22C0F71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Ⅰ</w:t>
                  </w:r>
                </w:p>
              </w:tc>
              <w:tc>
                <w:tcPr>
                  <w:tcW w:w="894" w:type="pct"/>
                  <w:tcBorders>
                    <w:left w:val="single" w:color="auto" w:sz="4" w:space="0"/>
                  </w:tcBorders>
                  <w:vAlign w:val="center"/>
                </w:tcPr>
                <w:p w14:paraId="00E52720">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≤0.05</w:t>
                  </w:r>
                </w:p>
              </w:tc>
              <w:tc>
                <w:tcPr>
                  <w:tcW w:w="725" w:type="pct"/>
                  <w:tcBorders>
                    <w:left w:val="single" w:color="auto" w:sz="4" w:space="0"/>
                  </w:tcBorders>
                  <w:vAlign w:val="center"/>
                </w:tcPr>
                <w:p w14:paraId="46E1DE3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14:textFill>
                        <w14:solidFill>
                          <w14:schemeClr w14:val="tx1"/>
                        </w14:solidFill>
                      </w14:textFill>
                    </w:rPr>
                    <w:t>mg/L</w:t>
                  </w:r>
                </w:p>
              </w:tc>
            </w:tr>
            <w:tr w14:paraId="4FD61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48" w:type="pct"/>
                  <w:tcBorders>
                    <w:top w:val="single" w:color="auto" w:sz="4" w:space="0"/>
                    <w:left w:val="single" w:color="auto" w:sz="4" w:space="0"/>
                    <w:bottom w:val="single" w:color="auto" w:sz="4" w:space="0"/>
                    <w:right w:val="single" w:color="auto" w:sz="4" w:space="0"/>
                  </w:tcBorders>
                  <w:vAlign w:val="center"/>
                </w:tcPr>
                <w:p w14:paraId="6D30980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氰化物</w:t>
                  </w:r>
                </w:p>
              </w:tc>
              <w:tc>
                <w:tcPr>
                  <w:tcW w:w="1068" w:type="pct"/>
                  <w:tcBorders>
                    <w:top w:val="single" w:color="auto" w:sz="4" w:space="0"/>
                    <w:left w:val="single" w:color="auto" w:sz="4" w:space="0"/>
                    <w:bottom w:val="single" w:color="auto" w:sz="4" w:space="0"/>
                    <w:right w:val="single" w:color="auto" w:sz="4" w:space="0"/>
                  </w:tcBorders>
                  <w:vAlign w:val="center"/>
                </w:tcPr>
                <w:p w14:paraId="5840DF6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0.004L</w:t>
                  </w:r>
                </w:p>
              </w:tc>
              <w:tc>
                <w:tcPr>
                  <w:tcW w:w="862" w:type="pct"/>
                  <w:tcBorders>
                    <w:top w:val="single" w:color="auto" w:sz="4" w:space="0"/>
                    <w:left w:val="single" w:color="auto" w:sz="4" w:space="0"/>
                    <w:bottom w:val="single" w:color="auto" w:sz="4" w:space="0"/>
                    <w:right w:val="single" w:color="auto" w:sz="4" w:space="0"/>
                  </w:tcBorders>
                  <w:vAlign w:val="center"/>
                </w:tcPr>
                <w:p w14:paraId="6F602DD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Ⅰ</w:t>
                  </w:r>
                </w:p>
              </w:tc>
              <w:tc>
                <w:tcPr>
                  <w:tcW w:w="894" w:type="pct"/>
                  <w:tcBorders>
                    <w:left w:val="single" w:color="auto" w:sz="4" w:space="0"/>
                  </w:tcBorders>
                  <w:vAlign w:val="center"/>
                </w:tcPr>
                <w:p w14:paraId="656BC84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≤0.2</w:t>
                  </w:r>
                </w:p>
              </w:tc>
              <w:tc>
                <w:tcPr>
                  <w:tcW w:w="725" w:type="pct"/>
                  <w:tcBorders>
                    <w:left w:val="single" w:color="auto" w:sz="4" w:space="0"/>
                  </w:tcBorders>
                  <w:vAlign w:val="center"/>
                </w:tcPr>
                <w:p w14:paraId="1A841883">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14:textFill>
                        <w14:solidFill>
                          <w14:schemeClr w14:val="tx1"/>
                        </w14:solidFill>
                      </w14:textFill>
                    </w:rPr>
                    <w:t>mg/L</w:t>
                  </w:r>
                </w:p>
              </w:tc>
            </w:tr>
            <w:tr w14:paraId="5895B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48" w:type="pct"/>
                  <w:tcBorders>
                    <w:top w:val="single" w:color="auto" w:sz="4" w:space="0"/>
                    <w:left w:val="single" w:color="auto" w:sz="4" w:space="0"/>
                    <w:bottom w:val="single" w:color="auto" w:sz="4" w:space="0"/>
                    <w:right w:val="single" w:color="auto" w:sz="4" w:space="0"/>
                  </w:tcBorders>
                  <w:vAlign w:val="center"/>
                </w:tcPr>
                <w:p w14:paraId="6F7B0B9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挥发酚</w:t>
                  </w:r>
                </w:p>
              </w:tc>
              <w:tc>
                <w:tcPr>
                  <w:tcW w:w="1068" w:type="pct"/>
                  <w:tcBorders>
                    <w:top w:val="single" w:color="auto" w:sz="4" w:space="0"/>
                    <w:left w:val="single" w:color="auto" w:sz="4" w:space="0"/>
                    <w:bottom w:val="single" w:color="auto" w:sz="4" w:space="0"/>
                    <w:right w:val="single" w:color="auto" w:sz="4" w:space="0"/>
                  </w:tcBorders>
                  <w:vAlign w:val="center"/>
                </w:tcPr>
                <w:p w14:paraId="782BC28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0.0003L</w:t>
                  </w:r>
                </w:p>
              </w:tc>
              <w:tc>
                <w:tcPr>
                  <w:tcW w:w="862" w:type="pct"/>
                  <w:tcBorders>
                    <w:top w:val="single" w:color="auto" w:sz="4" w:space="0"/>
                    <w:left w:val="single" w:color="auto" w:sz="4" w:space="0"/>
                    <w:bottom w:val="single" w:color="auto" w:sz="4" w:space="0"/>
                    <w:right w:val="single" w:color="auto" w:sz="4" w:space="0"/>
                  </w:tcBorders>
                  <w:vAlign w:val="center"/>
                </w:tcPr>
                <w:p w14:paraId="7F10B02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Ⅰ</w:t>
                  </w:r>
                </w:p>
              </w:tc>
              <w:tc>
                <w:tcPr>
                  <w:tcW w:w="894" w:type="pct"/>
                  <w:tcBorders>
                    <w:left w:val="single" w:color="auto" w:sz="4" w:space="0"/>
                  </w:tcBorders>
                  <w:vAlign w:val="center"/>
                </w:tcPr>
                <w:p w14:paraId="23FBFC5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≤0.005</w:t>
                  </w:r>
                </w:p>
              </w:tc>
              <w:tc>
                <w:tcPr>
                  <w:tcW w:w="725" w:type="pct"/>
                  <w:tcBorders>
                    <w:left w:val="single" w:color="auto" w:sz="4" w:space="0"/>
                  </w:tcBorders>
                  <w:vAlign w:val="center"/>
                </w:tcPr>
                <w:p w14:paraId="6E867DBB">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14:textFill>
                        <w14:solidFill>
                          <w14:schemeClr w14:val="tx1"/>
                        </w14:solidFill>
                      </w14:textFill>
                    </w:rPr>
                    <w:t>mg/L</w:t>
                  </w:r>
                </w:p>
              </w:tc>
            </w:tr>
            <w:tr w14:paraId="2DF28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48" w:type="pct"/>
                  <w:tcBorders>
                    <w:top w:val="single" w:color="auto" w:sz="4" w:space="0"/>
                    <w:left w:val="single" w:color="auto" w:sz="4" w:space="0"/>
                    <w:bottom w:val="single" w:color="auto" w:sz="4" w:space="0"/>
                    <w:right w:val="single" w:color="auto" w:sz="4" w:space="0"/>
                  </w:tcBorders>
                  <w:vAlign w:val="center"/>
                </w:tcPr>
                <w:p w14:paraId="41259F7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石油类</w:t>
                  </w:r>
                </w:p>
              </w:tc>
              <w:tc>
                <w:tcPr>
                  <w:tcW w:w="1068" w:type="pct"/>
                  <w:tcBorders>
                    <w:top w:val="single" w:color="auto" w:sz="4" w:space="0"/>
                    <w:left w:val="single" w:color="auto" w:sz="4" w:space="0"/>
                    <w:bottom w:val="single" w:color="auto" w:sz="4" w:space="0"/>
                    <w:right w:val="single" w:color="auto" w:sz="4" w:space="0"/>
                  </w:tcBorders>
                  <w:vAlign w:val="center"/>
                </w:tcPr>
                <w:p w14:paraId="118C7EB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0.01L</w:t>
                  </w:r>
                </w:p>
              </w:tc>
              <w:tc>
                <w:tcPr>
                  <w:tcW w:w="862" w:type="pct"/>
                  <w:tcBorders>
                    <w:top w:val="single" w:color="auto" w:sz="4" w:space="0"/>
                    <w:left w:val="single" w:color="auto" w:sz="4" w:space="0"/>
                    <w:bottom w:val="single" w:color="auto" w:sz="4" w:space="0"/>
                    <w:right w:val="single" w:color="auto" w:sz="4" w:space="0"/>
                  </w:tcBorders>
                  <w:vAlign w:val="center"/>
                </w:tcPr>
                <w:p w14:paraId="2BAE6BF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Ⅰ</w:t>
                  </w:r>
                </w:p>
              </w:tc>
              <w:tc>
                <w:tcPr>
                  <w:tcW w:w="894" w:type="pct"/>
                  <w:tcBorders>
                    <w:left w:val="single" w:color="auto" w:sz="4" w:space="0"/>
                  </w:tcBorders>
                  <w:vAlign w:val="center"/>
                </w:tcPr>
                <w:p w14:paraId="67EA5FF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≤0.05</w:t>
                  </w:r>
                </w:p>
              </w:tc>
              <w:tc>
                <w:tcPr>
                  <w:tcW w:w="725" w:type="pct"/>
                  <w:tcBorders>
                    <w:left w:val="single" w:color="auto" w:sz="4" w:space="0"/>
                  </w:tcBorders>
                  <w:vAlign w:val="center"/>
                </w:tcPr>
                <w:p w14:paraId="2875DB7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14:textFill>
                        <w14:solidFill>
                          <w14:schemeClr w14:val="tx1"/>
                        </w14:solidFill>
                      </w14:textFill>
                    </w:rPr>
                    <w:t>mg/L</w:t>
                  </w:r>
                </w:p>
              </w:tc>
            </w:tr>
            <w:tr w14:paraId="7952F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48" w:type="pct"/>
                  <w:tcBorders>
                    <w:top w:val="single" w:color="auto" w:sz="4" w:space="0"/>
                    <w:left w:val="single" w:color="auto" w:sz="4" w:space="0"/>
                    <w:bottom w:val="single" w:color="auto" w:sz="4" w:space="0"/>
                    <w:right w:val="single" w:color="auto" w:sz="4" w:space="0"/>
                  </w:tcBorders>
                  <w:vAlign w:val="center"/>
                </w:tcPr>
                <w:p w14:paraId="67D2417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阴离子表面活性剂</w:t>
                  </w:r>
                </w:p>
              </w:tc>
              <w:tc>
                <w:tcPr>
                  <w:tcW w:w="1068" w:type="pct"/>
                  <w:tcBorders>
                    <w:top w:val="single" w:color="auto" w:sz="4" w:space="0"/>
                    <w:left w:val="single" w:color="auto" w:sz="4" w:space="0"/>
                    <w:bottom w:val="single" w:color="auto" w:sz="4" w:space="0"/>
                    <w:right w:val="single" w:color="auto" w:sz="4" w:space="0"/>
                  </w:tcBorders>
                  <w:vAlign w:val="center"/>
                </w:tcPr>
                <w:p w14:paraId="67F5A9E0">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0.05L</w:t>
                  </w:r>
                </w:p>
              </w:tc>
              <w:tc>
                <w:tcPr>
                  <w:tcW w:w="862" w:type="pct"/>
                  <w:tcBorders>
                    <w:top w:val="single" w:color="auto" w:sz="4" w:space="0"/>
                    <w:left w:val="single" w:color="auto" w:sz="4" w:space="0"/>
                    <w:bottom w:val="single" w:color="auto" w:sz="4" w:space="0"/>
                    <w:right w:val="single" w:color="auto" w:sz="4" w:space="0"/>
                  </w:tcBorders>
                  <w:vAlign w:val="center"/>
                </w:tcPr>
                <w:p w14:paraId="5B90CD1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Ⅰ</w:t>
                  </w:r>
                </w:p>
              </w:tc>
              <w:tc>
                <w:tcPr>
                  <w:tcW w:w="894" w:type="pct"/>
                  <w:tcBorders>
                    <w:left w:val="single" w:color="auto" w:sz="4" w:space="0"/>
                  </w:tcBorders>
                  <w:vAlign w:val="center"/>
                </w:tcPr>
                <w:p w14:paraId="321D163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≤0.2</w:t>
                  </w:r>
                </w:p>
              </w:tc>
              <w:tc>
                <w:tcPr>
                  <w:tcW w:w="725" w:type="pct"/>
                  <w:tcBorders>
                    <w:left w:val="single" w:color="auto" w:sz="4" w:space="0"/>
                  </w:tcBorders>
                  <w:vAlign w:val="center"/>
                </w:tcPr>
                <w:p w14:paraId="561C7E0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14:textFill>
                        <w14:solidFill>
                          <w14:schemeClr w14:val="tx1"/>
                        </w14:solidFill>
                      </w14:textFill>
                    </w:rPr>
                    <w:t>mg/L</w:t>
                  </w:r>
                </w:p>
              </w:tc>
            </w:tr>
            <w:tr w14:paraId="29102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48" w:type="pct"/>
                  <w:tcBorders>
                    <w:top w:val="single" w:color="auto" w:sz="4" w:space="0"/>
                    <w:left w:val="single" w:color="auto" w:sz="4" w:space="0"/>
                    <w:bottom w:val="single" w:color="auto" w:sz="4" w:space="0"/>
                    <w:right w:val="single" w:color="auto" w:sz="4" w:space="0"/>
                  </w:tcBorders>
                  <w:vAlign w:val="center"/>
                </w:tcPr>
                <w:p w14:paraId="118AAD3A">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硫化物</w:t>
                  </w:r>
                </w:p>
              </w:tc>
              <w:tc>
                <w:tcPr>
                  <w:tcW w:w="1068" w:type="pct"/>
                  <w:tcBorders>
                    <w:top w:val="single" w:color="auto" w:sz="4" w:space="0"/>
                    <w:left w:val="single" w:color="auto" w:sz="4" w:space="0"/>
                    <w:bottom w:val="single" w:color="auto" w:sz="4" w:space="0"/>
                    <w:right w:val="single" w:color="auto" w:sz="4" w:space="0"/>
                  </w:tcBorders>
                  <w:vAlign w:val="center"/>
                </w:tcPr>
                <w:p w14:paraId="66DED00D">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0.01L</w:t>
                  </w:r>
                </w:p>
              </w:tc>
              <w:tc>
                <w:tcPr>
                  <w:tcW w:w="862" w:type="pct"/>
                  <w:tcBorders>
                    <w:top w:val="single" w:color="auto" w:sz="4" w:space="0"/>
                    <w:left w:val="single" w:color="auto" w:sz="4" w:space="0"/>
                    <w:bottom w:val="single" w:color="auto" w:sz="4" w:space="0"/>
                    <w:right w:val="single" w:color="auto" w:sz="4" w:space="0"/>
                  </w:tcBorders>
                  <w:vAlign w:val="center"/>
                </w:tcPr>
                <w:p w14:paraId="67EA6330">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Ⅰ</w:t>
                  </w:r>
                </w:p>
              </w:tc>
              <w:tc>
                <w:tcPr>
                  <w:tcW w:w="894" w:type="pct"/>
                  <w:tcBorders>
                    <w:left w:val="single" w:color="auto" w:sz="4" w:space="0"/>
                  </w:tcBorders>
                  <w:vAlign w:val="center"/>
                </w:tcPr>
                <w:p w14:paraId="19BDC0D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≤0.2</w:t>
                  </w:r>
                </w:p>
              </w:tc>
              <w:tc>
                <w:tcPr>
                  <w:tcW w:w="725" w:type="pct"/>
                  <w:tcBorders>
                    <w:left w:val="single" w:color="auto" w:sz="4" w:space="0"/>
                  </w:tcBorders>
                  <w:vAlign w:val="center"/>
                </w:tcPr>
                <w:p w14:paraId="351DBB1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14:textFill>
                        <w14:solidFill>
                          <w14:schemeClr w14:val="tx1"/>
                        </w14:solidFill>
                      </w14:textFill>
                    </w:rPr>
                    <w:t>mg/L</w:t>
                  </w:r>
                </w:p>
              </w:tc>
            </w:tr>
            <w:tr w14:paraId="7BCF5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48" w:type="pct"/>
                  <w:tcBorders>
                    <w:top w:val="single" w:color="auto" w:sz="4" w:space="0"/>
                    <w:left w:val="single" w:color="auto" w:sz="4" w:space="0"/>
                    <w:bottom w:val="single" w:color="auto" w:sz="4" w:space="0"/>
                    <w:right w:val="single" w:color="auto" w:sz="4" w:space="0"/>
                  </w:tcBorders>
                  <w:vAlign w:val="center"/>
                </w:tcPr>
                <w:p w14:paraId="0BEB18CB">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硫酸盐</w:t>
                  </w:r>
                </w:p>
              </w:tc>
              <w:tc>
                <w:tcPr>
                  <w:tcW w:w="1068" w:type="pct"/>
                  <w:tcBorders>
                    <w:top w:val="single" w:color="auto" w:sz="4" w:space="0"/>
                    <w:left w:val="single" w:color="auto" w:sz="4" w:space="0"/>
                    <w:bottom w:val="single" w:color="auto" w:sz="4" w:space="0"/>
                    <w:right w:val="single" w:color="auto" w:sz="4" w:space="0"/>
                  </w:tcBorders>
                  <w:vAlign w:val="center"/>
                </w:tcPr>
                <w:p w14:paraId="0E2CD9A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8L</w:t>
                  </w:r>
                </w:p>
              </w:tc>
              <w:tc>
                <w:tcPr>
                  <w:tcW w:w="862" w:type="pct"/>
                  <w:tcBorders>
                    <w:top w:val="single" w:color="auto" w:sz="4" w:space="0"/>
                    <w:left w:val="single" w:color="auto" w:sz="4" w:space="0"/>
                    <w:bottom w:val="single" w:color="auto" w:sz="4" w:space="0"/>
                    <w:right w:val="single" w:color="auto" w:sz="4" w:space="0"/>
                  </w:tcBorders>
                  <w:vAlign w:val="center"/>
                </w:tcPr>
                <w:p w14:paraId="52600553">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达标</w:t>
                  </w:r>
                </w:p>
              </w:tc>
              <w:tc>
                <w:tcPr>
                  <w:tcW w:w="894" w:type="pct"/>
                  <w:tcBorders>
                    <w:left w:val="single" w:color="auto" w:sz="4" w:space="0"/>
                  </w:tcBorders>
                  <w:vAlign w:val="center"/>
                </w:tcPr>
                <w:p w14:paraId="145DDA3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≤250</w:t>
                  </w:r>
                </w:p>
              </w:tc>
              <w:tc>
                <w:tcPr>
                  <w:tcW w:w="725" w:type="pct"/>
                  <w:tcBorders>
                    <w:left w:val="single" w:color="auto" w:sz="4" w:space="0"/>
                  </w:tcBorders>
                  <w:vAlign w:val="center"/>
                </w:tcPr>
                <w:p w14:paraId="7E54C26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14:textFill>
                        <w14:solidFill>
                          <w14:schemeClr w14:val="tx1"/>
                        </w14:solidFill>
                      </w14:textFill>
                    </w:rPr>
                    <w:t>mg/L</w:t>
                  </w:r>
                </w:p>
              </w:tc>
            </w:tr>
            <w:tr w14:paraId="254FF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48" w:type="pct"/>
                  <w:tcBorders>
                    <w:top w:val="single" w:color="auto" w:sz="4" w:space="0"/>
                    <w:left w:val="single" w:color="auto" w:sz="4" w:space="0"/>
                    <w:bottom w:val="single" w:color="auto" w:sz="4" w:space="0"/>
                    <w:right w:val="single" w:color="auto" w:sz="4" w:space="0"/>
                  </w:tcBorders>
                  <w:vAlign w:val="center"/>
                </w:tcPr>
                <w:p w14:paraId="75E8780B">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氯化物</w:t>
                  </w:r>
                </w:p>
              </w:tc>
              <w:tc>
                <w:tcPr>
                  <w:tcW w:w="1068" w:type="pct"/>
                  <w:tcBorders>
                    <w:top w:val="single" w:color="auto" w:sz="4" w:space="0"/>
                    <w:left w:val="single" w:color="auto" w:sz="4" w:space="0"/>
                    <w:bottom w:val="single" w:color="auto" w:sz="4" w:space="0"/>
                    <w:right w:val="single" w:color="auto" w:sz="4" w:space="0"/>
                  </w:tcBorders>
                  <w:vAlign w:val="center"/>
                </w:tcPr>
                <w:p w14:paraId="4D2BA2D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10L</w:t>
                  </w:r>
                </w:p>
              </w:tc>
              <w:tc>
                <w:tcPr>
                  <w:tcW w:w="862" w:type="pct"/>
                  <w:tcBorders>
                    <w:top w:val="single" w:color="auto" w:sz="4" w:space="0"/>
                    <w:left w:val="single" w:color="auto" w:sz="4" w:space="0"/>
                    <w:bottom w:val="single" w:color="auto" w:sz="4" w:space="0"/>
                    <w:right w:val="single" w:color="auto" w:sz="4" w:space="0"/>
                  </w:tcBorders>
                  <w:vAlign w:val="center"/>
                </w:tcPr>
                <w:p w14:paraId="46DBEB0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达标</w:t>
                  </w:r>
                </w:p>
              </w:tc>
              <w:tc>
                <w:tcPr>
                  <w:tcW w:w="894" w:type="pct"/>
                  <w:tcBorders>
                    <w:left w:val="single" w:color="auto" w:sz="4" w:space="0"/>
                  </w:tcBorders>
                  <w:vAlign w:val="center"/>
                </w:tcPr>
                <w:p w14:paraId="0BF08E0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≤250</w:t>
                  </w:r>
                </w:p>
              </w:tc>
              <w:tc>
                <w:tcPr>
                  <w:tcW w:w="725" w:type="pct"/>
                  <w:tcBorders>
                    <w:left w:val="single" w:color="auto" w:sz="4" w:space="0"/>
                  </w:tcBorders>
                  <w:vAlign w:val="center"/>
                </w:tcPr>
                <w:p w14:paraId="2DDA137B">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14:textFill>
                        <w14:solidFill>
                          <w14:schemeClr w14:val="tx1"/>
                        </w14:solidFill>
                      </w14:textFill>
                    </w:rPr>
                    <w:t>mg/L</w:t>
                  </w:r>
                </w:p>
              </w:tc>
            </w:tr>
            <w:tr w14:paraId="40FA3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48" w:type="pct"/>
                  <w:tcBorders>
                    <w:top w:val="single" w:color="auto" w:sz="4" w:space="0"/>
                    <w:left w:val="single" w:color="auto" w:sz="4" w:space="0"/>
                    <w:bottom w:val="single" w:color="auto" w:sz="4" w:space="0"/>
                    <w:right w:val="single" w:color="auto" w:sz="4" w:space="0"/>
                  </w:tcBorders>
                  <w:shd w:val="clear" w:color="auto" w:fill="auto"/>
                  <w:vAlign w:val="center"/>
                </w:tcPr>
                <w:p w14:paraId="2479C72A">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铁</w:t>
                  </w:r>
                </w:p>
              </w:tc>
              <w:tc>
                <w:tcPr>
                  <w:tcW w:w="1068" w:type="pct"/>
                  <w:tcBorders>
                    <w:top w:val="single" w:color="auto" w:sz="4" w:space="0"/>
                    <w:left w:val="single" w:color="auto" w:sz="4" w:space="0"/>
                    <w:bottom w:val="single" w:color="auto" w:sz="4" w:space="0"/>
                    <w:right w:val="single" w:color="auto" w:sz="4" w:space="0"/>
                  </w:tcBorders>
                  <w:shd w:val="clear" w:color="auto" w:fill="auto"/>
                  <w:vAlign w:val="center"/>
                </w:tcPr>
                <w:p w14:paraId="4C7E88D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0.03L</w:t>
                  </w:r>
                </w:p>
              </w:tc>
              <w:tc>
                <w:tcPr>
                  <w:tcW w:w="862" w:type="pct"/>
                  <w:tcBorders>
                    <w:top w:val="single" w:color="auto" w:sz="4" w:space="0"/>
                    <w:left w:val="single" w:color="auto" w:sz="4" w:space="0"/>
                    <w:bottom w:val="single" w:color="auto" w:sz="4" w:space="0"/>
                    <w:right w:val="single" w:color="auto" w:sz="4" w:space="0"/>
                  </w:tcBorders>
                  <w:shd w:val="clear" w:color="auto" w:fill="auto"/>
                  <w:vAlign w:val="center"/>
                </w:tcPr>
                <w:p w14:paraId="34D15CDA">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达标</w:t>
                  </w:r>
                </w:p>
              </w:tc>
              <w:tc>
                <w:tcPr>
                  <w:tcW w:w="894" w:type="pct"/>
                  <w:tcBorders>
                    <w:left w:val="single" w:color="auto" w:sz="4" w:space="0"/>
                  </w:tcBorders>
                  <w:shd w:val="clear" w:color="auto" w:fill="auto"/>
                  <w:vAlign w:val="center"/>
                </w:tcPr>
                <w:p w14:paraId="0A32A15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≤0.3</w:t>
                  </w:r>
                </w:p>
              </w:tc>
              <w:tc>
                <w:tcPr>
                  <w:tcW w:w="725" w:type="pct"/>
                  <w:tcBorders>
                    <w:left w:val="single" w:color="auto" w:sz="4" w:space="0"/>
                  </w:tcBorders>
                  <w:shd w:val="clear" w:color="auto" w:fill="auto"/>
                  <w:vAlign w:val="center"/>
                </w:tcPr>
                <w:p w14:paraId="7B77009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14:textFill>
                        <w14:solidFill>
                          <w14:schemeClr w14:val="tx1"/>
                        </w14:solidFill>
                      </w14:textFill>
                    </w:rPr>
                    <w:t>mg/L</w:t>
                  </w:r>
                </w:p>
              </w:tc>
            </w:tr>
            <w:tr w14:paraId="1056F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48" w:type="pct"/>
                  <w:tcBorders>
                    <w:top w:val="single" w:color="auto" w:sz="4" w:space="0"/>
                    <w:left w:val="single" w:color="auto" w:sz="4" w:space="0"/>
                    <w:bottom w:val="single" w:color="auto" w:sz="4" w:space="0"/>
                    <w:right w:val="single" w:color="auto" w:sz="4" w:space="0"/>
                  </w:tcBorders>
                  <w:shd w:val="clear" w:color="auto" w:fill="auto"/>
                  <w:vAlign w:val="center"/>
                </w:tcPr>
                <w:p w14:paraId="525D497A">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锰</w:t>
                  </w:r>
                </w:p>
              </w:tc>
              <w:tc>
                <w:tcPr>
                  <w:tcW w:w="1068" w:type="pct"/>
                  <w:tcBorders>
                    <w:top w:val="single" w:color="auto" w:sz="4" w:space="0"/>
                    <w:left w:val="single" w:color="auto" w:sz="4" w:space="0"/>
                    <w:bottom w:val="single" w:color="auto" w:sz="4" w:space="0"/>
                    <w:right w:val="single" w:color="auto" w:sz="4" w:space="0"/>
                  </w:tcBorders>
                  <w:shd w:val="clear" w:color="auto" w:fill="auto"/>
                  <w:vAlign w:val="center"/>
                </w:tcPr>
                <w:p w14:paraId="57030621">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0.01L</w:t>
                  </w:r>
                </w:p>
              </w:tc>
              <w:tc>
                <w:tcPr>
                  <w:tcW w:w="862" w:type="pct"/>
                  <w:tcBorders>
                    <w:top w:val="single" w:color="auto" w:sz="4" w:space="0"/>
                    <w:left w:val="single" w:color="auto" w:sz="4" w:space="0"/>
                    <w:bottom w:val="single" w:color="auto" w:sz="4" w:space="0"/>
                    <w:right w:val="single" w:color="auto" w:sz="4" w:space="0"/>
                  </w:tcBorders>
                  <w:shd w:val="clear" w:color="auto" w:fill="auto"/>
                  <w:vAlign w:val="center"/>
                </w:tcPr>
                <w:p w14:paraId="48AE042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达标</w:t>
                  </w:r>
                </w:p>
              </w:tc>
              <w:tc>
                <w:tcPr>
                  <w:tcW w:w="894" w:type="pct"/>
                  <w:tcBorders>
                    <w:left w:val="single" w:color="auto" w:sz="4" w:space="0"/>
                  </w:tcBorders>
                  <w:shd w:val="clear" w:color="auto" w:fill="auto"/>
                  <w:vAlign w:val="center"/>
                </w:tcPr>
                <w:p w14:paraId="29958093">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≤0.1</w:t>
                  </w:r>
                </w:p>
              </w:tc>
              <w:tc>
                <w:tcPr>
                  <w:tcW w:w="725" w:type="pct"/>
                  <w:tcBorders>
                    <w:left w:val="single" w:color="auto" w:sz="4" w:space="0"/>
                  </w:tcBorders>
                  <w:shd w:val="clear" w:color="auto" w:fill="auto"/>
                  <w:vAlign w:val="center"/>
                </w:tcPr>
                <w:p w14:paraId="7F981308">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14:textFill>
                        <w14:solidFill>
                          <w14:schemeClr w14:val="tx1"/>
                        </w14:solidFill>
                      </w14:textFill>
                    </w:rPr>
                    <w:t>mg/L</w:t>
                  </w:r>
                </w:p>
              </w:tc>
            </w:tr>
            <w:tr w14:paraId="10657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48" w:type="pct"/>
                  <w:tcBorders>
                    <w:top w:val="single" w:color="auto" w:sz="4" w:space="0"/>
                    <w:left w:val="single" w:color="auto" w:sz="4" w:space="0"/>
                    <w:bottom w:val="single" w:color="auto" w:sz="4" w:space="0"/>
                    <w:right w:val="single" w:color="auto" w:sz="4" w:space="0"/>
                  </w:tcBorders>
                  <w:vAlign w:val="center"/>
                </w:tcPr>
                <w:p w14:paraId="5F4BAE4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硝酸盐氮</w:t>
                  </w:r>
                </w:p>
              </w:tc>
              <w:tc>
                <w:tcPr>
                  <w:tcW w:w="1068" w:type="pct"/>
                  <w:tcBorders>
                    <w:top w:val="single" w:color="auto" w:sz="4" w:space="0"/>
                    <w:left w:val="single" w:color="auto" w:sz="4" w:space="0"/>
                    <w:bottom w:val="single" w:color="auto" w:sz="4" w:space="0"/>
                    <w:right w:val="single" w:color="auto" w:sz="4" w:space="0"/>
                  </w:tcBorders>
                  <w:vAlign w:val="center"/>
                </w:tcPr>
                <w:p w14:paraId="35FC1AA0">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0.23</w:t>
                  </w:r>
                </w:p>
              </w:tc>
              <w:tc>
                <w:tcPr>
                  <w:tcW w:w="862" w:type="pct"/>
                  <w:tcBorders>
                    <w:top w:val="single" w:color="auto" w:sz="4" w:space="0"/>
                    <w:left w:val="single" w:color="auto" w:sz="4" w:space="0"/>
                    <w:bottom w:val="single" w:color="auto" w:sz="4" w:space="0"/>
                    <w:right w:val="single" w:color="auto" w:sz="4" w:space="0"/>
                  </w:tcBorders>
                  <w:vAlign w:val="center"/>
                </w:tcPr>
                <w:p w14:paraId="2C1AE0B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达标</w:t>
                  </w:r>
                </w:p>
              </w:tc>
              <w:tc>
                <w:tcPr>
                  <w:tcW w:w="894" w:type="pct"/>
                  <w:tcBorders>
                    <w:left w:val="single" w:color="auto" w:sz="4" w:space="0"/>
                  </w:tcBorders>
                  <w:vAlign w:val="center"/>
                </w:tcPr>
                <w:p w14:paraId="72AD47B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≤10</w:t>
                  </w:r>
                  <w:r>
                    <w:rPr>
                      <w:rFonts w:hint="eastAsia" w:ascii="Times New Roman" w:hAnsi="Times New Roman" w:cs="Times New Roman"/>
                      <w:color w:val="000000" w:themeColor="text1"/>
                      <w:sz w:val="21"/>
                      <w:szCs w:val="21"/>
                      <w:lang w:val="en-US" w:eastAsia="zh-CN"/>
                      <w14:textFill>
                        <w14:solidFill>
                          <w14:schemeClr w14:val="tx1"/>
                        </w14:solidFill>
                      </w14:textFill>
                    </w:rPr>
                    <w:t>.0</w:t>
                  </w:r>
                </w:p>
              </w:tc>
              <w:tc>
                <w:tcPr>
                  <w:tcW w:w="725" w:type="pct"/>
                  <w:tcBorders>
                    <w:left w:val="single" w:color="auto" w:sz="4" w:space="0"/>
                  </w:tcBorders>
                  <w:vAlign w:val="center"/>
                </w:tcPr>
                <w:p w14:paraId="0DD7E9EA">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14:textFill>
                        <w14:solidFill>
                          <w14:schemeClr w14:val="tx1"/>
                        </w14:solidFill>
                      </w14:textFill>
                    </w:rPr>
                    <w:t>mg/L</w:t>
                  </w:r>
                </w:p>
              </w:tc>
            </w:tr>
            <w:tr w14:paraId="5E550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48" w:type="pct"/>
                  <w:tcBorders>
                    <w:top w:val="single" w:color="auto" w:sz="4" w:space="0"/>
                    <w:left w:val="single" w:color="auto" w:sz="4" w:space="0"/>
                    <w:bottom w:val="single" w:color="auto" w:sz="4" w:space="0"/>
                    <w:right w:val="single" w:color="auto" w:sz="4" w:space="0"/>
                  </w:tcBorders>
                  <w:vAlign w:val="center"/>
                </w:tcPr>
                <w:p w14:paraId="050BC75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粪大肠菌群</w:t>
                  </w:r>
                </w:p>
              </w:tc>
              <w:tc>
                <w:tcPr>
                  <w:tcW w:w="1068" w:type="pct"/>
                  <w:tcBorders>
                    <w:top w:val="single" w:color="auto" w:sz="4" w:space="0"/>
                    <w:left w:val="single" w:color="auto" w:sz="4" w:space="0"/>
                    <w:bottom w:val="single" w:color="auto" w:sz="4" w:space="0"/>
                    <w:right w:val="single" w:color="auto" w:sz="4" w:space="0"/>
                  </w:tcBorders>
                  <w:vAlign w:val="center"/>
                </w:tcPr>
                <w:p w14:paraId="6DF6C26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110</w:t>
                  </w:r>
                </w:p>
              </w:tc>
              <w:tc>
                <w:tcPr>
                  <w:tcW w:w="862" w:type="pct"/>
                  <w:tcBorders>
                    <w:top w:val="single" w:color="auto" w:sz="4" w:space="0"/>
                    <w:left w:val="single" w:color="auto" w:sz="4" w:space="0"/>
                    <w:bottom w:val="single" w:color="auto" w:sz="4" w:space="0"/>
                    <w:right w:val="single" w:color="auto" w:sz="4" w:space="0"/>
                  </w:tcBorders>
                  <w:vAlign w:val="center"/>
                </w:tcPr>
                <w:p w14:paraId="4ECFCE9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Ⅰ</w:t>
                  </w:r>
                </w:p>
              </w:tc>
              <w:tc>
                <w:tcPr>
                  <w:tcW w:w="894" w:type="pct"/>
                  <w:tcBorders>
                    <w:left w:val="single" w:color="auto" w:sz="4" w:space="0"/>
                  </w:tcBorders>
                  <w:vAlign w:val="center"/>
                </w:tcPr>
                <w:p w14:paraId="48F85E8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w:t>
                  </w:r>
                  <w:r>
                    <w:rPr>
                      <w:rFonts w:hint="eastAsia" w:ascii="Times New Roman" w:hAnsi="Times New Roman" w:cs="Times New Roman"/>
                      <w:color w:val="000000" w:themeColor="text1"/>
                      <w:sz w:val="21"/>
                      <w:szCs w:val="21"/>
                      <w:lang w:val="en-US" w:eastAsia="zh-CN"/>
                      <w14:textFill>
                        <w14:solidFill>
                          <w14:schemeClr w14:val="tx1"/>
                        </w14:solidFill>
                      </w14:textFill>
                    </w:rPr>
                    <w:t>10000.0</w:t>
                  </w:r>
                </w:p>
              </w:tc>
              <w:tc>
                <w:tcPr>
                  <w:tcW w:w="725" w:type="pct"/>
                  <w:tcBorders>
                    <w:left w:val="single" w:color="auto" w:sz="4" w:space="0"/>
                  </w:tcBorders>
                  <w:vAlign w:val="center"/>
                </w:tcPr>
                <w:p w14:paraId="47BAABA3">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个</w:t>
                  </w:r>
                  <w:r>
                    <w:rPr>
                      <w:rFonts w:hint="default" w:ascii="Times New Roman" w:hAnsi="Times New Roman" w:eastAsia="宋体" w:cs="Times New Roman"/>
                      <w:color w:val="000000" w:themeColor="text1"/>
                      <w:sz w:val="21"/>
                      <w:szCs w:val="21"/>
                      <w14:textFill>
                        <w14:solidFill>
                          <w14:schemeClr w14:val="tx1"/>
                        </w14:solidFill>
                      </w14:textFill>
                    </w:rPr>
                    <w:t>/L</w:t>
                  </w:r>
                </w:p>
              </w:tc>
            </w:tr>
            <w:tr w14:paraId="6A1D1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48" w:type="pct"/>
                  <w:tcBorders>
                    <w:top w:val="single" w:color="auto" w:sz="4" w:space="0"/>
                    <w:left w:val="single" w:color="auto" w:sz="4" w:space="0"/>
                    <w:bottom w:val="single" w:color="auto" w:sz="4" w:space="0"/>
                    <w:right w:val="single" w:color="auto" w:sz="4" w:space="0"/>
                  </w:tcBorders>
                  <w:vAlign w:val="center"/>
                </w:tcPr>
                <w:p w14:paraId="4A92BC90">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备注</w:t>
                  </w:r>
                </w:p>
              </w:tc>
              <w:tc>
                <w:tcPr>
                  <w:tcW w:w="3551" w:type="pct"/>
                  <w:gridSpan w:val="4"/>
                  <w:tcBorders>
                    <w:top w:val="single" w:color="auto" w:sz="4" w:space="0"/>
                    <w:left w:val="single" w:color="auto" w:sz="4" w:space="0"/>
                    <w:bottom w:val="single" w:color="auto" w:sz="4" w:space="0"/>
                    <w:right w:val="single" w:color="auto" w:sz="4" w:space="0"/>
                  </w:tcBorders>
                  <w:vAlign w:val="center"/>
                </w:tcPr>
                <w:p w14:paraId="649576A4">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1.</w:t>
                  </w:r>
                  <w:r>
                    <w:rPr>
                      <w:rFonts w:hint="default" w:ascii="Times New Roman" w:hAnsi="Times New Roman" w:eastAsia="宋体" w:cs="Times New Roman"/>
                      <w:color w:val="000000" w:themeColor="text1"/>
                      <w:sz w:val="21"/>
                      <w:szCs w:val="21"/>
                      <w14:textFill>
                        <w14:solidFill>
                          <w14:schemeClr w14:val="tx1"/>
                        </w14:solidFill>
                      </w14:textFill>
                    </w:rPr>
                    <w:t>表中数值后带“L”为测值小于检出限，“L”前数值为该项目检出限；</w:t>
                  </w:r>
                </w:p>
                <w:p w14:paraId="5E23877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14:textFill>
                        <w14:solidFill>
                          <w14:schemeClr w14:val="tx1"/>
                        </w14:solidFill>
                      </w14:textFill>
                    </w:rPr>
                    <w:t>.执行《地表水环境质量标准》</w:t>
                  </w:r>
                  <w:r>
                    <w:rPr>
                      <w:rFonts w:hint="eastAsia" w:ascii="Times New Roman" w:hAnsi="Times New Roman" w:cs="Times New Roman"/>
                      <w:color w:val="000000" w:themeColor="text1"/>
                      <w:sz w:val="21"/>
                      <w:szCs w:val="21"/>
                      <w:lang w:eastAsia="zh-CN"/>
                      <w14:textFill>
                        <w14:solidFill>
                          <w14:schemeClr w14:val="tx1"/>
                        </w14:solidFill>
                      </w14:textFill>
                    </w:rPr>
                    <w:t>（</w:t>
                  </w:r>
                  <w:r>
                    <w:rPr>
                      <w:rFonts w:hint="default" w:ascii="Times New Roman" w:hAnsi="Times New Roman" w:eastAsia="宋体" w:cs="Times New Roman"/>
                      <w:color w:val="000000" w:themeColor="text1"/>
                      <w:sz w:val="21"/>
                      <w:szCs w:val="21"/>
                      <w14:textFill>
                        <w14:solidFill>
                          <w14:schemeClr w14:val="tx1"/>
                        </w14:solidFill>
                      </w14:textFill>
                    </w:rPr>
                    <w:t>GB3838-2002</w:t>
                  </w:r>
                  <w:r>
                    <w:rPr>
                      <w:rFonts w:hint="eastAsia" w:ascii="Times New Roman" w:hAnsi="Times New Roman" w:cs="Times New Roman"/>
                      <w:color w:val="000000" w:themeColor="text1"/>
                      <w:sz w:val="21"/>
                      <w:szCs w:val="21"/>
                      <w:lang w:eastAsia="zh-CN"/>
                      <w14:textFill>
                        <w14:solidFill>
                          <w14:schemeClr w14:val="tx1"/>
                        </w14:solidFill>
                      </w14:textFill>
                    </w:rPr>
                    <w:t>）</w:t>
                  </w:r>
                  <w:r>
                    <w:rPr>
                      <w:rFonts w:hint="default" w:ascii="Times New Roman" w:hAnsi="Times New Roman" w:eastAsia="宋体" w:cs="Times New Roman"/>
                      <w:color w:val="000000" w:themeColor="text1"/>
                      <w:sz w:val="21"/>
                      <w:szCs w:val="21"/>
                      <w14:textFill>
                        <w14:solidFill>
                          <w14:schemeClr w14:val="tx1"/>
                        </w14:solidFill>
                      </w14:textFill>
                    </w:rPr>
                    <w:t>。</w:t>
                  </w:r>
                </w:p>
              </w:tc>
            </w:tr>
          </w:tbl>
          <w:p w14:paraId="1276EC0C">
            <w:pPr>
              <w:pStyle w:val="2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firstLine="480" w:firstLineChars="200"/>
              <w:jc w:val="both"/>
              <w:textAlignment w:val="auto"/>
              <w:rPr>
                <w:rFonts w:hint="default" w:ascii="Times New Roman" w:hAnsi="Times New Roman" w:eastAsia="宋体" w:cs="Times New Roman"/>
                <w:color w:val="000000" w:themeColor="text1"/>
                <w:sz w:val="24"/>
                <w:lang w:val="en-US" w:eastAsia="zh-CN"/>
                <w14:textFill>
                  <w14:solidFill>
                    <w14:schemeClr w14:val="tx1"/>
                  </w14:solidFill>
                </w14:textFill>
              </w:rPr>
            </w:pPr>
          </w:p>
          <w:p w14:paraId="79350472">
            <w:pPr>
              <w:pStyle w:val="21"/>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firstLine="480" w:firstLineChars="200"/>
              <w:jc w:val="both"/>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根据</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大西</w:t>
            </w:r>
            <w:r>
              <w:rPr>
                <w:rFonts w:hint="default" w:ascii="Times New Roman" w:hAnsi="Times New Roman" w:eastAsia="宋体" w:cs="Times New Roman"/>
                <w:color w:val="000000" w:themeColor="text1"/>
                <w:sz w:val="24"/>
                <w:szCs w:val="24"/>
                <w14:textFill>
                  <w14:solidFill>
                    <w14:schemeClr w14:val="tx1"/>
                  </w14:solidFill>
                </w14:textFill>
              </w:rPr>
              <w:t>水库水质监测报告，水质达到《地表水环境质量标准》（GB3838-2002）Ⅲ类水标准</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地表水环境质量</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良好</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w:t>
            </w:r>
          </w:p>
          <w:p w14:paraId="7D5FDC0A">
            <w:pPr>
              <w:keepNext w:val="0"/>
              <w:keepLines w:val="0"/>
              <w:pageBreakBefore w:val="0"/>
              <w:numPr>
                <w:ilvl w:val="0"/>
                <w:numId w:val="0"/>
              </w:numPr>
              <w:kinsoku/>
              <w:wordWrap/>
              <w:overflowPunct/>
              <w:topLinePunct w:val="0"/>
              <w:autoSpaceDE/>
              <w:autoSpaceDN/>
              <w:bidi w:val="0"/>
              <w:adjustRightInd w:val="0"/>
              <w:snapToGrid w:val="0"/>
              <w:ind w:leftChars="0" w:firstLine="482" w:firstLineChars="200"/>
              <w:jc w:val="both"/>
              <w:textAlignment w:val="auto"/>
              <w:rPr>
                <w:rFonts w:hint="default" w:ascii="Times New Roman" w:hAnsi="Times New Roman" w:eastAsia="宋体" w:cs="Times New Roman"/>
                <w:b/>
                <w:bCs/>
                <w:color w:val="000000" w:themeColor="text1"/>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4、</w:t>
            </w:r>
            <w:r>
              <w:rPr>
                <w:rFonts w:hint="default" w:ascii="Times New Roman" w:hAnsi="Times New Roman" w:eastAsia="宋体" w:cs="Times New Roman"/>
                <w:b/>
                <w:bCs/>
                <w:color w:val="000000" w:themeColor="text1"/>
                <w14:textFill>
                  <w14:solidFill>
                    <w14:schemeClr w14:val="tx1"/>
                  </w14:solidFill>
                </w14:textFill>
              </w:rPr>
              <w:t>声环境</w:t>
            </w:r>
          </w:p>
          <w:p w14:paraId="1BC979AC">
            <w:pPr>
              <w:keepNext w:val="0"/>
              <w:keepLines w:val="0"/>
              <w:pageBreakBefore w:val="0"/>
              <w:numPr>
                <w:ilvl w:val="0"/>
                <w:numId w:val="0"/>
              </w:numPr>
              <w:kinsoku/>
              <w:wordWrap/>
              <w:overflowPunct/>
              <w:topLinePunct w:val="0"/>
              <w:autoSpaceDE/>
              <w:autoSpaceDN/>
              <w:bidi w:val="0"/>
              <w:adjustRightInd w:val="0"/>
              <w:snapToGrid w:val="0"/>
              <w:ind w:leftChars="0" w:firstLine="482" w:firstLineChars="200"/>
              <w:jc w:val="both"/>
              <w:textAlignment w:val="auto"/>
              <w:rPr>
                <w:rFonts w:hint="default" w:ascii="Times New Roman" w:hAnsi="Times New Roman" w:eastAsia="宋体" w:cs="Times New Roman"/>
                <w:b/>
                <w:bCs/>
                <w:color w:val="000000" w:themeColor="text1"/>
                <w14:textFill>
                  <w14:solidFill>
                    <w14:schemeClr w14:val="tx1"/>
                  </w14:solidFill>
                </w14:textFill>
              </w:rPr>
            </w:pPr>
            <w:r>
              <w:rPr>
                <w:rFonts w:hint="default" w:ascii="Times New Roman" w:hAnsi="Times New Roman" w:eastAsia="宋体" w:cs="Times New Roman"/>
                <w:b/>
                <w:bCs/>
                <w:color w:val="000000" w:themeColor="text1"/>
                <w:lang w:eastAsia="zh-CN"/>
                <w14:textFill>
                  <w14:solidFill>
                    <w14:schemeClr w14:val="tx1"/>
                  </w14:solidFill>
                </w14:textFill>
              </w:rPr>
              <w:t>（</w:t>
            </w:r>
            <w:r>
              <w:rPr>
                <w:rFonts w:hint="default" w:ascii="Times New Roman" w:hAnsi="Times New Roman" w:eastAsia="宋体" w:cs="Times New Roman"/>
                <w:b/>
                <w:bCs/>
                <w:color w:val="000000" w:themeColor="text1"/>
                <w:lang w:val="en-US" w:eastAsia="zh-CN"/>
                <w14:textFill>
                  <w14:solidFill>
                    <w14:schemeClr w14:val="tx1"/>
                  </w14:solidFill>
                </w14:textFill>
              </w:rPr>
              <w:t>1</w:t>
            </w:r>
            <w:r>
              <w:rPr>
                <w:rFonts w:hint="default" w:ascii="Times New Roman" w:hAnsi="Times New Roman" w:eastAsia="宋体" w:cs="Times New Roman"/>
                <w:b/>
                <w:bCs/>
                <w:color w:val="000000" w:themeColor="text1"/>
                <w:lang w:eastAsia="zh-CN"/>
                <w14:textFill>
                  <w14:solidFill>
                    <w14:schemeClr w14:val="tx1"/>
                  </w14:solidFill>
                </w14:textFill>
              </w:rPr>
              <w:t>）</w:t>
            </w:r>
            <w:r>
              <w:rPr>
                <w:rFonts w:hint="default" w:ascii="Times New Roman" w:hAnsi="Times New Roman" w:eastAsia="宋体" w:cs="Times New Roman"/>
                <w:b/>
                <w:bCs/>
                <w:color w:val="000000" w:themeColor="text1"/>
                <w14:textFill>
                  <w14:solidFill>
                    <w14:schemeClr w14:val="tx1"/>
                  </w14:solidFill>
                </w14:textFill>
              </w:rPr>
              <w:t>声环境质量执行标准</w:t>
            </w:r>
          </w:p>
          <w:p w14:paraId="383948E7">
            <w:pPr>
              <w:keepNext w:val="0"/>
              <w:keepLines w:val="0"/>
              <w:pageBreakBefore w:val="0"/>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sz w:val="24"/>
                <w:highlight w:val="none"/>
                <w14:textFill>
                  <w14:solidFill>
                    <w14:schemeClr w14:val="tx1"/>
                  </w14:solidFill>
                </w14:textFill>
              </w:rPr>
              <w:t>项目位于</w:t>
            </w:r>
            <w:r>
              <w:rPr>
                <w:rFonts w:hint="default" w:ascii="Times New Roman" w:hAnsi="Times New Roman" w:eastAsia="宋体" w:cs="Times New Roman"/>
                <w:color w:val="000000" w:themeColor="text1"/>
                <w:sz w:val="24"/>
                <w:szCs w:val="24"/>
                <w:u w:val="none"/>
                <w:lang w:val="en-US" w:eastAsia="zh-CN"/>
                <w14:textFill>
                  <w14:solidFill>
                    <w14:schemeClr w14:val="tx1"/>
                  </w14:solidFill>
                </w14:textFill>
              </w:rPr>
              <w:t>峨山县塔甸镇大西村委会大西山</w:t>
            </w:r>
            <w:r>
              <w:rPr>
                <w:rFonts w:hint="default" w:ascii="Times New Roman" w:hAnsi="Times New Roman" w:eastAsia="宋体" w:cs="Times New Roman"/>
                <w:color w:val="000000" w:themeColor="text1"/>
                <w:sz w:val="24"/>
                <w:highlight w:val="none"/>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本项目位于农村环境，属于1类声环境功能区，执行《声环境质量标准》（GB3096-2008）中的1类标准，标准值见下表。</w:t>
            </w:r>
          </w:p>
          <w:p w14:paraId="495C837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color w:val="000000" w:themeColor="text1"/>
                <w:sz w:val="21"/>
                <w:szCs w:val="21"/>
                <w14:textFill>
                  <w14:solidFill>
                    <w14:schemeClr w14:val="tx1"/>
                  </w14:solidFill>
                </w14:textFill>
              </w:rPr>
            </w:pPr>
            <w:r>
              <w:rPr>
                <w:rFonts w:hint="default" w:ascii="Times New Roman" w:hAnsi="Times New Roman" w:eastAsia="宋体" w:cs="Times New Roman"/>
                <w:b/>
                <w:color w:val="000000" w:themeColor="text1"/>
                <w:sz w:val="21"/>
                <w:szCs w:val="21"/>
                <w14:textFill>
                  <w14:solidFill>
                    <w14:schemeClr w14:val="tx1"/>
                  </w14:solidFill>
                </w14:textFill>
              </w:rPr>
              <w:t>表</w:t>
            </w:r>
            <w:r>
              <w:rPr>
                <w:rFonts w:hint="default" w:ascii="Times New Roman" w:hAnsi="Times New Roman" w:eastAsia="宋体" w:cs="Times New Roman"/>
                <w:b/>
                <w:color w:val="000000" w:themeColor="text1"/>
                <w:sz w:val="21"/>
                <w:szCs w:val="21"/>
                <w:lang w:val="en-US" w:eastAsia="zh-CN"/>
                <w14:textFill>
                  <w14:solidFill>
                    <w14:schemeClr w14:val="tx1"/>
                  </w14:solidFill>
                </w14:textFill>
              </w:rPr>
              <w:t>3-1</w:t>
            </w:r>
            <w:r>
              <w:rPr>
                <w:rFonts w:hint="eastAsia" w:ascii="Times New Roman" w:hAnsi="Times New Roman" w:cs="Times New Roman"/>
                <w:b/>
                <w:color w:val="000000" w:themeColor="text1"/>
                <w:sz w:val="21"/>
                <w:szCs w:val="21"/>
                <w:lang w:val="en-US" w:eastAsia="zh-CN"/>
                <w14:textFill>
                  <w14:solidFill>
                    <w14:schemeClr w14:val="tx1"/>
                  </w14:solidFill>
                </w14:textFill>
              </w:rPr>
              <w:t xml:space="preserve">2   </w:t>
            </w:r>
            <w:r>
              <w:rPr>
                <w:rFonts w:hint="default" w:ascii="Times New Roman" w:hAnsi="Times New Roman" w:eastAsia="宋体" w:cs="Times New Roman"/>
                <w:b/>
                <w:color w:val="000000" w:themeColor="text1"/>
                <w:sz w:val="21"/>
                <w:szCs w:val="21"/>
                <w14:textFill>
                  <w14:solidFill>
                    <w14:schemeClr w14:val="tx1"/>
                  </w14:solidFill>
                </w14:textFill>
              </w:rPr>
              <w:t>声环境质量标准</w:t>
            </w:r>
          </w:p>
          <w:tbl>
            <w:tblPr>
              <w:tblStyle w:val="26"/>
              <w:tblW w:w="75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9"/>
              <w:gridCol w:w="2340"/>
              <w:gridCol w:w="1921"/>
              <w:gridCol w:w="1923"/>
            </w:tblGrid>
            <w:tr w14:paraId="68DA3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0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6C1B4F8">
                  <w:pPr>
                    <w:spacing w:line="240" w:lineRule="auto"/>
                    <w:ind w:firstLine="0" w:firstLineChars="0"/>
                    <w:jc w:val="center"/>
                    <w:rPr>
                      <w:rFonts w:hint="default" w:ascii="Times New Roman" w:hAnsi="Times New Roman" w:eastAsia="宋体" w:cs="Times New Roman"/>
                      <w:b/>
                      <w:bCs/>
                      <w:color w:val="000000" w:themeColor="text1"/>
                      <w:sz w:val="21"/>
                      <w14:textFill>
                        <w14:solidFill>
                          <w14:schemeClr w14:val="tx1"/>
                        </w14:solidFill>
                      </w14:textFill>
                    </w:rPr>
                  </w:pPr>
                  <w:r>
                    <w:rPr>
                      <w:rFonts w:hint="default" w:ascii="Times New Roman" w:hAnsi="Times New Roman" w:eastAsia="宋体" w:cs="Times New Roman"/>
                      <w:b/>
                      <w:bCs/>
                      <w:color w:val="000000" w:themeColor="text1"/>
                      <w:sz w:val="21"/>
                      <w14:textFill>
                        <w14:solidFill>
                          <w14:schemeClr w14:val="tx1"/>
                        </w14:solidFill>
                      </w14:textFill>
                    </w:rPr>
                    <w:t>类别</w:t>
                  </w:r>
                </w:p>
              </w:tc>
              <w:tc>
                <w:tcPr>
                  <w:tcW w:w="234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D0AE771">
                  <w:pPr>
                    <w:spacing w:line="240" w:lineRule="auto"/>
                    <w:ind w:firstLine="0" w:firstLineChars="0"/>
                    <w:jc w:val="center"/>
                    <w:rPr>
                      <w:rFonts w:hint="default" w:ascii="Times New Roman" w:hAnsi="Times New Roman" w:eastAsia="宋体" w:cs="Times New Roman"/>
                      <w:b/>
                      <w:bCs/>
                      <w:color w:val="000000" w:themeColor="text1"/>
                      <w:sz w:val="21"/>
                      <w14:textFill>
                        <w14:solidFill>
                          <w14:schemeClr w14:val="tx1"/>
                        </w14:solidFill>
                      </w14:textFill>
                    </w:rPr>
                  </w:pPr>
                  <w:r>
                    <w:rPr>
                      <w:rFonts w:hint="default" w:ascii="Times New Roman" w:hAnsi="Times New Roman" w:eastAsia="宋体" w:cs="Times New Roman"/>
                      <w:b/>
                      <w:bCs/>
                      <w:color w:val="000000" w:themeColor="text1"/>
                      <w:sz w:val="21"/>
                      <w14:textFill>
                        <w14:solidFill>
                          <w14:schemeClr w14:val="tx1"/>
                        </w14:solidFill>
                      </w14:textFill>
                    </w:rPr>
                    <w:t>适用区域</w:t>
                  </w:r>
                </w:p>
              </w:tc>
              <w:tc>
                <w:tcPr>
                  <w:tcW w:w="384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9945FB8">
                  <w:pPr>
                    <w:spacing w:line="240" w:lineRule="auto"/>
                    <w:ind w:firstLine="0" w:firstLineChars="0"/>
                    <w:jc w:val="center"/>
                    <w:rPr>
                      <w:rFonts w:hint="default" w:ascii="Times New Roman" w:hAnsi="Times New Roman" w:eastAsia="宋体" w:cs="Times New Roman"/>
                      <w:b/>
                      <w:bCs/>
                      <w:color w:val="000000" w:themeColor="text1"/>
                      <w:sz w:val="21"/>
                      <w14:textFill>
                        <w14:solidFill>
                          <w14:schemeClr w14:val="tx1"/>
                        </w14:solidFill>
                      </w14:textFill>
                    </w:rPr>
                  </w:pPr>
                  <w:r>
                    <w:rPr>
                      <w:rFonts w:hint="default" w:ascii="Times New Roman" w:hAnsi="Times New Roman" w:eastAsia="宋体" w:cs="Times New Roman"/>
                      <w:b/>
                      <w:bCs/>
                      <w:color w:val="000000" w:themeColor="text1"/>
                      <w:sz w:val="21"/>
                      <w14:textFill>
                        <w14:solidFill>
                          <w14:schemeClr w14:val="tx1"/>
                        </w14:solidFill>
                      </w14:textFill>
                    </w:rPr>
                    <w:t>等效声级[dB(A)]</w:t>
                  </w:r>
                </w:p>
              </w:tc>
            </w:tr>
            <w:tr w14:paraId="28CFE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0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73D8D56">
                  <w:pPr>
                    <w:spacing w:line="240" w:lineRule="auto"/>
                    <w:ind w:firstLine="0" w:firstLineChars="0"/>
                    <w:jc w:val="center"/>
                    <w:rPr>
                      <w:rFonts w:hint="default" w:ascii="Times New Roman" w:hAnsi="Times New Roman" w:eastAsia="宋体" w:cs="Times New Roman"/>
                      <w:b/>
                      <w:bCs/>
                      <w:color w:val="000000" w:themeColor="text1"/>
                      <w:sz w:val="21"/>
                      <w14:textFill>
                        <w14:solidFill>
                          <w14:schemeClr w14:val="tx1"/>
                        </w14:solidFill>
                      </w14:textFill>
                    </w:rPr>
                  </w:pPr>
                </w:p>
              </w:tc>
              <w:tc>
                <w:tcPr>
                  <w:tcW w:w="234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09E7228">
                  <w:pPr>
                    <w:spacing w:line="240" w:lineRule="auto"/>
                    <w:ind w:firstLine="0" w:firstLineChars="0"/>
                    <w:jc w:val="center"/>
                    <w:rPr>
                      <w:rFonts w:hint="default" w:ascii="Times New Roman" w:hAnsi="Times New Roman" w:eastAsia="宋体" w:cs="Times New Roman"/>
                      <w:b/>
                      <w:bCs/>
                      <w:color w:val="000000" w:themeColor="text1"/>
                      <w:sz w:val="21"/>
                      <w14:textFill>
                        <w14:solidFill>
                          <w14:schemeClr w14:val="tx1"/>
                        </w14:solidFill>
                      </w14:textFill>
                    </w:rPr>
                  </w:pPr>
                </w:p>
              </w:tc>
              <w:tc>
                <w:tcPr>
                  <w:tcW w:w="1921" w:type="dxa"/>
                  <w:tcBorders>
                    <w:top w:val="single" w:color="auto" w:sz="4" w:space="0"/>
                    <w:left w:val="single" w:color="auto" w:sz="4" w:space="0"/>
                    <w:bottom w:val="single" w:color="auto" w:sz="4" w:space="0"/>
                    <w:right w:val="single" w:color="auto" w:sz="4" w:space="0"/>
                  </w:tcBorders>
                  <w:shd w:val="clear" w:color="auto" w:fill="auto"/>
                  <w:vAlign w:val="center"/>
                </w:tcPr>
                <w:p w14:paraId="1FD5C9C5">
                  <w:pPr>
                    <w:spacing w:line="240" w:lineRule="auto"/>
                    <w:ind w:firstLine="0" w:firstLineChars="0"/>
                    <w:jc w:val="center"/>
                    <w:rPr>
                      <w:rFonts w:hint="default" w:ascii="Times New Roman" w:hAnsi="Times New Roman" w:eastAsia="宋体" w:cs="Times New Roman"/>
                      <w:b/>
                      <w:bCs/>
                      <w:color w:val="000000" w:themeColor="text1"/>
                      <w:sz w:val="21"/>
                      <w14:textFill>
                        <w14:solidFill>
                          <w14:schemeClr w14:val="tx1"/>
                        </w14:solidFill>
                      </w14:textFill>
                    </w:rPr>
                  </w:pPr>
                  <w:r>
                    <w:rPr>
                      <w:rFonts w:hint="default" w:ascii="Times New Roman" w:hAnsi="Times New Roman" w:eastAsia="宋体" w:cs="Times New Roman"/>
                      <w:b/>
                      <w:bCs/>
                      <w:color w:val="000000" w:themeColor="text1"/>
                      <w:sz w:val="21"/>
                      <w14:textFill>
                        <w14:solidFill>
                          <w14:schemeClr w14:val="tx1"/>
                        </w14:solidFill>
                      </w14:textFill>
                    </w:rPr>
                    <w:t>昼间</w:t>
                  </w:r>
                </w:p>
              </w:tc>
              <w:tc>
                <w:tcPr>
                  <w:tcW w:w="1923" w:type="dxa"/>
                  <w:tcBorders>
                    <w:top w:val="single" w:color="auto" w:sz="4" w:space="0"/>
                    <w:left w:val="single" w:color="auto" w:sz="4" w:space="0"/>
                    <w:bottom w:val="single" w:color="auto" w:sz="4" w:space="0"/>
                    <w:right w:val="single" w:color="auto" w:sz="4" w:space="0"/>
                  </w:tcBorders>
                  <w:shd w:val="clear" w:color="auto" w:fill="auto"/>
                  <w:vAlign w:val="center"/>
                </w:tcPr>
                <w:p w14:paraId="2028F176">
                  <w:pPr>
                    <w:spacing w:line="240" w:lineRule="auto"/>
                    <w:ind w:firstLine="0" w:firstLineChars="0"/>
                    <w:jc w:val="center"/>
                    <w:rPr>
                      <w:rFonts w:hint="default" w:ascii="Times New Roman" w:hAnsi="Times New Roman" w:eastAsia="宋体" w:cs="Times New Roman"/>
                      <w:b/>
                      <w:bCs/>
                      <w:color w:val="000000" w:themeColor="text1"/>
                      <w:sz w:val="21"/>
                      <w14:textFill>
                        <w14:solidFill>
                          <w14:schemeClr w14:val="tx1"/>
                        </w14:solidFill>
                      </w14:textFill>
                    </w:rPr>
                  </w:pPr>
                  <w:r>
                    <w:rPr>
                      <w:rFonts w:hint="default" w:ascii="Times New Roman" w:hAnsi="Times New Roman" w:eastAsia="宋体" w:cs="Times New Roman"/>
                      <w:b/>
                      <w:bCs/>
                      <w:color w:val="000000" w:themeColor="text1"/>
                      <w:sz w:val="21"/>
                      <w14:textFill>
                        <w14:solidFill>
                          <w14:schemeClr w14:val="tx1"/>
                        </w14:solidFill>
                      </w14:textFill>
                    </w:rPr>
                    <w:t>夜间</w:t>
                  </w:r>
                </w:p>
              </w:tc>
            </w:tr>
            <w:tr w14:paraId="64EBB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09" w:type="dxa"/>
                  <w:tcBorders>
                    <w:top w:val="single" w:color="auto" w:sz="4" w:space="0"/>
                    <w:left w:val="single" w:color="auto" w:sz="4" w:space="0"/>
                    <w:bottom w:val="single" w:color="auto" w:sz="4" w:space="0"/>
                    <w:right w:val="single" w:color="auto" w:sz="4" w:space="0"/>
                  </w:tcBorders>
                  <w:vAlign w:val="center"/>
                </w:tcPr>
                <w:p w14:paraId="34DC7443">
                  <w:pPr>
                    <w:spacing w:line="240" w:lineRule="auto"/>
                    <w:ind w:firstLine="0" w:firstLineChars="0"/>
                    <w:jc w:val="center"/>
                    <w:rPr>
                      <w:rFonts w:hint="default" w:ascii="Times New Roman" w:hAnsi="Times New Roman" w:eastAsia="宋体" w:cs="Times New Roman"/>
                      <w:color w:val="000000" w:themeColor="text1"/>
                      <w:sz w:val="21"/>
                      <w14:textFill>
                        <w14:solidFill>
                          <w14:schemeClr w14:val="tx1"/>
                        </w14:solidFill>
                      </w14:textFill>
                    </w:rPr>
                  </w:pPr>
                  <w:r>
                    <w:rPr>
                      <w:rFonts w:hint="default" w:ascii="Times New Roman" w:hAnsi="Times New Roman" w:eastAsia="宋体" w:cs="Times New Roman"/>
                      <w:color w:val="000000" w:themeColor="text1"/>
                      <w:sz w:val="21"/>
                      <w14:textFill>
                        <w14:solidFill>
                          <w14:schemeClr w14:val="tx1"/>
                        </w14:solidFill>
                      </w14:textFill>
                    </w:rPr>
                    <w:t>1类</w:t>
                  </w:r>
                </w:p>
              </w:tc>
              <w:tc>
                <w:tcPr>
                  <w:tcW w:w="2340" w:type="dxa"/>
                  <w:tcBorders>
                    <w:top w:val="single" w:color="auto" w:sz="4" w:space="0"/>
                    <w:left w:val="single" w:color="auto" w:sz="4" w:space="0"/>
                    <w:bottom w:val="single" w:color="auto" w:sz="4" w:space="0"/>
                    <w:right w:val="single" w:color="auto" w:sz="4" w:space="0"/>
                  </w:tcBorders>
                  <w:vAlign w:val="center"/>
                </w:tcPr>
                <w:p w14:paraId="6DE48D11">
                  <w:pPr>
                    <w:spacing w:line="240" w:lineRule="auto"/>
                    <w:ind w:firstLine="0" w:firstLineChars="0"/>
                    <w:jc w:val="center"/>
                    <w:rPr>
                      <w:rFonts w:hint="default" w:ascii="Times New Roman" w:hAnsi="Times New Roman" w:eastAsia="宋体" w:cs="Times New Roman"/>
                      <w:color w:val="000000" w:themeColor="text1"/>
                      <w:sz w:val="21"/>
                      <w14:textFill>
                        <w14:solidFill>
                          <w14:schemeClr w14:val="tx1"/>
                        </w14:solidFill>
                      </w14:textFill>
                    </w:rPr>
                  </w:pPr>
                  <w:r>
                    <w:rPr>
                      <w:rFonts w:hint="default" w:ascii="Times New Roman" w:hAnsi="Times New Roman" w:eastAsia="宋体" w:cs="Times New Roman"/>
                      <w:color w:val="000000" w:themeColor="text1"/>
                      <w:sz w:val="21"/>
                      <w14:textFill>
                        <w14:solidFill>
                          <w14:schemeClr w14:val="tx1"/>
                        </w14:solidFill>
                      </w14:textFill>
                    </w:rPr>
                    <w:t>项目区</w:t>
                  </w:r>
                </w:p>
              </w:tc>
              <w:tc>
                <w:tcPr>
                  <w:tcW w:w="1921" w:type="dxa"/>
                  <w:tcBorders>
                    <w:top w:val="single" w:color="auto" w:sz="4" w:space="0"/>
                    <w:left w:val="single" w:color="auto" w:sz="4" w:space="0"/>
                    <w:bottom w:val="single" w:color="auto" w:sz="4" w:space="0"/>
                    <w:right w:val="single" w:color="auto" w:sz="4" w:space="0"/>
                  </w:tcBorders>
                  <w:vAlign w:val="center"/>
                </w:tcPr>
                <w:p w14:paraId="09C53718">
                  <w:pPr>
                    <w:spacing w:line="240" w:lineRule="auto"/>
                    <w:ind w:firstLine="0" w:firstLineChars="0"/>
                    <w:jc w:val="center"/>
                    <w:rPr>
                      <w:rFonts w:hint="default" w:ascii="Times New Roman" w:hAnsi="Times New Roman" w:eastAsia="宋体" w:cs="Times New Roman"/>
                      <w:color w:val="000000" w:themeColor="text1"/>
                      <w:sz w:val="21"/>
                      <w14:textFill>
                        <w14:solidFill>
                          <w14:schemeClr w14:val="tx1"/>
                        </w14:solidFill>
                      </w14:textFill>
                    </w:rPr>
                  </w:pPr>
                  <w:r>
                    <w:rPr>
                      <w:rFonts w:hint="default" w:ascii="Times New Roman" w:hAnsi="Times New Roman" w:eastAsia="宋体" w:cs="Times New Roman"/>
                      <w:color w:val="000000" w:themeColor="text1"/>
                      <w:sz w:val="21"/>
                      <w14:textFill>
                        <w14:solidFill>
                          <w14:schemeClr w14:val="tx1"/>
                        </w14:solidFill>
                      </w14:textFill>
                    </w:rPr>
                    <w:t>55</w:t>
                  </w:r>
                </w:p>
              </w:tc>
              <w:tc>
                <w:tcPr>
                  <w:tcW w:w="1923" w:type="dxa"/>
                  <w:tcBorders>
                    <w:top w:val="single" w:color="auto" w:sz="4" w:space="0"/>
                    <w:left w:val="single" w:color="auto" w:sz="4" w:space="0"/>
                    <w:bottom w:val="single" w:color="auto" w:sz="4" w:space="0"/>
                    <w:right w:val="single" w:color="auto" w:sz="4" w:space="0"/>
                  </w:tcBorders>
                  <w:vAlign w:val="center"/>
                </w:tcPr>
                <w:p w14:paraId="31F1F42E">
                  <w:pPr>
                    <w:spacing w:line="240" w:lineRule="auto"/>
                    <w:ind w:firstLine="0" w:firstLineChars="0"/>
                    <w:jc w:val="center"/>
                    <w:rPr>
                      <w:rFonts w:hint="default" w:ascii="Times New Roman" w:hAnsi="Times New Roman" w:eastAsia="宋体" w:cs="Times New Roman"/>
                      <w:color w:val="000000" w:themeColor="text1"/>
                      <w:sz w:val="21"/>
                      <w14:textFill>
                        <w14:solidFill>
                          <w14:schemeClr w14:val="tx1"/>
                        </w14:solidFill>
                      </w14:textFill>
                    </w:rPr>
                  </w:pPr>
                  <w:r>
                    <w:rPr>
                      <w:rFonts w:hint="default" w:ascii="Times New Roman" w:hAnsi="Times New Roman" w:eastAsia="宋体" w:cs="Times New Roman"/>
                      <w:color w:val="000000" w:themeColor="text1"/>
                      <w:sz w:val="21"/>
                      <w14:textFill>
                        <w14:solidFill>
                          <w14:schemeClr w14:val="tx1"/>
                        </w14:solidFill>
                      </w14:textFill>
                    </w:rPr>
                    <w:t>45</w:t>
                  </w:r>
                </w:p>
              </w:tc>
            </w:tr>
          </w:tbl>
          <w:p w14:paraId="57DF3545">
            <w:pPr>
              <w:keepNext w:val="0"/>
              <w:keepLines w:val="0"/>
              <w:pageBreakBefore w:val="0"/>
              <w:numPr>
                <w:ilvl w:val="0"/>
                <w:numId w:val="0"/>
              </w:numPr>
              <w:kinsoku/>
              <w:wordWrap/>
              <w:overflowPunct/>
              <w:topLinePunct w:val="0"/>
              <w:autoSpaceDE/>
              <w:autoSpaceDN/>
              <w:bidi w:val="0"/>
              <w:adjustRightInd w:val="0"/>
              <w:snapToGrid w:val="0"/>
              <w:ind w:leftChars="0" w:firstLine="482" w:firstLineChars="200"/>
              <w:jc w:val="both"/>
              <w:textAlignment w:val="auto"/>
              <w:rPr>
                <w:rFonts w:hint="default" w:ascii="Times New Roman" w:hAnsi="Times New Roman" w:eastAsia="宋体" w:cs="Times New Roman"/>
                <w:b/>
                <w:bCs/>
                <w:color w:val="000000" w:themeColor="text1"/>
                <w:sz w:val="24"/>
                <w:szCs w:val="24"/>
                <w:lang w:eastAsia="zh-CN"/>
                <w14:textFill>
                  <w14:solidFill>
                    <w14:schemeClr w14:val="tx1"/>
                  </w14:solidFill>
                </w14:textFill>
              </w:rPr>
            </w:pPr>
          </w:p>
          <w:p w14:paraId="6CA8CDE3">
            <w:pPr>
              <w:keepNext w:val="0"/>
              <w:keepLines w:val="0"/>
              <w:pageBreakBefore w:val="0"/>
              <w:numPr>
                <w:ilvl w:val="0"/>
                <w:numId w:val="0"/>
              </w:numPr>
              <w:kinsoku/>
              <w:wordWrap/>
              <w:overflowPunct/>
              <w:topLinePunct w:val="0"/>
              <w:autoSpaceDE/>
              <w:autoSpaceDN/>
              <w:bidi w:val="0"/>
              <w:adjustRightInd w:val="0"/>
              <w:snapToGrid w:val="0"/>
              <w:ind w:leftChars="0" w:firstLine="482" w:firstLineChars="200"/>
              <w:jc w:val="both"/>
              <w:textAlignment w:val="auto"/>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lang w:eastAsia="zh-CN"/>
                <w14:textFill>
                  <w14:solidFill>
                    <w14:schemeClr w14:val="tx1"/>
                  </w14:solidFill>
                </w14:textFill>
              </w:rPr>
              <w:t>（</w:t>
            </w: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2</w:t>
            </w:r>
            <w:r>
              <w:rPr>
                <w:rFonts w:hint="default" w:ascii="Times New Roman" w:hAnsi="Times New Roman" w:eastAsia="宋体" w:cs="Times New Roman"/>
                <w:b/>
                <w:bCs/>
                <w:color w:val="000000" w:themeColor="text1"/>
                <w:sz w:val="24"/>
                <w:szCs w:val="24"/>
                <w:lang w:eastAsia="zh-CN"/>
                <w14:textFill>
                  <w14:solidFill>
                    <w14:schemeClr w14:val="tx1"/>
                  </w14:solidFill>
                </w14:textFill>
              </w:rPr>
              <w:t>）</w:t>
            </w:r>
            <w:r>
              <w:rPr>
                <w:rFonts w:hint="default" w:ascii="Times New Roman" w:hAnsi="Times New Roman" w:eastAsia="宋体" w:cs="Times New Roman"/>
                <w:b/>
                <w:bCs/>
                <w:color w:val="000000" w:themeColor="text1"/>
                <w:sz w:val="24"/>
                <w:szCs w:val="24"/>
                <w14:textFill>
                  <w14:solidFill>
                    <w14:schemeClr w14:val="tx1"/>
                  </w14:solidFill>
                </w14:textFill>
              </w:rPr>
              <w:t>声环境质量</w:t>
            </w: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现状</w:t>
            </w:r>
          </w:p>
          <w:p w14:paraId="570D5280">
            <w:pPr>
              <w:keepNext w:val="0"/>
              <w:keepLines w:val="0"/>
              <w:pageBreakBefore w:val="0"/>
              <w:numPr>
                <w:ilvl w:val="0"/>
                <w:numId w:val="0"/>
              </w:numPr>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经实地踏勘50米范围内没有保护目标，根据现场调查，该区域声环境主要受附近</w:t>
            </w:r>
            <w:r>
              <w:rPr>
                <w:rFonts w:hint="default" w:ascii="Times New Roman" w:hAnsi="Times New Roman" w:eastAsia="宋体" w:cs="Times New Roman"/>
                <w:color w:val="000000" w:themeColor="text1"/>
                <w:sz w:val="24"/>
                <w:szCs w:val="24"/>
                <w:highlight w:val="none"/>
                <w14:textFill>
                  <w14:solidFill>
                    <w14:schemeClr w14:val="tx1"/>
                  </w14:solidFill>
                </w14:textFill>
              </w:rPr>
              <w:t>公路过往车辆产生的噪声影响</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，项目不受工业噪声影响，不受居民生活噪声影响，目前项目区声环境质量较好。</w:t>
            </w:r>
          </w:p>
          <w:p w14:paraId="4406191B">
            <w:pPr>
              <w:keepNext w:val="0"/>
              <w:keepLines w:val="0"/>
              <w:pageBreakBefore w:val="0"/>
              <w:numPr>
                <w:ilvl w:val="0"/>
                <w:numId w:val="0"/>
              </w:numPr>
              <w:kinsoku/>
              <w:wordWrap/>
              <w:overflowPunct/>
              <w:topLinePunct w:val="0"/>
              <w:autoSpaceDE/>
              <w:autoSpaceDN/>
              <w:bidi w:val="0"/>
              <w:adjustRightInd w:val="0"/>
              <w:snapToGrid w:val="0"/>
              <w:ind w:leftChars="0" w:firstLine="482" w:firstLineChars="200"/>
              <w:jc w:val="both"/>
              <w:textAlignment w:val="auto"/>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5、地下水</w:t>
            </w:r>
            <w:r>
              <w:rPr>
                <w:rFonts w:hint="eastAsia" w:ascii="Times New Roman" w:hAnsi="Times New Roman" w:cs="Times New Roman"/>
                <w:b/>
                <w:bCs/>
                <w:color w:val="000000" w:themeColor="text1"/>
                <w:sz w:val="24"/>
                <w:szCs w:val="24"/>
                <w:highlight w:val="none"/>
                <w:lang w:val="en-US" w:eastAsia="zh-CN"/>
                <w14:textFill>
                  <w14:solidFill>
                    <w14:schemeClr w14:val="tx1"/>
                  </w14:solidFill>
                </w14:textFill>
              </w:rPr>
              <w:t>、土壤</w:t>
            </w: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环境质量现状。</w:t>
            </w:r>
          </w:p>
          <w:p w14:paraId="0E7233C3">
            <w:pPr>
              <w:keepNext w:val="0"/>
              <w:keepLines w:val="0"/>
              <w:pageBreakBefore w:val="0"/>
              <w:widowControl w:val="0"/>
              <w:numPr>
                <w:ilvl w:val="0"/>
                <w:numId w:val="0"/>
              </w:numPr>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根据《建设项目环境影响报告表编制技术指南</w:t>
            </w: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生态影响类</w:t>
            </w: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试行</w:t>
            </w: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》地下水等环境要素参照环境影响评价技术导则开展现状调查。根据《环境影响评价技术导则</w:t>
            </w: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 xml:space="preserve"> </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地下水环境》（HJ610-2016）附录A，本项目地下水环境影响评价项目类别为</w:t>
            </w: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A</w:t>
            </w:r>
            <w:r>
              <w:rPr>
                <w:rFonts w:hint="default" w:ascii="Times New Roman" w:hAnsi="Times New Roman" w:eastAsia="宋体" w:cs="Times New Roman"/>
                <w:color w:val="000000" w:themeColor="text1"/>
                <w:sz w:val="24"/>
                <w:szCs w:val="24"/>
                <w14:textFill>
                  <w14:solidFill>
                    <w14:schemeClr w14:val="tx1"/>
                  </w14:solidFill>
                </w14:textFill>
              </w:rPr>
              <w:t>农、林、牧、渔、海洋</w:t>
            </w: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中的</w:t>
            </w: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9、农产品基地</w:t>
            </w: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，本项目涉及环境敏感区，需编制报告表，为</w:t>
            </w: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Ⅳ类</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项目；可不开展地下水环境影响评价。</w:t>
            </w:r>
          </w:p>
          <w:p w14:paraId="3CB32F77">
            <w:pPr>
              <w:keepNext w:val="0"/>
              <w:keepLines w:val="0"/>
              <w:pageBreakBefore w:val="0"/>
              <w:widowControl w:val="0"/>
              <w:numPr>
                <w:ilvl w:val="0"/>
                <w:numId w:val="0"/>
              </w:numPr>
              <w:kinsoku/>
              <w:wordWrap/>
              <w:overflowPunct/>
              <w:topLinePunct w:val="0"/>
              <w:autoSpaceDE/>
              <w:autoSpaceDN/>
              <w:bidi w:val="0"/>
              <w:adjustRightInd w:val="0"/>
              <w:snapToGrid w:val="0"/>
              <w:ind w:leftChars="0" w:firstLine="480" w:firstLineChars="200"/>
              <w:jc w:val="both"/>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根据《建设项目环境影响报告表编制技术指南</w:t>
            </w: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生态影响类</w:t>
            </w: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试行</w:t>
            </w: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》土壤等环境要素参照环境影响评价技术导则开展现</w:t>
            </w:r>
            <w:r>
              <w:rPr>
                <w:rFonts w:hint="eastAsia" w:ascii="Times New Roman" w:hAnsi="Times New Roman" w:cs="Times New Roman"/>
                <w:color w:val="000000" w:themeColor="text1"/>
                <w:sz w:val="24"/>
                <w:szCs w:val="24"/>
                <w:lang w:val="en-US" w:eastAsia="zh-CN"/>
                <w14:textFill>
                  <w14:solidFill>
                    <w14:schemeClr w14:val="tx1"/>
                  </w14:solidFill>
                </w14:textFill>
              </w:rPr>
              <w:t>状</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调查。根据《环境影响评价技术导则</w:t>
            </w:r>
            <w:r>
              <w:rPr>
                <w:rFonts w:hint="eastAsia" w:ascii="Times New Roman" w:hAnsi="Times New Roman" w:cs="Times New Roman"/>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土壤环境》（HJ964-2018）中建设项目类别划分，本项目属于附录A中的农林牧渔业，</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属于</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fldChar w:fldCharType="begin"/>
            </w:r>
            <w:r>
              <w:rPr>
                <w:rFonts w:hint="default" w:ascii="Times New Roman" w:hAnsi="Times New Roman" w:eastAsia="宋体" w:cs="Times New Roman"/>
                <w:color w:val="000000" w:themeColor="text1"/>
                <w:sz w:val="24"/>
                <w:szCs w:val="24"/>
                <w:lang w:val="en-US" w:eastAsia="zh-CN"/>
                <w14:textFill>
                  <w14:solidFill>
                    <w14:schemeClr w14:val="tx1"/>
                  </w14:solidFill>
                </w14:textFill>
              </w:rPr>
              <w:instrText xml:space="preserve">=4\*ROMAN\*MERGEFORMAT</w:instrTex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fldChar w:fldCharType="separate"/>
            </w:r>
            <w:r>
              <w:rPr>
                <w:rFonts w:hint="default" w:ascii="Times New Roman" w:hAnsi="Times New Roman" w:eastAsia="宋体" w:cs="Times New Roman"/>
                <w:color w:val="000000" w:themeColor="text1"/>
                <w:sz w:val="24"/>
                <w:szCs w:val="24"/>
                <w14:textFill>
                  <w14:solidFill>
                    <w14:schemeClr w14:val="tx1"/>
                  </w14:solidFill>
                </w14:textFill>
              </w:rPr>
              <w:t>IV</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fldChar w:fldCharType="end"/>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类项目，本项目属于生态影响型，根据生态影响型敏感程度分级表，土壤环境敏感程度为不敏感，</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fldChar w:fldCharType="begin"/>
            </w:r>
            <w:r>
              <w:rPr>
                <w:rFonts w:hint="default" w:ascii="Times New Roman" w:hAnsi="Times New Roman" w:eastAsia="宋体" w:cs="Times New Roman"/>
                <w:color w:val="000000" w:themeColor="text1"/>
                <w:sz w:val="24"/>
                <w:szCs w:val="24"/>
                <w:lang w:val="en-US" w:eastAsia="zh-CN"/>
                <w14:textFill>
                  <w14:solidFill>
                    <w14:schemeClr w14:val="tx1"/>
                  </w14:solidFill>
                </w14:textFill>
              </w:rPr>
              <w:instrText xml:space="preserve">=4\*ROMAN\*MERGEFORMAT</w:instrTex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fldChar w:fldCharType="separate"/>
            </w:r>
            <w:r>
              <w:rPr>
                <w:rFonts w:hint="default" w:ascii="Times New Roman" w:hAnsi="Times New Roman" w:eastAsia="宋体" w:cs="Times New Roman"/>
                <w:color w:val="000000" w:themeColor="text1"/>
                <w:sz w:val="24"/>
                <w:szCs w:val="24"/>
                <w14:textFill>
                  <w14:solidFill>
                    <w14:schemeClr w14:val="tx1"/>
                  </w14:solidFill>
                </w14:textFill>
              </w:rPr>
              <w:t>IV</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fldChar w:fldCharType="end"/>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类项</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目不敏感可不开展土壤环境影响评价，因此，本次评价未对土壤环境现状进行调查。根据现场踏勘，本工程位于农村地区，周边无工业污染源，主要为农村面源和农业污染源，土壤环境质量较好。</w:t>
            </w:r>
          </w:p>
          <w:p w14:paraId="4602881B">
            <w:pPr>
              <w:pStyle w:val="8"/>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leftChars="0" w:right="0" w:rightChars="0" w:firstLine="480" w:firstLineChars="200"/>
              <w:jc w:val="both"/>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项目种植期使用化肥及农药，项目化肥及农药均购买符合相关国家标准的产品；使用过程根据种植类别定制合理的使用标准，项目不设置使用炸药、毒品捕杀，灌溉采用滴灌及喷灌，灌溉过程中水的损耗量较小，进入土壤的水量较小，不会形成地表漫流，对土壤及地下水的影响较小。</w:t>
            </w:r>
          </w:p>
          <w:p w14:paraId="50139051">
            <w:pPr>
              <w:pStyle w:val="8"/>
              <w:keepNext w:val="0"/>
              <w:keepLines w:val="0"/>
              <w:pageBreakBefore w:val="0"/>
              <w:widowControl/>
              <w:numPr>
                <w:ilvl w:val="0"/>
                <w:numId w:val="0"/>
              </w:numPr>
              <w:kinsoku/>
              <w:wordWrap/>
              <w:overflowPunct/>
              <w:topLinePunct w:val="0"/>
              <w:autoSpaceDE/>
              <w:autoSpaceDN/>
              <w:bidi w:val="0"/>
              <w:adjustRightInd/>
              <w:snapToGrid w:val="0"/>
              <w:spacing w:before="0" w:after="0" w:line="360" w:lineRule="auto"/>
              <w:ind w:right="0" w:rightChars="0" w:firstLine="480" w:firstLineChars="200"/>
              <w:jc w:val="both"/>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p>
        </w:tc>
      </w:tr>
      <w:tr w14:paraId="16E159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3" w:type="pct"/>
            <w:vAlign w:val="center"/>
          </w:tcPr>
          <w:p w14:paraId="4D277C62">
            <w:pPr>
              <w:adjustRightInd w:val="0"/>
              <w:snapToGrid w:val="0"/>
              <w:ind w:firstLine="0" w:firstLineChars="0"/>
              <w:jc w:val="both"/>
              <w:rPr>
                <w:rFonts w:hint="default" w:ascii="Times New Roman" w:hAnsi="Times New Roman" w:eastAsia="宋体" w:cs="Times New Roman"/>
                <w:color w:val="000000" w:themeColor="text1"/>
                <w:kern w:val="0"/>
                <w:szCs w:val="21"/>
                <w:lang w:val="en-US" w:eastAsia="zh-CN"/>
                <w14:textFill>
                  <w14:solidFill>
                    <w14:schemeClr w14:val="tx1"/>
                  </w14:solidFill>
                </w14:textFill>
              </w:rPr>
            </w:pPr>
            <w:r>
              <w:rPr>
                <w:rFonts w:hint="default" w:ascii="Times New Roman" w:hAnsi="Times New Roman" w:eastAsia="宋体" w:cs="Times New Roman"/>
                <w:bCs/>
                <w:color w:val="000000" w:themeColor="text1"/>
                <w:sz w:val="24"/>
                <w:szCs w:val="24"/>
                <w14:textFill>
                  <w14:solidFill>
                    <w14:schemeClr w14:val="tx1"/>
                  </w14:solidFill>
                </w14:textFill>
              </w:rPr>
              <w:t>与项目有关的原有环境污染和生态破坏</w:t>
            </w:r>
            <w:r>
              <w:rPr>
                <w:rFonts w:hint="default" w:ascii="Times New Roman" w:hAnsi="Times New Roman" w:eastAsia="宋体" w:cs="Times New Roman"/>
                <w:bCs/>
                <w:color w:val="000000" w:themeColor="text1"/>
                <w:sz w:val="24"/>
                <w:szCs w:val="24"/>
                <w:lang w:val="en-US" w:eastAsia="zh-CN"/>
                <w14:textFill>
                  <w14:solidFill>
                    <w14:schemeClr w14:val="tx1"/>
                  </w14:solidFill>
                </w14:textFill>
              </w:rPr>
              <w:t>问题</w:t>
            </w:r>
          </w:p>
        </w:tc>
        <w:tc>
          <w:tcPr>
            <w:tcW w:w="4546" w:type="pct"/>
            <w:vAlign w:val="center"/>
          </w:tcPr>
          <w:p w14:paraId="64AAC578">
            <w:pPr>
              <w:keepNext w:val="0"/>
              <w:keepLines w:val="0"/>
              <w:pageBreakBefore w:val="0"/>
              <w:widowControl w:val="0"/>
              <w:kinsoku/>
              <w:wordWrap/>
              <w:overflowPunct/>
              <w:topLinePunct w:val="0"/>
              <w:autoSpaceDE/>
              <w:autoSpaceDN/>
              <w:bidi w:val="0"/>
              <w:adjustRightInd w:val="0"/>
              <w:snapToGrid w:val="0"/>
              <w:ind w:left="0" w:leftChars="0" w:firstLine="480" w:firstLineChars="20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项目位于</w:t>
            </w:r>
            <w:r>
              <w:rPr>
                <w:rFonts w:hint="default" w:ascii="Times New Roman" w:hAnsi="Times New Roman" w:eastAsia="宋体" w:cs="Times New Roman"/>
                <w:color w:val="000000" w:themeColor="text1"/>
                <w:sz w:val="24"/>
                <w:szCs w:val="24"/>
                <w:u w:val="none"/>
                <w:lang w:val="en-US" w:eastAsia="zh-CN"/>
                <w14:textFill>
                  <w14:solidFill>
                    <w14:schemeClr w14:val="tx1"/>
                  </w14:solidFill>
                </w14:textFill>
              </w:rPr>
              <w:t>峨山县塔甸镇大西村委会大西山</w:t>
            </w:r>
            <w:r>
              <w:rPr>
                <w:rFonts w:hint="default" w:ascii="Times New Roman" w:hAnsi="Times New Roman" w:eastAsia="宋体" w:cs="Times New Roman"/>
                <w:color w:val="000000" w:themeColor="text1"/>
                <w:kern w:val="0"/>
                <w:sz w:val="24"/>
                <w:szCs w:val="24"/>
                <w:lang w:eastAsia="zh-CN"/>
                <w14:textFill>
                  <w14:solidFill>
                    <w14:schemeClr w14:val="tx1"/>
                  </w14:solidFill>
                </w14:textFill>
              </w:rPr>
              <w:t>，</w:t>
            </w: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属于</w:t>
            </w:r>
            <w:r>
              <w:rPr>
                <w:rFonts w:hint="default" w:ascii="Times New Roman" w:hAnsi="Times New Roman" w:eastAsia="宋体" w:cs="Times New Roman"/>
                <w:color w:val="000000" w:themeColor="text1"/>
                <w:kern w:val="0"/>
                <w:sz w:val="24"/>
                <w:szCs w:val="24"/>
                <w14:textFill>
                  <w14:solidFill>
                    <w14:schemeClr w14:val="tx1"/>
                  </w14:solidFill>
                </w14:textFill>
              </w:rPr>
              <w:t>新建项目，</w:t>
            </w:r>
            <w:r>
              <w:rPr>
                <w:rFonts w:hint="default" w:ascii="Times New Roman" w:hAnsi="Times New Roman" w:eastAsia="宋体" w:cs="Times New Roman"/>
                <w:color w:val="000000" w:themeColor="text1"/>
                <w:kern w:val="0"/>
                <w:sz w:val="24"/>
                <w:szCs w:val="24"/>
                <w:lang w:eastAsia="zh-CN"/>
                <w14:textFill>
                  <w14:solidFill>
                    <w14:schemeClr w14:val="tx1"/>
                  </w14:solidFill>
                </w14:textFill>
              </w:rPr>
              <w:t>根据现场勘查，</w:t>
            </w:r>
            <w:r>
              <w:rPr>
                <w:rFonts w:hint="eastAsia" w:ascii="Times New Roman" w:hAnsi="Times New Roman" w:cs="Times New Roman"/>
                <w:color w:val="000000" w:themeColor="text1"/>
                <w:kern w:val="0"/>
                <w:sz w:val="24"/>
                <w:szCs w:val="24"/>
                <w:lang w:val="en-US" w:eastAsia="zh-CN"/>
                <w14:textFill>
                  <w14:solidFill>
                    <w14:schemeClr w14:val="tx1"/>
                  </w14:solidFill>
                </w14:textFill>
              </w:rPr>
              <w:t>项目选址区域现状主要是荒山荒地，主要是原生植被，少部分区域种植有少量果树，部分区域有农膜与农药包装废弃物遗留</w:t>
            </w:r>
            <w:r>
              <w:rPr>
                <w:rFonts w:hint="default" w:ascii="Times New Roman" w:hAnsi="Times New Roman" w:eastAsia="宋体" w:cs="Times New Roman"/>
                <w:color w:val="000000" w:themeColor="text1"/>
                <w:kern w:val="0"/>
                <w:sz w:val="24"/>
                <w:szCs w:val="24"/>
                <w:lang w:eastAsia="zh-CN"/>
                <w14:textFill>
                  <w14:solidFill>
                    <w14:schemeClr w14:val="tx1"/>
                  </w14:solidFill>
                </w14:textFill>
              </w:rPr>
              <w:t>。</w:t>
            </w:r>
          </w:p>
        </w:tc>
      </w:tr>
      <w:tr w14:paraId="5044F8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53" w:type="pct"/>
            <w:vAlign w:val="center"/>
          </w:tcPr>
          <w:p w14:paraId="4B11A996">
            <w:pPr>
              <w:adjustRightInd w:val="0"/>
              <w:snapToGrid w:val="0"/>
              <w:ind w:firstLine="0" w:firstLineChars="0"/>
              <w:jc w:val="both"/>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Cs w:val="21"/>
                <w14:textFill>
                  <w14:solidFill>
                    <w14:schemeClr w14:val="tx1"/>
                  </w14:solidFill>
                </w14:textFill>
              </w:rPr>
              <w:t>生态环境保护目标</w:t>
            </w:r>
          </w:p>
        </w:tc>
        <w:tc>
          <w:tcPr>
            <w:tcW w:w="4546" w:type="pct"/>
            <w:vAlign w:val="center"/>
          </w:tcPr>
          <w:p w14:paraId="73ACE604">
            <w:pPr>
              <w:keepNext w:val="0"/>
              <w:keepLines w:val="0"/>
              <w:pageBreakBefore w:val="0"/>
              <w:kinsoku/>
              <w:wordWrap/>
              <w:overflowPunct/>
              <w:topLinePunct w:val="0"/>
              <w:autoSpaceDE/>
              <w:autoSpaceDN/>
              <w:bidi w:val="0"/>
              <w:adjustRightInd w:val="0"/>
              <w:snapToGrid w:val="0"/>
              <w:jc w:val="both"/>
              <w:textAlignment w:val="auto"/>
              <w:rPr>
                <w:rFonts w:hint="default" w:ascii="Times New Roman" w:hAnsi="Times New Roman" w:cs="Times New Roman"/>
                <w:b/>
                <w:bCs/>
                <w:color w:val="000000" w:themeColor="text1"/>
                <w:lang w:val="en-US" w:eastAsia="zh-CN"/>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1、生态环境</w:t>
            </w:r>
          </w:p>
          <w:p w14:paraId="237C6006">
            <w:pPr>
              <w:keepNext w:val="0"/>
              <w:keepLines w:val="0"/>
              <w:pageBreakBefore w:val="0"/>
              <w:kinsoku/>
              <w:wordWrap/>
              <w:overflowPunct/>
              <w:topLinePunct w:val="0"/>
              <w:autoSpaceDE/>
              <w:autoSpaceDN/>
              <w:bidi w:val="0"/>
              <w:adjustRightInd w:val="0"/>
              <w:snapToGrid w:val="0"/>
              <w:jc w:val="both"/>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本项目位于玉溪市</w:t>
            </w:r>
            <w:r>
              <w:rPr>
                <w:rFonts w:hint="default" w:ascii="Times New Roman" w:hAnsi="Times New Roman" w:cs="Times New Roman"/>
                <w:color w:val="000000" w:themeColor="text1"/>
                <w:lang w:val="en-US" w:eastAsia="zh-CN"/>
                <w14:textFill>
                  <w14:solidFill>
                    <w14:schemeClr w14:val="tx1"/>
                  </w14:solidFill>
                </w14:textFill>
              </w:rPr>
              <w:t>峨山县</w:t>
            </w:r>
            <w:r>
              <w:rPr>
                <w:rFonts w:hint="default" w:ascii="Times New Roman" w:hAnsi="Times New Roman" w:cs="Times New Roman"/>
                <w:color w:val="000000" w:themeColor="text1"/>
                <w14:textFill>
                  <w14:solidFill>
                    <w14:schemeClr w14:val="tx1"/>
                  </w14:solidFill>
                </w14:textFill>
              </w:rPr>
              <w:t>境内，项目所在区域涉及</w:t>
            </w:r>
            <w:r>
              <w:rPr>
                <w:rFonts w:hint="default" w:ascii="Times New Roman" w:hAnsi="Times New Roman" w:cs="Times New Roman"/>
                <w:color w:val="000000" w:themeColor="text1"/>
                <w:lang w:val="en-US" w:eastAsia="zh-CN"/>
                <w14:textFill>
                  <w14:solidFill>
                    <w14:schemeClr w14:val="tx1"/>
                  </w14:solidFill>
                </w14:textFill>
              </w:rPr>
              <w:t>饮用水水源地二级</w:t>
            </w:r>
            <w:r>
              <w:rPr>
                <w:rFonts w:hint="default" w:ascii="Times New Roman" w:hAnsi="Times New Roman" w:cs="Times New Roman"/>
                <w:color w:val="000000" w:themeColor="text1"/>
                <w14:textFill>
                  <w14:solidFill>
                    <w14:schemeClr w14:val="tx1"/>
                  </w14:solidFill>
                </w14:textFill>
              </w:rPr>
              <w:t>保护区，项目生态环境评价范围以项目边界为基础外延</w:t>
            </w:r>
            <w:r>
              <w:rPr>
                <w:rFonts w:hint="default" w:ascii="Times New Roman" w:hAnsi="Times New Roman" w:cs="Times New Roman"/>
                <w:color w:val="000000" w:themeColor="text1"/>
                <w:lang w:val="en-US" w:eastAsia="zh-CN"/>
                <w14:textFill>
                  <w14:solidFill>
                    <w14:schemeClr w14:val="tx1"/>
                  </w14:solidFill>
                </w14:textFill>
              </w:rPr>
              <w:t>3</w:t>
            </w:r>
            <w:r>
              <w:rPr>
                <w:rFonts w:hint="default" w:ascii="Times New Roman" w:hAnsi="Times New Roman" w:cs="Times New Roman"/>
                <w:color w:val="000000" w:themeColor="text1"/>
                <w14:textFill>
                  <w14:solidFill>
                    <w14:schemeClr w14:val="tx1"/>
                  </w14:solidFill>
                </w14:textFill>
              </w:rPr>
              <w:t>00m范围。生态环境保护目标为评价范围内的</w:t>
            </w:r>
            <w:r>
              <w:rPr>
                <w:rFonts w:hint="default" w:ascii="Times New Roman" w:hAnsi="Times New Roman" w:cs="Times New Roman"/>
                <w:color w:val="000000" w:themeColor="text1"/>
                <w:lang w:val="en-US" w:eastAsia="zh-CN"/>
                <w14:textFill>
                  <w14:solidFill>
                    <w14:schemeClr w14:val="tx1"/>
                  </w14:solidFill>
                </w14:textFill>
              </w:rPr>
              <w:t>水资源、</w:t>
            </w:r>
            <w:r>
              <w:rPr>
                <w:rFonts w:hint="default" w:ascii="Times New Roman" w:hAnsi="Times New Roman" w:cs="Times New Roman"/>
                <w:color w:val="000000" w:themeColor="text1"/>
                <w14:textFill>
                  <w14:solidFill>
                    <w14:schemeClr w14:val="tx1"/>
                  </w14:solidFill>
                </w14:textFill>
              </w:rPr>
              <w:t>动植物资源、土壤、水土流失。</w:t>
            </w:r>
          </w:p>
          <w:p w14:paraId="1A189CA2">
            <w:pPr>
              <w:keepNext w:val="0"/>
              <w:keepLines w:val="0"/>
              <w:pageBreakBefore w:val="0"/>
              <w:kinsoku/>
              <w:wordWrap/>
              <w:overflowPunct/>
              <w:topLinePunct w:val="0"/>
              <w:autoSpaceDE/>
              <w:autoSpaceDN/>
              <w:bidi w:val="0"/>
              <w:adjustRightInd w:val="0"/>
              <w:snapToGrid w:val="0"/>
              <w:jc w:val="both"/>
              <w:textAlignment w:val="auto"/>
              <w:rPr>
                <w:rFonts w:hint="default" w:ascii="Times New Roman" w:hAnsi="Times New Roman" w:cs="Times New Roman"/>
                <w:b/>
                <w:bCs/>
                <w:color w:val="000000" w:themeColor="text1"/>
                <w:lang w:val="en-US" w:eastAsia="zh-CN"/>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2、大气环境</w:t>
            </w:r>
          </w:p>
          <w:p w14:paraId="03A96253">
            <w:pPr>
              <w:keepNext w:val="0"/>
              <w:keepLines w:val="0"/>
              <w:pageBreakBefore w:val="0"/>
              <w:kinsoku/>
              <w:wordWrap/>
              <w:overflowPunct/>
              <w:topLinePunct w:val="0"/>
              <w:autoSpaceDE/>
              <w:autoSpaceDN/>
              <w:bidi w:val="0"/>
              <w:adjustRightInd w:val="0"/>
              <w:snapToGrid w:val="0"/>
              <w:jc w:val="both"/>
              <w:textAlignment w:val="auto"/>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eastAsia="zh-CN"/>
                <w14:textFill>
                  <w14:solidFill>
                    <w14:schemeClr w14:val="tx1"/>
                  </w14:solidFill>
                </w14:textFill>
              </w:rPr>
              <w:t>项目选址位于</w:t>
            </w:r>
            <w:r>
              <w:rPr>
                <w:rFonts w:hint="default" w:ascii="Times New Roman" w:hAnsi="Times New Roman" w:cs="Times New Roman"/>
                <w:color w:val="000000" w:themeColor="text1"/>
                <w:lang w:val="en-US" w:eastAsia="zh-CN"/>
                <w14:textFill>
                  <w14:solidFill>
                    <w14:schemeClr w14:val="tx1"/>
                  </w14:solidFill>
                </w14:textFill>
              </w:rPr>
              <w:t>峨山县塔甸镇大西村委会大西山</w:t>
            </w:r>
            <w:r>
              <w:rPr>
                <w:rFonts w:hint="eastAsia"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本次评价大气环境主要考虑</w:t>
            </w:r>
            <w:r>
              <w:rPr>
                <w:rFonts w:hint="default" w:ascii="Times New Roman" w:hAnsi="Times New Roman" w:cs="Times New Roman"/>
                <w:color w:val="000000" w:themeColor="text1"/>
                <w:lang w:val="en-US" w:eastAsia="zh-CN"/>
                <w14:textFill>
                  <w14:solidFill>
                    <w14:schemeClr w14:val="tx1"/>
                  </w14:solidFill>
                </w14:textFill>
              </w:rPr>
              <w:t>项目区</w:t>
            </w:r>
            <w:r>
              <w:rPr>
                <w:rFonts w:hint="default" w:ascii="Times New Roman" w:hAnsi="Times New Roman" w:cs="Times New Roman"/>
                <w:color w:val="000000" w:themeColor="text1"/>
                <w14:textFill>
                  <w14:solidFill>
                    <w14:schemeClr w14:val="tx1"/>
                  </w14:solidFill>
                </w14:textFill>
              </w:rPr>
              <w:t>周边500m范围</w:t>
            </w:r>
            <w:r>
              <w:rPr>
                <w:rFonts w:hint="default"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根据现场踏勘及调查</w:t>
            </w:r>
            <w:r>
              <w:rPr>
                <w:rFonts w:hint="default" w:ascii="Times New Roman" w:hAnsi="Times New Roman" w:cs="Times New Roman"/>
                <w:color w:val="000000" w:themeColor="text1"/>
                <w14:textFill>
                  <w14:solidFill>
                    <w14:schemeClr w14:val="tx1"/>
                  </w14:solidFill>
                </w14:textFill>
              </w:rPr>
              <w:t>，项目</w:t>
            </w:r>
            <w:r>
              <w:rPr>
                <w:rFonts w:hint="default" w:ascii="Times New Roman" w:hAnsi="Times New Roman" w:cs="Times New Roman"/>
                <w:color w:val="000000" w:themeColor="text1"/>
                <w:lang w:val="en-US" w:eastAsia="zh-CN"/>
                <w14:textFill>
                  <w14:solidFill>
                    <w14:schemeClr w14:val="tx1"/>
                  </w14:solidFill>
                </w14:textFill>
              </w:rPr>
              <w:t>区周边500米范围内无敏感点</w:t>
            </w:r>
            <w:r>
              <w:rPr>
                <w:rFonts w:hint="default" w:ascii="Times New Roman" w:hAnsi="Times New Roman" w:cs="Times New Roman"/>
                <w:color w:val="000000" w:themeColor="text1"/>
                <w14:textFill>
                  <w14:solidFill>
                    <w14:schemeClr w14:val="tx1"/>
                  </w14:solidFill>
                </w14:textFill>
              </w:rPr>
              <w:t>。</w:t>
            </w:r>
          </w:p>
          <w:p w14:paraId="289A7F27">
            <w:pPr>
              <w:keepNext w:val="0"/>
              <w:keepLines w:val="0"/>
              <w:pageBreakBefore w:val="0"/>
              <w:widowControl w:val="0"/>
              <w:kinsoku/>
              <w:wordWrap/>
              <w:overflowPunct/>
              <w:topLinePunct w:val="0"/>
              <w:autoSpaceDE/>
              <w:autoSpaceDN/>
              <w:bidi w:val="0"/>
              <w:adjustRightInd w:val="0"/>
              <w:snapToGrid w:val="0"/>
              <w:ind w:firstLine="480"/>
              <w:jc w:val="both"/>
              <w:textAlignment w:val="auto"/>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3、地表水环境</w:t>
            </w:r>
          </w:p>
          <w:p w14:paraId="31BD50F1">
            <w:pPr>
              <w:keepNext w:val="0"/>
              <w:keepLines w:val="0"/>
              <w:pageBreakBefore w:val="0"/>
              <w:widowControl/>
              <w:suppressLineNumbers w:val="0"/>
              <w:kinsoku/>
              <w:wordWrap/>
              <w:overflowPunct/>
              <w:topLinePunct w:val="0"/>
              <w:autoSpaceDE/>
              <w:autoSpaceDN/>
              <w:bidi w:val="0"/>
              <w:adjustRightInd w:val="0"/>
              <w:snapToGrid w:val="0"/>
              <w:ind w:left="0" w:leftChars="0" w:firstLine="480" w:firstLineChars="200"/>
              <w:jc w:val="both"/>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本项目</w:t>
            </w:r>
            <w:r>
              <w:rPr>
                <w:rFonts w:hint="default" w:ascii="Times New Roman" w:hAnsi="Times New Roman" w:eastAsia="宋体" w:cs="Times New Roman"/>
                <w:color w:val="000000" w:themeColor="text1"/>
                <w:sz w:val="24"/>
                <w:szCs w:val="24"/>
                <w:lang w:eastAsia="zh-CN"/>
                <w14:textFill>
                  <w14:solidFill>
                    <w14:schemeClr w14:val="tx1"/>
                  </w14:solidFill>
                </w14:textFill>
              </w:rPr>
              <w:t>位于</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峨山县大西村</w:t>
            </w:r>
            <w:r>
              <w:rPr>
                <w:rFonts w:hint="default" w:ascii="Times New Roman" w:hAnsi="Times New Roman" w:eastAsia="宋体" w:cs="Times New Roman"/>
                <w:color w:val="000000" w:themeColor="text1"/>
                <w:sz w:val="24"/>
                <w:szCs w:val="24"/>
                <w:lang w:eastAsia="zh-CN"/>
                <w14:textFill>
                  <w14:solidFill>
                    <w14:schemeClr w14:val="tx1"/>
                  </w14:solidFill>
                </w14:textFill>
              </w:rPr>
              <w:t>境内，涉及的地表水体</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主要</w:t>
            </w:r>
            <w:r>
              <w:rPr>
                <w:rFonts w:hint="default" w:ascii="Times New Roman" w:hAnsi="Times New Roman" w:eastAsia="宋体" w:cs="Times New Roman"/>
                <w:color w:val="000000" w:themeColor="text1"/>
                <w:sz w:val="24"/>
                <w:szCs w:val="24"/>
                <w:lang w:eastAsia="zh-CN"/>
                <w14:textFill>
                  <w14:solidFill>
                    <w14:schemeClr w14:val="tx1"/>
                  </w14:solidFill>
                </w14:textFill>
              </w:rPr>
              <w:t>为</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大西水库、尼去本水库、他甲河</w:t>
            </w:r>
            <w:r>
              <w:rPr>
                <w:rFonts w:hint="default" w:ascii="Times New Roman" w:hAnsi="Times New Roman" w:eastAsia="宋体" w:cs="Times New Roman"/>
                <w:color w:val="000000" w:themeColor="text1"/>
                <w:sz w:val="24"/>
                <w:szCs w:val="24"/>
                <w:lang w:eastAsia="zh-CN"/>
                <w14:textFill>
                  <w14:solidFill>
                    <w14:schemeClr w14:val="tx1"/>
                  </w14:solidFill>
                </w14:textFill>
              </w:rPr>
              <w:t>等，</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具体地表水保护目标如下表。</w:t>
            </w:r>
          </w:p>
          <w:p w14:paraId="1C23C7F7">
            <w:pPr>
              <w:adjustRightInd w:val="0"/>
              <w:snapToGrid w:val="0"/>
              <w:ind w:firstLine="0" w:firstLineChars="0"/>
              <w:jc w:val="center"/>
              <w:rPr>
                <w:rFonts w:hint="default" w:ascii="Times New Roman" w:hAnsi="Times New Roman" w:eastAsia="宋体" w:cs="Times New Roman"/>
                <w:b/>
                <w:color w:val="000000" w:themeColor="text1"/>
                <w:spacing w:val="4"/>
                <w:kern w:val="0"/>
                <w:sz w:val="21"/>
                <w:szCs w:val="21"/>
                <w14:textFill>
                  <w14:solidFill>
                    <w14:schemeClr w14:val="tx1"/>
                  </w14:solidFill>
                </w14:textFill>
              </w:rPr>
            </w:pPr>
            <w:r>
              <w:rPr>
                <w:rFonts w:hint="default" w:ascii="Times New Roman" w:hAnsi="Times New Roman" w:eastAsia="宋体" w:cs="Times New Roman"/>
                <w:b/>
                <w:color w:val="000000" w:themeColor="text1"/>
                <w:spacing w:val="4"/>
                <w:kern w:val="0"/>
                <w:sz w:val="21"/>
                <w:szCs w:val="21"/>
                <w14:textFill>
                  <w14:solidFill>
                    <w14:schemeClr w14:val="tx1"/>
                  </w14:solidFill>
                </w14:textFill>
              </w:rPr>
              <w:t>表3</w:t>
            </w:r>
            <w:r>
              <w:rPr>
                <w:rFonts w:hint="default" w:ascii="Times New Roman" w:hAnsi="Times New Roman" w:eastAsia="宋体" w:cs="Times New Roman"/>
                <w:b/>
                <w:color w:val="000000" w:themeColor="text1"/>
                <w:spacing w:val="4"/>
                <w:kern w:val="0"/>
                <w:sz w:val="21"/>
                <w:szCs w:val="21"/>
                <w:lang w:val="en-US" w:eastAsia="zh-CN"/>
                <w14:textFill>
                  <w14:solidFill>
                    <w14:schemeClr w14:val="tx1"/>
                  </w14:solidFill>
                </w14:textFill>
              </w:rPr>
              <w:t>-1</w:t>
            </w:r>
            <w:r>
              <w:rPr>
                <w:rFonts w:hint="eastAsia" w:ascii="Times New Roman" w:hAnsi="Times New Roman" w:cs="Times New Roman"/>
                <w:b/>
                <w:color w:val="000000" w:themeColor="text1"/>
                <w:spacing w:val="4"/>
                <w:kern w:val="0"/>
                <w:sz w:val="21"/>
                <w:szCs w:val="21"/>
                <w:lang w:val="en-US" w:eastAsia="zh-CN"/>
                <w14:textFill>
                  <w14:solidFill>
                    <w14:schemeClr w14:val="tx1"/>
                  </w14:solidFill>
                </w14:textFill>
              </w:rPr>
              <w:t xml:space="preserve">3    </w:t>
            </w:r>
            <w:r>
              <w:rPr>
                <w:rFonts w:hint="default" w:ascii="Times New Roman" w:hAnsi="Times New Roman" w:eastAsia="宋体" w:cs="Times New Roman"/>
                <w:b/>
                <w:color w:val="000000" w:themeColor="text1"/>
                <w:spacing w:val="4"/>
                <w:kern w:val="0"/>
                <w:sz w:val="21"/>
                <w:szCs w:val="21"/>
                <w14:textFill>
                  <w14:solidFill>
                    <w14:schemeClr w14:val="tx1"/>
                  </w14:solidFill>
                </w14:textFill>
              </w:rPr>
              <w:t>项目</w:t>
            </w:r>
            <w:r>
              <w:rPr>
                <w:rFonts w:hint="default" w:ascii="Times New Roman" w:hAnsi="Times New Roman" w:eastAsia="宋体" w:cs="Times New Roman"/>
                <w:b/>
                <w:color w:val="000000" w:themeColor="text1"/>
                <w:spacing w:val="4"/>
                <w:kern w:val="0"/>
                <w:sz w:val="21"/>
                <w:szCs w:val="21"/>
                <w:lang w:val="en-US" w:eastAsia="zh-CN"/>
                <w14:textFill>
                  <w14:solidFill>
                    <w14:schemeClr w14:val="tx1"/>
                  </w14:solidFill>
                </w14:textFill>
              </w:rPr>
              <w:t>地表水</w:t>
            </w:r>
            <w:r>
              <w:rPr>
                <w:rFonts w:hint="default" w:ascii="Times New Roman" w:hAnsi="Times New Roman" w:eastAsia="宋体" w:cs="Times New Roman"/>
                <w:b/>
                <w:color w:val="000000" w:themeColor="text1"/>
                <w:spacing w:val="4"/>
                <w:kern w:val="0"/>
                <w:sz w:val="21"/>
                <w:szCs w:val="21"/>
                <w14:textFill>
                  <w14:solidFill>
                    <w14:schemeClr w14:val="tx1"/>
                  </w14:solidFill>
                </w14:textFill>
              </w:rPr>
              <w:t>保护目标一览表</w:t>
            </w:r>
          </w:p>
          <w:tbl>
            <w:tblPr>
              <w:tblStyle w:val="27"/>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8"/>
              <w:gridCol w:w="1203"/>
              <w:gridCol w:w="966"/>
              <w:gridCol w:w="910"/>
              <w:gridCol w:w="1057"/>
              <w:gridCol w:w="1400"/>
              <w:gridCol w:w="1469"/>
            </w:tblGrid>
            <w:tr w14:paraId="59379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64" w:type="pct"/>
                  <w:shd w:val="clear" w:color="auto" w:fill="auto"/>
                  <w:vAlign w:val="center"/>
                </w:tcPr>
                <w:p w14:paraId="31F4C6C0">
                  <w:pPr>
                    <w:adjustRightInd w:val="0"/>
                    <w:snapToGrid w:val="0"/>
                    <w:spacing w:line="240" w:lineRule="auto"/>
                    <w:ind w:firstLine="0" w:firstLineChars="0"/>
                    <w:jc w:val="center"/>
                    <w:rPr>
                      <w:rFonts w:hint="default" w:ascii="Times New Roman" w:hAnsi="Times New Roman" w:eastAsia="宋体" w:cs="Times New Roman"/>
                      <w:b/>
                      <w:bCs/>
                      <w:color w:val="000000" w:themeColor="text1"/>
                      <w:kern w:val="0"/>
                      <w:sz w:val="21"/>
                      <w:szCs w:val="21"/>
                      <w14:textFill>
                        <w14:solidFill>
                          <w14:schemeClr w14:val="tx1"/>
                        </w14:solidFill>
                      </w14:textFill>
                    </w:rPr>
                  </w:pPr>
                  <w:r>
                    <w:rPr>
                      <w:rFonts w:hint="default" w:ascii="Times New Roman" w:hAnsi="Times New Roman" w:eastAsia="宋体" w:cs="Times New Roman"/>
                      <w:b/>
                      <w:bCs/>
                      <w:color w:val="000000" w:themeColor="text1"/>
                      <w:kern w:val="0"/>
                      <w:sz w:val="21"/>
                      <w:szCs w:val="21"/>
                      <w14:textFill>
                        <w14:solidFill>
                          <w14:schemeClr w14:val="tx1"/>
                        </w14:solidFill>
                      </w14:textFill>
                    </w:rPr>
                    <w:t>环境要素</w:t>
                  </w:r>
                </w:p>
              </w:tc>
              <w:tc>
                <w:tcPr>
                  <w:tcW w:w="778" w:type="pct"/>
                  <w:shd w:val="clear" w:color="auto" w:fill="auto"/>
                  <w:vAlign w:val="center"/>
                </w:tcPr>
                <w:p w14:paraId="2C144BE1">
                  <w:pPr>
                    <w:adjustRightInd w:val="0"/>
                    <w:snapToGrid w:val="0"/>
                    <w:spacing w:line="240" w:lineRule="auto"/>
                    <w:ind w:firstLine="0" w:firstLineChars="0"/>
                    <w:jc w:val="center"/>
                    <w:rPr>
                      <w:rFonts w:hint="default" w:ascii="Times New Roman" w:hAnsi="Times New Roman" w:eastAsia="宋体" w:cs="Times New Roman"/>
                      <w:b/>
                      <w:bCs/>
                      <w:color w:val="000000" w:themeColor="text1"/>
                      <w:kern w:val="0"/>
                      <w:sz w:val="21"/>
                      <w:szCs w:val="21"/>
                      <w14:textFill>
                        <w14:solidFill>
                          <w14:schemeClr w14:val="tx1"/>
                        </w14:solidFill>
                      </w14:textFill>
                    </w:rPr>
                  </w:pPr>
                  <w:r>
                    <w:rPr>
                      <w:rFonts w:hint="default" w:ascii="Times New Roman" w:hAnsi="Times New Roman" w:eastAsia="宋体" w:cs="Times New Roman"/>
                      <w:b/>
                      <w:bCs/>
                      <w:color w:val="000000" w:themeColor="text1"/>
                      <w:kern w:val="0"/>
                      <w:sz w:val="21"/>
                      <w:szCs w:val="21"/>
                      <w14:textFill>
                        <w14:solidFill>
                          <w14:schemeClr w14:val="tx1"/>
                        </w14:solidFill>
                      </w14:textFill>
                    </w:rPr>
                    <w:t>环境保护目标</w:t>
                  </w:r>
                </w:p>
              </w:tc>
              <w:tc>
                <w:tcPr>
                  <w:tcW w:w="625" w:type="pct"/>
                  <w:shd w:val="clear" w:color="auto" w:fill="auto"/>
                  <w:vAlign w:val="center"/>
                </w:tcPr>
                <w:p w14:paraId="599B9F80">
                  <w:pPr>
                    <w:adjustRightInd w:val="0"/>
                    <w:snapToGrid w:val="0"/>
                    <w:spacing w:line="240" w:lineRule="auto"/>
                    <w:ind w:firstLine="0" w:firstLineChars="0"/>
                    <w:jc w:val="center"/>
                    <w:rPr>
                      <w:rFonts w:hint="default" w:ascii="Times New Roman" w:hAnsi="Times New Roman" w:eastAsia="宋体" w:cs="Times New Roman"/>
                      <w:b/>
                      <w:bCs/>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kern w:val="0"/>
                      <w:sz w:val="21"/>
                      <w:szCs w:val="21"/>
                      <w:lang w:val="en-US" w:eastAsia="zh-CN"/>
                      <w14:textFill>
                        <w14:solidFill>
                          <w14:schemeClr w14:val="tx1"/>
                        </w14:solidFill>
                      </w14:textFill>
                    </w:rPr>
                    <w:t>所属流域</w:t>
                  </w:r>
                </w:p>
              </w:tc>
              <w:tc>
                <w:tcPr>
                  <w:tcW w:w="589" w:type="pct"/>
                  <w:shd w:val="clear" w:color="auto" w:fill="auto"/>
                  <w:vAlign w:val="center"/>
                </w:tcPr>
                <w:p w14:paraId="629DE5F8">
                  <w:pPr>
                    <w:adjustRightInd w:val="0"/>
                    <w:snapToGrid w:val="0"/>
                    <w:spacing w:line="240" w:lineRule="auto"/>
                    <w:ind w:firstLine="0" w:firstLineChars="0"/>
                    <w:jc w:val="center"/>
                    <w:rPr>
                      <w:rFonts w:hint="default" w:ascii="Times New Roman" w:hAnsi="Times New Roman" w:eastAsia="宋体" w:cs="Times New Roman"/>
                      <w:b/>
                      <w:bCs/>
                      <w:color w:val="000000" w:themeColor="text1"/>
                      <w:kern w:val="0"/>
                      <w:sz w:val="21"/>
                      <w:szCs w:val="21"/>
                      <w14:textFill>
                        <w14:solidFill>
                          <w14:schemeClr w14:val="tx1"/>
                        </w14:solidFill>
                      </w14:textFill>
                    </w:rPr>
                  </w:pPr>
                  <w:r>
                    <w:rPr>
                      <w:rFonts w:hint="default" w:ascii="Times New Roman" w:hAnsi="Times New Roman" w:eastAsia="宋体" w:cs="Times New Roman"/>
                      <w:b/>
                      <w:bCs/>
                      <w:color w:val="000000" w:themeColor="text1"/>
                      <w:kern w:val="0"/>
                      <w:sz w:val="21"/>
                      <w:szCs w:val="21"/>
                      <w14:textFill>
                        <w14:solidFill>
                          <w14:schemeClr w14:val="tx1"/>
                        </w14:solidFill>
                      </w14:textFill>
                    </w:rPr>
                    <w:t>方位</w:t>
                  </w:r>
                </w:p>
              </w:tc>
              <w:tc>
                <w:tcPr>
                  <w:tcW w:w="684" w:type="pct"/>
                  <w:shd w:val="clear" w:color="auto" w:fill="auto"/>
                  <w:vAlign w:val="center"/>
                </w:tcPr>
                <w:p w14:paraId="3C07AAB5">
                  <w:pPr>
                    <w:adjustRightInd w:val="0"/>
                    <w:snapToGrid w:val="0"/>
                    <w:spacing w:line="240" w:lineRule="auto"/>
                    <w:ind w:firstLine="0" w:firstLineChars="0"/>
                    <w:jc w:val="center"/>
                    <w:rPr>
                      <w:rFonts w:hint="default" w:ascii="Times New Roman" w:hAnsi="Times New Roman" w:eastAsia="宋体" w:cs="Times New Roman"/>
                      <w:b/>
                      <w:bCs/>
                      <w:color w:val="000000" w:themeColor="text1"/>
                      <w:kern w:val="0"/>
                      <w:sz w:val="21"/>
                      <w:szCs w:val="21"/>
                      <w14:textFill>
                        <w14:solidFill>
                          <w14:schemeClr w14:val="tx1"/>
                        </w14:solidFill>
                      </w14:textFill>
                    </w:rPr>
                  </w:pPr>
                  <w:r>
                    <w:rPr>
                      <w:rFonts w:hint="default" w:ascii="Times New Roman" w:hAnsi="Times New Roman" w:eastAsia="宋体" w:cs="Times New Roman"/>
                      <w:b/>
                      <w:bCs/>
                      <w:color w:val="000000" w:themeColor="text1"/>
                      <w:kern w:val="0"/>
                      <w:sz w:val="21"/>
                      <w:szCs w:val="21"/>
                      <w14:textFill>
                        <w14:solidFill>
                          <w14:schemeClr w14:val="tx1"/>
                        </w14:solidFill>
                      </w14:textFill>
                    </w:rPr>
                    <w:t>相对厂界距离</w:t>
                  </w:r>
                </w:p>
              </w:tc>
              <w:tc>
                <w:tcPr>
                  <w:tcW w:w="906" w:type="pct"/>
                  <w:shd w:val="clear" w:color="auto" w:fill="auto"/>
                  <w:vAlign w:val="center"/>
                </w:tcPr>
                <w:p w14:paraId="195A4483">
                  <w:pPr>
                    <w:adjustRightInd w:val="0"/>
                    <w:snapToGrid w:val="0"/>
                    <w:spacing w:line="240" w:lineRule="auto"/>
                    <w:ind w:firstLine="0" w:firstLineChars="0"/>
                    <w:jc w:val="center"/>
                    <w:rPr>
                      <w:rFonts w:hint="default" w:ascii="Times New Roman" w:hAnsi="Times New Roman" w:eastAsia="宋体" w:cs="Times New Roman"/>
                      <w:b/>
                      <w:bCs/>
                      <w:color w:val="000000" w:themeColor="text1"/>
                      <w:kern w:val="0"/>
                      <w:sz w:val="21"/>
                      <w:szCs w:val="21"/>
                      <w14:textFill>
                        <w14:solidFill>
                          <w14:schemeClr w14:val="tx1"/>
                        </w14:solidFill>
                      </w14:textFill>
                    </w:rPr>
                  </w:pPr>
                  <w:r>
                    <w:rPr>
                      <w:rFonts w:hint="default" w:ascii="Times New Roman" w:hAnsi="Times New Roman" w:eastAsia="宋体" w:cs="Times New Roman"/>
                      <w:b/>
                      <w:bCs/>
                      <w:color w:val="000000" w:themeColor="text1"/>
                      <w:kern w:val="0"/>
                      <w:sz w:val="21"/>
                      <w:szCs w:val="21"/>
                      <w14:textFill>
                        <w14:solidFill>
                          <w14:schemeClr w14:val="tx1"/>
                        </w14:solidFill>
                      </w14:textFill>
                    </w:rPr>
                    <w:t>保护内容</w:t>
                  </w:r>
                </w:p>
              </w:tc>
              <w:tc>
                <w:tcPr>
                  <w:tcW w:w="951" w:type="pct"/>
                  <w:shd w:val="clear" w:color="auto" w:fill="auto"/>
                  <w:vAlign w:val="center"/>
                </w:tcPr>
                <w:p w14:paraId="5006CFDE">
                  <w:pPr>
                    <w:adjustRightInd w:val="0"/>
                    <w:snapToGrid w:val="0"/>
                    <w:spacing w:line="240" w:lineRule="auto"/>
                    <w:ind w:firstLine="0" w:firstLineChars="0"/>
                    <w:jc w:val="center"/>
                    <w:rPr>
                      <w:rFonts w:hint="default" w:ascii="Times New Roman" w:hAnsi="Times New Roman" w:eastAsia="宋体" w:cs="Times New Roman"/>
                      <w:b/>
                      <w:bCs/>
                      <w:color w:val="000000" w:themeColor="text1"/>
                      <w:kern w:val="0"/>
                      <w:sz w:val="18"/>
                      <w:szCs w:val="18"/>
                      <w14:textFill>
                        <w14:solidFill>
                          <w14:schemeClr w14:val="tx1"/>
                        </w14:solidFill>
                      </w14:textFill>
                    </w:rPr>
                  </w:pPr>
                  <w:r>
                    <w:rPr>
                      <w:rFonts w:hint="default" w:ascii="Times New Roman" w:hAnsi="Times New Roman" w:eastAsia="宋体" w:cs="Times New Roman"/>
                      <w:b/>
                      <w:bCs/>
                      <w:color w:val="000000" w:themeColor="text1"/>
                      <w:kern w:val="0"/>
                      <w:sz w:val="21"/>
                      <w:szCs w:val="21"/>
                      <w14:textFill>
                        <w14:solidFill>
                          <w14:schemeClr w14:val="tx1"/>
                        </w14:solidFill>
                      </w14:textFill>
                    </w:rPr>
                    <w:t>保护级别</w:t>
                  </w:r>
                </w:p>
              </w:tc>
            </w:tr>
            <w:tr w14:paraId="639DF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64" w:type="pct"/>
                  <w:vMerge w:val="restart"/>
                  <w:vAlign w:val="center"/>
                </w:tcPr>
                <w:p w14:paraId="6AC0352F">
                  <w:pPr>
                    <w:adjustRightInd w:val="0"/>
                    <w:snapToGrid w:val="0"/>
                    <w:spacing w:line="240" w:lineRule="auto"/>
                    <w:ind w:firstLine="0" w:firstLineChars="0"/>
                    <w:jc w:val="center"/>
                    <w:rPr>
                      <w:rFonts w:hint="default" w:ascii="Times New Roman" w:hAnsi="Times New Roman" w:eastAsia="宋体" w:cs="Times New Roman"/>
                      <w:color w:val="000000" w:themeColor="text1"/>
                      <w:kern w:val="0"/>
                      <w:sz w:val="21"/>
                      <w:szCs w:val="21"/>
                      <w:lang w:eastAsia="zh-CN"/>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地表水</w:t>
                  </w:r>
                </w:p>
              </w:tc>
              <w:tc>
                <w:tcPr>
                  <w:tcW w:w="778" w:type="pct"/>
                  <w:vAlign w:val="center"/>
                </w:tcPr>
                <w:p w14:paraId="75AB7EC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大西代水库</w:t>
                  </w:r>
                </w:p>
              </w:tc>
              <w:tc>
                <w:tcPr>
                  <w:tcW w:w="625" w:type="pct"/>
                  <w:vMerge w:val="restart"/>
                  <w:vAlign w:val="center"/>
                </w:tcPr>
                <w:p w14:paraId="5985D46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00" w:themeColor="text1"/>
                      <w:spacing w:val="-4"/>
                      <w:kern w:val="0"/>
                      <w:sz w:val="21"/>
                      <w:szCs w:val="21"/>
                      <w14:textFill>
                        <w14:solidFill>
                          <w14:schemeClr w14:val="tx1"/>
                        </w14:solidFill>
                      </w14:textFill>
                    </w:rPr>
                  </w:pPr>
                  <w:r>
                    <w:rPr>
                      <w:rFonts w:hint="default" w:ascii="Times New Roman" w:hAnsi="Times New Roman" w:eastAsia="宋体" w:cs="Times New Roman"/>
                      <w:color w:val="000000" w:themeColor="text1"/>
                      <w:spacing w:val="-4"/>
                      <w:sz w:val="21"/>
                      <w:szCs w:val="21"/>
                      <w14:textFill>
                        <w14:solidFill>
                          <w14:schemeClr w14:val="tx1"/>
                        </w14:solidFill>
                      </w14:textFill>
                    </w:rPr>
                    <w:t>属于西南诸河流域范围内支流</w:t>
                  </w:r>
                </w:p>
              </w:tc>
              <w:tc>
                <w:tcPr>
                  <w:tcW w:w="589" w:type="pct"/>
                  <w:vAlign w:val="center"/>
                </w:tcPr>
                <w:p w14:paraId="70C4EC71">
                  <w:pPr>
                    <w:adjustRightInd w:val="0"/>
                    <w:snapToGrid w:val="0"/>
                    <w:spacing w:line="240" w:lineRule="auto"/>
                    <w:ind w:firstLine="0" w:firstLineChars="0"/>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一</w:t>
                  </w:r>
                  <w:r>
                    <w:rPr>
                      <w:rFonts w:hint="eastAsia" w:ascii="Times New Roman" w:hAnsi="Times New Roman" w:cs="Times New Roman"/>
                      <w:color w:val="000000" w:themeColor="text1"/>
                      <w:sz w:val="21"/>
                      <w:szCs w:val="21"/>
                      <w:lang w:val="en-US" w:eastAsia="zh-CN"/>
                      <w14:textFill>
                        <w14:solidFill>
                          <w14:schemeClr w14:val="tx1"/>
                        </w14:solidFill>
                      </w14:textFill>
                    </w:rPr>
                    <w:t>片</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区</w:t>
                  </w: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东</w:t>
                  </w:r>
                  <w:r>
                    <w:rPr>
                      <w:rFonts w:hint="eastAsia" w:ascii="Times New Roman" w:hAnsi="Times New Roman" w:cs="Times New Roman"/>
                      <w:color w:val="000000" w:themeColor="text1"/>
                      <w:kern w:val="0"/>
                      <w:sz w:val="21"/>
                      <w:szCs w:val="21"/>
                      <w:lang w:val="en-US" w:eastAsia="zh-CN"/>
                      <w14:textFill>
                        <w14:solidFill>
                          <w14:schemeClr w14:val="tx1"/>
                        </w14:solidFill>
                      </w14:textFill>
                    </w:rPr>
                    <w:t>侧</w:t>
                  </w:r>
                </w:p>
              </w:tc>
              <w:tc>
                <w:tcPr>
                  <w:tcW w:w="684" w:type="pct"/>
                  <w:vAlign w:val="center"/>
                </w:tcPr>
                <w:p w14:paraId="2DD3EFCD">
                  <w:pPr>
                    <w:adjustRightInd w:val="0"/>
                    <w:snapToGrid w:val="0"/>
                    <w:spacing w:line="240" w:lineRule="auto"/>
                    <w:ind w:firstLine="0" w:firstLineChars="0"/>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1210m</w:t>
                  </w:r>
                </w:p>
              </w:tc>
              <w:tc>
                <w:tcPr>
                  <w:tcW w:w="906" w:type="pct"/>
                  <w:vAlign w:val="center"/>
                </w:tcPr>
                <w:p w14:paraId="66AA5DC7">
                  <w:pPr>
                    <w:adjustRightInd w:val="0"/>
                    <w:snapToGrid w:val="0"/>
                    <w:spacing w:line="240" w:lineRule="auto"/>
                    <w:ind w:firstLine="0" w:firstLineChars="0"/>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农灌水质</w:t>
                  </w:r>
                  <w:r>
                    <w:rPr>
                      <w:rFonts w:hint="default" w:ascii="Times New Roman" w:hAnsi="Times New Roman" w:eastAsia="宋体" w:cs="Times New Roman"/>
                      <w:color w:val="000000" w:themeColor="text1"/>
                      <w:sz w:val="21"/>
                      <w:szCs w:val="21"/>
                      <w:lang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饮用水质</w:t>
                  </w:r>
                </w:p>
              </w:tc>
              <w:tc>
                <w:tcPr>
                  <w:tcW w:w="951" w:type="pct"/>
                  <w:vMerge w:val="restart"/>
                  <w:vAlign w:val="center"/>
                </w:tcPr>
                <w:p w14:paraId="14EEF300">
                  <w:pPr>
                    <w:adjustRightInd w:val="0"/>
                    <w:snapToGrid w:val="0"/>
                    <w:spacing w:line="240" w:lineRule="auto"/>
                    <w:ind w:firstLine="0" w:firstLineChars="0"/>
                    <w:jc w:val="center"/>
                    <w:rPr>
                      <w:rFonts w:hint="default" w:ascii="Times New Roman" w:hAnsi="Times New Roman" w:eastAsia="宋体" w:cs="Times New Roman"/>
                      <w:color w:val="000000" w:themeColor="text1"/>
                      <w:kern w:val="0"/>
                      <w:sz w:val="18"/>
                      <w:szCs w:val="18"/>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《地表水环境质量标准》（GB3838-2002）</w:t>
                  </w: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Ⅲ</w:t>
                  </w:r>
                  <w:r>
                    <w:rPr>
                      <w:rFonts w:hint="default" w:ascii="Times New Roman" w:hAnsi="Times New Roman" w:eastAsia="宋体" w:cs="Times New Roman"/>
                      <w:color w:val="000000" w:themeColor="text1"/>
                      <w:kern w:val="0"/>
                      <w:sz w:val="21"/>
                      <w:szCs w:val="21"/>
                      <w14:textFill>
                        <w14:solidFill>
                          <w14:schemeClr w14:val="tx1"/>
                        </w14:solidFill>
                      </w14:textFill>
                    </w:rPr>
                    <w:t>类</w:t>
                  </w:r>
                </w:p>
              </w:tc>
            </w:tr>
            <w:tr w14:paraId="53091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64" w:type="pct"/>
                  <w:vMerge w:val="continue"/>
                  <w:vAlign w:val="center"/>
                </w:tcPr>
                <w:p w14:paraId="48C1AF8E">
                  <w:pPr>
                    <w:adjustRightInd w:val="0"/>
                    <w:snapToGrid w:val="0"/>
                    <w:spacing w:line="240" w:lineRule="auto"/>
                    <w:ind w:firstLine="0" w:firstLineChars="0"/>
                    <w:jc w:val="center"/>
                    <w:rPr>
                      <w:rFonts w:hint="default" w:ascii="Times New Roman" w:hAnsi="Times New Roman" w:eastAsia="宋体" w:cs="Times New Roman"/>
                      <w:color w:val="000000" w:themeColor="text1"/>
                      <w:kern w:val="0"/>
                      <w:sz w:val="21"/>
                      <w:szCs w:val="21"/>
                      <w14:textFill>
                        <w14:solidFill>
                          <w14:schemeClr w14:val="tx1"/>
                        </w14:solidFill>
                      </w14:textFill>
                    </w:rPr>
                  </w:pPr>
                </w:p>
              </w:tc>
              <w:tc>
                <w:tcPr>
                  <w:tcW w:w="778" w:type="pct"/>
                  <w:vAlign w:val="center"/>
                </w:tcPr>
                <w:p w14:paraId="4A9CC12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尼去本水库</w:t>
                  </w:r>
                </w:p>
              </w:tc>
              <w:tc>
                <w:tcPr>
                  <w:tcW w:w="625" w:type="pct"/>
                  <w:vMerge w:val="continue"/>
                  <w:vAlign w:val="center"/>
                </w:tcPr>
                <w:p w14:paraId="6A05A2F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00" w:themeColor="text1"/>
                      <w:spacing w:val="-4"/>
                      <w:kern w:val="0"/>
                      <w:sz w:val="21"/>
                      <w:szCs w:val="21"/>
                      <w14:textFill>
                        <w14:solidFill>
                          <w14:schemeClr w14:val="tx1"/>
                        </w14:solidFill>
                      </w14:textFill>
                    </w:rPr>
                  </w:pPr>
                </w:p>
              </w:tc>
              <w:tc>
                <w:tcPr>
                  <w:tcW w:w="589" w:type="pct"/>
                  <w:vAlign w:val="center"/>
                </w:tcPr>
                <w:p w14:paraId="5B199479">
                  <w:pPr>
                    <w:adjustRightInd w:val="0"/>
                    <w:snapToGrid w:val="0"/>
                    <w:spacing w:line="240" w:lineRule="auto"/>
                    <w:ind w:firstLine="0" w:firstLineChars="0"/>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二片</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区</w:t>
                  </w: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东南</w:t>
                  </w:r>
                  <w:r>
                    <w:rPr>
                      <w:rFonts w:hint="eastAsia" w:ascii="Times New Roman" w:hAnsi="Times New Roman" w:cs="Times New Roman"/>
                      <w:color w:val="000000" w:themeColor="text1"/>
                      <w:kern w:val="0"/>
                      <w:sz w:val="21"/>
                      <w:szCs w:val="21"/>
                      <w:lang w:val="en-US" w:eastAsia="zh-CN"/>
                      <w14:textFill>
                        <w14:solidFill>
                          <w14:schemeClr w14:val="tx1"/>
                        </w14:solidFill>
                      </w14:textFill>
                    </w:rPr>
                    <w:t>侧</w:t>
                  </w:r>
                </w:p>
              </w:tc>
              <w:tc>
                <w:tcPr>
                  <w:tcW w:w="684" w:type="pct"/>
                  <w:vAlign w:val="center"/>
                </w:tcPr>
                <w:p w14:paraId="157884DE">
                  <w:pPr>
                    <w:adjustRightInd w:val="0"/>
                    <w:snapToGrid w:val="0"/>
                    <w:spacing w:line="240" w:lineRule="auto"/>
                    <w:ind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1840m</w:t>
                  </w:r>
                </w:p>
              </w:tc>
              <w:tc>
                <w:tcPr>
                  <w:tcW w:w="906" w:type="pct"/>
                  <w:vAlign w:val="center"/>
                </w:tcPr>
                <w:p w14:paraId="7D288DEF">
                  <w:pPr>
                    <w:adjustRightInd w:val="0"/>
                    <w:snapToGrid w:val="0"/>
                    <w:spacing w:line="240" w:lineRule="auto"/>
                    <w:ind w:firstLine="0" w:firstLineChars="0"/>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农灌水质</w:t>
                  </w:r>
                  <w:r>
                    <w:rPr>
                      <w:rFonts w:hint="default" w:ascii="Times New Roman" w:hAnsi="Times New Roman" w:eastAsia="宋体" w:cs="Times New Roman"/>
                      <w:color w:val="000000" w:themeColor="text1"/>
                      <w:sz w:val="21"/>
                      <w:szCs w:val="21"/>
                      <w:lang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饮用水质</w:t>
                  </w:r>
                </w:p>
              </w:tc>
              <w:tc>
                <w:tcPr>
                  <w:tcW w:w="951" w:type="pct"/>
                  <w:vMerge w:val="continue"/>
                  <w:vAlign w:val="center"/>
                </w:tcPr>
                <w:p w14:paraId="25C404A3">
                  <w:pPr>
                    <w:adjustRightInd w:val="0"/>
                    <w:snapToGrid w:val="0"/>
                    <w:spacing w:line="240" w:lineRule="auto"/>
                    <w:ind w:firstLine="0" w:firstLineChars="0"/>
                    <w:jc w:val="both"/>
                    <w:rPr>
                      <w:rFonts w:hint="default" w:ascii="Times New Roman" w:hAnsi="Times New Roman" w:eastAsia="宋体" w:cs="Times New Roman"/>
                      <w:color w:val="000000" w:themeColor="text1"/>
                      <w:kern w:val="0"/>
                      <w:sz w:val="18"/>
                      <w:szCs w:val="18"/>
                      <w14:textFill>
                        <w14:solidFill>
                          <w14:schemeClr w14:val="tx1"/>
                        </w14:solidFill>
                      </w14:textFill>
                    </w:rPr>
                  </w:pPr>
                </w:p>
              </w:tc>
            </w:tr>
            <w:tr w14:paraId="5D5F5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64" w:type="pct"/>
                  <w:vMerge w:val="continue"/>
                  <w:vAlign w:val="center"/>
                </w:tcPr>
                <w:p w14:paraId="244AA846">
                  <w:pPr>
                    <w:adjustRightInd w:val="0"/>
                    <w:snapToGrid w:val="0"/>
                    <w:spacing w:line="240" w:lineRule="auto"/>
                    <w:ind w:firstLine="0" w:firstLineChars="0"/>
                    <w:jc w:val="center"/>
                    <w:rPr>
                      <w:rFonts w:hint="default" w:ascii="Times New Roman" w:hAnsi="Times New Roman" w:eastAsia="宋体" w:cs="Times New Roman"/>
                      <w:color w:val="000000" w:themeColor="text1"/>
                      <w:kern w:val="0"/>
                      <w:sz w:val="21"/>
                      <w:szCs w:val="21"/>
                      <w14:textFill>
                        <w14:solidFill>
                          <w14:schemeClr w14:val="tx1"/>
                        </w14:solidFill>
                      </w14:textFill>
                    </w:rPr>
                  </w:pPr>
                </w:p>
              </w:tc>
              <w:tc>
                <w:tcPr>
                  <w:tcW w:w="778" w:type="pct"/>
                  <w:vAlign w:val="center"/>
                </w:tcPr>
                <w:p w14:paraId="2CCDF7D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小河底河</w:t>
                  </w:r>
                </w:p>
              </w:tc>
              <w:tc>
                <w:tcPr>
                  <w:tcW w:w="625" w:type="pct"/>
                  <w:vMerge w:val="continue"/>
                  <w:vAlign w:val="center"/>
                </w:tcPr>
                <w:p w14:paraId="16F24B5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00" w:themeColor="text1"/>
                      <w:spacing w:val="-4"/>
                      <w:kern w:val="0"/>
                      <w:sz w:val="21"/>
                      <w:szCs w:val="21"/>
                      <w14:textFill>
                        <w14:solidFill>
                          <w14:schemeClr w14:val="tx1"/>
                        </w14:solidFill>
                      </w14:textFill>
                    </w:rPr>
                  </w:pPr>
                </w:p>
              </w:tc>
              <w:tc>
                <w:tcPr>
                  <w:tcW w:w="589" w:type="pct"/>
                  <w:vAlign w:val="center"/>
                </w:tcPr>
                <w:p w14:paraId="44A1B5E3">
                  <w:pPr>
                    <w:adjustRightInd w:val="0"/>
                    <w:snapToGrid w:val="0"/>
                    <w:spacing w:line="240" w:lineRule="auto"/>
                    <w:ind w:firstLine="0" w:firstLineChars="0"/>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一片</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区</w:t>
                  </w: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东</w:t>
                  </w:r>
                  <w:r>
                    <w:rPr>
                      <w:rFonts w:hint="eastAsia" w:ascii="Times New Roman" w:hAnsi="Times New Roman" w:cs="Times New Roman"/>
                      <w:color w:val="000000" w:themeColor="text1"/>
                      <w:kern w:val="0"/>
                      <w:sz w:val="21"/>
                      <w:szCs w:val="21"/>
                      <w:lang w:val="en-US" w:eastAsia="zh-CN"/>
                      <w14:textFill>
                        <w14:solidFill>
                          <w14:schemeClr w14:val="tx1"/>
                        </w14:solidFill>
                      </w14:textFill>
                    </w:rPr>
                    <w:t>侧</w:t>
                  </w:r>
                </w:p>
              </w:tc>
              <w:tc>
                <w:tcPr>
                  <w:tcW w:w="684" w:type="pct"/>
                  <w:vAlign w:val="center"/>
                </w:tcPr>
                <w:p w14:paraId="27C6162E">
                  <w:pPr>
                    <w:adjustRightInd w:val="0"/>
                    <w:snapToGrid w:val="0"/>
                    <w:spacing w:line="240" w:lineRule="auto"/>
                    <w:ind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131m</w:t>
                  </w:r>
                </w:p>
              </w:tc>
              <w:tc>
                <w:tcPr>
                  <w:tcW w:w="906" w:type="pct"/>
                  <w:shd w:val="clear" w:color="auto" w:fill="auto"/>
                  <w:vAlign w:val="center"/>
                </w:tcPr>
                <w:p w14:paraId="2A4583FB">
                  <w:pPr>
                    <w:adjustRightInd w:val="0"/>
                    <w:snapToGrid w:val="0"/>
                    <w:spacing w:line="240" w:lineRule="auto"/>
                    <w:ind w:firstLine="0" w:firstLineChars="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一般河流</w:t>
                  </w:r>
                </w:p>
              </w:tc>
              <w:tc>
                <w:tcPr>
                  <w:tcW w:w="951" w:type="pct"/>
                  <w:vMerge w:val="continue"/>
                  <w:vAlign w:val="center"/>
                </w:tcPr>
                <w:p w14:paraId="1BA420E8">
                  <w:pPr>
                    <w:adjustRightInd w:val="0"/>
                    <w:snapToGrid w:val="0"/>
                    <w:spacing w:line="240" w:lineRule="auto"/>
                    <w:ind w:firstLine="0" w:firstLineChars="0"/>
                    <w:jc w:val="both"/>
                    <w:rPr>
                      <w:rFonts w:hint="default" w:ascii="Times New Roman" w:hAnsi="Times New Roman" w:eastAsia="宋体" w:cs="Times New Roman"/>
                      <w:color w:val="000000" w:themeColor="text1"/>
                      <w:kern w:val="0"/>
                      <w:sz w:val="18"/>
                      <w:szCs w:val="18"/>
                      <w14:textFill>
                        <w14:solidFill>
                          <w14:schemeClr w14:val="tx1"/>
                        </w14:solidFill>
                      </w14:textFill>
                    </w:rPr>
                  </w:pPr>
                </w:p>
              </w:tc>
            </w:tr>
            <w:tr w14:paraId="78AEE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64" w:type="pct"/>
                  <w:vMerge w:val="continue"/>
                  <w:vAlign w:val="center"/>
                </w:tcPr>
                <w:p w14:paraId="4822857D">
                  <w:pPr>
                    <w:adjustRightInd w:val="0"/>
                    <w:snapToGrid w:val="0"/>
                    <w:spacing w:line="240" w:lineRule="auto"/>
                    <w:ind w:firstLine="0" w:firstLineChars="0"/>
                    <w:jc w:val="center"/>
                    <w:rPr>
                      <w:rFonts w:hint="default" w:ascii="Times New Roman" w:hAnsi="Times New Roman" w:eastAsia="宋体" w:cs="Times New Roman"/>
                      <w:color w:val="000000" w:themeColor="text1"/>
                      <w:kern w:val="0"/>
                      <w:sz w:val="21"/>
                      <w:szCs w:val="21"/>
                      <w14:textFill>
                        <w14:solidFill>
                          <w14:schemeClr w14:val="tx1"/>
                        </w14:solidFill>
                      </w14:textFill>
                    </w:rPr>
                  </w:pPr>
                </w:p>
              </w:tc>
              <w:tc>
                <w:tcPr>
                  <w:tcW w:w="778" w:type="pct"/>
                  <w:vAlign w:val="center"/>
                </w:tcPr>
                <w:p w14:paraId="29715C7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迭嘎个拉河</w:t>
                  </w:r>
                </w:p>
              </w:tc>
              <w:tc>
                <w:tcPr>
                  <w:tcW w:w="625" w:type="pct"/>
                  <w:vMerge w:val="continue"/>
                  <w:vAlign w:val="center"/>
                </w:tcPr>
                <w:p w14:paraId="1745569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00" w:themeColor="text1"/>
                      <w:spacing w:val="-4"/>
                      <w:kern w:val="0"/>
                      <w:sz w:val="21"/>
                      <w:szCs w:val="21"/>
                      <w14:textFill>
                        <w14:solidFill>
                          <w14:schemeClr w14:val="tx1"/>
                        </w14:solidFill>
                      </w14:textFill>
                    </w:rPr>
                  </w:pPr>
                </w:p>
              </w:tc>
              <w:tc>
                <w:tcPr>
                  <w:tcW w:w="589" w:type="pct"/>
                  <w:vAlign w:val="center"/>
                </w:tcPr>
                <w:p w14:paraId="6541AAD5">
                  <w:pPr>
                    <w:adjustRightInd w:val="0"/>
                    <w:snapToGrid w:val="0"/>
                    <w:spacing w:line="240" w:lineRule="auto"/>
                    <w:ind w:firstLine="0" w:firstLineChars="0"/>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二</w:t>
                  </w:r>
                  <w:r>
                    <w:rPr>
                      <w:rFonts w:hint="eastAsia" w:ascii="Times New Roman" w:hAnsi="Times New Roman" w:cs="Times New Roman"/>
                      <w:color w:val="000000" w:themeColor="text1"/>
                      <w:sz w:val="21"/>
                      <w:szCs w:val="21"/>
                      <w:lang w:val="en-US" w:eastAsia="zh-CN"/>
                      <w14:textFill>
                        <w14:solidFill>
                          <w14:schemeClr w14:val="tx1"/>
                        </w14:solidFill>
                      </w14:textFill>
                    </w:rPr>
                    <w:t>片</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区</w:t>
                  </w: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南</w:t>
                  </w:r>
                  <w:r>
                    <w:rPr>
                      <w:rFonts w:hint="eastAsia" w:ascii="Times New Roman" w:hAnsi="Times New Roman" w:cs="Times New Roman"/>
                      <w:color w:val="000000" w:themeColor="text1"/>
                      <w:kern w:val="0"/>
                      <w:sz w:val="21"/>
                      <w:szCs w:val="21"/>
                      <w:lang w:val="en-US" w:eastAsia="zh-CN"/>
                      <w14:textFill>
                        <w14:solidFill>
                          <w14:schemeClr w14:val="tx1"/>
                        </w14:solidFill>
                      </w14:textFill>
                    </w:rPr>
                    <w:t>侧</w:t>
                  </w:r>
                </w:p>
              </w:tc>
              <w:tc>
                <w:tcPr>
                  <w:tcW w:w="684" w:type="pct"/>
                  <w:vAlign w:val="center"/>
                </w:tcPr>
                <w:p w14:paraId="0718C271">
                  <w:pPr>
                    <w:adjustRightInd w:val="0"/>
                    <w:snapToGrid w:val="0"/>
                    <w:spacing w:line="240" w:lineRule="auto"/>
                    <w:ind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854m</w:t>
                  </w:r>
                </w:p>
              </w:tc>
              <w:tc>
                <w:tcPr>
                  <w:tcW w:w="906" w:type="pct"/>
                  <w:vAlign w:val="center"/>
                </w:tcPr>
                <w:p w14:paraId="1161A436">
                  <w:pPr>
                    <w:adjustRightInd w:val="0"/>
                    <w:snapToGrid w:val="0"/>
                    <w:spacing w:line="240" w:lineRule="auto"/>
                    <w:ind w:firstLine="0" w:firstLineChars="0"/>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一般河流</w:t>
                  </w:r>
                </w:p>
              </w:tc>
              <w:tc>
                <w:tcPr>
                  <w:tcW w:w="951" w:type="pct"/>
                  <w:vMerge w:val="continue"/>
                  <w:vAlign w:val="center"/>
                </w:tcPr>
                <w:p w14:paraId="3EA5B566">
                  <w:pPr>
                    <w:adjustRightInd w:val="0"/>
                    <w:snapToGrid w:val="0"/>
                    <w:spacing w:line="240" w:lineRule="auto"/>
                    <w:ind w:firstLine="0" w:firstLineChars="0"/>
                    <w:jc w:val="both"/>
                    <w:rPr>
                      <w:rFonts w:hint="default" w:ascii="Times New Roman" w:hAnsi="Times New Roman" w:eastAsia="宋体" w:cs="Times New Roman"/>
                      <w:color w:val="000000" w:themeColor="text1"/>
                      <w:kern w:val="0"/>
                      <w:sz w:val="18"/>
                      <w:szCs w:val="18"/>
                      <w14:textFill>
                        <w14:solidFill>
                          <w14:schemeClr w14:val="tx1"/>
                        </w14:solidFill>
                      </w14:textFill>
                    </w:rPr>
                  </w:pPr>
                </w:p>
              </w:tc>
            </w:tr>
            <w:tr w14:paraId="2B035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64" w:type="pct"/>
                  <w:vMerge w:val="continue"/>
                  <w:vAlign w:val="center"/>
                </w:tcPr>
                <w:p w14:paraId="0C1649D9">
                  <w:pPr>
                    <w:adjustRightInd w:val="0"/>
                    <w:snapToGrid w:val="0"/>
                    <w:spacing w:line="240" w:lineRule="auto"/>
                    <w:ind w:firstLine="0" w:firstLineChars="0"/>
                    <w:jc w:val="center"/>
                    <w:rPr>
                      <w:rFonts w:hint="default" w:ascii="Times New Roman" w:hAnsi="Times New Roman" w:eastAsia="宋体" w:cs="Times New Roman"/>
                      <w:color w:val="000000" w:themeColor="text1"/>
                      <w:kern w:val="0"/>
                      <w:sz w:val="21"/>
                      <w:szCs w:val="21"/>
                      <w14:textFill>
                        <w14:solidFill>
                          <w14:schemeClr w14:val="tx1"/>
                        </w14:solidFill>
                      </w14:textFill>
                    </w:rPr>
                  </w:pPr>
                </w:p>
              </w:tc>
              <w:tc>
                <w:tcPr>
                  <w:tcW w:w="778" w:type="pct"/>
                  <w:vAlign w:val="center"/>
                </w:tcPr>
                <w:p w14:paraId="71EAE4FA">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花街水库</w:t>
                  </w:r>
                </w:p>
              </w:tc>
              <w:tc>
                <w:tcPr>
                  <w:tcW w:w="625" w:type="pct"/>
                  <w:vMerge w:val="continue"/>
                  <w:vAlign w:val="center"/>
                </w:tcPr>
                <w:p w14:paraId="6DE726B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000000" w:themeColor="text1"/>
                      <w:spacing w:val="-4"/>
                      <w:kern w:val="0"/>
                      <w:sz w:val="21"/>
                      <w:szCs w:val="21"/>
                      <w14:textFill>
                        <w14:solidFill>
                          <w14:schemeClr w14:val="tx1"/>
                        </w14:solidFill>
                      </w14:textFill>
                    </w:rPr>
                  </w:pPr>
                </w:p>
              </w:tc>
              <w:tc>
                <w:tcPr>
                  <w:tcW w:w="589" w:type="pct"/>
                  <w:vAlign w:val="center"/>
                </w:tcPr>
                <w:p w14:paraId="66AAA0DD">
                  <w:pPr>
                    <w:adjustRightInd w:val="0"/>
                    <w:snapToGrid w:val="0"/>
                    <w:spacing w:line="240" w:lineRule="auto"/>
                    <w:ind w:firstLine="0" w:firstLineChars="0"/>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一片</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区</w:t>
                  </w: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北侧</w:t>
                  </w:r>
                </w:p>
              </w:tc>
              <w:tc>
                <w:tcPr>
                  <w:tcW w:w="684" w:type="pct"/>
                  <w:vAlign w:val="center"/>
                </w:tcPr>
                <w:p w14:paraId="5191D98A">
                  <w:pPr>
                    <w:adjustRightInd w:val="0"/>
                    <w:snapToGrid w:val="0"/>
                    <w:spacing w:line="240" w:lineRule="auto"/>
                    <w:ind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158m</w:t>
                  </w:r>
                </w:p>
              </w:tc>
              <w:tc>
                <w:tcPr>
                  <w:tcW w:w="906" w:type="pct"/>
                  <w:vAlign w:val="center"/>
                </w:tcPr>
                <w:p w14:paraId="5FF7798A">
                  <w:pPr>
                    <w:adjustRightInd w:val="0"/>
                    <w:snapToGrid w:val="0"/>
                    <w:spacing w:line="240" w:lineRule="auto"/>
                    <w:ind w:firstLine="0" w:firstLineChars="0"/>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农灌水质</w:t>
                  </w:r>
                </w:p>
              </w:tc>
              <w:tc>
                <w:tcPr>
                  <w:tcW w:w="951" w:type="pct"/>
                  <w:vMerge w:val="continue"/>
                  <w:vAlign w:val="center"/>
                </w:tcPr>
                <w:p w14:paraId="6B2196A0">
                  <w:pPr>
                    <w:adjustRightInd w:val="0"/>
                    <w:snapToGrid w:val="0"/>
                    <w:spacing w:line="240" w:lineRule="auto"/>
                    <w:ind w:firstLine="0" w:firstLineChars="0"/>
                    <w:jc w:val="both"/>
                    <w:rPr>
                      <w:rFonts w:hint="default" w:ascii="Times New Roman" w:hAnsi="Times New Roman" w:eastAsia="宋体" w:cs="Times New Roman"/>
                      <w:color w:val="000000" w:themeColor="text1"/>
                      <w:kern w:val="0"/>
                      <w:sz w:val="18"/>
                      <w:szCs w:val="18"/>
                      <w14:textFill>
                        <w14:solidFill>
                          <w14:schemeClr w14:val="tx1"/>
                        </w14:solidFill>
                      </w14:textFill>
                    </w:rPr>
                  </w:pPr>
                </w:p>
              </w:tc>
            </w:tr>
          </w:tbl>
          <w:p w14:paraId="77246D41">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right="0" w:firstLine="482" w:firstLineChars="200"/>
              <w:jc w:val="both"/>
              <w:textAlignment w:val="auto"/>
              <w:rPr>
                <w:rFonts w:hint="default" w:ascii="Times New Roman" w:hAnsi="Times New Roman" w:eastAsia="宋体" w:cs="Times New Roman"/>
                <w:b/>
                <w:bCs/>
                <w:color w:val="000000" w:themeColor="text1"/>
                <w:lang w:val="en-US" w:eastAsia="zh-CN"/>
                <w14:textFill>
                  <w14:solidFill>
                    <w14:schemeClr w14:val="tx1"/>
                  </w14:solidFill>
                </w14:textFill>
              </w:rPr>
            </w:pPr>
          </w:p>
          <w:p w14:paraId="5C5CF418">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right="0" w:firstLine="482" w:firstLineChars="200"/>
              <w:jc w:val="both"/>
              <w:textAlignment w:val="auto"/>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4、地下水环境</w:t>
            </w:r>
          </w:p>
          <w:p w14:paraId="053D6F1B">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right="0" w:firstLine="480" w:firstLineChars="200"/>
              <w:jc w:val="both"/>
              <w:textAlignment w:val="auto"/>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厂界外500m范围内无地下水集中式饮用水水源和热水、矿泉水、温泉等</w:t>
            </w:r>
            <w:r>
              <w:rPr>
                <w:rFonts w:hint="eastAsia" w:ascii="Times New Roman" w:hAnsi="Times New Roman" w:cs="Times New Roman"/>
                <w:color w:val="000000" w:themeColor="text1"/>
                <w:sz w:val="24"/>
                <w:szCs w:val="24"/>
                <w:lang w:val="en-US" w:eastAsia="zh-CN"/>
                <w14:textFill>
                  <w14:solidFill>
                    <w14:schemeClr w14:val="tx1"/>
                  </w14:solidFill>
                </w14:textFill>
              </w:rPr>
              <w:t>特殊</w:t>
            </w:r>
            <w:r>
              <w:rPr>
                <w:rFonts w:hint="default" w:ascii="Times New Roman" w:hAnsi="Times New Roman" w:eastAsia="宋体" w:cs="Times New Roman"/>
                <w:color w:val="000000" w:themeColor="text1"/>
                <w:sz w:val="24"/>
                <w:szCs w:val="24"/>
                <w14:textFill>
                  <w14:solidFill>
                    <w14:schemeClr w14:val="tx1"/>
                  </w14:solidFill>
                </w14:textFill>
              </w:rPr>
              <w:t>地下水资源</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p>
          <w:p w14:paraId="633FF6DA">
            <w:pPr>
              <w:keepNext w:val="0"/>
              <w:keepLines w:val="0"/>
              <w:pageBreakBefore w:val="0"/>
              <w:widowControl w:val="0"/>
              <w:numPr>
                <w:ilvl w:val="0"/>
                <w:numId w:val="8"/>
              </w:numPr>
              <w:kinsoku/>
              <w:wordWrap/>
              <w:overflowPunct/>
              <w:topLinePunct w:val="0"/>
              <w:autoSpaceDE/>
              <w:autoSpaceDN/>
              <w:bidi w:val="0"/>
              <w:adjustRightInd w:val="0"/>
              <w:snapToGrid w:val="0"/>
              <w:spacing w:line="360" w:lineRule="auto"/>
              <w:ind w:leftChars="0" w:right="0" w:firstLine="482" w:firstLineChars="200"/>
              <w:jc w:val="both"/>
              <w:textAlignment w:val="auto"/>
              <w:rPr>
                <w:rFonts w:hint="default" w:ascii="Times New Roman" w:hAnsi="Times New Roman" w:eastAsia="宋体" w:cs="Times New Roman"/>
                <w:b/>
                <w:bCs/>
                <w:color w:val="000000" w:themeColor="text1"/>
                <w14:textFill>
                  <w14:solidFill>
                    <w14:schemeClr w14:val="tx1"/>
                  </w14:solidFill>
                </w14:textFill>
              </w:rPr>
            </w:pPr>
            <w:r>
              <w:rPr>
                <w:rFonts w:hint="default" w:ascii="Times New Roman" w:hAnsi="Times New Roman" w:eastAsia="宋体" w:cs="Times New Roman"/>
                <w:b/>
                <w:bCs/>
                <w:color w:val="000000" w:themeColor="text1"/>
                <w14:textFill>
                  <w14:solidFill>
                    <w14:schemeClr w14:val="tx1"/>
                  </w14:solidFill>
                </w14:textFill>
              </w:rPr>
              <w:t>声环境</w:t>
            </w:r>
          </w:p>
          <w:p w14:paraId="7FA2A75A">
            <w:pPr>
              <w:pStyle w:val="8"/>
              <w:keepNext w:val="0"/>
              <w:keepLines w:val="0"/>
              <w:pageBreakBefore w:val="0"/>
              <w:kinsoku/>
              <w:wordWrap/>
              <w:overflowPunct/>
              <w:topLinePunct w:val="0"/>
              <w:autoSpaceDE/>
              <w:autoSpaceDN/>
              <w:bidi w:val="0"/>
              <w:adjustRightInd w:val="0"/>
              <w:snapToGrid w:val="0"/>
              <w:spacing w:before="0" w:after="0" w:line="360" w:lineRule="auto"/>
              <w:ind w:leftChars="0" w:right="0" w:firstLine="480" w:firstLineChars="200"/>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sz w:val="24"/>
                <w:szCs w:val="24"/>
                <w:highlight w:val="none"/>
                <w:lang w:eastAsia="zh-CN"/>
                <w14:textFill>
                  <w14:solidFill>
                    <w14:schemeClr w14:val="tx1"/>
                  </w14:solidFill>
                </w14:textFill>
              </w:rPr>
              <w:t>项目选址位于</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峨山县塔甸镇大西村委会大西山</w:t>
            </w:r>
            <w:r>
              <w:rPr>
                <w:rFonts w:hint="default" w:ascii="Times New Roman" w:hAnsi="Times New Roman" w:eastAsia="宋体" w:cs="Times New Roman"/>
                <w:color w:val="000000" w:themeColor="text1"/>
                <w:sz w:val="24"/>
                <w:szCs w:val="24"/>
                <w:highlight w:val="none"/>
                <w14:textFill>
                  <w14:solidFill>
                    <w14:schemeClr w14:val="tx1"/>
                  </w14:solidFill>
                </w14:textFill>
              </w:rPr>
              <w:t>，项目</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20</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0m范围内无保护目标。</w:t>
            </w:r>
          </w:p>
          <w:p w14:paraId="79C2178E">
            <w:pPr>
              <w:ind w:firstLine="480"/>
              <w:jc w:val="both"/>
              <w:rPr>
                <w:rFonts w:hint="default" w:ascii="Times New Roman" w:hAnsi="Times New Roman" w:eastAsia="宋体" w:cs="Times New Roman"/>
                <w:color w:val="000000" w:themeColor="text1"/>
                <w14:textFill>
                  <w14:solidFill>
                    <w14:schemeClr w14:val="tx1"/>
                  </w14:solidFill>
                </w14:textFill>
              </w:rPr>
            </w:pPr>
          </w:p>
        </w:tc>
      </w:tr>
      <w:tr w14:paraId="655C7F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453" w:type="pct"/>
            <w:vAlign w:val="center"/>
          </w:tcPr>
          <w:p w14:paraId="4AF8975A">
            <w:pPr>
              <w:adjustRightInd w:val="0"/>
              <w:snapToGrid w:val="0"/>
              <w:ind w:left="0" w:leftChars="0" w:firstLine="0" w:firstLineChars="0"/>
              <w:jc w:val="both"/>
              <w:rPr>
                <w:rFonts w:hint="default" w:ascii="Times New Roman" w:hAnsi="Times New Roman" w:eastAsia="宋体" w:cs="Times New Roman"/>
                <w:color w:val="000000" w:themeColor="text1"/>
                <w:kern w:val="0"/>
                <w:sz w:val="24"/>
                <w14:textFill>
                  <w14:solidFill>
                    <w14:schemeClr w14:val="tx1"/>
                  </w14:solidFill>
                </w14:textFill>
              </w:rPr>
            </w:pPr>
            <w:r>
              <w:rPr>
                <w:rFonts w:hint="default" w:ascii="Times New Roman" w:hAnsi="Times New Roman" w:eastAsia="宋体" w:cs="Times New Roman"/>
                <w:color w:val="000000" w:themeColor="text1"/>
                <w:kern w:val="0"/>
                <w:sz w:val="24"/>
                <w14:textFill>
                  <w14:solidFill>
                    <w14:schemeClr w14:val="tx1"/>
                  </w14:solidFill>
                </w14:textFill>
              </w:rPr>
              <w:t>污染物排放控</w:t>
            </w:r>
          </w:p>
          <w:p w14:paraId="6602D0DE">
            <w:pPr>
              <w:adjustRightInd w:val="0"/>
              <w:snapToGrid w:val="0"/>
              <w:ind w:left="0" w:leftChars="0" w:firstLine="0" w:firstLineChars="0"/>
              <w:jc w:val="both"/>
              <w:rPr>
                <w:rFonts w:hint="default" w:ascii="Times New Roman" w:hAnsi="Times New Roman" w:eastAsia="宋体" w:cs="Times New Roman"/>
                <w:color w:val="000000" w:themeColor="text1"/>
                <w:kern w:val="0"/>
                <w:szCs w:val="21"/>
                <w14:textFill>
                  <w14:solidFill>
                    <w14:schemeClr w14:val="tx1"/>
                  </w14:solidFill>
                </w14:textFill>
              </w:rPr>
            </w:pPr>
            <w:r>
              <w:rPr>
                <w:rFonts w:hint="default" w:ascii="Times New Roman" w:hAnsi="Times New Roman" w:eastAsia="宋体" w:cs="Times New Roman"/>
                <w:color w:val="000000" w:themeColor="text1"/>
                <w:kern w:val="0"/>
                <w:sz w:val="24"/>
                <w14:textFill>
                  <w14:solidFill>
                    <w14:schemeClr w14:val="tx1"/>
                  </w14:solidFill>
                </w14:textFill>
              </w:rPr>
              <w:t>制标准</w:t>
            </w:r>
          </w:p>
        </w:tc>
        <w:tc>
          <w:tcPr>
            <w:tcW w:w="4546" w:type="pct"/>
            <w:vAlign w:val="center"/>
          </w:tcPr>
          <w:p w14:paraId="7EB81018">
            <w:pPr>
              <w:keepNext w:val="0"/>
              <w:keepLines w:val="0"/>
              <w:pageBreakBefore w:val="0"/>
              <w:kinsoku/>
              <w:wordWrap/>
              <w:overflowPunct/>
              <w:topLinePunct w:val="0"/>
              <w:autoSpaceDE/>
              <w:autoSpaceDN/>
              <w:bidi w:val="0"/>
              <w:adjustRightInd w:val="0"/>
              <w:snapToGrid w:val="0"/>
              <w:ind w:firstLine="482"/>
              <w:jc w:val="both"/>
              <w:textAlignment w:val="auto"/>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14:textFill>
                  <w14:solidFill>
                    <w14:schemeClr w14:val="tx1"/>
                  </w14:solidFill>
                </w14:textFill>
              </w:rPr>
              <w:t>1、废气</w:t>
            </w:r>
            <w:r>
              <w:rPr>
                <w:rFonts w:hint="default" w:ascii="Times New Roman" w:hAnsi="Times New Roman" w:eastAsia="宋体" w:cs="Times New Roman"/>
                <w:b/>
                <w:bCs/>
                <w:color w:val="000000" w:themeColor="text1"/>
                <w:lang w:val="en-US" w:eastAsia="zh-CN"/>
                <w14:textFill>
                  <w14:solidFill>
                    <w14:schemeClr w14:val="tx1"/>
                  </w14:solidFill>
                </w14:textFill>
              </w:rPr>
              <w:t>污染物排放标准</w:t>
            </w:r>
          </w:p>
          <w:p w14:paraId="19D9F709">
            <w:pPr>
              <w:pStyle w:val="8"/>
              <w:keepNext w:val="0"/>
              <w:keepLines w:val="0"/>
              <w:pageBreakBefore w:val="0"/>
              <w:kinsoku/>
              <w:wordWrap/>
              <w:overflowPunct/>
              <w:topLinePunct w:val="0"/>
              <w:autoSpaceDE/>
              <w:autoSpaceDN/>
              <w:bidi w:val="0"/>
              <w:adjustRightInd w:val="0"/>
              <w:snapToGrid w:val="0"/>
              <w:spacing w:before="0" w:after="0" w:line="360" w:lineRule="auto"/>
              <w:ind w:leftChars="0" w:right="0" w:firstLine="480" w:firstLineChars="200"/>
              <w:jc w:val="both"/>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施工期产生的大气污染物执行《大气污染物综合排放标准》（GB16297-1996）表2中的无组织排放监控浓度限值要求。</w:t>
            </w:r>
          </w:p>
          <w:p w14:paraId="2917690F">
            <w:pPr>
              <w:pStyle w:val="8"/>
              <w:keepNext w:val="0"/>
              <w:keepLines w:val="0"/>
              <w:pageBreakBefore w:val="0"/>
              <w:kinsoku/>
              <w:wordWrap/>
              <w:overflowPunct/>
              <w:topLinePunct w:val="0"/>
              <w:autoSpaceDE/>
              <w:autoSpaceDN/>
              <w:bidi w:val="0"/>
              <w:adjustRightInd w:val="0"/>
              <w:snapToGrid w:val="0"/>
              <w:spacing w:before="0" w:after="0" w:line="360" w:lineRule="auto"/>
              <w:ind w:leftChars="0" w:right="0" w:firstLine="480" w:firstLineChars="200"/>
              <w:jc w:val="both"/>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运营期在伐木、种植过程中翻土、施肥、管理等过程中也会产生少量扬尘，均呈无组织排放。无组织排放颗粒物执行《大气污染物综合排放标准》（GB16297-1996）表2中的无组织排放监控浓度限值要求，见下表。</w:t>
            </w:r>
          </w:p>
          <w:p w14:paraId="298D526F">
            <w:pPr>
              <w:adjustRightInd w:val="0"/>
              <w:snapToGrid w:val="0"/>
              <w:ind w:firstLine="0" w:firstLineChars="0"/>
              <w:jc w:val="center"/>
              <w:rPr>
                <w:rFonts w:hint="default" w:ascii="Times New Roman" w:hAnsi="Times New Roman" w:eastAsia="宋体" w:cs="Times New Roman"/>
                <w:b/>
                <w:color w:val="000000" w:themeColor="text1"/>
                <w:spacing w:val="4"/>
                <w:kern w:val="0"/>
                <w:sz w:val="21"/>
                <w:szCs w:val="21"/>
                <w14:textFill>
                  <w14:solidFill>
                    <w14:schemeClr w14:val="tx1"/>
                  </w14:solidFill>
                </w14:textFill>
              </w:rPr>
            </w:pPr>
            <w:r>
              <w:rPr>
                <w:rFonts w:hint="default" w:ascii="Times New Roman" w:hAnsi="Times New Roman" w:eastAsia="宋体" w:cs="Times New Roman"/>
                <w:b/>
                <w:color w:val="000000" w:themeColor="text1"/>
                <w:spacing w:val="4"/>
                <w:kern w:val="0"/>
                <w:sz w:val="21"/>
                <w:szCs w:val="21"/>
                <w:lang w:val="en-US" w:eastAsia="zh-CN"/>
                <w14:textFill>
                  <w14:solidFill>
                    <w14:schemeClr w14:val="tx1"/>
                  </w14:solidFill>
                </w14:textFill>
              </w:rPr>
              <w:t>表3-1</w:t>
            </w:r>
            <w:r>
              <w:rPr>
                <w:rFonts w:hint="eastAsia" w:ascii="Times New Roman" w:hAnsi="Times New Roman" w:cs="Times New Roman"/>
                <w:b/>
                <w:color w:val="000000" w:themeColor="text1"/>
                <w:spacing w:val="4"/>
                <w:kern w:val="0"/>
                <w:sz w:val="21"/>
                <w:szCs w:val="21"/>
                <w:lang w:val="en-US" w:eastAsia="zh-CN"/>
                <w14:textFill>
                  <w14:solidFill>
                    <w14:schemeClr w14:val="tx1"/>
                  </w14:solidFill>
                </w14:textFill>
              </w:rPr>
              <w:t>4</w:t>
            </w:r>
            <w:r>
              <w:rPr>
                <w:rFonts w:hint="default" w:ascii="Times New Roman" w:hAnsi="Times New Roman" w:eastAsia="宋体" w:cs="Times New Roman"/>
                <w:b/>
                <w:color w:val="000000" w:themeColor="text1"/>
                <w:spacing w:val="4"/>
                <w:kern w:val="0"/>
                <w:sz w:val="21"/>
                <w:szCs w:val="21"/>
                <w:lang w:val="en-US" w:eastAsia="zh-CN"/>
                <w14:textFill>
                  <w14:solidFill>
                    <w14:schemeClr w14:val="tx1"/>
                  </w14:solidFill>
                </w14:textFill>
              </w:rPr>
              <w:t xml:space="preserve">  大气污染物综合排放标准单位：</w:t>
            </w:r>
            <w:r>
              <w:rPr>
                <w:rFonts w:hint="default" w:ascii="Times New Roman" w:hAnsi="Times New Roman" w:eastAsia="宋体" w:cs="Times New Roman"/>
                <w:b/>
                <w:color w:val="000000" w:themeColor="text1"/>
                <w:spacing w:val="4"/>
                <w:kern w:val="0"/>
                <w:sz w:val="21"/>
                <w:szCs w:val="21"/>
                <w14:textFill>
                  <w14:solidFill>
                    <w14:schemeClr w14:val="tx1"/>
                  </w14:solidFill>
                </w14:textFill>
              </w:rPr>
              <w:t>mg/m</w:t>
            </w:r>
            <w:r>
              <w:rPr>
                <w:rFonts w:hint="default" w:ascii="Times New Roman" w:hAnsi="Times New Roman" w:eastAsia="宋体" w:cs="Times New Roman"/>
                <w:b/>
                <w:color w:val="000000" w:themeColor="text1"/>
                <w:spacing w:val="4"/>
                <w:kern w:val="0"/>
                <w:sz w:val="21"/>
                <w:szCs w:val="21"/>
                <w:vertAlign w:val="superscript"/>
                <w14:textFill>
                  <w14:solidFill>
                    <w14:schemeClr w14:val="tx1"/>
                  </w14:solidFill>
                </w14:textFill>
              </w:rPr>
              <w:t>3</w:t>
            </w:r>
          </w:p>
          <w:tbl>
            <w:tblPr>
              <w:tblStyle w:val="26"/>
              <w:tblW w:w="4998"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81"/>
              <w:gridCol w:w="2569"/>
              <w:gridCol w:w="3771"/>
            </w:tblGrid>
            <w:tr w14:paraId="570E0E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94" w:type="pct"/>
                  <w:vMerge w:val="restart"/>
                  <w:vAlign w:val="center"/>
                </w:tcPr>
                <w:p w14:paraId="6EBABF73">
                  <w:pPr>
                    <w:pStyle w:val="73"/>
                    <w:bidi w:val="0"/>
                    <w:jc w:val="center"/>
                    <w:rPr>
                      <w:rFonts w:hint="default" w:ascii="Times New Roman" w:hAnsi="Times New Roman" w:eastAsia="宋体" w:cs="Times New Roman"/>
                      <w:b/>
                      <w:bCs w:val="0"/>
                      <w:color w:val="000000" w:themeColor="text1"/>
                      <w:lang w:eastAsia="zh-CN"/>
                      <w14:textFill>
                        <w14:solidFill>
                          <w14:schemeClr w14:val="tx1"/>
                        </w14:solidFill>
                      </w14:textFill>
                    </w:rPr>
                  </w:pPr>
                  <w:r>
                    <w:rPr>
                      <w:rFonts w:hint="default" w:ascii="Times New Roman" w:hAnsi="Times New Roman" w:eastAsia="宋体" w:cs="Times New Roman"/>
                      <w:b/>
                      <w:bCs w:val="0"/>
                      <w:color w:val="000000" w:themeColor="text1"/>
                      <w:lang w:val="en-US" w:eastAsia="zh-CN"/>
                      <w14:textFill>
                        <w14:solidFill>
                          <w14:schemeClr w14:val="tx1"/>
                        </w14:solidFill>
                      </w14:textFill>
                    </w:rPr>
                    <w:t>污染物</w:t>
                  </w:r>
                </w:p>
              </w:tc>
              <w:tc>
                <w:tcPr>
                  <w:tcW w:w="1663" w:type="pct"/>
                  <w:vMerge w:val="restart"/>
                  <w:vAlign w:val="center"/>
                </w:tcPr>
                <w:p w14:paraId="1B7A1347">
                  <w:pPr>
                    <w:pStyle w:val="73"/>
                    <w:bidi w:val="0"/>
                    <w:jc w:val="center"/>
                    <w:rPr>
                      <w:rFonts w:hint="default" w:ascii="Times New Roman" w:hAnsi="Times New Roman" w:eastAsia="宋体" w:cs="Times New Roman"/>
                      <w:b/>
                      <w:bCs w:val="0"/>
                      <w:color w:val="000000" w:themeColor="text1"/>
                      <w:lang w:eastAsia="zh-CN"/>
                      <w14:textFill>
                        <w14:solidFill>
                          <w14:schemeClr w14:val="tx1"/>
                        </w14:solidFill>
                      </w14:textFill>
                    </w:rPr>
                  </w:pPr>
                  <w:r>
                    <w:rPr>
                      <w:rFonts w:hint="default" w:ascii="Times New Roman" w:hAnsi="Times New Roman" w:eastAsia="宋体" w:cs="Times New Roman"/>
                      <w:b/>
                      <w:bCs w:val="0"/>
                      <w:color w:val="000000" w:themeColor="text1"/>
                      <w:lang w:val="en-US" w:eastAsia="zh-CN"/>
                      <w14:textFill>
                        <w14:solidFill>
                          <w14:schemeClr w14:val="tx1"/>
                        </w14:solidFill>
                      </w14:textFill>
                    </w:rPr>
                    <w:t>监控点</w:t>
                  </w:r>
                </w:p>
              </w:tc>
              <w:tc>
                <w:tcPr>
                  <w:tcW w:w="2441" w:type="pct"/>
                  <w:vAlign w:val="center"/>
                </w:tcPr>
                <w:p w14:paraId="77D8B35B">
                  <w:pPr>
                    <w:pStyle w:val="73"/>
                    <w:bidi w:val="0"/>
                    <w:jc w:val="center"/>
                    <w:rPr>
                      <w:rFonts w:hint="default" w:ascii="Times New Roman" w:hAnsi="Times New Roman" w:eastAsia="宋体" w:cs="Times New Roman"/>
                      <w:b/>
                      <w:bCs w:val="0"/>
                      <w:color w:val="000000" w:themeColor="text1"/>
                      <w:lang w:val="en-US" w:eastAsia="zh-CN"/>
                      <w14:textFill>
                        <w14:solidFill>
                          <w14:schemeClr w14:val="tx1"/>
                        </w14:solidFill>
                      </w14:textFill>
                    </w:rPr>
                  </w:pPr>
                  <w:r>
                    <w:rPr>
                      <w:rFonts w:hint="default" w:ascii="Times New Roman" w:hAnsi="Times New Roman" w:eastAsia="宋体" w:cs="Times New Roman"/>
                      <w:b/>
                      <w:bCs w:val="0"/>
                      <w:color w:val="000000" w:themeColor="text1"/>
                      <w:lang w:val="en-US" w:eastAsia="zh-CN"/>
                      <w14:textFill>
                        <w14:solidFill>
                          <w14:schemeClr w14:val="tx1"/>
                        </w14:solidFill>
                      </w14:textFill>
                    </w:rPr>
                    <w:t>无组织排放监控浓度限值</w:t>
                  </w:r>
                </w:p>
              </w:tc>
            </w:tr>
            <w:tr w14:paraId="0179A5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94" w:type="pct"/>
                  <w:vMerge w:val="continue"/>
                  <w:vAlign w:val="center"/>
                </w:tcPr>
                <w:p w14:paraId="0879CB7D">
                  <w:pPr>
                    <w:pStyle w:val="73"/>
                    <w:bidi w:val="0"/>
                    <w:jc w:val="center"/>
                    <w:rPr>
                      <w:rFonts w:hint="default" w:ascii="Times New Roman" w:hAnsi="Times New Roman" w:eastAsia="宋体" w:cs="Times New Roman"/>
                      <w:b w:val="0"/>
                      <w:bCs/>
                      <w:color w:val="000000" w:themeColor="text1"/>
                      <w14:textFill>
                        <w14:solidFill>
                          <w14:schemeClr w14:val="tx1"/>
                        </w14:solidFill>
                      </w14:textFill>
                    </w:rPr>
                  </w:pPr>
                </w:p>
              </w:tc>
              <w:tc>
                <w:tcPr>
                  <w:tcW w:w="1663" w:type="pct"/>
                  <w:vMerge w:val="continue"/>
                  <w:vAlign w:val="center"/>
                </w:tcPr>
                <w:p w14:paraId="2456A597">
                  <w:pPr>
                    <w:pStyle w:val="73"/>
                    <w:bidi w:val="0"/>
                    <w:jc w:val="center"/>
                    <w:rPr>
                      <w:rFonts w:hint="default" w:ascii="Times New Roman" w:hAnsi="Times New Roman" w:eastAsia="宋体" w:cs="Times New Roman"/>
                      <w:b w:val="0"/>
                      <w:bCs/>
                      <w:color w:val="000000" w:themeColor="text1"/>
                      <w14:textFill>
                        <w14:solidFill>
                          <w14:schemeClr w14:val="tx1"/>
                        </w14:solidFill>
                      </w14:textFill>
                    </w:rPr>
                  </w:pPr>
                </w:p>
              </w:tc>
              <w:tc>
                <w:tcPr>
                  <w:tcW w:w="2441" w:type="pct"/>
                  <w:vAlign w:val="center"/>
                </w:tcPr>
                <w:p w14:paraId="1488B329">
                  <w:pPr>
                    <w:pStyle w:val="73"/>
                    <w:bidi w:val="0"/>
                    <w:jc w:val="center"/>
                    <w:rPr>
                      <w:rFonts w:hint="default" w:ascii="Times New Roman" w:hAnsi="Times New Roman" w:eastAsia="宋体" w:cs="Times New Roman"/>
                      <w:b/>
                      <w:bCs w:val="0"/>
                      <w:color w:val="000000" w:themeColor="text1"/>
                      <w:lang w:val="en-US" w:eastAsia="zh-CN"/>
                      <w14:textFill>
                        <w14:solidFill>
                          <w14:schemeClr w14:val="tx1"/>
                        </w14:solidFill>
                      </w14:textFill>
                    </w:rPr>
                  </w:pPr>
                  <w:r>
                    <w:rPr>
                      <w:rFonts w:hint="default" w:ascii="Times New Roman" w:hAnsi="Times New Roman" w:eastAsia="宋体" w:cs="Times New Roman"/>
                      <w:b/>
                      <w:bCs w:val="0"/>
                      <w:color w:val="000000" w:themeColor="text1"/>
                      <w:lang w:val="en-US" w:eastAsia="zh-CN"/>
                      <w14:textFill>
                        <w14:solidFill>
                          <w14:schemeClr w14:val="tx1"/>
                        </w14:solidFill>
                      </w14:textFill>
                    </w:rPr>
                    <w:t>浓度</w:t>
                  </w:r>
                </w:p>
              </w:tc>
            </w:tr>
            <w:tr w14:paraId="16736B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94" w:type="pct"/>
                  <w:vAlign w:val="center"/>
                </w:tcPr>
                <w:p w14:paraId="37637E27">
                  <w:pPr>
                    <w:pStyle w:val="73"/>
                    <w:bidi w:val="0"/>
                    <w:jc w:val="center"/>
                    <w:rPr>
                      <w:rFonts w:hint="default" w:ascii="Times New Roman" w:hAnsi="Times New Roman" w:eastAsia="宋体" w:cs="Times New Roman"/>
                      <w:b w:val="0"/>
                      <w:bCs/>
                      <w:color w:val="000000" w:themeColor="text1"/>
                      <w:lang w:val="en-US" w:eastAsia="zh-CN"/>
                      <w14:textFill>
                        <w14:solidFill>
                          <w14:schemeClr w14:val="tx1"/>
                        </w14:solidFill>
                      </w14:textFill>
                    </w:rPr>
                  </w:pPr>
                  <w:r>
                    <w:rPr>
                      <w:rFonts w:hint="default" w:ascii="Times New Roman" w:hAnsi="Times New Roman" w:eastAsia="宋体" w:cs="Times New Roman"/>
                      <w:b w:val="0"/>
                      <w:bCs/>
                      <w:color w:val="000000" w:themeColor="text1"/>
                      <w:lang w:val="en-US" w:eastAsia="zh-CN"/>
                      <w14:textFill>
                        <w14:solidFill>
                          <w14:schemeClr w14:val="tx1"/>
                        </w14:solidFill>
                      </w14:textFill>
                    </w:rPr>
                    <w:t>颗粒物</w:t>
                  </w:r>
                </w:p>
              </w:tc>
              <w:tc>
                <w:tcPr>
                  <w:tcW w:w="1663" w:type="pct"/>
                  <w:vAlign w:val="center"/>
                </w:tcPr>
                <w:p w14:paraId="5C4F6739">
                  <w:pPr>
                    <w:pStyle w:val="73"/>
                    <w:bidi w:val="0"/>
                    <w:jc w:val="center"/>
                    <w:rPr>
                      <w:rFonts w:hint="default" w:ascii="Times New Roman" w:hAnsi="Times New Roman" w:eastAsia="宋体" w:cs="Times New Roman"/>
                      <w:b w:val="0"/>
                      <w:bCs/>
                      <w:color w:val="000000" w:themeColor="text1"/>
                      <w:lang w:val="en-US" w:eastAsia="zh-CN"/>
                      <w14:textFill>
                        <w14:solidFill>
                          <w14:schemeClr w14:val="tx1"/>
                        </w14:solidFill>
                      </w14:textFill>
                    </w:rPr>
                  </w:pPr>
                  <w:r>
                    <w:rPr>
                      <w:rFonts w:hint="default" w:ascii="Times New Roman" w:hAnsi="Times New Roman" w:eastAsia="宋体" w:cs="Times New Roman"/>
                      <w:b w:val="0"/>
                      <w:bCs/>
                      <w:color w:val="000000" w:themeColor="text1"/>
                      <w:lang w:val="en-US" w:eastAsia="zh-CN"/>
                      <w14:textFill>
                        <w14:solidFill>
                          <w14:schemeClr w14:val="tx1"/>
                        </w14:solidFill>
                      </w14:textFill>
                    </w:rPr>
                    <w:t>周界外浓度最高点</w:t>
                  </w:r>
                </w:p>
              </w:tc>
              <w:tc>
                <w:tcPr>
                  <w:tcW w:w="2441" w:type="pct"/>
                  <w:vAlign w:val="center"/>
                </w:tcPr>
                <w:p w14:paraId="1F95ED9E">
                  <w:pPr>
                    <w:pStyle w:val="73"/>
                    <w:bidi w:val="0"/>
                    <w:jc w:val="center"/>
                    <w:rPr>
                      <w:rFonts w:hint="default" w:ascii="Times New Roman" w:hAnsi="Times New Roman" w:eastAsia="宋体" w:cs="Times New Roman"/>
                      <w:b w:val="0"/>
                      <w:bCs/>
                      <w:color w:val="000000" w:themeColor="text1"/>
                      <w:lang w:val="en-US" w:eastAsia="zh-CN"/>
                      <w14:textFill>
                        <w14:solidFill>
                          <w14:schemeClr w14:val="tx1"/>
                        </w14:solidFill>
                      </w14:textFill>
                    </w:rPr>
                  </w:pPr>
                  <w:r>
                    <w:rPr>
                      <w:rFonts w:hint="default" w:ascii="Times New Roman" w:hAnsi="Times New Roman" w:eastAsia="宋体" w:cs="Times New Roman"/>
                      <w:b w:val="0"/>
                      <w:bCs/>
                      <w:color w:val="000000" w:themeColor="text1"/>
                      <w:lang w:val="en-US" w:eastAsia="zh-CN"/>
                      <w14:textFill>
                        <w14:solidFill>
                          <w14:schemeClr w14:val="tx1"/>
                        </w14:solidFill>
                      </w14:textFill>
                    </w:rPr>
                    <w:t>1.0</w:t>
                  </w:r>
                </w:p>
              </w:tc>
            </w:tr>
          </w:tbl>
          <w:p w14:paraId="515BE518">
            <w:pPr>
              <w:pStyle w:val="8"/>
              <w:keepNext w:val="0"/>
              <w:keepLines w:val="0"/>
              <w:pageBreakBefore w:val="0"/>
              <w:kinsoku/>
              <w:wordWrap/>
              <w:overflowPunct/>
              <w:topLinePunct w:val="0"/>
              <w:autoSpaceDE/>
              <w:autoSpaceDN/>
              <w:bidi w:val="0"/>
              <w:adjustRightInd w:val="0"/>
              <w:snapToGrid w:val="0"/>
              <w:spacing w:before="0" w:after="0" w:line="360" w:lineRule="auto"/>
              <w:ind w:leftChars="0" w:right="0" w:firstLine="480" w:firstLineChars="200"/>
              <w:jc w:val="both"/>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p>
          <w:p w14:paraId="381BC8EE">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2、废水污染物排放标准</w:t>
            </w:r>
          </w:p>
          <w:p w14:paraId="72EE904A">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施工期：本项目施工期产生的废水经</w:t>
            </w:r>
            <w:r>
              <w:rPr>
                <w:rFonts w:hint="eastAsia" w:ascii="Times New Roman" w:hAnsi="Times New Roman" w:cs="Times New Roman"/>
                <w:color w:val="000000" w:themeColor="text1"/>
                <w:highlight w:val="none"/>
                <w:lang w:val="en-US" w:eastAsia="zh-CN"/>
                <w14:textFill>
                  <w14:solidFill>
                    <w14:schemeClr w14:val="tx1"/>
                  </w14:solidFill>
                </w14:textFill>
              </w:rPr>
              <w:t>沉淀处理后，回</w:t>
            </w:r>
            <w:r>
              <w:rPr>
                <w:rFonts w:hint="default" w:ascii="Times New Roman" w:hAnsi="Times New Roman" w:eastAsia="宋体" w:cs="Times New Roman"/>
                <w:color w:val="000000" w:themeColor="text1"/>
                <w:highlight w:val="none"/>
                <w:lang w:val="en-US" w:eastAsia="zh-CN"/>
                <w14:textFill>
                  <w14:solidFill>
                    <w14:schemeClr w14:val="tx1"/>
                  </w14:solidFill>
                </w14:textFill>
              </w:rPr>
              <w:t>用于施工区域内降尘，不外排，故不设排放标准。</w:t>
            </w:r>
          </w:p>
          <w:p w14:paraId="6D8C1CE2">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施工期产生的废水主要是生活污水</w:t>
            </w:r>
            <w:r>
              <w:rPr>
                <w:rFonts w:hint="eastAsia" w:ascii="Times New Roman" w:hAnsi="Times New Roman" w:cs="Times New Roman"/>
                <w:color w:val="000000" w:themeColor="text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highlight w:val="none"/>
                <w:lang w:val="en-US" w:eastAsia="zh-CN"/>
                <w14:textFill>
                  <w14:solidFill>
                    <w14:schemeClr w14:val="tx1"/>
                  </w14:solidFill>
                </w14:textFill>
              </w:rPr>
              <w:t>主要是员工清洁废水，采用沉淀池收集、澄清，全部回用于项目施工区域内降尘。</w:t>
            </w:r>
          </w:p>
          <w:p w14:paraId="124988D8">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b/>
                <w:bCs/>
                <w:color w:val="000000" w:themeColor="text1"/>
                <w:highlight w:val="none"/>
                <w:lang w:val="en-US" w:eastAsia="zh-CN"/>
                <w14:textFill>
                  <w14:solidFill>
                    <w14:schemeClr w14:val="tx1"/>
                  </w14:solidFill>
                </w14:textFill>
              </w:rPr>
            </w:pPr>
            <w:r>
              <w:rPr>
                <w:rFonts w:hint="eastAsia" w:ascii="Times New Roman" w:hAnsi="Times New Roman" w:cs="Times New Roman"/>
                <w:color w:val="000000" w:themeColor="text1"/>
                <w:highlight w:val="none"/>
                <w:lang w:val="en-US" w:eastAsia="zh-CN"/>
                <w14:textFill>
                  <w14:solidFill>
                    <w14:schemeClr w14:val="tx1"/>
                  </w14:solidFill>
                </w14:textFill>
              </w:rPr>
              <w:t>雨季径流：</w:t>
            </w:r>
            <w:r>
              <w:rPr>
                <w:rFonts w:hint="default" w:ascii="Times New Roman" w:hAnsi="Times New Roman" w:eastAsia="宋体" w:cs="Times New Roman"/>
                <w:color w:val="000000" w:themeColor="text1"/>
                <w:highlight w:val="none"/>
                <w:lang w:val="en-US" w:eastAsia="zh-CN"/>
                <w14:textFill>
                  <w14:solidFill>
                    <w14:schemeClr w14:val="tx1"/>
                  </w14:solidFill>
                </w14:textFill>
              </w:rPr>
              <w:t>一片区雨水经设置的截排水沟收集后排入水池内（根据片区排入最近水池，共3个水池），沉淀后回用于项目区内洒水降尘，废水不外排；二片区雨水经设置的截排水沟收集后排入水池内（根据片区排入最近水池，共12个水池），沉淀后回用于项目区内洒水降尘，不外排</w:t>
            </w:r>
            <w:r>
              <w:rPr>
                <w:rFonts w:hint="eastAsia" w:ascii="Times New Roman" w:hAnsi="Times New Roman" w:eastAsia="宋体" w:cs="Times New Roman"/>
                <w:color w:val="000000" w:themeColor="text1"/>
                <w:highlight w:val="none"/>
                <w:lang w:val="en-US" w:eastAsia="zh-CN"/>
                <w14:textFill>
                  <w14:solidFill>
                    <w14:schemeClr w14:val="tx1"/>
                  </w14:solidFill>
                </w14:textFill>
              </w:rPr>
              <w:t>。</w:t>
            </w:r>
          </w:p>
          <w:p w14:paraId="77051AA3">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运营期</w:t>
            </w:r>
            <w:r>
              <w:rPr>
                <w:rFonts w:hint="eastAsia" w:ascii="Times New Roman" w:hAnsi="Times New Roman" w:cs="Times New Roman"/>
                <w:color w:val="000000" w:themeColor="text1"/>
                <w:highlight w:val="none"/>
                <w:lang w:val="en-US" w:eastAsia="zh-CN"/>
                <w14:textFill>
                  <w14:solidFill>
                    <w14:schemeClr w14:val="tx1"/>
                  </w14:solidFill>
                </w14:textFill>
              </w:rPr>
              <w:t>：项目运营期废水主要为生活污水。处理达到《农田灌溉水质标准》（GB 5084—2021）中的“旱地作物”标准后排入水池回用于项目区内灌溉。</w:t>
            </w:r>
          </w:p>
          <w:p w14:paraId="2424250E">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ascii="Times New Roman" w:hAnsi="Times New Roman" w:cs="Times New Roman"/>
                <w:color w:val="000000" w:themeColor="text1"/>
                <w:highlight w:val="none"/>
                <w:lang w:val="en-US" w:eastAsia="zh-CN"/>
                <w14:textFill>
                  <w14:solidFill>
                    <w14:schemeClr w14:val="tx1"/>
                  </w14:solidFill>
                </w14:textFill>
              </w:rPr>
              <w:t>一片区内设置管护用房，但员工值班住宿及就餐依托片区西侧25m处大杉农林科技发展（云南）有限公司设置的办公生活区，产生的</w:t>
            </w:r>
            <w:r>
              <w:rPr>
                <w:rFonts w:hint="default" w:ascii="Times New Roman" w:hAnsi="Times New Roman" w:eastAsia="宋体" w:cs="Times New Roman"/>
                <w:color w:val="000000" w:themeColor="text1"/>
                <w:highlight w:val="none"/>
                <w:lang w:val="en-US" w:eastAsia="zh-CN"/>
                <w14:textFill>
                  <w14:solidFill>
                    <w14:schemeClr w14:val="tx1"/>
                  </w14:solidFill>
                </w14:textFill>
              </w:rPr>
              <w:t>生活污水</w:t>
            </w:r>
            <w:r>
              <w:rPr>
                <w:rFonts w:hint="eastAsia" w:ascii="Times New Roman" w:hAnsi="Times New Roman" w:cs="Times New Roman"/>
                <w:color w:val="000000" w:themeColor="text1"/>
                <w:highlight w:val="none"/>
                <w:lang w:val="en-US" w:eastAsia="zh-CN"/>
                <w14:textFill>
                  <w14:solidFill>
                    <w14:schemeClr w14:val="tx1"/>
                  </w14:solidFill>
                </w14:textFill>
              </w:rPr>
              <w:t>依托该公司食堂设置的隔油池（1个，已建，容积2.0m</w:t>
            </w:r>
            <w:r>
              <w:rPr>
                <w:rFonts w:hint="eastAsia" w:ascii="Times New Roman" w:hAnsi="Times New Roman" w:cs="Times New Roman"/>
                <w:color w:val="000000" w:themeColor="text1"/>
                <w:highlight w:val="none"/>
                <w:vertAlign w:val="superscript"/>
                <w:lang w:val="en-US" w:eastAsia="zh-CN"/>
                <w14:textFill>
                  <w14:solidFill>
                    <w14:schemeClr w14:val="tx1"/>
                  </w14:solidFill>
                </w14:textFill>
              </w:rPr>
              <w:t>3</w:t>
            </w:r>
            <w:r>
              <w:rPr>
                <w:rFonts w:hint="eastAsia" w:ascii="Times New Roman" w:hAnsi="Times New Roman" w:cs="Times New Roman"/>
                <w:color w:val="000000" w:themeColor="text1"/>
                <w:highlight w:val="none"/>
                <w:lang w:val="en-US" w:eastAsia="zh-CN"/>
                <w14:textFill>
                  <w14:solidFill>
                    <w14:schemeClr w14:val="tx1"/>
                  </w14:solidFill>
                </w14:textFill>
              </w:rPr>
              <w:t>）、厕所配套设置化粪池（1个，已建，容积约5.0m</w:t>
            </w:r>
            <w:r>
              <w:rPr>
                <w:rFonts w:hint="eastAsia" w:ascii="Times New Roman" w:hAnsi="Times New Roman" w:cs="Times New Roman"/>
                <w:color w:val="000000" w:themeColor="text1"/>
                <w:highlight w:val="none"/>
                <w:vertAlign w:val="superscript"/>
                <w:lang w:val="en-US" w:eastAsia="zh-CN"/>
                <w14:textFill>
                  <w14:solidFill>
                    <w14:schemeClr w14:val="tx1"/>
                  </w14:solidFill>
                </w14:textFill>
              </w:rPr>
              <w:t>3</w:t>
            </w:r>
            <w:r>
              <w:rPr>
                <w:rFonts w:hint="eastAsia" w:ascii="Times New Roman" w:hAnsi="Times New Roman" w:cs="Times New Roman"/>
                <w:color w:val="000000" w:themeColor="text1"/>
                <w:highlight w:val="none"/>
                <w:lang w:val="en-US" w:eastAsia="zh-CN"/>
                <w14:textFill>
                  <w14:solidFill>
                    <w14:schemeClr w14:val="tx1"/>
                  </w14:solidFill>
                </w14:textFill>
              </w:rPr>
              <w:t>）及一体化污水处理设备（1套，处理</w:t>
            </w:r>
            <w:r>
              <w:rPr>
                <w:rFonts w:hint="eastAsia" w:ascii="Times New Roman" w:hAnsi="Times New Roman" w:cs="Times New Roman"/>
                <w:color w:val="000000" w:themeColor="text1"/>
                <w:highlight w:val="none"/>
                <w:lang w:val="en-US" w:eastAsia="zh-CN"/>
                <w14:textFill>
                  <w14:solidFill>
                    <w14:schemeClr w14:val="tx1"/>
                  </w14:solidFill>
                </w14:textFill>
              </w:rPr>
              <w:t>规模5.0m</w:t>
            </w:r>
            <w:r>
              <w:rPr>
                <w:rFonts w:hint="eastAsia" w:ascii="Times New Roman" w:hAnsi="Times New Roman" w:cs="Times New Roman"/>
                <w:color w:val="000000" w:themeColor="text1"/>
                <w:highlight w:val="none"/>
                <w:vertAlign w:val="superscript"/>
                <w:lang w:val="en-US" w:eastAsia="zh-CN"/>
                <w14:textFill>
                  <w14:solidFill>
                    <w14:schemeClr w14:val="tx1"/>
                  </w14:solidFill>
                </w14:textFill>
              </w:rPr>
              <w:t>3</w:t>
            </w:r>
            <w:r>
              <w:rPr>
                <w:rFonts w:hint="eastAsia" w:ascii="Times New Roman" w:hAnsi="Times New Roman" w:cs="Times New Roman"/>
                <w:color w:val="000000" w:themeColor="text1"/>
                <w:highlight w:val="none"/>
                <w:lang w:val="en-US" w:eastAsia="zh-CN"/>
                <w14:textFill>
                  <w14:solidFill>
                    <w14:schemeClr w14:val="tx1"/>
                  </w14:solidFill>
                </w14:textFill>
              </w:rPr>
              <w:t>/d，大杉农林科技发展（云南）有限公司正在建设</w:t>
            </w:r>
            <w:r>
              <w:rPr>
                <w:rFonts w:hint="eastAsia" w:ascii="Times New Roman" w:hAnsi="Times New Roman" w:cs="Times New Roman"/>
                <w:color w:val="000000" w:themeColor="text1"/>
                <w:highlight w:val="none"/>
                <w:lang w:val="en-US" w:eastAsia="zh-CN"/>
                <w14:textFill>
                  <w14:solidFill>
                    <w14:schemeClr w14:val="tx1"/>
                  </w14:solidFill>
                </w14:textFill>
              </w:rPr>
              <w:t>）处理达到《农田灌溉水质标准》（GB 5084—2021）中的“旱地作物”标准后排入水池1#回用于项目区内灌溉。</w:t>
            </w:r>
          </w:p>
          <w:p w14:paraId="513B985B">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ascii="Times New Roman" w:hAnsi="Times New Roman" w:cs="Times New Roman"/>
                <w:color w:val="000000" w:themeColor="text1"/>
                <w:highlight w:val="none"/>
                <w:lang w:val="en-US" w:eastAsia="zh-CN"/>
                <w14:textFill>
                  <w14:solidFill>
                    <w14:schemeClr w14:val="tx1"/>
                  </w14:solidFill>
                </w14:textFill>
              </w:rPr>
              <w:t>二片区内在管护用房1#、4#和6#设置厕所，配套设置化粪池（3个，容积均为5.0m</w:t>
            </w:r>
            <w:r>
              <w:rPr>
                <w:rFonts w:hint="eastAsia" w:ascii="Times New Roman" w:hAnsi="Times New Roman" w:cs="Times New Roman"/>
                <w:color w:val="000000" w:themeColor="text1"/>
                <w:highlight w:val="none"/>
                <w:vertAlign w:val="superscript"/>
                <w:lang w:val="en-US" w:eastAsia="zh-CN"/>
                <w14:textFill>
                  <w14:solidFill>
                    <w14:schemeClr w14:val="tx1"/>
                  </w14:solidFill>
                </w14:textFill>
              </w:rPr>
              <w:t>3</w:t>
            </w:r>
            <w:r>
              <w:rPr>
                <w:rFonts w:hint="eastAsia" w:ascii="Times New Roman" w:hAnsi="Times New Roman" w:cs="Times New Roman"/>
                <w:color w:val="000000" w:themeColor="text1"/>
                <w:highlight w:val="none"/>
                <w:lang w:val="en-US" w:eastAsia="zh-CN"/>
                <w14:textFill>
                  <w14:solidFill>
                    <w14:schemeClr w14:val="tx1"/>
                  </w14:solidFill>
                </w14:textFill>
              </w:rPr>
              <w:t>），管护用房3#内设置食堂，配套设置隔油池（1个，容积2.0m</w:t>
            </w:r>
            <w:r>
              <w:rPr>
                <w:rFonts w:hint="eastAsia" w:ascii="Times New Roman" w:hAnsi="Times New Roman" w:cs="Times New Roman"/>
                <w:color w:val="000000" w:themeColor="text1"/>
                <w:highlight w:val="none"/>
                <w:vertAlign w:val="superscript"/>
                <w:lang w:val="en-US" w:eastAsia="zh-CN"/>
                <w14:textFill>
                  <w14:solidFill>
                    <w14:schemeClr w14:val="tx1"/>
                  </w14:solidFill>
                </w14:textFill>
              </w:rPr>
              <w:t>3</w:t>
            </w:r>
            <w:r>
              <w:rPr>
                <w:rFonts w:hint="eastAsia" w:ascii="Times New Roman" w:hAnsi="Times New Roman" w:cs="Times New Roman"/>
                <w:color w:val="000000" w:themeColor="text1"/>
                <w:highlight w:val="none"/>
                <w:lang w:val="en-US" w:eastAsia="zh-CN"/>
                <w14:textFill>
                  <w14:solidFill>
                    <w14:schemeClr w14:val="tx1"/>
                  </w14:solidFill>
                </w14:textFill>
              </w:rPr>
              <w:t>），经预处理后的生活污水及食堂废水进入设置于管护用房4#旁边的一体化污水处理设备（处理规模为5.0m</w:t>
            </w:r>
            <w:r>
              <w:rPr>
                <w:rFonts w:hint="eastAsia" w:ascii="Times New Roman" w:hAnsi="Times New Roman" w:cs="Times New Roman"/>
                <w:color w:val="000000" w:themeColor="text1"/>
                <w:highlight w:val="none"/>
                <w:vertAlign w:val="superscript"/>
                <w:lang w:val="en-US" w:eastAsia="zh-CN"/>
                <w14:textFill>
                  <w14:solidFill>
                    <w14:schemeClr w14:val="tx1"/>
                  </w14:solidFill>
                </w14:textFill>
              </w:rPr>
              <w:t>3</w:t>
            </w:r>
            <w:r>
              <w:rPr>
                <w:rFonts w:hint="eastAsia" w:ascii="Times New Roman" w:hAnsi="Times New Roman" w:cs="Times New Roman"/>
                <w:color w:val="000000" w:themeColor="text1"/>
                <w:highlight w:val="none"/>
                <w:lang w:val="en-US" w:eastAsia="zh-CN"/>
                <w14:textFill>
                  <w14:solidFill>
                    <w14:schemeClr w14:val="tx1"/>
                  </w14:solidFill>
                </w14:textFill>
              </w:rPr>
              <w:t>/d</w:t>
            </w:r>
            <w:r>
              <w:rPr>
                <w:rFonts w:hint="eastAsia" w:ascii="Times New Roman" w:hAnsi="Times New Roman" w:cs="Times New Roman"/>
                <w:color w:val="000000" w:themeColor="text1"/>
                <w:highlight w:val="none"/>
                <w:lang w:val="en-US" w:eastAsia="zh-CN"/>
                <w14:textFill>
                  <w14:solidFill>
                    <w14:schemeClr w14:val="tx1"/>
                  </w14:solidFill>
                </w14:textFill>
              </w:rPr>
              <w:t>），处理达到《</w:t>
            </w:r>
            <w:r>
              <w:rPr>
                <w:rFonts w:hint="eastAsia" w:ascii="Times New Roman" w:hAnsi="Times New Roman" w:cs="Times New Roman"/>
                <w:color w:val="000000" w:themeColor="text1"/>
                <w:highlight w:val="none"/>
                <w:lang w:val="en-US" w:eastAsia="zh-CN"/>
                <w14:textFill>
                  <w14:solidFill>
                    <w14:schemeClr w14:val="tx1"/>
                  </w14:solidFill>
                </w14:textFill>
              </w:rPr>
              <w:t>农田灌溉水质标准》（GB 5084—2021）中的“旱地作物”标准后的废水排入水池6#，回用于项目区内灌溉。</w:t>
            </w:r>
          </w:p>
          <w:p w14:paraId="3E04F6C1">
            <w:pPr>
              <w:adjustRightInd w:val="0"/>
              <w:snapToGrid w:val="0"/>
              <w:ind w:firstLine="0" w:firstLineChars="0"/>
              <w:jc w:val="center"/>
              <w:rPr>
                <w:rFonts w:hint="eastAsia" w:ascii="Times New Roman" w:hAnsi="Times New Roman" w:eastAsia="宋体" w:cs="Times New Roman"/>
                <w:b/>
                <w:color w:val="000000" w:themeColor="text1"/>
                <w:spacing w:val="4"/>
                <w:kern w:val="0"/>
                <w:sz w:val="21"/>
                <w:szCs w:val="21"/>
                <w:lang w:val="en-US" w:eastAsia="zh-CN"/>
                <w14:textFill>
                  <w14:solidFill>
                    <w14:schemeClr w14:val="tx1"/>
                  </w14:solidFill>
                </w14:textFill>
              </w:rPr>
            </w:pPr>
          </w:p>
          <w:p w14:paraId="6FDB03D9">
            <w:pPr>
              <w:adjustRightInd w:val="0"/>
              <w:snapToGrid w:val="0"/>
              <w:ind w:firstLine="0" w:firstLineChars="0"/>
              <w:jc w:val="center"/>
              <w:rPr>
                <w:rFonts w:hint="eastAsia" w:ascii="Times New Roman" w:hAnsi="Times New Roman" w:eastAsia="宋体" w:cs="Times New Roman"/>
                <w:b/>
                <w:color w:val="000000" w:themeColor="text1"/>
                <w:spacing w:val="4"/>
                <w:kern w:val="0"/>
                <w:sz w:val="21"/>
                <w:szCs w:val="21"/>
                <w:lang w:val="en-US" w:eastAsia="zh-CN"/>
                <w14:textFill>
                  <w14:solidFill>
                    <w14:schemeClr w14:val="tx1"/>
                  </w14:solidFill>
                </w14:textFill>
              </w:rPr>
            </w:pPr>
          </w:p>
          <w:p w14:paraId="0669888C">
            <w:pPr>
              <w:adjustRightInd w:val="0"/>
              <w:snapToGrid w:val="0"/>
              <w:ind w:firstLine="0" w:firstLineChars="0"/>
              <w:jc w:val="center"/>
              <w:rPr>
                <w:rFonts w:hint="eastAsia" w:ascii="Times New Roman" w:hAnsi="Times New Roman" w:eastAsia="宋体" w:cs="Times New Roman"/>
                <w:b/>
                <w:color w:val="000000" w:themeColor="text1"/>
                <w:spacing w:val="4"/>
                <w:kern w:val="0"/>
                <w:sz w:val="21"/>
                <w:szCs w:val="21"/>
                <w:lang w:val="en-US" w:eastAsia="zh-CN"/>
                <w14:textFill>
                  <w14:solidFill>
                    <w14:schemeClr w14:val="tx1"/>
                  </w14:solidFill>
                </w14:textFill>
              </w:rPr>
            </w:pPr>
          </w:p>
          <w:p w14:paraId="0B5A7276">
            <w:pPr>
              <w:adjustRightInd w:val="0"/>
              <w:snapToGrid w:val="0"/>
              <w:ind w:firstLine="0" w:firstLineChars="0"/>
              <w:jc w:val="center"/>
              <w:rPr>
                <w:rFonts w:hint="default" w:ascii="Times New Roman" w:hAnsi="Times New Roman" w:eastAsia="宋体" w:cs="Times New Roman"/>
                <w:b/>
                <w:color w:val="000000" w:themeColor="text1"/>
                <w:spacing w:val="4"/>
                <w:kern w:val="0"/>
                <w:sz w:val="21"/>
                <w:szCs w:val="21"/>
                <w:lang w:val="en-US" w:eastAsia="zh-CN"/>
                <w14:textFill>
                  <w14:solidFill>
                    <w14:schemeClr w14:val="tx1"/>
                  </w14:solidFill>
                </w14:textFill>
              </w:rPr>
            </w:pPr>
            <w:r>
              <w:rPr>
                <w:rFonts w:hint="eastAsia" w:ascii="Times New Roman" w:hAnsi="Times New Roman" w:eastAsia="宋体" w:cs="Times New Roman"/>
                <w:b/>
                <w:color w:val="000000" w:themeColor="text1"/>
                <w:spacing w:val="4"/>
                <w:kern w:val="0"/>
                <w:sz w:val="21"/>
                <w:szCs w:val="21"/>
                <w:lang w:val="en-US" w:eastAsia="zh-CN"/>
                <w14:textFill>
                  <w14:solidFill>
                    <w14:schemeClr w14:val="tx1"/>
                  </w14:solidFill>
                </w14:textFill>
              </w:rPr>
              <w:t>表 3-15  农田灌溉水质标准</w:t>
            </w:r>
          </w:p>
          <w:tbl>
            <w:tblPr>
              <w:tblStyle w:val="27"/>
              <w:tblW w:w="77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4"/>
              <w:gridCol w:w="3800"/>
              <w:gridCol w:w="2765"/>
            </w:tblGrid>
            <w:tr w14:paraId="7E0B5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74" w:type="dxa"/>
                  <w:vMerge w:val="restart"/>
                  <w:vAlign w:val="center"/>
                </w:tcPr>
                <w:p w14:paraId="5C2053E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cs="Times New Roman"/>
                      <w:b/>
                      <w:bCs/>
                      <w:color w:val="000000" w:themeColor="text1"/>
                      <w:sz w:val="21"/>
                      <w:szCs w:val="21"/>
                      <w:highlight w:val="none"/>
                      <w:vertAlign w:val="baseline"/>
                      <w:lang w:val="en-US" w:eastAsia="zh-CN"/>
                      <w14:textFill>
                        <w14:solidFill>
                          <w14:schemeClr w14:val="tx1"/>
                        </w14:solidFill>
                      </w14:textFill>
                    </w:rPr>
                    <w:t>序号</w:t>
                  </w:r>
                </w:p>
              </w:tc>
              <w:tc>
                <w:tcPr>
                  <w:tcW w:w="3800" w:type="dxa"/>
                  <w:vMerge w:val="restart"/>
                  <w:vAlign w:val="center"/>
                </w:tcPr>
                <w:p w14:paraId="0E61BED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cs="Times New Roman"/>
                      <w:b/>
                      <w:bCs/>
                      <w:color w:val="000000" w:themeColor="text1"/>
                      <w:sz w:val="21"/>
                      <w:szCs w:val="21"/>
                      <w:highlight w:val="none"/>
                      <w:vertAlign w:val="baseline"/>
                      <w:lang w:val="en-US" w:eastAsia="zh-CN"/>
                      <w14:textFill>
                        <w14:solidFill>
                          <w14:schemeClr w14:val="tx1"/>
                        </w14:solidFill>
                      </w14:textFill>
                    </w:rPr>
                    <w:t>项目类别</w:t>
                  </w:r>
                </w:p>
              </w:tc>
              <w:tc>
                <w:tcPr>
                  <w:tcW w:w="2765" w:type="dxa"/>
                  <w:vAlign w:val="center"/>
                </w:tcPr>
                <w:p w14:paraId="18FF156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cs="Times New Roman"/>
                      <w:b/>
                      <w:bCs/>
                      <w:color w:val="000000" w:themeColor="text1"/>
                      <w:sz w:val="21"/>
                      <w:szCs w:val="21"/>
                      <w:highlight w:val="none"/>
                      <w:vertAlign w:val="baseline"/>
                      <w:lang w:val="en-US" w:eastAsia="zh-CN"/>
                      <w14:textFill>
                        <w14:solidFill>
                          <w14:schemeClr w14:val="tx1"/>
                        </w14:solidFill>
                      </w14:textFill>
                    </w:rPr>
                    <w:t>作物种类</w:t>
                  </w:r>
                </w:p>
              </w:tc>
            </w:tr>
            <w:tr w14:paraId="29DE9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74" w:type="dxa"/>
                  <w:vMerge w:val="continue"/>
                  <w:vAlign w:val="center"/>
                </w:tcPr>
                <w:p w14:paraId="0E86193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themeColor="text1"/>
                      <w:sz w:val="21"/>
                      <w:szCs w:val="21"/>
                      <w:highlight w:val="none"/>
                      <w:vertAlign w:val="baseline"/>
                      <w:lang w:val="en-US" w:eastAsia="zh-CN"/>
                      <w14:textFill>
                        <w14:solidFill>
                          <w14:schemeClr w14:val="tx1"/>
                        </w14:solidFill>
                      </w14:textFill>
                    </w:rPr>
                  </w:pPr>
                </w:p>
              </w:tc>
              <w:tc>
                <w:tcPr>
                  <w:tcW w:w="3800" w:type="dxa"/>
                  <w:vMerge w:val="continue"/>
                  <w:vAlign w:val="center"/>
                </w:tcPr>
                <w:p w14:paraId="096AD5E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themeColor="text1"/>
                      <w:sz w:val="21"/>
                      <w:szCs w:val="21"/>
                      <w:highlight w:val="none"/>
                      <w:vertAlign w:val="baseline"/>
                      <w:lang w:val="en-US" w:eastAsia="zh-CN"/>
                      <w14:textFill>
                        <w14:solidFill>
                          <w14:schemeClr w14:val="tx1"/>
                        </w14:solidFill>
                      </w14:textFill>
                    </w:rPr>
                  </w:pPr>
                </w:p>
              </w:tc>
              <w:tc>
                <w:tcPr>
                  <w:tcW w:w="2765" w:type="dxa"/>
                  <w:vAlign w:val="center"/>
                </w:tcPr>
                <w:p w14:paraId="0576DAC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cs="Times New Roman"/>
                      <w:b/>
                      <w:bCs/>
                      <w:color w:val="000000" w:themeColor="text1"/>
                      <w:sz w:val="21"/>
                      <w:szCs w:val="21"/>
                      <w:highlight w:val="none"/>
                      <w:vertAlign w:val="baseline"/>
                      <w:lang w:val="en-US" w:eastAsia="zh-CN"/>
                      <w14:textFill>
                        <w14:solidFill>
                          <w14:schemeClr w14:val="tx1"/>
                        </w14:solidFill>
                      </w14:textFill>
                    </w:rPr>
                    <w:t>旱地作物</w:t>
                  </w:r>
                </w:p>
              </w:tc>
            </w:tr>
            <w:tr w14:paraId="3AD6F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74" w:type="dxa"/>
                  <w:vAlign w:val="center"/>
                </w:tcPr>
                <w:p w14:paraId="24BEC93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1</w:t>
                  </w:r>
                </w:p>
              </w:tc>
              <w:tc>
                <w:tcPr>
                  <w:tcW w:w="3800" w:type="dxa"/>
                  <w:vAlign w:val="center"/>
                </w:tcPr>
                <w:p w14:paraId="2F0B108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pH值</w:t>
                  </w:r>
                </w:p>
              </w:tc>
              <w:tc>
                <w:tcPr>
                  <w:tcW w:w="2765" w:type="dxa"/>
                  <w:vAlign w:val="center"/>
                </w:tcPr>
                <w:p w14:paraId="348D4C0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5.5~8.5</w:t>
                  </w:r>
                </w:p>
              </w:tc>
            </w:tr>
            <w:tr w14:paraId="0862E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74" w:type="dxa"/>
                  <w:vAlign w:val="center"/>
                </w:tcPr>
                <w:p w14:paraId="141A14B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2</w:t>
                  </w:r>
                </w:p>
              </w:tc>
              <w:tc>
                <w:tcPr>
                  <w:tcW w:w="3800" w:type="dxa"/>
                  <w:vAlign w:val="center"/>
                </w:tcPr>
                <w:p w14:paraId="1C8B75C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水温/℃</w:t>
                  </w:r>
                </w:p>
              </w:tc>
              <w:tc>
                <w:tcPr>
                  <w:tcW w:w="2765" w:type="dxa"/>
                  <w:vAlign w:val="center"/>
                </w:tcPr>
                <w:p w14:paraId="47BD7B4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35</w:t>
                  </w:r>
                </w:p>
              </w:tc>
            </w:tr>
            <w:tr w14:paraId="1235B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74" w:type="dxa"/>
                  <w:vAlign w:val="center"/>
                </w:tcPr>
                <w:p w14:paraId="72CA07B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3</w:t>
                  </w:r>
                </w:p>
              </w:tc>
              <w:tc>
                <w:tcPr>
                  <w:tcW w:w="3800" w:type="dxa"/>
                  <w:vAlign w:val="center"/>
                </w:tcPr>
                <w:p w14:paraId="68D7C5C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悬浮物/</w:t>
                  </w:r>
                  <w:r>
                    <w:rPr>
                      <w:rFonts w:hint="eastAsia" w:ascii="Times New Roman" w:hAnsi="Times New Roman" w:cs="Times New Roman"/>
                      <w:color w:val="000000" w:themeColor="text1"/>
                      <w:sz w:val="21"/>
                      <w:szCs w:val="21"/>
                      <w:highlight w:val="none"/>
                      <w:vertAlign w:val="baseli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mg/</w:t>
                  </w:r>
                  <w:r>
                    <w:rPr>
                      <w:rFonts w:hint="eastAsia" w:ascii="Times New Roman" w:hAnsi="Times New Roman" w:cs="Times New Roman"/>
                      <w:color w:val="000000" w:themeColor="text1"/>
                      <w:sz w:val="21"/>
                      <w:szCs w:val="21"/>
                      <w:highlight w:val="none"/>
                      <w:vertAlign w:val="baseline"/>
                      <w:lang w:val="en-US" w:eastAsia="zh-CN"/>
                      <w14:textFill>
                        <w14:solidFill>
                          <w14:schemeClr w14:val="tx1"/>
                        </w14:solidFill>
                      </w14:textFill>
                    </w:rPr>
                    <w:t>L）</w:t>
                  </w: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 xml:space="preserve"> </w:t>
                  </w:r>
                  <w:r>
                    <w:rPr>
                      <w:rFonts w:hint="eastAsia" w:ascii="Times New Roman" w:hAnsi="Times New Roman" w:cs="Times New Roman"/>
                      <w:color w:val="000000" w:themeColor="text1"/>
                      <w:sz w:val="21"/>
                      <w:szCs w:val="21"/>
                      <w:highlight w:val="none"/>
                      <w:vertAlign w:val="baseline"/>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 xml:space="preserve">      ≤</w:t>
                  </w:r>
                </w:p>
              </w:tc>
              <w:tc>
                <w:tcPr>
                  <w:tcW w:w="2765" w:type="dxa"/>
                  <w:vAlign w:val="center"/>
                </w:tcPr>
                <w:p w14:paraId="1D918B9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100</w:t>
                  </w:r>
                </w:p>
              </w:tc>
            </w:tr>
            <w:tr w14:paraId="1278E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74" w:type="dxa"/>
                  <w:vAlign w:val="center"/>
                </w:tcPr>
                <w:p w14:paraId="472024E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4</w:t>
                  </w:r>
                </w:p>
              </w:tc>
              <w:tc>
                <w:tcPr>
                  <w:tcW w:w="3800" w:type="dxa"/>
                  <w:vAlign w:val="center"/>
                </w:tcPr>
                <w:p w14:paraId="28A1D6D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五日生化需氧量</w:t>
                  </w:r>
                  <w:r>
                    <w:rPr>
                      <w:rFonts w:hint="eastAsia" w:ascii="Times New Roman" w:hAnsi="Times New Roman" w:cs="Times New Roman"/>
                      <w:color w:val="000000" w:themeColor="text1"/>
                      <w:sz w:val="21"/>
                      <w:szCs w:val="21"/>
                      <w:highlight w:val="none"/>
                      <w:vertAlign w:val="baseli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BOD₅</w:t>
                  </w:r>
                  <w:r>
                    <w:rPr>
                      <w:rFonts w:hint="eastAsia" w:ascii="Times New Roman" w:hAnsi="Times New Roman" w:cs="Times New Roman"/>
                      <w:color w:val="000000" w:themeColor="text1"/>
                      <w:sz w:val="21"/>
                      <w:szCs w:val="21"/>
                      <w:highlight w:val="none"/>
                      <w:vertAlign w:val="baseli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w:t>
                  </w:r>
                  <w:r>
                    <w:rPr>
                      <w:rFonts w:hint="eastAsia" w:ascii="Times New Roman" w:hAnsi="Times New Roman" w:cs="Times New Roman"/>
                      <w:color w:val="000000" w:themeColor="text1"/>
                      <w:sz w:val="21"/>
                      <w:szCs w:val="21"/>
                      <w:highlight w:val="none"/>
                      <w:vertAlign w:val="baseli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mg/</w:t>
                  </w:r>
                  <w:r>
                    <w:rPr>
                      <w:rFonts w:hint="eastAsia" w:ascii="Times New Roman" w:hAnsi="Times New Roman" w:cs="Times New Roman"/>
                      <w:color w:val="000000" w:themeColor="text1"/>
                      <w:sz w:val="21"/>
                      <w:szCs w:val="21"/>
                      <w:highlight w:val="none"/>
                      <w:vertAlign w:val="baseline"/>
                      <w:lang w:val="en-US" w:eastAsia="zh-CN"/>
                      <w14:textFill>
                        <w14:solidFill>
                          <w14:schemeClr w14:val="tx1"/>
                        </w14:solidFill>
                      </w14:textFill>
                    </w:rPr>
                    <w:t>L）</w:t>
                  </w: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 xml:space="preserve">     ≤</w:t>
                  </w:r>
                </w:p>
              </w:tc>
              <w:tc>
                <w:tcPr>
                  <w:tcW w:w="2765" w:type="dxa"/>
                  <w:vAlign w:val="center"/>
                </w:tcPr>
                <w:p w14:paraId="11B26F0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100</w:t>
                  </w:r>
                </w:p>
              </w:tc>
            </w:tr>
            <w:tr w14:paraId="0F0B2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74" w:type="dxa"/>
                  <w:vAlign w:val="center"/>
                </w:tcPr>
                <w:p w14:paraId="6AE8806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5</w:t>
                  </w:r>
                </w:p>
              </w:tc>
              <w:tc>
                <w:tcPr>
                  <w:tcW w:w="3800" w:type="dxa"/>
                  <w:vAlign w:val="center"/>
                </w:tcPr>
                <w:p w14:paraId="3EE83C9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化学需氧量(CODc)/</w:t>
                  </w:r>
                  <w:r>
                    <w:rPr>
                      <w:rFonts w:hint="eastAsia" w:ascii="Times New Roman" w:hAnsi="Times New Roman" w:cs="Times New Roman"/>
                      <w:color w:val="000000" w:themeColor="text1"/>
                      <w:sz w:val="21"/>
                      <w:szCs w:val="21"/>
                      <w:highlight w:val="none"/>
                      <w:vertAlign w:val="baseli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mg/</w:t>
                  </w:r>
                  <w:r>
                    <w:rPr>
                      <w:rFonts w:hint="eastAsia" w:ascii="Times New Roman" w:hAnsi="Times New Roman" w:cs="Times New Roman"/>
                      <w:color w:val="000000" w:themeColor="text1"/>
                      <w:sz w:val="21"/>
                      <w:szCs w:val="21"/>
                      <w:highlight w:val="none"/>
                      <w:vertAlign w:val="baseline"/>
                      <w:lang w:val="en-US" w:eastAsia="zh-CN"/>
                      <w14:textFill>
                        <w14:solidFill>
                          <w14:schemeClr w14:val="tx1"/>
                        </w14:solidFill>
                      </w14:textFill>
                    </w:rPr>
                    <w:t>L）</w:t>
                  </w: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 xml:space="preserve">  </w:t>
                  </w:r>
                  <w:r>
                    <w:rPr>
                      <w:rFonts w:hint="eastAsia" w:ascii="Times New Roman" w:hAnsi="Times New Roman" w:cs="Times New Roman"/>
                      <w:color w:val="000000" w:themeColor="text1"/>
                      <w:sz w:val="21"/>
                      <w:szCs w:val="21"/>
                      <w:highlight w:val="none"/>
                      <w:vertAlign w:val="baseline"/>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 xml:space="preserve">     ≤</w:t>
                  </w:r>
                </w:p>
              </w:tc>
              <w:tc>
                <w:tcPr>
                  <w:tcW w:w="2765" w:type="dxa"/>
                  <w:vAlign w:val="center"/>
                </w:tcPr>
                <w:p w14:paraId="1D58D1F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200</w:t>
                  </w:r>
                </w:p>
              </w:tc>
            </w:tr>
            <w:tr w14:paraId="0D027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74" w:type="dxa"/>
                  <w:vAlign w:val="center"/>
                </w:tcPr>
                <w:p w14:paraId="426A978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6</w:t>
                  </w:r>
                </w:p>
              </w:tc>
              <w:tc>
                <w:tcPr>
                  <w:tcW w:w="3800" w:type="dxa"/>
                  <w:vAlign w:val="center"/>
                </w:tcPr>
                <w:p w14:paraId="57E7798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阴离子表面活性剂/</w:t>
                  </w:r>
                  <w:r>
                    <w:rPr>
                      <w:rFonts w:hint="eastAsia" w:ascii="Times New Roman" w:hAnsi="Times New Roman" w:cs="Times New Roman"/>
                      <w:color w:val="000000" w:themeColor="text1"/>
                      <w:sz w:val="21"/>
                      <w:szCs w:val="21"/>
                      <w:highlight w:val="none"/>
                      <w:vertAlign w:val="baseli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mg/</w:t>
                  </w:r>
                  <w:r>
                    <w:rPr>
                      <w:rFonts w:hint="eastAsia" w:ascii="Times New Roman" w:hAnsi="Times New Roman" w:cs="Times New Roman"/>
                      <w:color w:val="000000" w:themeColor="text1"/>
                      <w:sz w:val="21"/>
                      <w:szCs w:val="21"/>
                      <w:highlight w:val="none"/>
                      <w:vertAlign w:val="baseline"/>
                      <w:lang w:val="en-US" w:eastAsia="zh-CN"/>
                      <w14:textFill>
                        <w14:solidFill>
                          <w14:schemeClr w14:val="tx1"/>
                        </w14:solidFill>
                      </w14:textFill>
                    </w:rPr>
                    <w:t xml:space="preserve">L） </w:t>
                  </w: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 xml:space="preserve">  </w:t>
                  </w:r>
                  <w:r>
                    <w:rPr>
                      <w:rFonts w:hint="eastAsia" w:ascii="Times New Roman" w:hAnsi="Times New Roman" w:cs="Times New Roman"/>
                      <w:color w:val="000000" w:themeColor="text1"/>
                      <w:sz w:val="21"/>
                      <w:szCs w:val="21"/>
                      <w:highlight w:val="none"/>
                      <w:vertAlign w:val="baseline"/>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 xml:space="preserve">     ≤</w:t>
                  </w:r>
                </w:p>
              </w:tc>
              <w:tc>
                <w:tcPr>
                  <w:tcW w:w="2765" w:type="dxa"/>
                  <w:vAlign w:val="center"/>
                </w:tcPr>
                <w:p w14:paraId="7C64D7A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8</w:t>
                  </w:r>
                </w:p>
              </w:tc>
            </w:tr>
            <w:tr w14:paraId="055D6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74" w:type="dxa"/>
                  <w:vAlign w:val="center"/>
                </w:tcPr>
                <w:p w14:paraId="77DD523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7</w:t>
                  </w:r>
                </w:p>
              </w:tc>
              <w:tc>
                <w:tcPr>
                  <w:tcW w:w="3800" w:type="dxa"/>
                  <w:vAlign w:val="center"/>
                </w:tcPr>
                <w:p w14:paraId="7BD97BE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氯化物(以CI计)/</w:t>
                  </w:r>
                  <w:r>
                    <w:rPr>
                      <w:rFonts w:hint="eastAsia" w:ascii="Times New Roman" w:hAnsi="Times New Roman" w:cs="Times New Roman"/>
                      <w:color w:val="000000" w:themeColor="text1"/>
                      <w:sz w:val="21"/>
                      <w:szCs w:val="21"/>
                      <w:highlight w:val="none"/>
                      <w:vertAlign w:val="baseli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mg/</w:t>
                  </w:r>
                  <w:r>
                    <w:rPr>
                      <w:rFonts w:hint="eastAsia" w:ascii="Times New Roman" w:hAnsi="Times New Roman" w:cs="Times New Roman"/>
                      <w:color w:val="000000" w:themeColor="text1"/>
                      <w:sz w:val="21"/>
                      <w:szCs w:val="21"/>
                      <w:highlight w:val="none"/>
                      <w:vertAlign w:val="baseline"/>
                      <w:lang w:val="en-US" w:eastAsia="zh-CN"/>
                      <w14:textFill>
                        <w14:solidFill>
                          <w14:schemeClr w14:val="tx1"/>
                        </w14:solidFill>
                      </w14:textFill>
                    </w:rPr>
                    <w:t>L）</w:t>
                  </w: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 xml:space="preserve">  </w:t>
                  </w:r>
                  <w:r>
                    <w:rPr>
                      <w:rFonts w:hint="eastAsia" w:ascii="Times New Roman" w:hAnsi="Times New Roman" w:cs="Times New Roman"/>
                      <w:color w:val="000000" w:themeColor="text1"/>
                      <w:sz w:val="21"/>
                      <w:szCs w:val="21"/>
                      <w:highlight w:val="none"/>
                      <w:vertAlign w:val="baseline"/>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 xml:space="preserve">     ≤</w:t>
                  </w:r>
                </w:p>
              </w:tc>
              <w:tc>
                <w:tcPr>
                  <w:tcW w:w="2765" w:type="dxa"/>
                  <w:vAlign w:val="center"/>
                </w:tcPr>
                <w:p w14:paraId="60A5062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vertAlign w:val="baseline"/>
                      <w:lang w:val="en-US" w:eastAsia="zh-CN"/>
                      <w14:textFill>
                        <w14:solidFill>
                          <w14:schemeClr w14:val="tx1"/>
                        </w14:solidFill>
                      </w14:textFill>
                    </w:rPr>
                    <w:t>350</w:t>
                  </w:r>
                </w:p>
              </w:tc>
            </w:tr>
            <w:tr w14:paraId="2080E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74" w:type="dxa"/>
                  <w:vAlign w:val="center"/>
                </w:tcPr>
                <w:p w14:paraId="641C608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8</w:t>
                  </w:r>
                </w:p>
              </w:tc>
              <w:tc>
                <w:tcPr>
                  <w:tcW w:w="3800" w:type="dxa"/>
                  <w:vAlign w:val="center"/>
                </w:tcPr>
                <w:p w14:paraId="374302F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硫化物(以S²-计)/</w:t>
                  </w:r>
                  <w:r>
                    <w:rPr>
                      <w:rFonts w:hint="eastAsia" w:ascii="Times New Roman" w:hAnsi="Times New Roman" w:cs="Times New Roman"/>
                      <w:color w:val="000000" w:themeColor="text1"/>
                      <w:sz w:val="21"/>
                      <w:szCs w:val="21"/>
                      <w:highlight w:val="none"/>
                      <w:vertAlign w:val="baseli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mg/</w:t>
                  </w:r>
                  <w:r>
                    <w:rPr>
                      <w:rFonts w:hint="eastAsia" w:ascii="Times New Roman" w:hAnsi="Times New Roman" w:cs="Times New Roman"/>
                      <w:color w:val="000000" w:themeColor="text1"/>
                      <w:sz w:val="21"/>
                      <w:szCs w:val="21"/>
                      <w:highlight w:val="none"/>
                      <w:vertAlign w:val="baseline"/>
                      <w:lang w:val="en-US" w:eastAsia="zh-CN"/>
                      <w14:textFill>
                        <w14:solidFill>
                          <w14:schemeClr w14:val="tx1"/>
                        </w14:solidFill>
                      </w14:textFill>
                    </w:rPr>
                    <w:t>L）</w:t>
                  </w: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 xml:space="preserve"> </w:t>
                  </w:r>
                  <w:r>
                    <w:rPr>
                      <w:rFonts w:hint="eastAsia" w:ascii="Times New Roman" w:hAnsi="Times New Roman" w:cs="Times New Roman"/>
                      <w:color w:val="000000" w:themeColor="text1"/>
                      <w:sz w:val="21"/>
                      <w:szCs w:val="21"/>
                      <w:highlight w:val="none"/>
                      <w:vertAlign w:val="baseline"/>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 xml:space="preserve">      ≤</w:t>
                  </w:r>
                </w:p>
              </w:tc>
              <w:tc>
                <w:tcPr>
                  <w:tcW w:w="2765" w:type="dxa"/>
                  <w:vAlign w:val="center"/>
                </w:tcPr>
                <w:p w14:paraId="3CB5643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vertAlign w:val="baseline"/>
                      <w:lang w:val="en-US" w:eastAsia="zh-CN"/>
                      <w14:textFill>
                        <w14:solidFill>
                          <w14:schemeClr w14:val="tx1"/>
                        </w14:solidFill>
                      </w14:textFill>
                    </w:rPr>
                    <w:t>1</w:t>
                  </w:r>
                </w:p>
              </w:tc>
            </w:tr>
            <w:tr w14:paraId="0E152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74" w:type="dxa"/>
                  <w:vAlign w:val="center"/>
                </w:tcPr>
                <w:p w14:paraId="1CFB9B9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9</w:t>
                  </w:r>
                </w:p>
              </w:tc>
              <w:tc>
                <w:tcPr>
                  <w:tcW w:w="3800" w:type="dxa"/>
                  <w:vAlign w:val="center"/>
                </w:tcPr>
                <w:p w14:paraId="093E4DF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 xml:space="preserve">全盐量/( mg/L)      </w:t>
                  </w:r>
                  <w:r>
                    <w:rPr>
                      <w:rFonts w:hint="eastAsia" w:ascii="Times New Roman" w:hAnsi="Times New Roman" w:cs="Times New Roman"/>
                      <w:color w:val="000000" w:themeColor="text1"/>
                      <w:sz w:val="21"/>
                      <w:szCs w:val="21"/>
                      <w:highlight w:val="none"/>
                      <w:vertAlign w:val="baseline"/>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 xml:space="preserve">      ≤</w:t>
                  </w:r>
                </w:p>
              </w:tc>
              <w:tc>
                <w:tcPr>
                  <w:tcW w:w="2765" w:type="dxa"/>
                  <w:vAlign w:val="center"/>
                </w:tcPr>
                <w:p w14:paraId="7C7F0E0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vertAlign w:val="baseline"/>
                      <w:lang w:val="en-US" w:eastAsia="zh-CN"/>
                      <w14:textFill>
                        <w14:solidFill>
                          <w14:schemeClr w14:val="tx1"/>
                        </w14:solidFill>
                      </w14:textFill>
                    </w:rPr>
                    <w:t>1000</w:t>
                  </w:r>
                </w:p>
              </w:tc>
            </w:tr>
            <w:tr w14:paraId="403A2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74" w:type="dxa"/>
                  <w:vAlign w:val="center"/>
                </w:tcPr>
                <w:p w14:paraId="663E63F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10</w:t>
                  </w:r>
                </w:p>
              </w:tc>
              <w:tc>
                <w:tcPr>
                  <w:tcW w:w="3800" w:type="dxa"/>
                  <w:vAlign w:val="center"/>
                </w:tcPr>
                <w:p w14:paraId="02B0BCD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 xml:space="preserve">总铅/(mg/L)       </w:t>
                  </w:r>
                  <w:r>
                    <w:rPr>
                      <w:rFonts w:hint="eastAsia" w:ascii="Times New Roman" w:hAnsi="Times New Roman" w:cs="Times New Roman"/>
                      <w:color w:val="000000" w:themeColor="text1"/>
                      <w:sz w:val="21"/>
                      <w:szCs w:val="21"/>
                      <w:highlight w:val="none"/>
                      <w:vertAlign w:val="baseline"/>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 xml:space="preserve">      ≤</w:t>
                  </w:r>
                </w:p>
              </w:tc>
              <w:tc>
                <w:tcPr>
                  <w:tcW w:w="2765" w:type="dxa"/>
                  <w:vAlign w:val="center"/>
                </w:tcPr>
                <w:p w14:paraId="6CCB372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vertAlign w:val="baseline"/>
                      <w:lang w:val="en-US" w:eastAsia="zh-CN"/>
                      <w14:textFill>
                        <w14:solidFill>
                          <w14:schemeClr w14:val="tx1"/>
                        </w14:solidFill>
                      </w14:textFill>
                    </w:rPr>
                    <w:t>0.2</w:t>
                  </w:r>
                </w:p>
              </w:tc>
            </w:tr>
            <w:tr w14:paraId="52ED6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74" w:type="dxa"/>
                  <w:vAlign w:val="center"/>
                </w:tcPr>
                <w:p w14:paraId="46A8E0A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11</w:t>
                  </w:r>
                </w:p>
              </w:tc>
              <w:tc>
                <w:tcPr>
                  <w:tcW w:w="3800" w:type="dxa"/>
                  <w:vAlign w:val="center"/>
                </w:tcPr>
                <w:p w14:paraId="6750865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总镉/</w:t>
                  </w:r>
                  <w:r>
                    <w:rPr>
                      <w:rFonts w:hint="eastAsia" w:ascii="Times New Roman" w:hAnsi="Times New Roman" w:cs="Times New Roman"/>
                      <w:color w:val="000000" w:themeColor="text1"/>
                      <w:sz w:val="21"/>
                      <w:szCs w:val="21"/>
                      <w:highlight w:val="none"/>
                      <w:vertAlign w:val="baseli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mg/</w:t>
                  </w:r>
                  <w:r>
                    <w:rPr>
                      <w:rFonts w:hint="eastAsia" w:ascii="Times New Roman" w:hAnsi="Times New Roman" w:cs="Times New Roman"/>
                      <w:color w:val="000000" w:themeColor="text1"/>
                      <w:sz w:val="21"/>
                      <w:szCs w:val="21"/>
                      <w:highlight w:val="none"/>
                      <w:vertAlign w:val="baseline"/>
                      <w:lang w:val="en-US" w:eastAsia="zh-CN"/>
                      <w14:textFill>
                        <w14:solidFill>
                          <w14:schemeClr w14:val="tx1"/>
                        </w14:solidFill>
                      </w14:textFill>
                    </w:rPr>
                    <w:t>L）</w:t>
                  </w: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 xml:space="preserve"> </w:t>
                  </w:r>
                  <w:r>
                    <w:rPr>
                      <w:rFonts w:hint="eastAsia" w:ascii="Times New Roman" w:hAnsi="Times New Roman" w:cs="Times New Roman"/>
                      <w:color w:val="000000" w:themeColor="text1"/>
                      <w:sz w:val="21"/>
                      <w:szCs w:val="21"/>
                      <w:highlight w:val="none"/>
                      <w:vertAlign w:val="baseline"/>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 xml:space="preserve">      ≤</w:t>
                  </w:r>
                </w:p>
              </w:tc>
              <w:tc>
                <w:tcPr>
                  <w:tcW w:w="2765" w:type="dxa"/>
                  <w:vAlign w:val="center"/>
                </w:tcPr>
                <w:p w14:paraId="25C1138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vertAlign w:val="baseline"/>
                      <w:lang w:val="en-US" w:eastAsia="zh-CN"/>
                      <w14:textFill>
                        <w14:solidFill>
                          <w14:schemeClr w14:val="tx1"/>
                        </w14:solidFill>
                      </w14:textFill>
                    </w:rPr>
                    <w:t>0.01</w:t>
                  </w:r>
                </w:p>
              </w:tc>
            </w:tr>
            <w:tr w14:paraId="6E5C2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74" w:type="dxa"/>
                  <w:vAlign w:val="center"/>
                </w:tcPr>
                <w:p w14:paraId="5F435DE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12</w:t>
                  </w:r>
                </w:p>
              </w:tc>
              <w:tc>
                <w:tcPr>
                  <w:tcW w:w="3800" w:type="dxa"/>
                  <w:vAlign w:val="center"/>
                </w:tcPr>
                <w:p w14:paraId="4BE555B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铬(六价)/</w:t>
                  </w:r>
                  <w:r>
                    <w:rPr>
                      <w:rFonts w:hint="eastAsia" w:ascii="Times New Roman" w:hAnsi="Times New Roman" w:cs="Times New Roman"/>
                      <w:color w:val="000000" w:themeColor="text1"/>
                      <w:sz w:val="21"/>
                      <w:szCs w:val="21"/>
                      <w:highlight w:val="none"/>
                      <w:vertAlign w:val="baseli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mg/</w:t>
                  </w:r>
                  <w:r>
                    <w:rPr>
                      <w:rFonts w:hint="eastAsia" w:ascii="Times New Roman" w:hAnsi="Times New Roman" w:cs="Times New Roman"/>
                      <w:color w:val="000000" w:themeColor="text1"/>
                      <w:sz w:val="21"/>
                      <w:szCs w:val="21"/>
                      <w:highlight w:val="none"/>
                      <w:vertAlign w:val="baseline"/>
                      <w:lang w:val="en-US" w:eastAsia="zh-CN"/>
                      <w14:textFill>
                        <w14:solidFill>
                          <w14:schemeClr w14:val="tx1"/>
                        </w14:solidFill>
                      </w14:textFill>
                    </w:rPr>
                    <w:t xml:space="preserve">L）          </w:t>
                  </w: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 xml:space="preserve">       ≤</w:t>
                  </w:r>
                </w:p>
              </w:tc>
              <w:tc>
                <w:tcPr>
                  <w:tcW w:w="2765" w:type="dxa"/>
                  <w:vAlign w:val="center"/>
                </w:tcPr>
                <w:p w14:paraId="3C6B515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vertAlign w:val="baseline"/>
                      <w:lang w:val="en-US" w:eastAsia="zh-CN"/>
                      <w14:textFill>
                        <w14:solidFill>
                          <w14:schemeClr w14:val="tx1"/>
                        </w14:solidFill>
                      </w14:textFill>
                    </w:rPr>
                    <w:t>0.1</w:t>
                  </w:r>
                </w:p>
              </w:tc>
            </w:tr>
            <w:tr w14:paraId="22DD1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74" w:type="dxa"/>
                  <w:vAlign w:val="center"/>
                </w:tcPr>
                <w:p w14:paraId="22A5647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13</w:t>
                  </w:r>
                </w:p>
              </w:tc>
              <w:tc>
                <w:tcPr>
                  <w:tcW w:w="3800" w:type="dxa"/>
                  <w:vAlign w:val="center"/>
                </w:tcPr>
                <w:p w14:paraId="4263BB7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总汞/</w:t>
                  </w:r>
                  <w:r>
                    <w:rPr>
                      <w:rFonts w:hint="eastAsia" w:ascii="Times New Roman" w:hAnsi="Times New Roman" w:cs="Times New Roman"/>
                      <w:color w:val="000000" w:themeColor="text1"/>
                      <w:sz w:val="21"/>
                      <w:szCs w:val="21"/>
                      <w:highlight w:val="none"/>
                      <w:vertAlign w:val="baseli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mg/</w:t>
                  </w:r>
                  <w:r>
                    <w:rPr>
                      <w:rFonts w:hint="eastAsia" w:ascii="Times New Roman" w:hAnsi="Times New Roman" w:cs="Times New Roman"/>
                      <w:color w:val="000000" w:themeColor="text1"/>
                      <w:sz w:val="21"/>
                      <w:szCs w:val="21"/>
                      <w:highlight w:val="none"/>
                      <w:vertAlign w:val="baseline"/>
                      <w:lang w:val="en-US" w:eastAsia="zh-CN"/>
                      <w14:textFill>
                        <w14:solidFill>
                          <w14:schemeClr w14:val="tx1"/>
                        </w14:solidFill>
                      </w14:textFill>
                    </w:rPr>
                    <w:t>L）</w:t>
                  </w: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 xml:space="preserve">   </w:t>
                  </w:r>
                  <w:r>
                    <w:rPr>
                      <w:rFonts w:hint="eastAsia" w:ascii="Times New Roman" w:hAnsi="Times New Roman" w:cs="Times New Roman"/>
                      <w:color w:val="000000" w:themeColor="text1"/>
                      <w:sz w:val="21"/>
                      <w:szCs w:val="21"/>
                      <w:highlight w:val="none"/>
                      <w:vertAlign w:val="baseline"/>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 xml:space="preserve"> </w:t>
                  </w:r>
                  <w:r>
                    <w:rPr>
                      <w:rFonts w:hint="eastAsia" w:ascii="Times New Roman" w:hAnsi="Times New Roman" w:cs="Times New Roman"/>
                      <w:color w:val="000000" w:themeColor="text1"/>
                      <w:sz w:val="21"/>
                      <w:szCs w:val="21"/>
                      <w:highlight w:val="none"/>
                      <w:vertAlign w:val="baseline"/>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 xml:space="preserve">   ≤</w:t>
                  </w:r>
                </w:p>
              </w:tc>
              <w:tc>
                <w:tcPr>
                  <w:tcW w:w="2765" w:type="dxa"/>
                  <w:vAlign w:val="center"/>
                </w:tcPr>
                <w:p w14:paraId="3E41E43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vertAlign w:val="baseline"/>
                      <w:lang w:val="en-US" w:eastAsia="zh-CN"/>
                      <w14:textFill>
                        <w14:solidFill>
                          <w14:schemeClr w14:val="tx1"/>
                        </w14:solidFill>
                      </w14:textFill>
                    </w:rPr>
                    <w:t>0.001</w:t>
                  </w:r>
                </w:p>
              </w:tc>
            </w:tr>
            <w:tr w14:paraId="6FDCE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74" w:type="dxa"/>
                  <w:vAlign w:val="center"/>
                </w:tcPr>
                <w:p w14:paraId="38D00E5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14</w:t>
                  </w:r>
                </w:p>
              </w:tc>
              <w:tc>
                <w:tcPr>
                  <w:tcW w:w="3800" w:type="dxa"/>
                  <w:vAlign w:val="center"/>
                </w:tcPr>
                <w:p w14:paraId="240920E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总砷/</w:t>
                  </w:r>
                  <w:r>
                    <w:rPr>
                      <w:rFonts w:hint="eastAsia" w:ascii="Times New Roman" w:hAnsi="Times New Roman" w:cs="Times New Roman"/>
                      <w:color w:val="000000" w:themeColor="text1"/>
                      <w:sz w:val="21"/>
                      <w:szCs w:val="21"/>
                      <w:highlight w:val="none"/>
                      <w:vertAlign w:val="baseli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mg/</w:t>
                  </w:r>
                  <w:r>
                    <w:rPr>
                      <w:rFonts w:hint="eastAsia" w:ascii="Times New Roman" w:hAnsi="Times New Roman" w:cs="Times New Roman"/>
                      <w:color w:val="000000" w:themeColor="text1"/>
                      <w:sz w:val="21"/>
                      <w:szCs w:val="21"/>
                      <w:highlight w:val="none"/>
                      <w:vertAlign w:val="baseline"/>
                      <w:lang w:val="en-US" w:eastAsia="zh-CN"/>
                      <w14:textFill>
                        <w14:solidFill>
                          <w14:schemeClr w14:val="tx1"/>
                        </w14:solidFill>
                      </w14:textFill>
                    </w:rPr>
                    <w:t>L）</w:t>
                  </w: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 xml:space="preserve">  </w:t>
                  </w:r>
                  <w:r>
                    <w:rPr>
                      <w:rFonts w:hint="eastAsia" w:ascii="Times New Roman" w:hAnsi="Times New Roman" w:cs="Times New Roman"/>
                      <w:color w:val="000000" w:themeColor="text1"/>
                      <w:sz w:val="21"/>
                      <w:szCs w:val="21"/>
                      <w:highlight w:val="none"/>
                      <w:vertAlign w:val="baseline"/>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 xml:space="preserve">     ≤</w:t>
                  </w:r>
                </w:p>
              </w:tc>
              <w:tc>
                <w:tcPr>
                  <w:tcW w:w="2765" w:type="dxa"/>
                  <w:vAlign w:val="center"/>
                </w:tcPr>
                <w:p w14:paraId="6256915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vertAlign w:val="baseline"/>
                      <w:lang w:val="en-US" w:eastAsia="zh-CN"/>
                      <w14:textFill>
                        <w14:solidFill>
                          <w14:schemeClr w14:val="tx1"/>
                        </w14:solidFill>
                      </w14:textFill>
                    </w:rPr>
                    <w:t>0.1</w:t>
                  </w:r>
                </w:p>
              </w:tc>
            </w:tr>
            <w:tr w14:paraId="3B69C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74" w:type="dxa"/>
                  <w:vAlign w:val="center"/>
                </w:tcPr>
                <w:p w14:paraId="7A069AC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15</w:t>
                  </w:r>
                </w:p>
              </w:tc>
              <w:tc>
                <w:tcPr>
                  <w:tcW w:w="3800" w:type="dxa"/>
                  <w:vAlign w:val="center"/>
                </w:tcPr>
                <w:p w14:paraId="3FA868D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粪大肠菌群数/(MPNL)             ≤</w:t>
                  </w:r>
                </w:p>
              </w:tc>
              <w:tc>
                <w:tcPr>
                  <w:tcW w:w="2765" w:type="dxa"/>
                  <w:vAlign w:val="center"/>
                </w:tcPr>
                <w:p w14:paraId="2788020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vertAlign w:val="baseline"/>
                      <w:lang w:val="en-US" w:eastAsia="zh-CN"/>
                      <w14:textFill>
                        <w14:solidFill>
                          <w14:schemeClr w14:val="tx1"/>
                        </w14:solidFill>
                      </w14:textFill>
                    </w:rPr>
                    <w:t>40000</w:t>
                  </w:r>
                </w:p>
              </w:tc>
            </w:tr>
            <w:tr w14:paraId="20C73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74" w:type="dxa"/>
                  <w:vAlign w:val="center"/>
                </w:tcPr>
                <w:p w14:paraId="4E78BC3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vertAlign w:val="baseline"/>
                      <w:lang w:val="en-US" w:eastAsia="zh-CN"/>
                      <w14:textFill>
                        <w14:solidFill>
                          <w14:schemeClr w14:val="tx1"/>
                        </w14:solidFill>
                      </w14:textFill>
                    </w:rPr>
                    <w:t>16</w:t>
                  </w:r>
                </w:p>
              </w:tc>
              <w:tc>
                <w:tcPr>
                  <w:tcW w:w="3800" w:type="dxa"/>
                  <w:vAlign w:val="center"/>
                </w:tcPr>
                <w:p w14:paraId="46CFA71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蛔虫卵数/</w:t>
                  </w:r>
                  <w:r>
                    <w:rPr>
                      <w:rFonts w:hint="eastAsia" w:ascii="Times New Roman" w:hAnsi="Times New Roman" w:cs="Times New Roman"/>
                      <w:color w:val="000000" w:themeColor="text1"/>
                      <w:sz w:val="21"/>
                      <w:szCs w:val="21"/>
                      <w:highlight w:val="none"/>
                      <w:vertAlign w:val="baseli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个/10L</w:t>
                  </w:r>
                  <w:r>
                    <w:rPr>
                      <w:rFonts w:hint="eastAsia" w:ascii="Times New Roman" w:hAnsi="Times New Roman" w:cs="Times New Roman"/>
                      <w:color w:val="000000" w:themeColor="text1"/>
                      <w:sz w:val="21"/>
                      <w:szCs w:val="21"/>
                      <w:highlight w:val="none"/>
                      <w:vertAlign w:val="baseline"/>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 xml:space="preserve">       </w:t>
                  </w:r>
                  <w:r>
                    <w:rPr>
                      <w:rFonts w:hint="eastAsia" w:ascii="Times New Roman" w:hAnsi="Times New Roman" w:cs="Times New Roman"/>
                      <w:color w:val="000000" w:themeColor="text1"/>
                      <w:sz w:val="21"/>
                      <w:szCs w:val="21"/>
                      <w:highlight w:val="none"/>
                      <w:vertAlign w:val="baseline"/>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t xml:space="preserve">         ≤ </w:t>
                  </w:r>
                </w:p>
              </w:tc>
              <w:tc>
                <w:tcPr>
                  <w:tcW w:w="2765" w:type="dxa"/>
                  <w:vAlign w:val="center"/>
                </w:tcPr>
                <w:p w14:paraId="5CDDE6A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highlight w:val="none"/>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vertAlign w:val="baseline"/>
                      <w:lang w:val="en-US" w:eastAsia="zh-CN"/>
                      <w14:textFill>
                        <w14:solidFill>
                          <w14:schemeClr w14:val="tx1"/>
                        </w14:solidFill>
                      </w14:textFill>
                    </w:rPr>
                    <w:t>20</w:t>
                  </w:r>
                </w:p>
              </w:tc>
            </w:tr>
          </w:tbl>
          <w:p w14:paraId="1D8EF8C1">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color w:val="000000" w:themeColor="text1"/>
                <w:highlight w:val="none"/>
                <w:lang w:val="en-US" w:eastAsia="zh-CN"/>
                <w14:textFill>
                  <w14:solidFill>
                    <w14:schemeClr w14:val="tx1"/>
                  </w14:solidFill>
                </w14:textFill>
              </w:rPr>
            </w:pPr>
          </w:p>
          <w:p w14:paraId="59307F13">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项目区实行雨污分流，雨水进入施工期已建设截排水沟，经截排水沟汇入水池，回用于项目区灌溉。一片区雨水收集主要进入2#和3#水池，再通过管道抽回至其他水池后回用于项目区灌溉；二片区在种植区和道路区在地势低处设置截排水沟，靠近2#水池部分雨水流入截排水沟，经截排水沟汇入2#水池，其余部分收集进入6#、10#水池，沉淀后回用于项目区灌溉。</w:t>
            </w:r>
          </w:p>
          <w:p w14:paraId="3210FEAB">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3、噪声污染排放标准</w:t>
            </w:r>
          </w:p>
          <w:p w14:paraId="1CC9679B">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施工期噪声执行《建筑施工</w:t>
            </w:r>
            <w:r>
              <w:rPr>
                <w:rFonts w:hint="eastAsia" w:ascii="Times New Roman" w:hAnsi="Times New Roman" w:cs="Times New Roman"/>
                <w:color w:val="000000" w:themeColor="text1"/>
                <w:lang w:val="en-US" w:eastAsia="zh-CN"/>
                <w14:textFill>
                  <w14:solidFill>
                    <w14:schemeClr w14:val="tx1"/>
                  </w14:solidFill>
                </w14:textFill>
              </w:rPr>
              <w:t>噪声</w:t>
            </w:r>
            <w:r>
              <w:rPr>
                <w:rFonts w:hint="default" w:ascii="Times New Roman" w:hAnsi="Times New Roman" w:eastAsia="宋体" w:cs="Times New Roman"/>
                <w:color w:val="000000" w:themeColor="text1"/>
                <w:lang w:val="en-US" w:eastAsia="zh-CN"/>
                <w14:textFill>
                  <w14:solidFill>
                    <w14:schemeClr w14:val="tx1"/>
                  </w14:solidFill>
                </w14:textFill>
              </w:rPr>
              <w:t>排放标准》（GB12523-20</w:t>
            </w:r>
            <w:r>
              <w:rPr>
                <w:rFonts w:hint="eastAsia" w:ascii="Times New Roman" w:hAnsi="Times New Roman" w:cs="Times New Roman"/>
                <w:color w:val="000000" w:themeColor="text1"/>
                <w:lang w:val="en-US" w:eastAsia="zh-CN"/>
                <w14:textFill>
                  <w14:solidFill>
                    <w14:schemeClr w14:val="tx1"/>
                  </w14:solidFill>
                </w14:textFill>
              </w:rPr>
              <w:t>25</w:t>
            </w:r>
            <w:r>
              <w:rPr>
                <w:rFonts w:hint="default" w:ascii="Times New Roman" w:hAnsi="Times New Roman" w:eastAsia="宋体" w:cs="Times New Roman"/>
                <w:color w:val="000000" w:themeColor="text1"/>
                <w:lang w:val="en-US" w:eastAsia="zh-CN"/>
                <w14:textFill>
                  <w14:solidFill>
                    <w14:schemeClr w14:val="tx1"/>
                  </w14:solidFill>
                </w14:textFill>
              </w:rPr>
              <w:t>）。见下表。</w:t>
            </w:r>
          </w:p>
          <w:p w14:paraId="6D866A9F">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b/>
                <w:color w:val="000000" w:themeColor="text1"/>
                <w:spacing w:val="4"/>
                <w:kern w:val="0"/>
                <w:sz w:val="21"/>
                <w:szCs w:val="21"/>
                <w:lang w:val="en-US" w:eastAsia="zh-CN"/>
                <w14:textFill>
                  <w14:solidFill>
                    <w14:schemeClr w14:val="tx1"/>
                  </w14:solidFill>
                </w14:textFill>
              </w:rPr>
            </w:pPr>
            <w:r>
              <w:rPr>
                <w:rFonts w:hint="default" w:ascii="Times New Roman" w:hAnsi="Times New Roman" w:eastAsia="宋体" w:cs="Times New Roman"/>
                <w:b/>
                <w:color w:val="000000" w:themeColor="text1"/>
                <w:spacing w:val="4"/>
                <w:kern w:val="0"/>
                <w:sz w:val="21"/>
                <w:szCs w:val="21"/>
                <w:lang w:val="en-US" w:eastAsia="zh-CN"/>
                <w14:textFill>
                  <w14:solidFill>
                    <w14:schemeClr w14:val="tx1"/>
                  </w14:solidFill>
                </w14:textFill>
              </w:rPr>
              <w:t>表3-1</w:t>
            </w:r>
            <w:r>
              <w:rPr>
                <w:rFonts w:hint="eastAsia" w:ascii="Times New Roman" w:hAnsi="Times New Roman" w:cs="Times New Roman"/>
                <w:b/>
                <w:color w:val="000000" w:themeColor="text1"/>
                <w:spacing w:val="4"/>
                <w:kern w:val="0"/>
                <w:sz w:val="21"/>
                <w:szCs w:val="21"/>
                <w:lang w:val="en-US" w:eastAsia="zh-CN"/>
                <w14:textFill>
                  <w14:solidFill>
                    <w14:schemeClr w14:val="tx1"/>
                  </w14:solidFill>
                </w14:textFill>
              </w:rPr>
              <w:t xml:space="preserve">6   </w:t>
            </w:r>
            <w:r>
              <w:rPr>
                <w:rFonts w:hint="default" w:ascii="Times New Roman" w:hAnsi="Times New Roman" w:eastAsia="宋体" w:cs="Times New Roman"/>
                <w:b/>
                <w:color w:val="000000" w:themeColor="text1"/>
                <w:spacing w:val="4"/>
                <w:kern w:val="0"/>
                <w:sz w:val="21"/>
                <w:szCs w:val="21"/>
                <w:lang w:val="en-US" w:eastAsia="zh-CN"/>
                <w14:textFill>
                  <w14:solidFill>
                    <w14:schemeClr w14:val="tx1"/>
                  </w14:solidFill>
                </w14:textFill>
              </w:rPr>
              <w:t>建筑施工噪声排放标准单位</w:t>
            </w:r>
            <w:r>
              <w:rPr>
                <w:rFonts w:hint="eastAsia" w:ascii="Times New Roman" w:hAnsi="Times New Roman" w:cs="Times New Roman"/>
                <w:b/>
                <w:color w:val="000000" w:themeColor="text1"/>
                <w:spacing w:val="4"/>
                <w:kern w:val="0"/>
                <w:sz w:val="21"/>
                <w:szCs w:val="21"/>
                <w:lang w:val="en-US" w:eastAsia="zh-CN"/>
                <w14:textFill>
                  <w14:solidFill>
                    <w14:schemeClr w14:val="tx1"/>
                  </w14:solidFill>
                </w14:textFill>
              </w:rPr>
              <w:t>：</w:t>
            </w:r>
            <w:r>
              <w:rPr>
                <w:rFonts w:hint="default" w:ascii="Times New Roman" w:hAnsi="Times New Roman" w:eastAsia="宋体" w:cs="Times New Roman"/>
                <w:b/>
                <w:color w:val="000000" w:themeColor="text1"/>
                <w:spacing w:val="4"/>
                <w:kern w:val="0"/>
                <w:sz w:val="21"/>
                <w:szCs w:val="21"/>
                <w:lang w:val="en-US" w:eastAsia="zh-CN"/>
                <w14:textFill>
                  <w14:solidFill>
                    <w14:schemeClr w14:val="tx1"/>
                  </w14:solidFill>
                </w14:textFill>
              </w:rPr>
              <w:t>dB（A）</w:t>
            </w:r>
          </w:p>
          <w:tbl>
            <w:tblPr>
              <w:tblStyle w:val="2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74"/>
              <w:gridCol w:w="2575"/>
              <w:gridCol w:w="2577"/>
            </w:tblGrid>
            <w:tr w14:paraId="21F93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66" w:type="pct"/>
                  <w:vAlign w:val="center"/>
                </w:tcPr>
                <w:p w14:paraId="083A6437">
                  <w:pPr>
                    <w:pStyle w:val="73"/>
                    <w:bidi w:val="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时段</w:t>
                  </w:r>
                </w:p>
              </w:tc>
              <w:tc>
                <w:tcPr>
                  <w:tcW w:w="1666" w:type="pct"/>
                  <w:vAlign w:val="center"/>
                </w:tcPr>
                <w:p w14:paraId="5A59BA1D">
                  <w:pPr>
                    <w:pStyle w:val="73"/>
                    <w:bidi w:val="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昼间</w:t>
                  </w:r>
                </w:p>
              </w:tc>
              <w:tc>
                <w:tcPr>
                  <w:tcW w:w="1667" w:type="pct"/>
                  <w:vAlign w:val="center"/>
                </w:tcPr>
                <w:p w14:paraId="7F36DDEC">
                  <w:pPr>
                    <w:pStyle w:val="73"/>
                    <w:bidi w:val="0"/>
                    <w:jc w:val="center"/>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夜间</w:t>
                  </w:r>
                </w:p>
              </w:tc>
            </w:tr>
            <w:tr w14:paraId="11FD2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66" w:type="pct"/>
                  <w:vAlign w:val="center"/>
                </w:tcPr>
                <w:p w14:paraId="4E3B29E1">
                  <w:pPr>
                    <w:pStyle w:val="73"/>
                    <w:bidi w:val="0"/>
                    <w:jc w:val="center"/>
                    <w:rPr>
                      <w:rFonts w:hint="default" w:ascii="Times New Roman" w:hAnsi="Times New Roman" w:eastAsia="宋体" w:cs="Times New Roman"/>
                      <w:b w:val="0"/>
                      <w:bCs/>
                      <w:color w:val="000000" w:themeColor="text1"/>
                      <w:lang w:val="en-US" w:eastAsia="zh-CN"/>
                      <w14:textFill>
                        <w14:solidFill>
                          <w14:schemeClr w14:val="tx1"/>
                        </w14:solidFill>
                      </w14:textFill>
                    </w:rPr>
                  </w:pPr>
                  <w:r>
                    <w:rPr>
                      <w:rFonts w:hint="default" w:ascii="Times New Roman" w:hAnsi="Times New Roman" w:eastAsia="宋体" w:cs="Times New Roman"/>
                      <w:b w:val="0"/>
                      <w:bCs/>
                      <w:color w:val="000000" w:themeColor="text1"/>
                      <w:lang w:val="en-US" w:eastAsia="zh-CN"/>
                      <w14:textFill>
                        <w14:solidFill>
                          <w14:schemeClr w14:val="tx1"/>
                        </w14:solidFill>
                      </w14:textFill>
                    </w:rPr>
                    <w:t>标准值</w:t>
                  </w:r>
                </w:p>
              </w:tc>
              <w:tc>
                <w:tcPr>
                  <w:tcW w:w="1666" w:type="pct"/>
                  <w:vAlign w:val="center"/>
                </w:tcPr>
                <w:p w14:paraId="1B5D915A">
                  <w:pPr>
                    <w:pStyle w:val="73"/>
                    <w:bidi w:val="0"/>
                    <w:jc w:val="center"/>
                    <w:rPr>
                      <w:rFonts w:hint="default" w:ascii="Times New Roman" w:hAnsi="Times New Roman" w:eastAsia="宋体" w:cs="Times New Roman"/>
                      <w:b w:val="0"/>
                      <w:bCs/>
                      <w:color w:val="000000" w:themeColor="text1"/>
                      <w:lang w:val="en-US" w:eastAsia="zh-CN"/>
                      <w14:textFill>
                        <w14:solidFill>
                          <w14:schemeClr w14:val="tx1"/>
                        </w14:solidFill>
                      </w14:textFill>
                    </w:rPr>
                  </w:pPr>
                  <w:r>
                    <w:rPr>
                      <w:rFonts w:hint="default" w:ascii="Times New Roman" w:hAnsi="Times New Roman" w:eastAsia="宋体" w:cs="Times New Roman"/>
                      <w:b w:val="0"/>
                      <w:bCs/>
                      <w:color w:val="000000" w:themeColor="text1"/>
                      <w:lang w:val="en-US" w:eastAsia="zh-CN"/>
                      <w14:textFill>
                        <w14:solidFill>
                          <w14:schemeClr w14:val="tx1"/>
                        </w14:solidFill>
                      </w14:textFill>
                    </w:rPr>
                    <w:t>70</w:t>
                  </w:r>
                </w:p>
              </w:tc>
              <w:tc>
                <w:tcPr>
                  <w:tcW w:w="1667" w:type="pct"/>
                  <w:vAlign w:val="center"/>
                </w:tcPr>
                <w:p w14:paraId="36FBF969">
                  <w:pPr>
                    <w:pStyle w:val="73"/>
                    <w:bidi w:val="0"/>
                    <w:jc w:val="center"/>
                    <w:rPr>
                      <w:rFonts w:hint="default" w:ascii="Times New Roman" w:hAnsi="Times New Roman" w:eastAsia="宋体" w:cs="Times New Roman"/>
                      <w:b w:val="0"/>
                      <w:bCs/>
                      <w:color w:val="000000" w:themeColor="text1"/>
                      <w:lang w:val="en-US" w:eastAsia="zh-CN"/>
                      <w14:textFill>
                        <w14:solidFill>
                          <w14:schemeClr w14:val="tx1"/>
                        </w14:solidFill>
                      </w14:textFill>
                    </w:rPr>
                  </w:pPr>
                  <w:r>
                    <w:rPr>
                      <w:rFonts w:hint="default" w:ascii="Times New Roman" w:hAnsi="Times New Roman" w:eastAsia="宋体" w:cs="Times New Roman"/>
                      <w:b w:val="0"/>
                      <w:bCs/>
                      <w:color w:val="000000" w:themeColor="text1"/>
                      <w:lang w:val="en-US" w:eastAsia="zh-CN"/>
                      <w14:textFill>
                        <w14:solidFill>
                          <w14:schemeClr w14:val="tx1"/>
                        </w14:solidFill>
                      </w14:textFill>
                    </w:rPr>
                    <w:t>55</w:t>
                  </w:r>
                </w:p>
              </w:tc>
            </w:tr>
          </w:tbl>
          <w:p w14:paraId="7EA54741">
            <w:pPr>
              <w:keepNext w:val="0"/>
              <w:keepLines w:val="0"/>
              <w:pageBreakBefore w:val="0"/>
              <w:widowControl w:val="0"/>
              <w:kinsoku/>
              <w:wordWrap/>
              <w:overflowPunct/>
              <w:topLinePunct w:val="0"/>
              <w:autoSpaceDE/>
              <w:autoSpaceDN/>
              <w:bidi w:val="0"/>
              <w:adjustRightInd w:val="0"/>
              <w:snapToGrid w:val="0"/>
              <w:ind w:firstLine="48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p>
          <w:p w14:paraId="64935D58">
            <w:pPr>
              <w:keepNext w:val="0"/>
              <w:keepLines w:val="0"/>
              <w:pageBreakBefore w:val="0"/>
              <w:widowControl w:val="0"/>
              <w:kinsoku/>
              <w:wordWrap/>
              <w:overflowPunct/>
              <w:topLinePunct w:val="0"/>
              <w:autoSpaceDE/>
              <w:autoSpaceDN/>
              <w:bidi w:val="0"/>
              <w:adjustRightInd w:val="0"/>
              <w:snapToGrid w:val="0"/>
              <w:ind w:firstLine="48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运营期噪声执行《工业企业厂界环境噪声排放标准》</w:t>
            </w:r>
            <w:r>
              <w:rPr>
                <w:rFonts w:hint="default" w:ascii="Times New Roman" w:hAnsi="Times New Roman" w:eastAsia="宋体" w:cs="Times New Roman"/>
                <w:color w:val="000000" w:themeColor="text1"/>
                <w14:textFill>
                  <w14:solidFill>
                    <w14:schemeClr w14:val="tx1"/>
                  </w14:solidFill>
                </w14:textFill>
              </w:rPr>
              <w:t>（GB12348-2008）</w:t>
            </w:r>
            <w:r>
              <w:rPr>
                <w:rFonts w:hint="default" w:ascii="Times New Roman" w:hAnsi="Times New Roman" w:eastAsia="宋体" w:cs="Times New Roman"/>
                <w:color w:val="000000" w:themeColor="text1"/>
                <w:lang w:val="en-US" w:eastAsia="zh-CN"/>
                <w14:textFill>
                  <w14:solidFill>
                    <w14:schemeClr w14:val="tx1"/>
                  </w14:solidFill>
                </w14:textFill>
              </w:rPr>
              <w:t>1</w:t>
            </w:r>
            <w:r>
              <w:rPr>
                <w:rFonts w:hint="default" w:ascii="Times New Roman" w:hAnsi="Times New Roman" w:eastAsia="宋体" w:cs="Times New Roman"/>
                <w:color w:val="000000" w:themeColor="text1"/>
                <w14:textFill>
                  <w14:solidFill>
                    <w14:schemeClr w14:val="tx1"/>
                  </w14:solidFill>
                </w14:textFill>
              </w:rPr>
              <w:t>类标准。</w:t>
            </w:r>
            <w:r>
              <w:rPr>
                <w:rFonts w:hint="default" w:ascii="Times New Roman" w:hAnsi="Times New Roman" w:eastAsia="宋体" w:cs="Times New Roman"/>
                <w:color w:val="000000" w:themeColor="text1"/>
                <w:lang w:val="en-US" w:eastAsia="zh-CN"/>
                <w14:textFill>
                  <w14:solidFill>
                    <w14:schemeClr w14:val="tx1"/>
                  </w14:solidFill>
                </w14:textFill>
              </w:rPr>
              <w:t>见下表。</w:t>
            </w:r>
          </w:p>
          <w:p w14:paraId="2ED5DB45">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b/>
                <w:color w:val="000000" w:themeColor="text1"/>
                <w:spacing w:val="4"/>
                <w:kern w:val="0"/>
                <w:sz w:val="21"/>
                <w:szCs w:val="21"/>
                <w:lang w:val="en-US" w:eastAsia="zh-CN"/>
                <w14:textFill>
                  <w14:solidFill>
                    <w14:schemeClr w14:val="tx1"/>
                  </w14:solidFill>
                </w14:textFill>
              </w:rPr>
            </w:pPr>
            <w:r>
              <w:rPr>
                <w:rFonts w:hint="default" w:ascii="Times New Roman" w:hAnsi="Times New Roman" w:eastAsia="宋体" w:cs="Times New Roman"/>
                <w:b/>
                <w:color w:val="000000" w:themeColor="text1"/>
                <w:spacing w:val="4"/>
                <w:kern w:val="0"/>
                <w:sz w:val="21"/>
                <w:szCs w:val="21"/>
                <w:lang w:val="en-US" w:eastAsia="zh-CN"/>
                <w14:textFill>
                  <w14:solidFill>
                    <w14:schemeClr w14:val="tx1"/>
                  </w14:solidFill>
                </w14:textFill>
              </w:rPr>
              <w:t>表3-1</w:t>
            </w:r>
            <w:r>
              <w:rPr>
                <w:rFonts w:hint="eastAsia" w:ascii="Times New Roman" w:hAnsi="Times New Roman" w:eastAsia="宋体" w:cs="Times New Roman"/>
                <w:b/>
                <w:color w:val="000000" w:themeColor="text1"/>
                <w:spacing w:val="4"/>
                <w:kern w:val="0"/>
                <w:sz w:val="21"/>
                <w:szCs w:val="21"/>
                <w:lang w:val="en-US" w:eastAsia="zh-CN"/>
                <w14:textFill>
                  <w14:solidFill>
                    <w14:schemeClr w14:val="tx1"/>
                  </w14:solidFill>
                </w14:textFill>
              </w:rPr>
              <w:t xml:space="preserve">7   </w:t>
            </w:r>
            <w:r>
              <w:rPr>
                <w:rFonts w:hint="default" w:ascii="Times New Roman" w:hAnsi="Times New Roman" w:eastAsia="宋体" w:cs="Times New Roman"/>
                <w:b/>
                <w:color w:val="000000" w:themeColor="text1"/>
                <w:spacing w:val="4"/>
                <w:kern w:val="0"/>
                <w:sz w:val="21"/>
                <w:szCs w:val="21"/>
                <w:lang w:val="en-US" w:eastAsia="zh-CN"/>
                <w14:textFill>
                  <w14:solidFill>
                    <w14:schemeClr w14:val="tx1"/>
                  </w14:solidFill>
                </w14:textFill>
              </w:rPr>
              <w:t>工业企业厂界环境噪声排放标准单位：dB(A)</w:t>
            </w:r>
          </w:p>
          <w:tbl>
            <w:tblPr>
              <w:tblStyle w:val="26"/>
              <w:tblW w:w="4998"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3179"/>
              <w:gridCol w:w="2277"/>
              <w:gridCol w:w="2270"/>
            </w:tblGrid>
            <w:tr w14:paraId="3EB0D62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057" w:type="pct"/>
                  <w:vAlign w:val="center"/>
                </w:tcPr>
                <w:p w14:paraId="7D2AFF4F">
                  <w:pPr>
                    <w:pStyle w:val="73"/>
                    <w:bidi w:val="0"/>
                    <w:jc w:val="center"/>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类别</w:t>
                  </w:r>
                </w:p>
              </w:tc>
              <w:tc>
                <w:tcPr>
                  <w:tcW w:w="1473" w:type="pct"/>
                  <w:vAlign w:val="center"/>
                </w:tcPr>
                <w:p w14:paraId="24D02F49">
                  <w:pPr>
                    <w:pStyle w:val="73"/>
                    <w:bidi w:val="0"/>
                    <w:jc w:val="center"/>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昼间</w:t>
                  </w:r>
                </w:p>
              </w:tc>
              <w:tc>
                <w:tcPr>
                  <w:tcW w:w="1469" w:type="pct"/>
                  <w:vAlign w:val="center"/>
                </w:tcPr>
                <w:p w14:paraId="58A15627">
                  <w:pPr>
                    <w:pStyle w:val="73"/>
                    <w:bidi w:val="0"/>
                    <w:jc w:val="center"/>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夜间</w:t>
                  </w:r>
                </w:p>
              </w:tc>
            </w:tr>
            <w:tr w14:paraId="2646964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2057" w:type="pct"/>
                  <w:vAlign w:val="center"/>
                </w:tcPr>
                <w:p w14:paraId="3381B196">
                  <w:pPr>
                    <w:pStyle w:val="73"/>
                    <w:bidi w:val="0"/>
                    <w:jc w:val="center"/>
                    <w:rPr>
                      <w:rFonts w:hint="default" w:ascii="Times New Roman" w:hAnsi="Times New Roman" w:eastAsia="宋体" w:cs="Times New Roman"/>
                      <w:b w:val="0"/>
                      <w:bCs/>
                      <w:color w:val="000000" w:themeColor="text1"/>
                      <w14:textFill>
                        <w14:solidFill>
                          <w14:schemeClr w14:val="tx1"/>
                        </w14:solidFill>
                      </w14:textFill>
                    </w:rPr>
                  </w:pPr>
                  <w:r>
                    <w:rPr>
                      <w:rFonts w:hint="default" w:ascii="Times New Roman" w:hAnsi="Times New Roman" w:eastAsia="宋体" w:cs="Times New Roman"/>
                      <w:b w:val="0"/>
                      <w:bCs/>
                      <w:color w:val="000000" w:themeColor="text1"/>
                      <w:lang w:val="en-US" w:eastAsia="zh-CN"/>
                      <w14:textFill>
                        <w14:solidFill>
                          <w14:schemeClr w14:val="tx1"/>
                        </w14:solidFill>
                      </w14:textFill>
                    </w:rPr>
                    <w:t>1</w:t>
                  </w:r>
                  <w:r>
                    <w:rPr>
                      <w:rFonts w:hint="default" w:ascii="Times New Roman" w:hAnsi="Times New Roman" w:eastAsia="宋体" w:cs="Times New Roman"/>
                      <w:b w:val="0"/>
                      <w:bCs/>
                      <w:color w:val="000000" w:themeColor="text1"/>
                      <w14:textFill>
                        <w14:solidFill>
                          <w14:schemeClr w14:val="tx1"/>
                        </w14:solidFill>
                      </w14:textFill>
                    </w:rPr>
                    <w:t>类</w:t>
                  </w:r>
                </w:p>
              </w:tc>
              <w:tc>
                <w:tcPr>
                  <w:tcW w:w="1473" w:type="pct"/>
                  <w:vAlign w:val="center"/>
                </w:tcPr>
                <w:p w14:paraId="6BFC8E76">
                  <w:pPr>
                    <w:pStyle w:val="73"/>
                    <w:bidi w:val="0"/>
                    <w:jc w:val="center"/>
                    <w:rPr>
                      <w:rFonts w:hint="default" w:ascii="Times New Roman" w:hAnsi="Times New Roman" w:eastAsia="宋体" w:cs="Times New Roman"/>
                      <w:b w:val="0"/>
                      <w:bCs/>
                      <w:color w:val="000000" w:themeColor="text1"/>
                      <w:lang w:val="en-US" w:eastAsia="zh-CN"/>
                      <w14:textFill>
                        <w14:solidFill>
                          <w14:schemeClr w14:val="tx1"/>
                        </w14:solidFill>
                      </w14:textFill>
                    </w:rPr>
                  </w:pPr>
                  <w:r>
                    <w:rPr>
                      <w:rFonts w:hint="default" w:ascii="Times New Roman" w:hAnsi="Times New Roman" w:eastAsia="宋体" w:cs="Times New Roman"/>
                      <w:b w:val="0"/>
                      <w:bCs/>
                      <w:color w:val="000000" w:themeColor="text1"/>
                      <w:lang w:val="en-US" w:eastAsia="zh-CN"/>
                      <w14:textFill>
                        <w14:solidFill>
                          <w14:schemeClr w14:val="tx1"/>
                        </w14:solidFill>
                      </w14:textFill>
                    </w:rPr>
                    <w:t>55</w:t>
                  </w:r>
                </w:p>
              </w:tc>
              <w:tc>
                <w:tcPr>
                  <w:tcW w:w="1469" w:type="pct"/>
                  <w:vAlign w:val="center"/>
                </w:tcPr>
                <w:p w14:paraId="6EEDB969">
                  <w:pPr>
                    <w:pStyle w:val="73"/>
                    <w:bidi w:val="0"/>
                    <w:jc w:val="center"/>
                    <w:rPr>
                      <w:rFonts w:hint="default" w:ascii="Times New Roman" w:hAnsi="Times New Roman" w:eastAsia="宋体" w:cs="Times New Roman"/>
                      <w:b w:val="0"/>
                      <w:bCs/>
                      <w:color w:val="000000" w:themeColor="text1"/>
                      <w:lang w:val="en-US" w:eastAsia="zh-CN"/>
                      <w14:textFill>
                        <w14:solidFill>
                          <w14:schemeClr w14:val="tx1"/>
                        </w14:solidFill>
                      </w14:textFill>
                    </w:rPr>
                  </w:pPr>
                  <w:r>
                    <w:rPr>
                      <w:rFonts w:hint="default" w:ascii="Times New Roman" w:hAnsi="Times New Roman" w:eastAsia="宋体" w:cs="Times New Roman"/>
                      <w:b w:val="0"/>
                      <w:bCs/>
                      <w:color w:val="000000" w:themeColor="text1"/>
                      <w:lang w:val="en-US" w:eastAsia="zh-CN"/>
                      <w14:textFill>
                        <w14:solidFill>
                          <w14:schemeClr w14:val="tx1"/>
                        </w14:solidFill>
                      </w14:textFill>
                    </w:rPr>
                    <w:t>45</w:t>
                  </w:r>
                </w:p>
              </w:tc>
            </w:tr>
          </w:tbl>
          <w:p w14:paraId="50521E50">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b/>
                <w:bCs/>
                <w:color w:val="000000" w:themeColor="text1"/>
                <w:lang w:val="en-US" w:eastAsia="zh-CN"/>
                <w14:textFill>
                  <w14:solidFill>
                    <w14:schemeClr w14:val="tx1"/>
                  </w14:solidFill>
                </w14:textFill>
              </w:rPr>
            </w:pPr>
          </w:p>
          <w:p w14:paraId="65E5EF24">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4、固体废物排放标准</w:t>
            </w:r>
          </w:p>
          <w:p w14:paraId="4888DF03">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b w:val="0"/>
                <w:bCs w:val="0"/>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项目产生的固体废弃物执</w:t>
            </w:r>
            <w:r>
              <w:rPr>
                <w:rFonts w:hint="default" w:ascii="Times New Roman" w:hAnsi="Times New Roman" w:eastAsia="宋体" w:cs="Times New Roman"/>
                <w:color w:val="000000" w:themeColor="text1"/>
                <w:lang w:val="en-US" w:eastAsia="zh-CN"/>
                <w14:textFill>
                  <w14:solidFill>
                    <w14:schemeClr w14:val="tx1"/>
                  </w14:solidFill>
                </w14:textFill>
              </w:rPr>
              <w:t>行《一般工业固体废物贮存和填埋污染控制标准》（GB18599-20</w:t>
            </w:r>
            <w:r>
              <w:rPr>
                <w:rFonts w:hint="eastAsia" w:ascii="Times New Roman" w:hAnsi="Times New Roman" w:cs="Times New Roman"/>
                <w:color w:val="000000" w:themeColor="text1"/>
                <w:lang w:val="en-US" w:eastAsia="zh-CN"/>
                <w14:textFill>
                  <w14:solidFill>
                    <w14:schemeClr w14:val="tx1"/>
                  </w14:solidFill>
                </w14:textFill>
              </w:rPr>
              <w:t>20</w:t>
            </w:r>
            <w:r>
              <w:rPr>
                <w:rFonts w:hint="default" w:ascii="Times New Roman" w:hAnsi="Times New Roman" w:eastAsia="宋体" w:cs="Times New Roman"/>
                <w:color w:val="000000" w:themeColor="text1"/>
                <w:lang w:val="en-US" w:eastAsia="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和</w:t>
            </w:r>
            <w:r>
              <w:rPr>
                <w:rFonts w:hint="eastAsia" w:cs="Times New Roman"/>
                <w:color w:val="000000" w:themeColor="text1"/>
                <w14:textFill>
                  <w14:solidFill>
                    <w14:schemeClr w14:val="tx1"/>
                  </w14:solidFill>
                </w14:textFill>
              </w:rPr>
              <w:t>《中华人民共和国固体废物污染环境防治法》</w:t>
            </w:r>
            <w:r>
              <w:rPr>
                <w:rFonts w:cs="Times New Roman"/>
                <w:color w:val="000000" w:themeColor="text1"/>
                <w14:textFill>
                  <w14:solidFill>
                    <w14:schemeClr w14:val="tx1"/>
                  </w14:solidFill>
                </w14:textFill>
              </w:rPr>
              <w:t>中有关规定</w:t>
            </w:r>
            <w:r>
              <w:rPr>
                <w:rFonts w:hint="default" w:ascii="Times New Roman" w:hAnsi="Times New Roman" w:eastAsia="宋体" w:cs="Times New Roman"/>
                <w:color w:val="000000" w:themeColor="text1"/>
                <w:lang w:val="en-US" w:eastAsia="zh-CN"/>
                <w14:textFill>
                  <w14:solidFill>
                    <w14:schemeClr w14:val="tx1"/>
                  </w14:solidFill>
                </w14:textFill>
              </w:rPr>
              <w:t>。农药废包装容器</w:t>
            </w:r>
            <w:r>
              <w:rPr>
                <w:rFonts w:hint="eastAsia" w:ascii="Times New Roman" w:hAnsi="Times New Roman" w:cs="Times New Roman"/>
                <w:b w:val="0"/>
                <w:bCs w:val="0"/>
                <w:color w:val="000000" w:themeColor="text1"/>
                <w:lang w:val="en-US" w:eastAsia="zh-CN"/>
                <w14:textFill>
                  <w14:solidFill>
                    <w14:schemeClr w14:val="tx1"/>
                  </w14:solidFill>
                </w14:textFill>
              </w:rPr>
              <w:t>执行</w:t>
            </w:r>
            <w:r>
              <w:rPr>
                <w:rFonts w:hint="default" w:ascii="Times New Roman" w:hAnsi="Times New Roman" w:eastAsia="宋体" w:cs="Times New Roman"/>
                <w:b w:val="0"/>
                <w:bCs w:val="0"/>
                <w:color w:val="000000" w:themeColor="text1"/>
                <w:lang w:val="en-US" w:eastAsia="zh-CN"/>
                <w14:textFill>
                  <w14:solidFill>
                    <w14:schemeClr w14:val="tx1"/>
                  </w14:solidFill>
                </w14:textFill>
              </w:rPr>
              <w:t>《农药包装废弃物回收处理管理办法》</w:t>
            </w:r>
            <w:r>
              <w:rPr>
                <w:rFonts w:hint="eastAsia" w:ascii="Times New Roman" w:hAnsi="Times New Roman" w:cs="Times New Roman"/>
                <w:b w:val="0"/>
                <w:bCs w:val="0"/>
                <w:color w:val="000000" w:themeColor="text1"/>
                <w:lang w:val="en-US" w:eastAsia="zh-CN"/>
                <w14:textFill>
                  <w14:solidFill>
                    <w14:schemeClr w14:val="tx1"/>
                  </w14:solidFill>
                </w14:textFill>
              </w:rPr>
              <w:t>。</w:t>
            </w:r>
          </w:p>
        </w:tc>
      </w:tr>
      <w:tr w14:paraId="10B17E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453" w:type="pct"/>
            <w:vAlign w:val="center"/>
          </w:tcPr>
          <w:p w14:paraId="5AD6C9D6">
            <w:pPr>
              <w:adjustRightInd w:val="0"/>
              <w:snapToGrid w:val="0"/>
              <w:ind w:left="0" w:leftChars="0" w:firstLine="0" w:firstLineChars="0"/>
              <w:jc w:val="both"/>
              <w:rPr>
                <w:rFonts w:hint="default" w:ascii="Times New Roman" w:hAnsi="Times New Roman" w:eastAsia="宋体" w:cs="Times New Roman"/>
                <w:color w:val="000000" w:themeColor="text1"/>
                <w:kern w:val="0"/>
                <w:sz w:val="24"/>
                <w14:textFill>
                  <w14:solidFill>
                    <w14:schemeClr w14:val="tx1"/>
                  </w14:solidFill>
                </w14:textFill>
              </w:rPr>
            </w:pPr>
            <w:bookmarkStart w:id="11" w:name="_Toc87899391"/>
            <w:r>
              <w:rPr>
                <w:rFonts w:hint="default" w:ascii="Times New Roman" w:hAnsi="Times New Roman" w:eastAsia="宋体" w:cs="Times New Roman"/>
                <w:color w:val="000000" w:themeColor="text1"/>
                <w:lang w:val="en-US" w:eastAsia="zh-CN"/>
                <w14:textFill>
                  <w14:solidFill>
                    <w14:schemeClr w14:val="tx1"/>
                  </w14:solidFill>
                </w14:textFill>
              </w:rPr>
              <w:t>其他</w:t>
            </w:r>
          </w:p>
        </w:tc>
        <w:tc>
          <w:tcPr>
            <w:tcW w:w="4546" w:type="pct"/>
            <w:vAlign w:val="center"/>
          </w:tcPr>
          <w:p w14:paraId="1F21718B">
            <w:pPr>
              <w:bidi w:val="0"/>
              <w:ind w:left="0" w:leftChars="0" w:firstLine="480" w:firstLineChars="200"/>
              <w:jc w:val="both"/>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根据该建设项目排污状况以及环保行政主管部门对总量控制的要求，本项目不产生二氧化硫和氮氧化物，生产废水和生活污水不外排，故不提出总量控制指标。</w:t>
            </w:r>
          </w:p>
          <w:p w14:paraId="3C411A6B">
            <w:pPr>
              <w:bidi w:val="0"/>
              <w:ind w:left="0" w:leftChars="0" w:firstLine="480" w:firstLineChars="200"/>
              <w:jc w:val="both"/>
              <w:rPr>
                <w:rFonts w:hint="default" w:ascii="Times New Roman" w:hAnsi="Times New Roman" w:eastAsia="宋体" w:cs="Times New Roman"/>
                <w:color w:val="000000" w:themeColor="text1"/>
                <w:lang w:val="en-US" w:eastAsia="zh-CN"/>
                <w14:textFill>
                  <w14:solidFill>
                    <w14:schemeClr w14:val="tx1"/>
                  </w14:solidFill>
                </w14:textFill>
              </w:rPr>
            </w:pPr>
          </w:p>
          <w:p w14:paraId="3C1EA1EB">
            <w:pPr>
              <w:bidi w:val="0"/>
              <w:ind w:left="0" w:leftChars="0" w:firstLine="480" w:firstLineChars="200"/>
              <w:jc w:val="both"/>
              <w:rPr>
                <w:rFonts w:hint="default" w:ascii="Times New Roman" w:hAnsi="Times New Roman" w:eastAsia="宋体" w:cs="Times New Roman"/>
                <w:color w:val="000000" w:themeColor="text1"/>
                <w:lang w:val="en-US" w:eastAsia="zh-CN"/>
                <w14:textFill>
                  <w14:solidFill>
                    <w14:schemeClr w14:val="tx1"/>
                  </w14:solidFill>
                </w14:textFill>
              </w:rPr>
            </w:pPr>
          </w:p>
          <w:p w14:paraId="20A48279">
            <w:pPr>
              <w:bidi w:val="0"/>
              <w:ind w:left="0" w:leftChars="0" w:firstLine="480" w:firstLineChars="200"/>
              <w:jc w:val="both"/>
              <w:rPr>
                <w:rFonts w:hint="default" w:ascii="Times New Roman" w:hAnsi="Times New Roman" w:eastAsia="宋体" w:cs="Times New Roman"/>
                <w:color w:val="000000" w:themeColor="text1"/>
                <w:lang w:val="en-US" w:eastAsia="zh-CN"/>
                <w14:textFill>
                  <w14:solidFill>
                    <w14:schemeClr w14:val="tx1"/>
                  </w14:solidFill>
                </w14:textFill>
              </w:rPr>
            </w:pPr>
          </w:p>
          <w:p w14:paraId="252AE0E3">
            <w:pPr>
              <w:bidi w:val="0"/>
              <w:ind w:left="0" w:leftChars="0" w:firstLine="480" w:firstLineChars="200"/>
              <w:jc w:val="both"/>
              <w:rPr>
                <w:rFonts w:hint="default" w:ascii="Times New Roman" w:hAnsi="Times New Roman" w:eastAsia="宋体" w:cs="Times New Roman"/>
                <w:color w:val="000000" w:themeColor="text1"/>
                <w:lang w:val="en-US" w:eastAsia="zh-CN"/>
                <w14:textFill>
                  <w14:solidFill>
                    <w14:schemeClr w14:val="tx1"/>
                  </w14:solidFill>
                </w14:textFill>
              </w:rPr>
            </w:pPr>
          </w:p>
          <w:p w14:paraId="0A9B3484">
            <w:pPr>
              <w:bidi w:val="0"/>
              <w:ind w:left="0" w:leftChars="0" w:firstLine="480" w:firstLineChars="200"/>
              <w:jc w:val="both"/>
              <w:rPr>
                <w:rFonts w:hint="default" w:ascii="Times New Roman" w:hAnsi="Times New Roman" w:eastAsia="宋体" w:cs="Times New Roman"/>
                <w:color w:val="000000" w:themeColor="text1"/>
                <w:lang w:val="en-US" w:eastAsia="zh-CN"/>
                <w14:textFill>
                  <w14:solidFill>
                    <w14:schemeClr w14:val="tx1"/>
                  </w14:solidFill>
                </w14:textFill>
              </w:rPr>
            </w:pPr>
          </w:p>
          <w:p w14:paraId="2F980483">
            <w:pPr>
              <w:bidi w:val="0"/>
              <w:ind w:left="0" w:leftChars="0" w:firstLine="480" w:firstLineChars="200"/>
              <w:jc w:val="both"/>
              <w:rPr>
                <w:rFonts w:hint="default" w:ascii="Times New Roman" w:hAnsi="Times New Roman" w:eastAsia="宋体" w:cs="Times New Roman"/>
                <w:color w:val="000000" w:themeColor="text1"/>
                <w:lang w:val="en-US" w:eastAsia="zh-CN"/>
                <w14:textFill>
                  <w14:solidFill>
                    <w14:schemeClr w14:val="tx1"/>
                  </w14:solidFill>
                </w14:textFill>
              </w:rPr>
            </w:pPr>
          </w:p>
          <w:p w14:paraId="3ABBBE31">
            <w:pPr>
              <w:bidi w:val="0"/>
              <w:ind w:left="0" w:leftChars="0" w:firstLine="480" w:firstLineChars="200"/>
              <w:jc w:val="both"/>
              <w:rPr>
                <w:rFonts w:hint="default" w:ascii="Times New Roman" w:hAnsi="Times New Roman" w:eastAsia="宋体" w:cs="Times New Roman"/>
                <w:color w:val="000000" w:themeColor="text1"/>
                <w:lang w:val="en-US" w:eastAsia="zh-CN"/>
                <w14:textFill>
                  <w14:solidFill>
                    <w14:schemeClr w14:val="tx1"/>
                  </w14:solidFill>
                </w14:textFill>
              </w:rPr>
            </w:pPr>
          </w:p>
          <w:p w14:paraId="50AC7302">
            <w:pPr>
              <w:bidi w:val="0"/>
              <w:ind w:left="0" w:leftChars="0" w:firstLine="480" w:firstLineChars="200"/>
              <w:jc w:val="both"/>
              <w:rPr>
                <w:rFonts w:hint="default" w:ascii="Times New Roman" w:hAnsi="Times New Roman" w:eastAsia="宋体" w:cs="Times New Roman"/>
                <w:color w:val="000000" w:themeColor="text1"/>
                <w:lang w:val="en-US" w:eastAsia="zh-CN"/>
                <w14:textFill>
                  <w14:solidFill>
                    <w14:schemeClr w14:val="tx1"/>
                  </w14:solidFill>
                </w14:textFill>
              </w:rPr>
            </w:pPr>
          </w:p>
          <w:p w14:paraId="159544A4">
            <w:pPr>
              <w:bidi w:val="0"/>
              <w:ind w:left="0" w:leftChars="0" w:firstLine="480" w:firstLineChars="200"/>
              <w:jc w:val="both"/>
              <w:rPr>
                <w:rFonts w:hint="default" w:ascii="Times New Roman" w:hAnsi="Times New Roman" w:eastAsia="宋体" w:cs="Times New Roman"/>
                <w:color w:val="000000" w:themeColor="text1"/>
                <w:lang w:val="en-US" w:eastAsia="zh-CN"/>
                <w14:textFill>
                  <w14:solidFill>
                    <w14:schemeClr w14:val="tx1"/>
                  </w14:solidFill>
                </w14:textFill>
              </w:rPr>
            </w:pPr>
          </w:p>
          <w:p w14:paraId="339CB561">
            <w:pPr>
              <w:bidi w:val="0"/>
              <w:ind w:left="0" w:leftChars="0" w:firstLine="480" w:firstLineChars="200"/>
              <w:jc w:val="both"/>
              <w:rPr>
                <w:rFonts w:hint="default" w:ascii="Times New Roman" w:hAnsi="Times New Roman" w:eastAsia="宋体" w:cs="Times New Roman"/>
                <w:color w:val="000000" w:themeColor="text1"/>
                <w:lang w:val="en-US" w:eastAsia="zh-CN"/>
                <w14:textFill>
                  <w14:solidFill>
                    <w14:schemeClr w14:val="tx1"/>
                  </w14:solidFill>
                </w14:textFill>
              </w:rPr>
            </w:pPr>
          </w:p>
          <w:p w14:paraId="2039B767">
            <w:pPr>
              <w:bidi w:val="0"/>
              <w:ind w:left="0" w:leftChars="0" w:firstLine="480" w:firstLineChars="200"/>
              <w:jc w:val="both"/>
              <w:rPr>
                <w:rFonts w:hint="default" w:ascii="Times New Roman" w:hAnsi="Times New Roman" w:eastAsia="宋体" w:cs="Times New Roman"/>
                <w:color w:val="000000" w:themeColor="text1"/>
                <w:lang w:val="en-US" w:eastAsia="zh-CN"/>
                <w14:textFill>
                  <w14:solidFill>
                    <w14:schemeClr w14:val="tx1"/>
                  </w14:solidFill>
                </w14:textFill>
              </w:rPr>
            </w:pPr>
          </w:p>
          <w:p w14:paraId="5035DFF8">
            <w:pPr>
              <w:bidi w:val="0"/>
              <w:ind w:left="0" w:leftChars="0" w:firstLine="480" w:firstLineChars="200"/>
              <w:jc w:val="both"/>
              <w:rPr>
                <w:rFonts w:hint="default" w:ascii="Times New Roman" w:hAnsi="Times New Roman" w:eastAsia="宋体" w:cs="Times New Roman"/>
                <w:color w:val="000000" w:themeColor="text1"/>
                <w:lang w:val="en-US" w:eastAsia="zh-CN"/>
                <w14:textFill>
                  <w14:solidFill>
                    <w14:schemeClr w14:val="tx1"/>
                  </w14:solidFill>
                </w14:textFill>
              </w:rPr>
            </w:pPr>
          </w:p>
          <w:p w14:paraId="66E9F8A0">
            <w:pPr>
              <w:bidi w:val="0"/>
              <w:ind w:left="0" w:leftChars="0" w:firstLine="480" w:firstLineChars="200"/>
              <w:jc w:val="both"/>
              <w:rPr>
                <w:rFonts w:hint="default" w:ascii="Times New Roman" w:hAnsi="Times New Roman" w:eastAsia="宋体" w:cs="Times New Roman"/>
                <w:color w:val="000000" w:themeColor="text1"/>
                <w:lang w:val="en-US" w:eastAsia="zh-CN"/>
                <w14:textFill>
                  <w14:solidFill>
                    <w14:schemeClr w14:val="tx1"/>
                  </w14:solidFill>
                </w14:textFill>
              </w:rPr>
            </w:pPr>
          </w:p>
          <w:p w14:paraId="08FDE0B0">
            <w:pPr>
              <w:bidi w:val="0"/>
              <w:ind w:left="0" w:leftChars="0" w:firstLine="480" w:firstLineChars="200"/>
              <w:jc w:val="both"/>
              <w:rPr>
                <w:rFonts w:hint="default" w:ascii="Times New Roman" w:hAnsi="Times New Roman" w:eastAsia="宋体" w:cs="Times New Roman"/>
                <w:color w:val="000000" w:themeColor="text1"/>
                <w:lang w:val="en-US" w:eastAsia="zh-CN"/>
                <w14:textFill>
                  <w14:solidFill>
                    <w14:schemeClr w14:val="tx1"/>
                  </w14:solidFill>
                </w14:textFill>
              </w:rPr>
            </w:pPr>
          </w:p>
          <w:p w14:paraId="7612C73E">
            <w:pPr>
              <w:bidi w:val="0"/>
              <w:ind w:left="0" w:leftChars="0" w:firstLine="480" w:firstLineChars="200"/>
              <w:jc w:val="both"/>
              <w:rPr>
                <w:rFonts w:hint="default" w:ascii="Times New Roman" w:hAnsi="Times New Roman" w:eastAsia="宋体" w:cs="Times New Roman"/>
                <w:color w:val="000000" w:themeColor="text1"/>
                <w:lang w:val="en-US" w:eastAsia="zh-CN"/>
                <w14:textFill>
                  <w14:solidFill>
                    <w14:schemeClr w14:val="tx1"/>
                  </w14:solidFill>
                </w14:textFill>
              </w:rPr>
            </w:pPr>
          </w:p>
          <w:p w14:paraId="4140535E">
            <w:pPr>
              <w:bidi w:val="0"/>
              <w:ind w:left="0" w:leftChars="0" w:firstLine="480" w:firstLineChars="200"/>
              <w:jc w:val="both"/>
              <w:rPr>
                <w:rFonts w:hint="default" w:ascii="Times New Roman" w:hAnsi="Times New Roman" w:eastAsia="宋体" w:cs="Times New Roman"/>
                <w:color w:val="000000" w:themeColor="text1"/>
                <w:lang w:val="en-US" w:eastAsia="zh-CN"/>
                <w14:textFill>
                  <w14:solidFill>
                    <w14:schemeClr w14:val="tx1"/>
                  </w14:solidFill>
                </w14:textFill>
              </w:rPr>
            </w:pPr>
          </w:p>
          <w:p w14:paraId="60DDCEA4">
            <w:pPr>
              <w:bidi w:val="0"/>
              <w:ind w:left="0" w:leftChars="0" w:firstLine="480" w:firstLineChars="200"/>
              <w:jc w:val="both"/>
              <w:rPr>
                <w:rFonts w:hint="default" w:ascii="Times New Roman" w:hAnsi="Times New Roman" w:eastAsia="宋体" w:cs="Times New Roman"/>
                <w:color w:val="000000" w:themeColor="text1"/>
                <w:lang w:val="en-US" w:eastAsia="zh-CN"/>
                <w14:textFill>
                  <w14:solidFill>
                    <w14:schemeClr w14:val="tx1"/>
                  </w14:solidFill>
                </w14:textFill>
              </w:rPr>
            </w:pPr>
          </w:p>
          <w:p w14:paraId="7C9D9B1E">
            <w:pPr>
              <w:bidi w:val="0"/>
              <w:ind w:left="0" w:leftChars="0" w:firstLine="480" w:firstLineChars="200"/>
              <w:jc w:val="both"/>
              <w:rPr>
                <w:rFonts w:hint="default" w:ascii="Times New Roman" w:hAnsi="Times New Roman" w:eastAsia="宋体" w:cs="Times New Roman"/>
                <w:color w:val="000000" w:themeColor="text1"/>
                <w:lang w:val="en-US" w:eastAsia="zh-CN"/>
                <w14:textFill>
                  <w14:solidFill>
                    <w14:schemeClr w14:val="tx1"/>
                  </w14:solidFill>
                </w14:textFill>
              </w:rPr>
            </w:pPr>
          </w:p>
        </w:tc>
      </w:tr>
      <w:bookmarkEnd w:id="11"/>
    </w:tbl>
    <w:p w14:paraId="7F3A3EAF">
      <w:pPr>
        <w:jc w:val="both"/>
        <w:rPr>
          <w:rFonts w:hint="default" w:ascii="Times New Roman" w:hAnsi="Times New Roman" w:eastAsia="宋体" w:cs="Times New Roman"/>
          <w:snapToGrid w:val="0"/>
          <w:color w:val="000000" w:themeColor="text1"/>
          <w:sz w:val="30"/>
          <w:szCs w:val="30"/>
          <w14:textFill>
            <w14:solidFill>
              <w14:schemeClr w14:val="tx1"/>
            </w14:solidFill>
          </w14:textFill>
        </w:rPr>
      </w:pPr>
      <w:bookmarkStart w:id="12" w:name="_Toc87899394"/>
      <w:r>
        <w:rPr>
          <w:rFonts w:hint="default" w:ascii="Times New Roman" w:hAnsi="Times New Roman" w:eastAsia="宋体" w:cs="Times New Roman"/>
          <w:snapToGrid w:val="0"/>
          <w:color w:val="000000" w:themeColor="text1"/>
          <w:sz w:val="30"/>
          <w:szCs w:val="30"/>
          <w14:textFill>
            <w14:solidFill>
              <w14:schemeClr w14:val="tx1"/>
            </w14:solidFill>
          </w14:textFill>
        </w:rPr>
        <w:br w:type="page"/>
      </w:r>
    </w:p>
    <w:p w14:paraId="50486615">
      <w:pPr>
        <w:pStyle w:val="2"/>
        <w:bidi w:val="0"/>
        <w:ind w:firstLine="2108" w:firstLineChars="700"/>
        <w:jc w:val="both"/>
        <w:rPr>
          <w:rFonts w:hint="eastAsia" w:ascii="宋体" w:hAnsi="宋体" w:eastAsia="宋体" w:cs="宋体"/>
          <w:color w:val="000000" w:themeColor="text1"/>
          <w14:textFill>
            <w14:solidFill>
              <w14:schemeClr w14:val="tx1"/>
            </w14:solidFill>
          </w14:textFill>
        </w:rPr>
      </w:pPr>
      <w:bookmarkStart w:id="13" w:name="_Toc11858"/>
      <w:r>
        <w:rPr>
          <w:rFonts w:hint="eastAsia" w:ascii="宋体" w:hAnsi="宋体" w:eastAsia="宋体" w:cs="宋体"/>
          <w:color w:val="000000" w:themeColor="text1"/>
          <w14:textFill>
            <w14:solidFill>
              <w14:schemeClr w14:val="tx1"/>
            </w14:solidFill>
          </w14:textFill>
        </w:rPr>
        <w:t>四、生态环境影响分析</w:t>
      </w:r>
      <w:bookmarkEnd w:id="13"/>
    </w:p>
    <w:tbl>
      <w:tblPr>
        <w:tblStyle w:val="26"/>
        <w:tblW w:w="896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77"/>
        <w:gridCol w:w="8189"/>
      </w:tblGrid>
      <w:tr w14:paraId="364A5A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963" w:hRule="atLeast"/>
          <w:jc w:val="center"/>
        </w:trPr>
        <w:tc>
          <w:tcPr>
            <w:tcW w:w="777" w:type="dxa"/>
            <w:tcMar>
              <w:left w:w="28" w:type="dxa"/>
              <w:right w:w="28" w:type="dxa"/>
            </w:tcMar>
            <w:vAlign w:val="center"/>
          </w:tcPr>
          <w:p w14:paraId="017DBC9A">
            <w:pPr>
              <w:pStyle w:val="21"/>
              <w:adjustRightInd w:val="0"/>
              <w:snapToGrid w:val="0"/>
              <w:spacing w:before="0" w:beforeAutospacing="0" w:after="0" w:afterAutospacing="0"/>
              <w:ind w:firstLine="0" w:firstLineChars="0"/>
              <w:jc w:val="both"/>
              <w:rPr>
                <w:rFonts w:hint="default" w:ascii="Times New Roman" w:hAnsi="Times New Roman" w:eastAsia="宋体" w:cs="Times New Roman"/>
                <w:bCs/>
                <w:color w:val="000000" w:themeColor="text1"/>
                <w:kern w:val="2"/>
                <w14:textFill>
                  <w14:solidFill>
                    <w14:schemeClr w14:val="tx1"/>
                  </w14:solidFill>
                </w14:textFill>
              </w:rPr>
            </w:pPr>
            <w:bookmarkStart w:id="14" w:name="_Hlk49796138"/>
            <w:r>
              <w:rPr>
                <w:rFonts w:hint="default" w:ascii="Times New Roman" w:hAnsi="Times New Roman" w:eastAsia="宋体" w:cs="Times New Roman"/>
                <w:bCs/>
                <w:color w:val="000000" w:themeColor="text1"/>
                <w:spacing w:val="10"/>
                <w:kern w:val="2"/>
                <w14:textFill>
                  <w14:solidFill>
                    <w14:schemeClr w14:val="tx1"/>
                  </w14:solidFill>
                </w14:textFill>
              </w:rPr>
              <w:t>施工期生态环境影响分析</w:t>
            </w:r>
            <w:bookmarkEnd w:id="14"/>
          </w:p>
        </w:tc>
        <w:tc>
          <w:tcPr>
            <w:tcW w:w="8189" w:type="dxa"/>
          </w:tcPr>
          <w:p w14:paraId="502D4BB8">
            <w:pPr>
              <w:keepNext w:val="0"/>
              <w:keepLines w:val="0"/>
              <w:pageBreakBefore w:val="0"/>
              <w:widowControl w:val="0"/>
              <w:kinsoku/>
              <w:wordWrap/>
              <w:overflowPunct/>
              <w:topLinePunct w:val="0"/>
              <w:autoSpaceDE/>
              <w:autoSpaceDN/>
              <w:bidi w:val="0"/>
              <w:adjustRightInd w:val="0"/>
              <w:snapToGrid w:val="0"/>
              <w:ind w:firstLine="482" w:firstLineChars="200"/>
              <w:jc w:val="both"/>
              <w:textAlignment w:val="auto"/>
              <w:rPr>
                <w:rFonts w:hint="default" w:ascii="Times New Roman" w:hAnsi="Times New Roman" w:eastAsia="宋体" w:cs="Times New Roman"/>
                <w:b/>
                <w:bCs/>
                <w:color w:val="000000" w:themeColor="text1"/>
                <w14:textFill>
                  <w14:solidFill>
                    <w14:schemeClr w14:val="tx1"/>
                  </w14:solidFill>
                </w14:textFill>
              </w:rPr>
            </w:pPr>
            <w:r>
              <w:rPr>
                <w:rFonts w:hint="default" w:ascii="Times New Roman" w:hAnsi="Times New Roman" w:eastAsia="宋体" w:cs="Times New Roman"/>
                <w:b/>
                <w:bCs/>
                <w:color w:val="000000" w:themeColor="text1"/>
                <w14:textFill>
                  <w14:solidFill>
                    <w14:schemeClr w14:val="tx1"/>
                  </w14:solidFill>
                </w14:textFill>
              </w:rPr>
              <w:t>一、施工期生态破坏及环境污染环节</w:t>
            </w:r>
          </w:p>
          <w:p w14:paraId="3E5F4C69">
            <w:pPr>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根据项目建设特征，施工期可能对区域环境造成生态破坏和环境污染的主要环节汇总见</w:t>
            </w:r>
            <w:r>
              <w:rPr>
                <w:rFonts w:hint="default" w:ascii="Times New Roman" w:hAnsi="Times New Roman" w:eastAsia="宋体" w:cs="Times New Roman"/>
                <w:color w:val="000000" w:themeColor="text1"/>
                <w:lang w:eastAsia="zh-CN"/>
                <w14:textFill>
                  <w14:solidFill>
                    <w14:schemeClr w14:val="tx1"/>
                  </w14:solidFill>
                </w14:textFill>
              </w:rPr>
              <w:t>下表</w:t>
            </w:r>
            <w:r>
              <w:rPr>
                <w:rFonts w:hint="default" w:ascii="Times New Roman" w:hAnsi="Times New Roman" w:eastAsia="宋体" w:cs="Times New Roman"/>
                <w:color w:val="000000" w:themeColor="text1"/>
                <w14:textFill>
                  <w14:solidFill>
                    <w14:schemeClr w14:val="tx1"/>
                  </w14:solidFill>
                </w14:textFill>
              </w:rPr>
              <w:t>。</w:t>
            </w:r>
          </w:p>
          <w:p w14:paraId="7BF295B5">
            <w:pPr>
              <w:ind w:left="0" w:leftChars="0" w:firstLine="0" w:firstLineChars="0"/>
              <w:jc w:val="center"/>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14:textFill>
                  <w14:solidFill>
                    <w14:schemeClr w14:val="tx1"/>
                  </w14:solidFill>
                </w14:textFill>
              </w:rPr>
              <w:t>表</w:t>
            </w: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4</w:t>
            </w:r>
            <w:r>
              <w:rPr>
                <w:rFonts w:hint="default" w:ascii="Times New Roman" w:hAnsi="Times New Roman" w:eastAsia="宋体" w:cs="Times New Roman"/>
                <w:b/>
                <w:bCs/>
                <w:color w:val="000000" w:themeColor="text1"/>
                <w:sz w:val="21"/>
                <w:szCs w:val="21"/>
                <w:highlight w:val="none"/>
                <w14:textFill>
                  <w14:solidFill>
                    <w14:schemeClr w14:val="tx1"/>
                  </w14:solidFill>
                </w14:textFill>
              </w:rPr>
              <w:t>-1</w:t>
            </w:r>
            <w:r>
              <w:rPr>
                <w:rFonts w:hint="eastAsia" w:ascii="Times New Roman" w:hAnsi="Times New Roman" w:cs="Times New Roman"/>
                <w:b/>
                <w:bCs/>
                <w:color w:val="000000" w:themeColor="text1"/>
                <w:sz w:val="21"/>
                <w:szCs w:val="21"/>
                <w:highlight w:val="none"/>
                <w:lang w:val="en-US" w:eastAsia="zh-CN"/>
                <w14:textFill>
                  <w14:solidFill>
                    <w14:schemeClr w14:val="tx1"/>
                  </w14:solidFill>
                </w14:textFill>
              </w:rPr>
              <w:t xml:space="preserve">   </w:t>
            </w:r>
            <w:r>
              <w:rPr>
                <w:rFonts w:hint="default" w:ascii="Times New Roman" w:hAnsi="Times New Roman" w:eastAsia="宋体" w:cs="Times New Roman"/>
                <w:b/>
                <w:bCs/>
                <w:color w:val="000000" w:themeColor="text1"/>
                <w:sz w:val="21"/>
                <w:szCs w:val="21"/>
                <w:highlight w:val="none"/>
                <w14:textFill>
                  <w14:solidFill>
                    <w14:schemeClr w14:val="tx1"/>
                  </w14:solidFill>
                </w14:textFill>
              </w:rPr>
              <w:t>工程施工期生态破坏和环境污染环节一览表</w:t>
            </w:r>
          </w:p>
          <w:tbl>
            <w:tblPr>
              <w:tblStyle w:val="2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146"/>
              <w:gridCol w:w="1610"/>
              <w:gridCol w:w="2448"/>
              <w:gridCol w:w="2756"/>
            </w:tblGrid>
            <w:tr w14:paraId="7C4DB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trPr>
              <w:tc>
                <w:tcPr>
                  <w:tcW w:w="1731" w:type="pct"/>
                  <w:gridSpan w:val="2"/>
                  <w:shd w:val="clear" w:color="auto" w:fill="auto"/>
                  <w:vAlign w:val="center"/>
                </w:tcPr>
                <w:p w14:paraId="13094A1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施工环节</w:t>
                  </w:r>
                </w:p>
              </w:tc>
              <w:tc>
                <w:tcPr>
                  <w:tcW w:w="1537" w:type="pct"/>
                  <w:shd w:val="clear" w:color="auto" w:fill="auto"/>
                  <w:vAlign w:val="center"/>
                </w:tcPr>
                <w:p w14:paraId="50701EE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环境污染因素</w:t>
                  </w:r>
                </w:p>
              </w:tc>
              <w:tc>
                <w:tcPr>
                  <w:tcW w:w="1731" w:type="pct"/>
                  <w:shd w:val="clear" w:color="auto" w:fill="auto"/>
                  <w:vAlign w:val="center"/>
                </w:tcPr>
                <w:p w14:paraId="2B455A6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bCs/>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1"/>
                      <w:szCs w:val="21"/>
                      <w:highlight w:val="none"/>
                      <w:u w:val="none"/>
                      <w:lang w:val="en-US" w:eastAsia="zh-CN" w:bidi="ar"/>
                      <w14:textFill>
                        <w14:solidFill>
                          <w14:schemeClr w14:val="tx1"/>
                        </w14:solidFill>
                      </w14:textFill>
                    </w:rPr>
                    <w:t>生态破坏影响</w:t>
                  </w:r>
                </w:p>
              </w:tc>
            </w:tr>
            <w:tr w14:paraId="079C7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trPr>
              <w:tc>
                <w:tcPr>
                  <w:tcW w:w="719" w:type="pct"/>
                  <w:shd w:val="clear" w:color="auto" w:fill="auto"/>
                  <w:vAlign w:val="center"/>
                </w:tcPr>
                <w:p w14:paraId="66A3EA0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农产品、药材种植项目</w:t>
                  </w:r>
                </w:p>
              </w:tc>
              <w:tc>
                <w:tcPr>
                  <w:tcW w:w="1011" w:type="pct"/>
                  <w:shd w:val="clear" w:color="auto" w:fill="auto"/>
                  <w:vAlign w:val="center"/>
                </w:tcPr>
                <w:p w14:paraId="52CA2EE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整地</w:t>
                  </w:r>
                </w:p>
              </w:tc>
              <w:tc>
                <w:tcPr>
                  <w:tcW w:w="1537" w:type="pct"/>
                  <w:shd w:val="clear" w:color="auto" w:fill="auto"/>
                  <w:vAlign w:val="center"/>
                </w:tcPr>
                <w:p w14:paraId="1198FAC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平整开挖及调运扬尘、原有地表挖除的灌木杂草、机械噪声。</w:t>
                  </w:r>
                </w:p>
              </w:tc>
              <w:tc>
                <w:tcPr>
                  <w:tcW w:w="1731" w:type="pct"/>
                  <w:shd w:val="clear" w:color="auto" w:fill="auto"/>
                  <w:vAlign w:val="center"/>
                </w:tcPr>
                <w:p w14:paraId="717E58F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改变永久占地范围内生态系统及生物多样性影响、破坏占地范围内植被、野生动物生境影响、水土流失、景观生态影响。</w:t>
                  </w:r>
                </w:p>
              </w:tc>
            </w:tr>
            <w:tr w14:paraId="2D973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trPr>
              <w:tc>
                <w:tcPr>
                  <w:tcW w:w="719" w:type="pct"/>
                  <w:shd w:val="clear" w:color="auto" w:fill="auto"/>
                  <w:vAlign w:val="center"/>
                </w:tcPr>
                <w:p w14:paraId="040EA57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both"/>
                    <w:rPr>
                      <w:rFonts w:hint="default" w:ascii="Times New Roman" w:hAnsi="Times New Roman" w:eastAsia="宋体" w:cs="Times New Roman"/>
                      <w:i w:val="0"/>
                      <w:iCs w:val="0"/>
                      <w:color w:val="000000" w:themeColor="text1"/>
                      <w:sz w:val="21"/>
                      <w:szCs w:val="21"/>
                      <w:highlight w:val="none"/>
                      <w:u w:val="none"/>
                      <w:lang w:eastAsia="zh-CN"/>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lang w:eastAsia="zh-CN"/>
                      <w14:textFill>
                        <w14:solidFill>
                          <w14:schemeClr w14:val="tx1"/>
                        </w14:solidFill>
                      </w14:textFill>
                    </w:rPr>
                    <w:t>道路</w:t>
                  </w:r>
                </w:p>
              </w:tc>
              <w:tc>
                <w:tcPr>
                  <w:tcW w:w="1011" w:type="pct"/>
                  <w:shd w:val="clear" w:color="auto" w:fill="auto"/>
                  <w:vAlign w:val="center"/>
                </w:tcPr>
                <w:p w14:paraId="67E8CDF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cs="Times New Roman"/>
                      <w:i w:val="0"/>
                      <w:iCs w:val="0"/>
                      <w:color w:val="000000" w:themeColor="text1"/>
                      <w:kern w:val="0"/>
                      <w:sz w:val="21"/>
                      <w:szCs w:val="21"/>
                      <w:highlight w:val="none"/>
                      <w:u w:val="none"/>
                      <w:lang w:val="en-US" w:eastAsia="zh-CN" w:bidi="ar"/>
                      <w14:textFill>
                        <w14:solidFill>
                          <w14:schemeClr w14:val="tx1"/>
                        </w14:solidFill>
                      </w14:textFill>
                    </w:rPr>
                    <w:t>项目区外部分</w:t>
                  </w: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改建维护</w:t>
                  </w:r>
                  <w:r>
                    <w:rPr>
                      <w:rFonts w:hint="eastAsia" w:ascii="Times New Roman" w:hAnsi="Times New Roman" w:cs="Times New Roman"/>
                      <w:i w:val="0"/>
                      <w:iCs w:val="0"/>
                      <w:color w:val="000000" w:themeColor="text1"/>
                      <w:kern w:val="0"/>
                      <w:sz w:val="21"/>
                      <w:szCs w:val="21"/>
                      <w:highlight w:val="none"/>
                      <w:u w:val="none"/>
                      <w:lang w:val="en-US" w:eastAsia="zh-CN" w:bidi="ar"/>
                      <w14:textFill>
                        <w14:solidFill>
                          <w14:schemeClr w14:val="tx1"/>
                        </w14:solidFill>
                      </w14:textFill>
                    </w:rPr>
                    <w:t>，项目区内新建</w:t>
                  </w:r>
                </w:p>
              </w:tc>
              <w:tc>
                <w:tcPr>
                  <w:tcW w:w="1537" w:type="pct"/>
                  <w:shd w:val="clear" w:color="auto" w:fill="auto"/>
                  <w:vAlign w:val="center"/>
                </w:tcPr>
                <w:p w14:paraId="1005A92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平整开挖及调运扬尘、施工机械尾气、施工机械噪声。</w:t>
                  </w:r>
                </w:p>
              </w:tc>
              <w:tc>
                <w:tcPr>
                  <w:tcW w:w="1731" w:type="pct"/>
                  <w:shd w:val="clear" w:color="auto" w:fill="auto"/>
                  <w:vAlign w:val="center"/>
                </w:tcPr>
                <w:p w14:paraId="3599850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rPr>
                      <w:rFonts w:hint="default" w:ascii="Times New Roman" w:hAnsi="Times New Roman" w:eastAsia="宋体" w:cs="Times New Roman"/>
                      <w:i w:val="0"/>
                      <w:iCs w:val="0"/>
                      <w:color w:val="000000" w:themeColor="text1"/>
                      <w:sz w:val="21"/>
                      <w:szCs w:val="21"/>
                      <w:highlight w:val="none"/>
                      <w:u w:val="none"/>
                      <w:lang w:eastAsia="zh-CN"/>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项目</w:t>
                  </w:r>
                  <w:r>
                    <w:rPr>
                      <w:rFonts w:hint="default" w:ascii="Times New Roman" w:hAnsi="Times New Roman" w:eastAsia="宋体" w:cs="Times New Roman"/>
                      <w:i w:val="0"/>
                      <w:iCs w:val="0"/>
                      <w:color w:val="000000" w:themeColor="text1"/>
                      <w:sz w:val="21"/>
                      <w:szCs w:val="21"/>
                      <w:highlight w:val="none"/>
                      <w:u w:val="none"/>
                      <w:lang w:eastAsia="zh-CN"/>
                      <w14:textFill>
                        <w14:solidFill>
                          <w14:schemeClr w14:val="tx1"/>
                        </w14:solidFill>
                      </w14:textFill>
                    </w:rPr>
                    <w:t>范围内作业，</w:t>
                  </w:r>
                  <w: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周围无敏感点，</w:t>
                  </w:r>
                  <w:r>
                    <w:rPr>
                      <w:rFonts w:hint="default" w:ascii="Times New Roman" w:hAnsi="Times New Roman" w:eastAsia="宋体" w:cs="Times New Roman"/>
                      <w:i w:val="0"/>
                      <w:iCs w:val="0"/>
                      <w:color w:val="000000" w:themeColor="text1"/>
                      <w:sz w:val="21"/>
                      <w:szCs w:val="21"/>
                      <w:highlight w:val="none"/>
                      <w:u w:val="none"/>
                      <w:lang w:eastAsia="zh-CN"/>
                      <w14:textFill>
                        <w14:solidFill>
                          <w14:schemeClr w14:val="tx1"/>
                        </w14:solidFill>
                      </w14:textFill>
                    </w:rPr>
                    <w:t>影响不大。</w:t>
                  </w:r>
                </w:p>
              </w:tc>
            </w:tr>
            <w:tr w14:paraId="5634D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trPr>
              <w:tc>
                <w:tcPr>
                  <w:tcW w:w="719" w:type="pct"/>
                  <w:shd w:val="clear" w:color="auto" w:fill="auto"/>
                  <w:vAlign w:val="center"/>
                </w:tcPr>
                <w:p w14:paraId="3B971CE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both"/>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沉淀池</w:t>
                  </w:r>
                  <w:r>
                    <w:rPr>
                      <w:rFonts w:hint="eastAsia" w:ascii="Times New Roman" w:hAnsi="Times New Roman" w:cs="Times New Roman"/>
                      <w:i w:val="0"/>
                      <w:iCs w:val="0"/>
                      <w:color w:val="000000" w:themeColor="text1"/>
                      <w:sz w:val="21"/>
                      <w:szCs w:val="21"/>
                      <w:highlight w:val="none"/>
                      <w:u w:val="none"/>
                      <w:lang w:eastAsia="zh-CN"/>
                      <w14:textFill>
                        <w14:solidFill>
                          <w14:schemeClr w14:val="tx1"/>
                        </w14:solidFill>
                      </w14:textFill>
                    </w:rPr>
                    <w:t>、</w:t>
                  </w:r>
                  <w:r>
                    <w:rPr>
                      <w:rFonts w:hint="default" w:ascii="Times New Roman" w:hAnsi="Times New Roman" w:eastAsia="宋体" w:cs="Times New Roman"/>
                      <w:i w:val="0"/>
                      <w:iCs w:val="0"/>
                      <w:color w:val="000000" w:themeColor="text1"/>
                      <w:sz w:val="21"/>
                      <w:szCs w:val="21"/>
                      <w:highlight w:val="none"/>
                      <w:u w:val="none"/>
                      <w:lang w:eastAsia="zh-CN"/>
                      <w14:textFill>
                        <w14:solidFill>
                          <w14:schemeClr w14:val="tx1"/>
                        </w14:solidFill>
                      </w14:textFill>
                    </w:rPr>
                    <w:t>管理用房</w:t>
                  </w:r>
                  <w:r>
                    <w:rPr>
                      <w:rFonts w:hint="eastAsia" w:ascii="Times New Roman" w:hAnsi="Times New Roman" w:cs="Times New Roman"/>
                      <w:i w:val="0"/>
                      <w:iCs w:val="0"/>
                      <w:color w:val="000000" w:themeColor="text1"/>
                      <w:sz w:val="21"/>
                      <w:szCs w:val="21"/>
                      <w:highlight w:val="none"/>
                      <w:u w:val="none"/>
                      <w:lang w:eastAsia="zh-CN"/>
                      <w14:textFill>
                        <w14:solidFill>
                          <w14:schemeClr w14:val="tx1"/>
                        </w14:solidFill>
                      </w14:textFill>
                    </w:rPr>
                    <w:t>、</w:t>
                  </w:r>
                  <w:r>
                    <w:rPr>
                      <w:rFonts w:hint="eastAsia" w:ascii="Times New Roman" w:hAnsi="Times New Roman" w:cs="Times New Roman"/>
                      <w:i w:val="0"/>
                      <w:iCs w:val="0"/>
                      <w:color w:val="000000" w:themeColor="text1"/>
                      <w:sz w:val="21"/>
                      <w:szCs w:val="21"/>
                      <w:highlight w:val="none"/>
                      <w:u w:val="none"/>
                      <w:lang w:val="en-US" w:eastAsia="zh-CN"/>
                      <w14:textFill>
                        <w14:solidFill>
                          <w14:schemeClr w14:val="tx1"/>
                        </w14:solidFill>
                      </w14:textFill>
                    </w:rPr>
                    <w:t>工具房、水肥中心、分拣中心</w:t>
                  </w:r>
                </w:p>
              </w:tc>
              <w:tc>
                <w:tcPr>
                  <w:tcW w:w="1011" w:type="pct"/>
                  <w:shd w:val="clear" w:color="auto" w:fill="auto"/>
                  <w:vAlign w:val="center"/>
                </w:tcPr>
                <w:p w14:paraId="394FB32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建设</w:t>
                  </w:r>
                </w:p>
              </w:tc>
              <w:tc>
                <w:tcPr>
                  <w:tcW w:w="1537" w:type="pct"/>
                  <w:shd w:val="clear" w:color="auto" w:fill="auto"/>
                  <w:vAlign w:val="center"/>
                </w:tcPr>
                <w:p w14:paraId="4A793C6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平整开挖及调运扬尘、施工机械尾气、施工机械噪声。</w:t>
                  </w:r>
                </w:p>
              </w:tc>
              <w:tc>
                <w:tcPr>
                  <w:tcW w:w="1731" w:type="pct"/>
                  <w:shd w:val="clear" w:color="auto" w:fill="auto"/>
                  <w:vAlign w:val="center"/>
                </w:tcPr>
                <w:p w14:paraId="40C2365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rPr>
                      <w:rFonts w:hint="default" w:ascii="Times New Roman" w:hAnsi="Times New Roman" w:eastAsia="宋体" w:cs="Times New Roman"/>
                      <w:i w:val="0"/>
                      <w:iCs w:val="0"/>
                      <w:color w:val="000000" w:themeColor="text1"/>
                      <w:sz w:val="21"/>
                      <w:szCs w:val="21"/>
                      <w:highlight w:val="none"/>
                      <w:u w:val="none"/>
                      <w:lang w:eastAsia="zh-CN"/>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t>改变永久占地范围内土地利用类型、破坏占地范围内植被</w:t>
                  </w:r>
                  <w:r>
                    <w:rPr>
                      <w:rFonts w:hint="default" w:ascii="Times New Roman" w:hAnsi="Times New Roman" w:eastAsia="宋体" w:cs="Times New Roman"/>
                      <w:i w:val="0"/>
                      <w:iCs w:val="0"/>
                      <w:color w:val="000000" w:themeColor="text1"/>
                      <w:sz w:val="21"/>
                      <w:szCs w:val="21"/>
                      <w:highlight w:val="none"/>
                      <w:u w:val="none"/>
                      <w:lang w:eastAsia="zh-CN"/>
                      <w14:textFill>
                        <w14:solidFill>
                          <w14:schemeClr w14:val="tx1"/>
                        </w14:solidFill>
                      </w14:textFill>
                    </w:rPr>
                    <w:t>。</w:t>
                  </w:r>
                </w:p>
              </w:tc>
            </w:tr>
            <w:tr w14:paraId="0EAC1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31" w:type="pct"/>
                  <w:gridSpan w:val="2"/>
                  <w:shd w:val="clear" w:color="auto" w:fill="auto"/>
                  <w:vAlign w:val="center"/>
                </w:tcPr>
                <w:p w14:paraId="3931A1A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施工人员及施工车辆</w:t>
                  </w:r>
                </w:p>
              </w:tc>
              <w:tc>
                <w:tcPr>
                  <w:tcW w:w="1537" w:type="pct"/>
                  <w:shd w:val="clear" w:color="auto" w:fill="auto"/>
                  <w:vAlign w:val="center"/>
                </w:tcPr>
                <w:p w14:paraId="10DF75D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rPr>
                      <w:rFonts w:hint="default" w:ascii="Times New Roman" w:hAnsi="Times New Roman" w:eastAsia="宋体" w:cs="Times New Roman"/>
                      <w:i w:val="0"/>
                      <w:iCs w:val="0"/>
                      <w:color w:val="000000" w:themeColor="text1"/>
                      <w:sz w:val="21"/>
                      <w:szCs w:val="21"/>
                      <w:highlight w:val="none"/>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施工人员生活污水及生活垃圾、施工车辆尾气和噪声。</w:t>
                  </w:r>
                </w:p>
              </w:tc>
              <w:tc>
                <w:tcPr>
                  <w:tcW w:w="1731" w:type="pct"/>
                  <w:shd w:val="clear" w:color="auto" w:fill="auto"/>
                  <w:vAlign w:val="center"/>
                </w:tcPr>
                <w:p w14:paraId="298162F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both"/>
                    <w:textAlignment w:val="cente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sz w:val="21"/>
                      <w:szCs w:val="21"/>
                      <w:highlight w:val="none"/>
                      <w:u w:val="none"/>
                      <w:lang w:val="en-US" w:eastAsia="zh-CN"/>
                      <w14:textFill>
                        <w14:solidFill>
                          <w14:schemeClr w14:val="tx1"/>
                        </w14:solidFill>
                      </w14:textFill>
                    </w:rPr>
                    <w:t>生活污水仅为洗手用水，经沉淀池沉淀后回用，生活垃圾定期及时清理，50m范围内无保护目标，影响不大。</w:t>
                  </w:r>
                </w:p>
              </w:tc>
            </w:tr>
          </w:tbl>
          <w:p w14:paraId="6DC07F9C">
            <w:pPr>
              <w:keepNext w:val="0"/>
              <w:keepLines w:val="0"/>
              <w:pageBreakBefore w:val="0"/>
              <w:widowControl w:val="0"/>
              <w:numPr>
                <w:ilvl w:val="0"/>
                <w:numId w:val="0"/>
              </w:numPr>
              <w:kinsoku/>
              <w:wordWrap/>
              <w:overflowPunct/>
              <w:topLinePunct w:val="0"/>
              <w:autoSpaceDE/>
              <w:autoSpaceDN/>
              <w:bidi w:val="0"/>
              <w:adjustRightInd w:val="0"/>
              <w:snapToGrid w:val="0"/>
              <w:ind w:left="0" w:leftChars="0" w:firstLine="482" w:firstLineChars="200"/>
              <w:jc w:val="both"/>
              <w:textAlignment w:val="auto"/>
              <w:rPr>
                <w:rFonts w:hint="default" w:ascii="Times New Roman" w:hAnsi="Times New Roman" w:eastAsia="宋体" w:cs="Times New Roman"/>
                <w:b/>
                <w:bCs/>
                <w:color w:val="000000" w:themeColor="text1"/>
                <w:lang w:val="en-US" w:eastAsia="zh-CN"/>
                <w14:textFill>
                  <w14:solidFill>
                    <w14:schemeClr w14:val="tx1"/>
                  </w14:solidFill>
                </w14:textFill>
              </w:rPr>
            </w:pPr>
          </w:p>
          <w:p w14:paraId="6A1DC372">
            <w:pPr>
              <w:keepNext w:val="0"/>
              <w:keepLines w:val="0"/>
              <w:pageBreakBefore w:val="0"/>
              <w:widowControl w:val="0"/>
              <w:numPr>
                <w:ilvl w:val="0"/>
                <w:numId w:val="0"/>
              </w:numPr>
              <w:kinsoku/>
              <w:wordWrap/>
              <w:overflowPunct/>
              <w:topLinePunct w:val="0"/>
              <w:autoSpaceDE/>
              <w:autoSpaceDN/>
              <w:bidi w:val="0"/>
              <w:adjustRightInd w:val="0"/>
              <w:snapToGrid w:val="0"/>
              <w:ind w:left="0" w:leftChars="0" w:firstLine="482" w:firstLineChars="200"/>
              <w:jc w:val="both"/>
              <w:textAlignment w:val="auto"/>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二、施工期</w:t>
            </w:r>
            <w:r>
              <w:rPr>
                <w:rFonts w:hint="eastAsia" w:ascii="Times New Roman" w:hAnsi="Times New Roman" w:cs="Times New Roman"/>
                <w:b/>
                <w:bCs/>
                <w:color w:val="000000" w:themeColor="text1"/>
                <w:lang w:val="en-US" w:eastAsia="zh-CN"/>
                <w14:textFill>
                  <w14:solidFill>
                    <w14:schemeClr w14:val="tx1"/>
                  </w14:solidFill>
                </w14:textFill>
              </w:rPr>
              <w:t>生态影响</w:t>
            </w:r>
            <w:r>
              <w:rPr>
                <w:rFonts w:hint="default" w:ascii="Times New Roman" w:hAnsi="Times New Roman" w:eastAsia="宋体" w:cs="Times New Roman"/>
                <w:b/>
                <w:bCs/>
                <w:color w:val="000000" w:themeColor="text1"/>
                <w:lang w:val="en-US" w:eastAsia="zh-CN"/>
                <w14:textFill>
                  <w14:solidFill>
                    <w14:schemeClr w14:val="tx1"/>
                  </w14:solidFill>
                </w14:textFill>
              </w:rPr>
              <w:t>分析</w:t>
            </w:r>
          </w:p>
          <w:p w14:paraId="11EBBC23">
            <w:pPr>
              <w:keepNext w:val="0"/>
              <w:keepLines w:val="0"/>
              <w:pageBreakBefore w:val="0"/>
              <w:kinsoku/>
              <w:wordWrap/>
              <w:overflowPunct/>
              <w:topLinePunct w:val="0"/>
              <w:autoSpaceDE/>
              <w:autoSpaceDN/>
              <w:bidi w:val="0"/>
              <w:adjustRightInd w:val="0"/>
              <w:snapToGrid w:val="0"/>
              <w:ind w:left="0" w:leftChars="0" w:firstLine="480" w:firstLineChars="200"/>
              <w:jc w:val="both"/>
              <w:textAlignment w:val="auto"/>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本项目施工期主要的工程内容为①主体工程</w:t>
            </w:r>
            <w:r>
              <w:rPr>
                <w:rFonts w:hint="default" w:ascii="Times New Roman" w:hAnsi="Times New Roman" w:eastAsia="宋体"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蓝莓、三七、羊肚菌、桃树、苹果树种植</w:t>
            </w:r>
            <w:r>
              <w:rPr>
                <w:rFonts w:hint="eastAsia" w:ascii="Times New Roman" w:hAnsi="Times New Roman" w:eastAsia="宋体" w:cs="Times New Roman"/>
                <w:color w:val="000000" w:themeColor="text1"/>
                <w:lang w:val="en-US" w:eastAsia="zh-CN"/>
                <w14:textFill>
                  <w14:solidFill>
                    <w14:schemeClr w14:val="tx1"/>
                  </w14:solidFill>
                </w14:textFill>
              </w:rPr>
              <w:t>区域场地和大棚预处理</w:t>
            </w:r>
            <w:r>
              <w:rPr>
                <w:rFonts w:hint="default" w:ascii="Times New Roman" w:hAnsi="Times New Roman" w:eastAsia="宋体"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14:textFill>
                  <w14:solidFill>
                    <w14:schemeClr w14:val="tx1"/>
                  </w14:solidFill>
                </w14:textFill>
              </w:rPr>
              <w:t>②</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辅助工程</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（管护用房、分拣房</w:t>
            </w:r>
            <w:r>
              <w:rPr>
                <w:rFonts w:hint="default" w:ascii="Times New Roman" w:hAnsi="Times New Roman" w:eastAsia="宋体" w:cs="Times New Roman"/>
                <w:color w:val="000000" w:themeColor="text1"/>
                <w:highlight w:val="none"/>
                <w14:textFill>
                  <w14:solidFill>
                    <w14:schemeClr w14:val="tx1"/>
                  </w14:solidFill>
                </w14:textFill>
              </w:rPr>
              <w:t>、</w:t>
            </w:r>
            <w:r>
              <w:rPr>
                <w:rFonts w:hint="default" w:ascii="Times New Roman" w:hAnsi="Times New Roman" w:eastAsia="宋体" w:cs="Times New Roman"/>
                <w:color w:val="000000" w:themeColor="text1"/>
                <w:highlight w:val="none"/>
                <w:lang w:val="en-US" w:eastAsia="zh-CN"/>
                <w14:textFill>
                  <w14:solidFill>
                    <w14:schemeClr w14:val="tx1"/>
                  </w14:solidFill>
                </w14:textFill>
              </w:rPr>
              <w:t>工具房、</w:t>
            </w:r>
            <w:r>
              <w:rPr>
                <w:rFonts w:hint="default" w:ascii="Times New Roman" w:hAnsi="Times New Roman" w:eastAsia="宋体" w:cs="Times New Roman"/>
                <w:color w:val="000000" w:themeColor="text1"/>
                <w:highlight w:val="none"/>
                <w14:textFill>
                  <w14:solidFill>
                    <w14:schemeClr w14:val="tx1"/>
                  </w14:solidFill>
                </w14:textFill>
              </w:rPr>
              <w:t>道路、</w:t>
            </w:r>
            <w:r>
              <w:rPr>
                <w:rFonts w:hint="default" w:ascii="Times New Roman" w:hAnsi="Times New Roman" w:eastAsia="宋体" w:cs="Times New Roman"/>
                <w:color w:val="000000" w:themeColor="text1"/>
                <w:highlight w:val="none"/>
                <w:lang w:val="en-US" w:eastAsia="zh-CN"/>
                <w14:textFill>
                  <w14:solidFill>
                    <w14:schemeClr w14:val="tx1"/>
                  </w14:solidFill>
                </w14:textFill>
              </w:rPr>
              <w:t>水池</w:t>
            </w:r>
            <w:r>
              <w:rPr>
                <w:rFonts w:hint="eastAsia" w:ascii="Times New Roman" w:hAnsi="Times New Roman" w:eastAsia="宋体" w:cs="Times New Roman"/>
                <w:color w:val="000000" w:themeColor="text1"/>
                <w:highlight w:val="none"/>
                <w:lang w:val="en-US" w:eastAsia="zh-CN"/>
                <w14:textFill>
                  <w14:solidFill>
                    <w14:schemeClr w14:val="tx1"/>
                  </w14:solidFill>
                </w14:textFill>
              </w:rPr>
              <w:t>等基础设施建设</w:t>
            </w:r>
            <w:r>
              <w:rPr>
                <w:rFonts w:hint="default" w:ascii="Times New Roman" w:hAnsi="Times New Roman" w:eastAsia="宋体" w:cs="Times New Roman"/>
                <w:color w:val="000000" w:themeColor="text1"/>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highlight w:val="none"/>
                <w:lang w:val="en-US" w:eastAsia="zh-CN"/>
                <w14:textFill>
                  <w14:solidFill>
                    <w14:schemeClr w14:val="tx1"/>
                  </w14:solidFill>
                </w14:textFill>
              </w:rPr>
              <w:t>施工工程中产生的少量废气、噪声、废水以及固体废物等。评价将从对植物、动物、土地、水土保持</w:t>
            </w:r>
            <w:r>
              <w:rPr>
                <w:rFonts w:hint="eastAsia" w:ascii="Times New Roman" w:hAnsi="Times New Roman" w:cs="Times New Roman"/>
                <w:color w:val="000000" w:themeColor="text1"/>
                <w:highlight w:val="none"/>
                <w:lang w:val="en-US" w:eastAsia="zh-CN"/>
                <w14:textFill>
                  <w14:solidFill>
                    <w14:schemeClr w14:val="tx1"/>
                  </w14:solidFill>
                </w14:textFill>
              </w:rPr>
              <w:t>等</w:t>
            </w:r>
            <w:r>
              <w:rPr>
                <w:rFonts w:hint="default" w:ascii="Times New Roman" w:hAnsi="Times New Roman" w:eastAsia="宋体" w:cs="Times New Roman"/>
                <w:color w:val="000000" w:themeColor="text1"/>
                <w:highlight w:val="none"/>
                <w:lang w:val="en-US" w:eastAsia="zh-CN"/>
                <w14:textFill>
                  <w14:solidFill>
                    <w14:schemeClr w14:val="tx1"/>
                  </w14:solidFill>
                </w14:textFill>
              </w:rPr>
              <w:t>四个方面分析项目建设对生态环境的影响。</w:t>
            </w:r>
          </w:p>
          <w:p w14:paraId="4CE499BA">
            <w:pPr>
              <w:keepNext w:val="0"/>
              <w:keepLines w:val="0"/>
              <w:pageBreakBefore w:val="0"/>
              <w:numPr>
                <w:ilvl w:val="0"/>
                <w:numId w:val="0"/>
              </w:numPr>
              <w:kinsoku/>
              <w:wordWrap/>
              <w:overflowPunct/>
              <w:topLinePunct w:val="0"/>
              <w:autoSpaceDE/>
              <w:autoSpaceDN/>
              <w:bidi w:val="0"/>
              <w:adjustRightInd w:val="0"/>
              <w:snapToGrid w:val="0"/>
              <w:ind w:left="0" w:leftChars="0" w:firstLine="482" w:firstLineChars="200"/>
              <w:jc w:val="both"/>
              <w:textAlignment w:val="auto"/>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eastAsia" w:ascii="Times New Roman" w:hAnsi="Times New Roman" w:cs="Times New Roman"/>
                <w:b/>
                <w:bCs/>
                <w:color w:val="000000" w:themeColor="text1"/>
                <w:lang w:val="en-US" w:eastAsia="zh-CN"/>
                <w14:textFill>
                  <w14:solidFill>
                    <w14:schemeClr w14:val="tx1"/>
                  </w14:solidFill>
                </w14:textFill>
              </w:rPr>
              <w:t>1、</w:t>
            </w:r>
            <w:r>
              <w:rPr>
                <w:rFonts w:hint="default" w:ascii="Times New Roman" w:hAnsi="Times New Roman" w:eastAsia="宋体" w:cs="Times New Roman"/>
                <w:b/>
                <w:bCs/>
                <w:color w:val="000000" w:themeColor="text1"/>
                <w:lang w:val="en-US" w:eastAsia="zh-CN"/>
                <w14:textFill>
                  <w14:solidFill>
                    <w14:schemeClr w14:val="tx1"/>
                  </w14:solidFill>
                </w14:textFill>
              </w:rPr>
              <w:t>对植被和植物的影响</w:t>
            </w:r>
          </w:p>
          <w:p w14:paraId="0A17C4EF">
            <w:pPr>
              <w:keepNext w:val="0"/>
              <w:keepLines w:val="0"/>
              <w:pageBreakBefore w:val="0"/>
              <w:kinsoku/>
              <w:wordWrap/>
              <w:overflowPunct/>
              <w:topLinePunct w:val="0"/>
              <w:autoSpaceDE/>
              <w:autoSpaceDN/>
              <w:bidi w:val="0"/>
              <w:adjustRightInd w:val="0"/>
              <w:snapToGrid w:val="0"/>
              <w:ind w:left="0" w:leftChars="0" w:firstLine="480" w:firstLineChars="200"/>
              <w:jc w:val="both"/>
              <w:textAlignment w:val="auto"/>
              <w:rPr>
                <w:rFonts w:hint="default" w:ascii="Times New Roman" w:hAnsi="Times New Roman" w:eastAsia="宋体" w:cs="Times New Roman"/>
                <w:b w:val="0"/>
                <w:bCs w:val="0"/>
                <w:color w:val="000000" w:themeColor="text1"/>
                <w:sz w:val="24"/>
                <w:szCs w:val="24"/>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本项目评价区域内的植被为自然植被常绿阔叶林（高山栲群系）、暖性针叶林（云南松群系）、草丛（类芦群系）以及人工农田植被。由于常绿阔叶林（高山栲群系）、暖性针叶林（云南松群系）、草丛（类芦群系）是本地原生性植被受干扰破坏后产生的次生性植被，本身在植物物种多样性等方面较原生性植被低得多，且本项目主要沿乡村公路或田埂一侧布置，因此项目建设不会对当地植被总体造成很大影响。</w:t>
            </w:r>
          </w:p>
          <w:p w14:paraId="47CA7F77">
            <w:pPr>
              <w:keepNext w:val="0"/>
              <w:keepLines w:val="0"/>
              <w:pageBreakBefore w:val="0"/>
              <w:kinsoku/>
              <w:wordWrap/>
              <w:overflowPunct/>
              <w:topLinePunct w:val="0"/>
              <w:autoSpaceDE/>
              <w:autoSpaceDN/>
              <w:bidi w:val="0"/>
              <w:adjustRightInd w:val="0"/>
              <w:snapToGrid w:val="0"/>
              <w:ind w:left="0" w:leftChars="0" w:firstLine="480" w:firstLineChars="200"/>
              <w:jc w:val="both"/>
              <w:textAlignment w:val="auto"/>
              <w:rPr>
                <w:rFonts w:hint="default" w:ascii="Times New Roman" w:hAnsi="Times New Roman" w:eastAsia="宋体" w:cs="Times New Roman"/>
                <w:b w:val="0"/>
                <w:bCs w:val="0"/>
                <w:color w:val="000000" w:themeColor="text1"/>
                <w:sz w:val="24"/>
                <w:szCs w:val="24"/>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项目施工期间人员的活动势必对植被和植物造成了一定的影响，但是项目区分布的植物群落和植物种类在</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峨山</w:t>
            </w:r>
            <w:r>
              <w:rPr>
                <w:rFonts w:hint="default" w:ascii="Times New Roman" w:hAnsi="Times New Roman" w:eastAsia="宋体" w:cs="Times New Roman"/>
                <w:b w:val="0"/>
                <w:bCs w:val="0"/>
                <w:color w:val="000000" w:themeColor="text1"/>
                <w:sz w:val="24"/>
                <w:szCs w:val="24"/>
                <w14:textFill>
                  <w14:solidFill>
                    <w14:schemeClr w14:val="tx1"/>
                  </w14:solidFill>
                </w14:textFill>
              </w:rPr>
              <w:t>县的其他区域以及云南省的许多区域都能发现，因此这种影响不会导致植物群落和植被的消失；</w:t>
            </w:r>
            <w:r>
              <w:rPr>
                <w:rFonts w:hint="eastAsia" w:ascii="Times New Roman" w:hAnsi="Times New Roman" w:cs="Times New Roman"/>
                <w:b w:val="0"/>
                <w:bCs w:val="0"/>
                <w:color w:val="000000" w:themeColor="text1"/>
                <w:sz w:val="24"/>
                <w:szCs w:val="24"/>
                <w:lang w:eastAsia="zh-CN"/>
                <w14:textFill>
                  <w14:solidFill>
                    <w14:schemeClr w14:val="tx1"/>
                  </w14:solidFill>
                </w14:textFill>
              </w:rPr>
              <w:t>而且</w:t>
            </w:r>
            <w:r>
              <w:rPr>
                <w:rFonts w:hint="default" w:ascii="Times New Roman" w:hAnsi="Times New Roman" w:eastAsia="宋体" w:cs="Times New Roman"/>
                <w:b w:val="0"/>
                <w:bCs w:val="0"/>
                <w:color w:val="000000" w:themeColor="text1"/>
                <w:sz w:val="24"/>
                <w:szCs w:val="24"/>
                <w14:textFill>
                  <w14:solidFill>
                    <w14:schemeClr w14:val="tx1"/>
                  </w14:solidFill>
                </w14:textFill>
              </w:rPr>
              <w:t>随着项目的投入运营能为植被提供适宜的生境，促进植被和植物的恢复，因此项目对植被及植物的影响是可以接受的。</w:t>
            </w:r>
            <w:r>
              <w:rPr>
                <w:rFonts w:hint="eastAsia" w:ascii="Times New Roman" w:hAnsi="Times New Roman" w:cs="Times New Roman"/>
                <w:b w:val="0"/>
                <w:bCs w:val="0"/>
                <w:color w:val="000000" w:themeColor="text1"/>
                <w:sz w:val="24"/>
                <w:szCs w:val="24"/>
                <w:lang w:eastAsia="zh-CN"/>
                <w14:textFill>
                  <w14:solidFill>
                    <w14:schemeClr w14:val="tx1"/>
                  </w14:solidFill>
                </w14:textFill>
              </w:rPr>
              <w:t>除此之外</w:t>
            </w:r>
            <w:r>
              <w:rPr>
                <w:rFonts w:hint="default" w:ascii="Times New Roman" w:hAnsi="Times New Roman" w:eastAsia="宋体" w:cs="Times New Roman"/>
                <w:b w:val="0"/>
                <w:bCs w:val="0"/>
                <w:color w:val="000000" w:themeColor="text1"/>
                <w:sz w:val="24"/>
                <w:szCs w:val="24"/>
                <w14:textFill>
                  <w14:solidFill>
                    <w14:schemeClr w14:val="tx1"/>
                  </w14:solidFill>
                </w14:textFill>
              </w:rPr>
              <w:t>，项目区在检修过程中会有管道残留水用于灌片内的灌溉，能增加土壤的湿润度，喜阴好水植物由于适宜生境增加，个体数量将有一定程度的增多。除此以外项目施工区域内主要为坡耕地、主要为经济果林以及黄茅、四脉金茅、毛轴蕨、紫茎泽兰、皱叶狗尾草、蜈蚣草、野茼蒿、酢浆草等，以上人工农田植被以及草丛在</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峨山</w:t>
            </w:r>
            <w:r>
              <w:rPr>
                <w:rFonts w:hint="default" w:ascii="Times New Roman" w:hAnsi="Times New Roman" w:eastAsia="宋体" w:cs="Times New Roman"/>
                <w:b w:val="0"/>
                <w:bCs w:val="0"/>
                <w:color w:val="000000" w:themeColor="text1"/>
                <w:sz w:val="24"/>
                <w:szCs w:val="24"/>
                <w14:textFill>
                  <w14:solidFill>
                    <w14:schemeClr w14:val="tx1"/>
                  </w14:solidFill>
                </w14:textFill>
              </w:rPr>
              <w:t>县和评价区内广泛分布，不会造成任何物种的灭绝，所产生的影响是有限的、局部的。项目施工过程中，若施工作业不当、超范围占地施工，或由于施工人员的乱砍滥伐、采集野生植物等，将扩大工程建设对植被及植物资源的影响。</w:t>
            </w:r>
          </w:p>
          <w:p w14:paraId="65FBB91D">
            <w:pPr>
              <w:keepNext w:val="0"/>
              <w:keepLines w:val="0"/>
              <w:pageBreakBefore w:val="0"/>
              <w:kinsoku/>
              <w:wordWrap/>
              <w:overflowPunct/>
              <w:topLinePunct w:val="0"/>
              <w:autoSpaceDE/>
              <w:autoSpaceDN/>
              <w:bidi w:val="0"/>
              <w:adjustRightInd w:val="0"/>
              <w:snapToGrid w:val="0"/>
              <w:ind w:left="0" w:leftChars="0" w:firstLine="480" w:firstLineChars="200"/>
              <w:jc w:val="both"/>
              <w:textAlignment w:val="auto"/>
              <w:rPr>
                <w:rFonts w:hint="default" w:ascii="Times New Roman" w:hAnsi="Times New Roman" w:eastAsia="宋体" w:cs="Times New Roman"/>
                <w:b w:val="0"/>
                <w:bCs w:val="0"/>
                <w:color w:val="000000" w:themeColor="text1"/>
                <w:sz w:val="24"/>
                <w:szCs w:val="24"/>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因此项目应加强施工期管理，严格控制施工范围，严禁</w:t>
            </w:r>
            <w:r>
              <w:rPr>
                <w:rFonts w:hint="eastAsia" w:ascii="Times New Roman" w:hAnsi="Times New Roman" w:cs="Times New Roman"/>
                <w:b w:val="0"/>
                <w:bCs w:val="0"/>
                <w:color w:val="000000" w:themeColor="text1"/>
                <w:sz w:val="24"/>
                <w:szCs w:val="24"/>
                <w:lang w:eastAsia="zh-CN"/>
                <w14:textFill>
                  <w14:solidFill>
                    <w14:schemeClr w14:val="tx1"/>
                  </w14:solidFill>
                </w14:textFill>
              </w:rPr>
              <w:t>乱砍滥伐</w:t>
            </w:r>
            <w:r>
              <w:rPr>
                <w:rFonts w:hint="default" w:ascii="Times New Roman" w:hAnsi="Times New Roman" w:eastAsia="宋体" w:cs="Times New Roman"/>
                <w:b w:val="0"/>
                <w:bCs w:val="0"/>
                <w:color w:val="000000" w:themeColor="text1"/>
                <w:sz w:val="24"/>
                <w:szCs w:val="24"/>
                <w14:textFill>
                  <w14:solidFill>
                    <w14:schemeClr w14:val="tx1"/>
                  </w14:solidFill>
                </w14:textFill>
              </w:rPr>
              <w:t>和盗伐等行为的发生，防范工程建设期间对周边植被造成破坏。综上所述，项目施工占地使部分植物遭到了破坏，导致了这些植物种群数量的减少和分布生境的</w:t>
            </w:r>
            <w:r>
              <w:rPr>
                <w:rFonts w:hint="eastAsia" w:ascii="Times New Roman" w:hAnsi="Times New Roman" w:cs="Times New Roman"/>
                <w:b w:val="0"/>
                <w:bCs w:val="0"/>
                <w:color w:val="000000" w:themeColor="text1"/>
                <w:sz w:val="24"/>
                <w:szCs w:val="24"/>
                <w:lang w:eastAsia="zh-CN"/>
                <w14:textFill>
                  <w14:solidFill>
                    <w14:schemeClr w14:val="tx1"/>
                  </w14:solidFill>
                </w14:textFill>
              </w:rPr>
              <w:t>减少</w:t>
            </w:r>
            <w:r>
              <w:rPr>
                <w:rFonts w:hint="default" w:ascii="Times New Roman" w:hAnsi="Times New Roman" w:eastAsia="宋体" w:cs="Times New Roman"/>
                <w:b w:val="0"/>
                <w:bCs w:val="0"/>
                <w:color w:val="000000" w:themeColor="text1"/>
                <w:sz w:val="24"/>
                <w:szCs w:val="24"/>
                <w14:textFill>
                  <w14:solidFill>
                    <w14:schemeClr w14:val="tx1"/>
                  </w14:solidFill>
                </w14:textFill>
              </w:rPr>
              <w:t>，但这些物种在新平县和评价区广为分布，本项目不会造成任何物种的灭绝，所产生的影响是有限的、局部的。</w:t>
            </w:r>
          </w:p>
          <w:p w14:paraId="2A782272">
            <w:pPr>
              <w:keepNext w:val="0"/>
              <w:keepLines w:val="0"/>
              <w:pageBreakBefore w:val="0"/>
              <w:kinsoku/>
              <w:wordWrap/>
              <w:overflowPunct/>
              <w:topLinePunct w:val="0"/>
              <w:autoSpaceDE/>
              <w:autoSpaceDN/>
              <w:bidi w:val="0"/>
              <w:adjustRightInd w:val="0"/>
              <w:snapToGrid w:val="0"/>
              <w:ind w:left="0" w:leftChars="0" w:firstLine="482" w:firstLineChars="200"/>
              <w:jc w:val="both"/>
              <w:textAlignment w:val="auto"/>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eastAsia" w:ascii="Times New Roman" w:hAnsi="Times New Roman" w:cs="Times New Roman"/>
                <w:b/>
                <w:bCs/>
                <w:color w:val="000000" w:themeColor="text1"/>
                <w:lang w:val="en-US" w:eastAsia="zh-CN"/>
                <w14:textFill>
                  <w14:solidFill>
                    <w14:schemeClr w14:val="tx1"/>
                  </w14:solidFill>
                </w14:textFill>
              </w:rPr>
              <w:t>2、</w:t>
            </w:r>
            <w:r>
              <w:rPr>
                <w:rFonts w:hint="default" w:ascii="Times New Roman" w:hAnsi="Times New Roman" w:eastAsia="宋体" w:cs="Times New Roman"/>
                <w:b/>
                <w:bCs/>
                <w:color w:val="000000" w:themeColor="text1"/>
                <w:lang w:val="en-US" w:eastAsia="zh-CN"/>
                <w14:textFill>
                  <w14:solidFill>
                    <w14:schemeClr w14:val="tx1"/>
                  </w14:solidFill>
                </w14:textFill>
              </w:rPr>
              <w:t>对动物的影响</w:t>
            </w:r>
          </w:p>
          <w:p w14:paraId="4DC93BA1">
            <w:pPr>
              <w:keepNext w:val="0"/>
              <w:keepLines w:val="0"/>
              <w:pageBreakBefore w:val="0"/>
              <w:kinsoku/>
              <w:wordWrap/>
              <w:overflowPunct/>
              <w:topLinePunct w:val="0"/>
              <w:autoSpaceDE/>
              <w:autoSpaceDN/>
              <w:bidi w:val="0"/>
              <w:adjustRightInd w:val="0"/>
              <w:snapToGrid w:val="0"/>
              <w:ind w:left="0" w:leftChars="0" w:firstLine="480" w:firstLineChars="200"/>
              <w:jc w:val="both"/>
              <w:textAlignment w:val="auto"/>
              <w:rPr>
                <w:rFonts w:hint="default" w:ascii="Times New Roman" w:hAnsi="Times New Roman" w:eastAsia="宋体" w:cs="Times New Roman"/>
                <w:b w:val="0"/>
                <w:bCs w:val="0"/>
                <w:color w:val="000000" w:themeColor="text1"/>
                <w:sz w:val="24"/>
                <w:szCs w:val="24"/>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项目对陆生脊椎动物的影响主要表现在施工占地和开挖对生境的破坏，以及施工机械排放的噪声和废气的干扰等。由于爬行动物活动范围狭小，施工占地和开挖将可能破坏蛇目种类的洞穴和栖息地，迫使它们向外迁移寻找新的栖息场所；两栖动物主要栖息于河流沟溪沿岸，项目临近河流和沟溪施工可能将坡地和河岸的两栖动物杀伤，工程施工期虽然会使项目占地区及施工影响区两栖动物的种类和数量有所减少，但对整个项目区两栖动物的种群数量的影响有限。一方面两栖动物将迁徙</w:t>
            </w:r>
            <w:r>
              <w:rPr>
                <w:rFonts w:hint="eastAsia" w:ascii="Times New Roman" w:hAnsi="Times New Roman" w:cs="Times New Roman"/>
                <w:b w:val="0"/>
                <w:bCs w:val="0"/>
                <w:color w:val="000000" w:themeColor="text1"/>
                <w:sz w:val="24"/>
                <w:szCs w:val="24"/>
                <w:lang w:eastAsia="zh-CN"/>
                <w14:textFill>
                  <w14:solidFill>
                    <w14:schemeClr w14:val="tx1"/>
                  </w14:solidFill>
                </w14:textFill>
              </w:rPr>
              <w:t>他</w:t>
            </w:r>
            <w:r>
              <w:rPr>
                <w:rFonts w:hint="default" w:ascii="Times New Roman" w:hAnsi="Times New Roman" w:eastAsia="宋体" w:cs="Times New Roman"/>
                <w:b w:val="0"/>
                <w:bCs w:val="0"/>
                <w:color w:val="000000" w:themeColor="text1"/>
                <w:sz w:val="24"/>
                <w:szCs w:val="24"/>
                <w14:textFill>
                  <w14:solidFill>
                    <w14:schemeClr w14:val="tx1"/>
                  </w14:solidFill>
                </w14:textFill>
              </w:rPr>
              <w:t>处，另一方面随着项目建设的完成，生境的恢复，两栖动物的种群数量将很快得以恢复。兽类因活动能力较强，受到施工干扰后将会迁移到较远的安全地带，项目区主要为啮齿类小型种类，因此，工程建设不会导致哺乳类动物在工程区附近消失和种群数量锐减；鸟类具有较强的趋避能力，会飞离项目区，重新寻找周边新的适宜生境和栖息地，因此，在施工期上述鸟类受到施工干扰，将减少到项目区附近觅食、活动。但以上鸟类运动能力较强，生境范围在</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峨山县</w:t>
            </w:r>
            <w:r>
              <w:rPr>
                <w:rFonts w:hint="default" w:ascii="Times New Roman" w:hAnsi="Times New Roman" w:eastAsia="宋体" w:cs="Times New Roman"/>
                <w:b w:val="0"/>
                <w:bCs w:val="0"/>
                <w:color w:val="000000" w:themeColor="text1"/>
                <w:sz w:val="24"/>
                <w:szCs w:val="24"/>
                <w14:textFill>
                  <w14:solidFill>
                    <w14:schemeClr w14:val="tx1"/>
                  </w14:solidFill>
                </w14:textFill>
              </w:rPr>
              <w:t>广泛分布，项目施工不会造成当地鸟类物种灭绝或数量锐减，也不会造成鸟类多样性的明显降低。</w:t>
            </w:r>
          </w:p>
          <w:p w14:paraId="64743C7B">
            <w:pPr>
              <w:keepNext w:val="0"/>
              <w:keepLines w:val="0"/>
              <w:pageBreakBefore w:val="0"/>
              <w:kinsoku/>
              <w:wordWrap/>
              <w:overflowPunct/>
              <w:topLinePunct w:val="0"/>
              <w:autoSpaceDE/>
              <w:autoSpaceDN/>
              <w:bidi w:val="0"/>
              <w:adjustRightInd w:val="0"/>
              <w:snapToGrid w:val="0"/>
              <w:ind w:left="0" w:leftChars="0" w:firstLine="480" w:firstLineChars="200"/>
              <w:jc w:val="both"/>
              <w:textAlignment w:val="auto"/>
              <w:rPr>
                <w:rFonts w:hint="default" w:ascii="Times New Roman" w:hAnsi="Times New Roman" w:eastAsia="宋体" w:cs="Times New Roman"/>
                <w:b w:val="0"/>
                <w:bCs w:val="0"/>
                <w:color w:val="000000" w:themeColor="text1"/>
                <w:sz w:val="24"/>
                <w:szCs w:val="24"/>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从长远看，陆生脊椎动物的物种多样性不会有可预见的较大变化，动物在施工活动等各种干扰增大的条件下均可以逃离而不致造成个体死亡。动物原来的栖息地丧失迫使动物外迁，但由于当地大多数动物密度不高，且被破坏的栖息地在当地所占比例有限，所以项目建设对区域内野生动物的间接影响并不严重。</w:t>
            </w:r>
          </w:p>
          <w:p w14:paraId="160A218F">
            <w:pPr>
              <w:keepNext w:val="0"/>
              <w:keepLines w:val="0"/>
              <w:pageBreakBefore w:val="0"/>
              <w:kinsoku/>
              <w:wordWrap/>
              <w:overflowPunct/>
              <w:topLinePunct w:val="0"/>
              <w:autoSpaceDE/>
              <w:autoSpaceDN/>
              <w:bidi w:val="0"/>
              <w:adjustRightInd w:val="0"/>
              <w:snapToGrid w:val="0"/>
              <w:ind w:left="0" w:leftChars="0" w:firstLine="482" w:firstLineChars="200"/>
              <w:jc w:val="both"/>
              <w:textAlignment w:val="auto"/>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eastAsia" w:ascii="Times New Roman" w:hAnsi="Times New Roman" w:cs="Times New Roman"/>
                <w:b/>
                <w:bCs/>
                <w:color w:val="000000" w:themeColor="text1"/>
                <w:lang w:val="en-US" w:eastAsia="zh-CN"/>
                <w14:textFill>
                  <w14:solidFill>
                    <w14:schemeClr w14:val="tx1"/>
                  </w14:solidFill>
                </w14:textFill>
              </w:rPr>
              <w:t>3、</w:t>
            </w:r>
            <w:r>
              <w:rPr>
                <w:rFonts w:hint="default" w:ascii="Times New Roman" w:hAnsi="Times New Roman" w:eastAsia="宋体" w:cs="Times New Roman"/>
                <w:b/>
                <w:bCs/>
                <w:color w:val="000000" w:themeColor="text1"/>
                <w:lang w:val="en-US" w:eastAsia="zh-CN"/>
                <w14:textFill>
                  <w14:solidFill>
                    <w14:schemeClr w14:val="tx1"/>
                  </w14:solidFill>
                </w14:textFill>
              </w:rPr>
              <w:t>对土地影响分析</w:t>
            </w:r>
          </w:p>
          <w:p w14:paraId="446E67EF">
            <w:pPr>
              <w:keepNext w:val="0"/>
              <w:keepLines w:val="0"/>
              <w:pageBreakBefore w:val="0"/>
              <w:kinsoku/>
              <w:wordWrap/>
              <w:overflowPunct/>
              <w:topLinePunct w:val="0"/>
              <w:autoSpaceDE/>
              <w:autoSpaceDN/>
              <w:bidi w:val="0"/>
              <w:adjustRightInd w:val="0"/>
              <w:snapToGrid w:val="0"/>
              <w:ind w:left="0" w:leftChars="0" w:firstLine="480" w:firstLineChars="20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本项目建设对土壤的影响主要是占地对原有土壤结构的影响，其次是对土壤环境的影响。工程施工时进行开挖、堆放、回填、机械设备夯实或碾压等施工操作，</w:t>
            </w:r>
            <w:r>
              <w:rPr>
                <w:rFonts w:hint="eastAsia" w:ascii="Times New Roman" w:hAnsi="Times New Roman" w:cs="Times New Roman"/>
                <w:color w:val="000000" w:themeColor="text1"/>
                <w:lang w:val="en-US" w:eastAsia="zh-CN"/>
                <w14:textFill>
                  <w14:solidFill>
                    <w14:schemeClr w14:val="tx1"/>
                  </w14:solidFill>
                </w14:textFill>
              </w:rPr>
              <w:t>这些</w:t>
            </w:r>
            <w:r>
              <w:rPr>
                <w:rFonts w:hint="default" w:ascii="Times New Roman" w:hAnsi="Times New Roman" w:eastAsia="宋体" w:cs="Times New Roman"/>
                <w:color w:val="000000" w:themeColor="text1"/>
                <w:lang w:val="en-US" w:eastAsia="zh-CN"/>
                <w14:textFill>
                  <w14:solidFill>
                    <w14:schemeClr w14:val="tx1"/>
                  </w14:solidFill>
                </w14:textFill>
              </w:rPr>
              <w:t>物理过程对土壤的最大影响是破坏土壤结构、扰乱土壤耕作层。土壤结构是经过较长的历史时期形成的，一旦遭到破坏，短期内难以恢复。在施工过程中，对土壤耕作层的影响最为严重。但对临时占地而言，这种影响是短期的、可逆的，施工结束后，经过2～3年的时间可以恢复。</w:t>
            </w:r>
          </w:p>
          <w:p w14:paraId="089ED1B1">
            <w:pPr>
              <w:keepNext w:val="0"/>
              <w:keepLines w:val="0"/>
              <w:pageBreakBefore w:val="0"/>
              <w:kinsoku/>
              <w:wordWrap/>
              <w:overflowPunct/>
              <w:topLinePunct w:val="0"/>
              <w:autoSpaceDE/>
              <w:autoSpaceDN/>
              <w:bidi w:val="0"/>
              <w:adjustRightInd w:val="0"/>
              <w:snapToGrid w:val="0"/>
              <w:ind w:left="0" w:leftChars="0" w:firstLine="480" w:firstLineChars="20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本项目的建设均选用符合国家环保标准的材料，不会给土壤环境造成危害不会造成土壤和地下水污染。但施工过程中施工机械的管理及使用不当产生的机械燃油、润滑油漏损将污染土壤，且这种污染是长期的，因此应加强施工</w:t>
            </w:r>
            <w:r>
              <w:rPr>
                <w:rFonts w:hint="eastAsia" w:ascii="Times New Roman" w:hAnsi="Times New Roman" w:cs="Times New Roman"/>
                <w:color w:val="000000" w:themeColor="text1"/>
                <w:lang w:val="en-US" w:eastAsia="zh-CN"/>
                <w14:textFill>
                  <w14:solidFill>
                    <w14:schemeClr w14:val="tx1"/>
                  </w14:solidFill>
                </w14:textFill>
              </w:rPr>
              <w:t>期间</w:t>
            </w:r>
            <w:r>
              <w:rPr>
                <w:rFonts w:hint="default" w:ascii="Times New Roman" w:hAnsi="Times New Roman" w:eastAsia="宋体" w:cs="Times New Roman"/>
                <w:color w:val="000000" w:themeColor="text1"/>
                <w:lang w:val="en-US" w:eastAsia="zh-CN"/>
                <w14:textFill>
                  <w14:solidFill>
                    <w14:schemeClr w14:val="tx1"/>
                  </w14:solidFill>
                </w14:textFill>
              </w:rPr>
              <w:t>机械运行的管理与维护，减少废机油的产生。总体而言，本项目施工过程中对土壤环境影响较小。</w:t>
            </w:r>
          </w:p>
          <w:p w14:paraId="533EF77B">
            <w:pPr>
              <w:keepNext w:val="0"/>
              <w:keepLines w:val="0"/>
              <w:pageBreakBefore w:val="0"/>
              <w:kinsoku/>
              <w:wordWrap/>
              <w:overflowPunct/>
              <w:topLinePunct w:val="0"/>
              <w:autoSpaceDE/>
              <w:autoSpaceDN/>
              <w:bidi w:val="0"/>
              <w:adjustRightInd w:val="0"/>
              <w:snapToGrid w:val="0"/>
              <w:ind w:left="0" w:leftChars="0" w:firstLine="482" w:firstLineChars="200"/>
              <w:jc w:val="both"/>
              <w:textAlignment w:val="auto"/>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eastAsia" w:ascii="Times New Roman" w:hAnsi="Times New Roman" w:cs="Times New Roman"/>
                <w:b/>
                <w:bCs/>
                <w:color w:val="000000" w:themeColor="text1"/>
                <w:lang w:val="en-US" w:eastAsia="zh-CN"/>
                <w14:textFill>
                  <w14:solidFill>
                    <w14:schemeClr w14:val="tx1"/>
                  </w14:solidFill>
                </w14:textFill>
              </w:rPr>
              <w:t>4、</w:t>
            </w:r>
            <w:r>
              <w:rPr>
                <w:rFonts w:hint="default" w:ascii="Times New Roman" w:hAnsi="Times New Roman" w:eastAsia="宋体" w:cs="Times New Roman"/>
                <w:b/>
                <w:bCs/>
                <w:color w:val="000000" w:themeColor="text1"/>
                <w:lang w:val="en-US" w:eastAsia="zh-CN"/>
                <w14:textFill>
                  <w14:solidFill>
                    <w14:schemeClr w14:val="tx1"/>
                  </w14:solidFill>
                </w14:textFill>
              </w:rPr>
              <w:t>对水土流失的影响</w:t>
            </w:r>
          </w:p>
          <w:p w14:paraId="2AAE38B1">
            <w:pPr>
              <w:keepNext w:val="0"/>
              <w:keepLines w:val="0"/>
              <w:pageBreakBefore w:val="0"/>
              <w:kinsoku/>
              <w:wordWrap/>
              <w:overflowPunct/>
              <w:topLinePunct w:val="0"/>
              <w:autoSpaceDE/>
              <w:autoSpaceDN/>
              <w:bidi w:val="0"/>
              <w:adjustRightInd w:val="0"/>
              <w:snapToGrid w:val="0"/>
              <w:ind w:left="0" w:leftChars="0" w:firstLine="480" w:firstLineChars="20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项目施工过程中由于进行林地清理、整地、栽植，造林初期会使土体裸露、疏松，破坏土壤稳定结构，产生一定面积的裸露地面，在降雨天形成地表径流的作用下，将有可能产生一定程度的土壤侵蚀而形成新的水土流失。同时，辅助设施建设时各类临时占地破坏原有植被，使当地水土流失加剧。</w:t>
            </w:r>
          </w:p>
          <w:p w14:paraId="1E173E19">
            <w:pPr>
              <w:keepNext w:val="0"/>
              <w:keepLines w:val="0"/>
              <w:pageBreakBefore w:val="0"/>
              <w:kinsoku/>
              <w:wordWrap/>
              <w:overflowPunct/>
              <w:topLinePunct w:val="0"/>
              <w:autoSpaceDE/>
              <w:autoSpaceDN/>
              <w:bidi w:val="0"/>
              <w:adjustRightInd w:val="0"/>
              <w:snapToGrid w:val="0"/>
              <w:ind w:left="0" w:leftChars="0" w:firstLine="480" w:firstLineChars="20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整地过程中翻动土壤改变林地原有坡形，使地表的径流过程发生变化，为降雨直接冲刷泥沙提供了条件，从而对林地的水土流失发生影响。特别是在丘陵坡地耕地耕作层较薄，夏秋雨水较多时，地面存在坡度，入渗较慢，短时地表径流增量大，表层肥土易被雨水带走。</w:t>
            </w:r>
          </w:p>
          <w:p w14:paraId="08A11A5E">
            <w:pPr>
              <w:keepNext w:val="0"/>
              <w:keepLines w:val="0"/>
              <w:pageBreakBefore w:val="0"/>
              <w:kinsoku/>
              <w:wordWrap/>
              <w:overflowPunct/>
              <w:topLinePunct w:val="0"/>
              <w:autoSpaceDE/>
              <w:autoSpaceDN/>
              <w:bidi w:val="0"/>
              <w:adjustRightInd w:val="0"/>
              <w:snapToGrid w:val="0"/>
              <w:ind w:left="0" w:leftChars="0" w:firstLine="480" w:firstLineChars="20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整地的第1年流失最为严重，以后各年土壤侵蚀量呈逐年递减趋势，一般情况下第5年基本趋于一致。本项目种植工程内容建议建设方严格按照《云南省林下种植林地利用规范（修订）》（云林资源〔2022〕1号）的规范进行小穴块的整地方式，相对传统的全垦和带垦整地方式，其造成的水土流失量最小</w:t>
            </w:r>
            <w:r>
              <w:rPr>
                <w:rFonts w:hint="eastAsia" w:ascii="Times New Roman" w:hAnsi="Times New Roman" w:cs="Times New Roman"/>
                <w:color w:val="000000" w:themeColor="text1"/>
                <w:lang w:val="en-US" w:eastAsia="zh-CN"/>
                <w14:textFill>
                  <w14:solidFill>
                    <w14:schemeClr w14:val="tx1"/>
                  </w14:solidFill>
                </w14:textFill>
              </w:rPr>
              <w:t>，利</w:t>
            </w:r>
            <w:r>
              <w:rPr>
                <w:rFonts w:hint="default" w:ascii="Times New Roman" w:hAnsi="Times New Roman" w:eastAsia="宋体" w:cs="Times New Roman"/>
                <w:color w:val="000000" w:themeColor="text1"/>
                <w:lang w:val="en-US" w:eastAsia="zh-CN"/>
                <w14:textFill>
                  <w14:solidFill>
                    <w14:schemeClr w14:val="tx1"/>
                  </w14:solidFill>
                </w14:textFill>
              </w:rPr>
              <w:t>用</w:t>
            </w:r>
            <w:r>
              <w:rPr>
                <w:rFonts w:hint="default" w:ascii="Times New Roman" w:hAnsi="Times New Roman" w:eastAsia="宋体" w:cs="Times New Roman"/>
                <w:color w:val="000000" w:themeColor="text1"/>
                <w14:textFill>
                  <w14:solidFill>
                    <w14:schemeClr w14:val="tx1"/>
                  </w14:solidFill>
                </w14:textFill>
              </w:rPr>
              <w:t>现有</w:t>
            </w:r>
            <w:r>
              <w:rPr>
                <w:rFonts w:hint="default" w:ascii="Times New Roman" w:hAnsi="Times New Roman" w:eastAsia="宋体" w:cs="Times New Roman"/>
                <w:color w:val="000000" w:themeColor="text1"/>
                <w:lang w:eastAsia="zh-CN"/>
                <w14:textFill>
                  <w14:solidFill>
                    <w14:schemeClr w14:val="tx1"/>
                  </w14:solidFill>
                </w14:textFill>
              </w:rPr>
              <w:t>农产品基地项目</w:t>
            </w:r>
            <w:r>
              <w:rPr>
                <w:rFonts w:hint="default" w:ascii="Times New Roman" w:hAnsi="Times New Roman" w:eastAsia="宋体" w:cs="Times New Roman"/>
                <w:color w:val="000000" w:themeColor="text1"/>
                <w14:textFill>
                  <w14:solidFill>
                    <w14:schemeClr w14:val="tx1"/>
                  </w14:solidFill>
                </w14:textFill>
              </w:rPr>
              <w:t>提质增效工程</w:t>
            </w:r>
            <w:r>
              <w:rPr>
                <w:rFonts w:hint="default" w:ascii="Times New Roman" w:hAnsi="Times New Roman" w:eastAsia="宋体" w:cs="Times New Roman"/>
                <w:color w:val="000000" w:themeColor="text1"/>
                <w:lang w:eastAsia="zh-CN"/>
                <w14:textFill>
                  <w14:solidFill>
                    <w14:schemeClr w14:val="tx1"/>
                  </w14:solidFill>
                </w14:textFill>
              </w:rPr>
              <w:t>加强区域的日常养护，保证其成活率，从而减少水土流失率。</w:t>
            </w:r>
          </w:p>
          <w:p w14:paraId="5DBDF416">
            <w:pPr>
              <w:keepNext w:val="0"/>
              <w:keepLines w:val="0"/>
              <w:pageBreakBefore w:val="0"/>
              <w:kinsoku/>
              <w:wordWrap/>
              <w:overflowPunct/>
              <w:topLinePunct w:val="0"/>
              <w:autoSpaceDE/>
              <w:autoSpaceDN/>
              <w:bidi w:val="0"/>
              <w:adjustRightInd w:val="0"/>
              <w:snapToGrid w:val="0"/>
              <w:ind w:left="0" w:leftChars="0" w:firstLine="480" w:firstLineChars="20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另外，整地破土会改变现有地表植被、土壤结构与质地，造成小范围扬尘污染。可采取保护原有植被、修整地堰或围堰、修整反坡梯田和其他保护性措施，尽量减轻或消除其对环境的影响。</w:t>
            </w:r>
          </w:p>
          <w:p w14:paraId="493FD48E">
            <w:pPr>
              <w:keepNext w:val="0"/>
              <w:keepLines w:val="0"/>
              <w:pageBreakBefore w:val="0"/>
              <w:kinsoku/>
              <w:wordWrap/>
              <w:overflowPunct/>
              <w:topLinePunct w:val="0"/>
              <w:autoSpaceDE/>
              <w:autoSpaceDN/>
              <w:bidi w:val="0"/>
              <w:adjustRightInd w:val="0"/>
              <w:snapToGrid w:val="0"/>
              <w:ind w:left="0" w:leftChars="0" w:firstLine="480" w:firstLineChars="20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施工过程中水池开挖会使得地表植被被破坏，造成土地裸露，降雨时发生水土流失；各类临时占地破坏原有植被，使当地水土流失加剧，如遇原废弃土临时堆放场管理不当时，容易发生片蚀、浅沟蚀等形式的水土流失。为防止土石方开挖对水土流失</w:t>
            </w:r>
            <w:r>
              <w:rPr>
                <w:rFonts w:hint="eastAsia" w:ascii="Times New Roman" w:hAnsi="Times New Roman" w:cs="Times New Roman"/>
                <w:color w:val="000000" w:themeColor="text1"/>
                <w:lang w:val="en-US" w:eastAsia="zh-CN"/>
                <w14:textFill>
                  <w14:solidFill>
                    <w14:schemeClr w14:val="tx1"/>
                  </w14:solidFill>
                </w14:textFill>
              </w:rPr>
              <w:t>造成</w:t>
            </w:r>
            <w:r>
              <w:rPr>
                <w:rFonts w:hint="default" w:ascii="Times New Roman" w:hAnsi="Times New Roman" w:eastAsia="宋体" w:cs="Times New Roman"/>
                <w:color w:val="000000" w:themeColor="text1"/>
                <w:lang w:val="en-US" w:eastAsia="zh-CN"/>
                <w14:textFill>
                  <w14:solidFill>
                    <w14:schemeClr w14:val="tx1"/>
                  </w14:solidFill>
                </w14:textFill>
              </w:rPr>
              <w:t>影响，水池开挖施工应选择在非雨季进行，开挖的土方则用于苗木培土，从而减少水土流失。</w:t>
            </w:r>
          </w:p>
          <w:p w14:paraId="4C6AE67D">
            <w:pPr>
              <w:keepNext w:val="0"/>
              <w:keepLines w:val="0"/>
              <w:pageBreakBefore w:val="0"/>
              <w:numPr>
                <w:ilvl w:val="0"/>
                <w:numId w:val="0"/>
              </w:numPr>
              <w:kinsoku/>
              <w:wordWrap/>
              <w:overflowPunct/>
              <w:topLinePunct w:val="0"/>
              <w:autoSpaceDE/>
              <w:autoSpaceDN/>
              <w:bidi w:val="0"/>
              <w:adjustRightInd w:val="0"/>
              <w:snapToGrid w:val="0"/>
              <w:ind w:left="0" w:leftChars="0" w:firstLine="482" w:firstLineChars="200"/>
              <w:jc w:val="both"/>
              <w:textAlignment w:val="auto"/>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eastAsia" w:ascii="Times New Roman" w:hAnsi="Times New Roman" w:cs="Times New Roman"/>
                <w:b/>
                <w:bCs/>
                <w:color w:val="000000" w:themeColor="text1"/>
                <w:lang w:val="en-US" w:eastAsia="zh-CN"/>
                <w14:textFill>
                  <w14:solidFill>
                    <w14:schemeClr w14:val="tx1"/>
                  </w14:solidFill>
                </w14:textFill>
              </w:rPr>
              <w:t>5、</w:t>
            </w:r>
            <w:r>
              <w:rPr>
                <w:rFonts w:hint="default" w:ascii="Times New Roman" w:hAnsi="Times New Roman" w:eastAsia="宋体" w:cs="Times New Roman"/>
                <w:b/>
                <w:bCs/>
                <w:color w:val="000000" w:themeColor="text1"/>
                <w:lang w:val="en-US" w:eastAsia="zh-CN"/>
                <w14:textFill>
                  <w14:solidFill>
                    <w14:schemeClr w14:val="tx1"/>
                  </w14:solidFill>
                </w14:textFill>
              </w:rPr>
              <w:t>施工期生态环境影响结论</w:t>
            </w:r>
          </w:p>
          <w:p w14:paraId="4AF0CE1A">
            <w:pPr>
              <w:keepNext w:val="0"/>
              <w:keepLines w:val="0"/>
              <w:pageBreakBefore w:val="0"/>
              <w:kinsoku/>
              <w:wordWrap/>
              <w:overflowPunct/>
              <w:topLinePunct w:val="0"/>
              <w:autoSpaceDE/>
              <w:autoSpaceDN/>
              <w:bidi w:val="0"/>
              <w:adjustRightInd w:val="0"/>
              <w:snapToGrid w:val="0"/>
              <w:ind w:left="0" w:leftChars="0" w:firstLine="480" w:firstLineChars="20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本项目施工期间，工程机械施工会对周边的环境产生一定影响，因此必须在施工现场进行洒水降尘。洒水降尘不仅可以有效地减少施工对</w:t>
            </w:r>
            <w:r>
              <w:rPr>
                <w:rFonts w:hint="eastAsia" w:ascii="Times New Roman" w:hAnsi="Times New Roman" w:cs="Times New Roman"/>
                <w:color w:val="000000" w:themeColor="text1"/>
                <w:lang w:val="en-US" w:eastAsia="zh-CN"/>
                <w14:textFill>
                  <w14:solidFill>
                    <w14:schemeClr w14:val="tx1"/>
                  </w14:solidFill>
                </w14:textFill>
              </w:rPr>
              <w:t>周围环境</w:t>
            </w:r>
            <w:r>
              <w:rPr>
                <w:rFonts w:hint="default" w:ascii="Times New Roman" w:hAnsi="Times New Roman" w:eastAsia="宋体" w:cs="Times New Roman"/>
                <w:color w:val="000000" w:themeColor="text1"/>
                <w:lang w:val="en-US" w:eastAsia="zh-CN"/>
                <w14:textFill>
                  <w14:solidFill>
                    <w14:schemeClr w14:val="tx1"/>
                  </w14:solidFill>
                </w14:textFill>
              </w:rPr>
              <w:t>的大气污染。施工对景观的影响只发生在施工期，是短暂的，随着施工的结束，场地的平整、恢复，对景观的影响也会随之结束，代之以干净整洁的环境。</w:t>
            </w:r>
          </w:p>
          <w:p w14:paraId="1022075E">
            <w:pPr>
              <w:keepNext w:val="0"/>
              <w:keepLines w:val="0"/>
              <w:pageBreakBefore w:val="0"/>
              <w:kinsoku/>
              <w:wordWrap/>
              <w:overflowPunct/>
              <w:topLinePunct w:val="0"/>
              <w:autoSpaceDE/>
              <w:autoSpaceDN/>
              <w:bidi w:val="0"/>
              <w:adjustRightInd w:val="0"/>
              <w:snapToGrid w:val="0"/>
              <w:ind w:left="0" w:leftChars="0" w:firstLine="480" w:firstLineChars="20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综上所述，本项目施工期对生态环境影响较小。</w:t>
            </w:r>
          </w:p>
          <w:p w14:paraId="7F19B34B">
            <w:pPr>
              <w:keepNext w:val="0"/>
              <w:keepLines w:val="0"/>
              <w:pageBreakBefore w:val="0"/>
              <w:numPr>
                <w:ilvl w:val="0"/>
                <w:numId w:val="0"/>
              </w:numPr>
              <w:kinsoku/>
              <w:wordWrap/>
              <w:overflowPunct/>
              <w:topLinePunct w:val="0"/>
              <w:autoSpaceDE/>
              <w:autoSpaceDN/>
              <w:bidi w:val="0"/>
              <w:adjustRightInd w:val="0"/>
              <w:snapToGrid w:val="0"/>
              <w:ind w:left="0" w:leftChars="0" w:firstLine="482" w:firstLineChars="200"/>
              <w:jc w:val="both"/>
              <w:textAlignment w:val="auto"/>
              <w:rPr>
                <w:rFonts w:hint="eastAsia" w:ascii="Times New Roman" w:hAnsi="Times New Roman" w:eastAsia="宋体" w:cs="Times New Roman"/>
                <w:b/>
                <w:bCs/>
                <w:color w:val="000000" w:themeColor="text1"/>
                <w:lang w:val="en-US" w:eastAsia="zh-CN"/>
                <w14:textFill>
                  <w14:solidFill>
                    <w14:schemeClr w14:val="tx1"/>
                  </w14:solidFill>
                </w14:textFill>
              </w:rPr>
            </w:pPr>
            <w:r>
              <w:rPr>
                <w:rFonts w:hint="eastAsia" w:ascii="Times New Roman" w:hAnsi="Times New Roman" w:eastAsia="宋体" w:cs="Times New Roman"/>
                <w:b/>
                <w:bCs/>
                <w:color w:val="000000" w:themeColor="text1"/>
                <w:lang w:val="en-US" w:eastAsia="zh-CN"/>
                <w14:textFill>
                  <w14:solidFill>
                    <w14:schemeClr w14:val="tx1"/>
                  </w14:solidFill>
                </w14:textFill>
              </w:rPr>
              <w:t>三、污染影响分析</w:t>
            </w:r>
          </w:p>
          <w:p w14:paraId="6E8FF1BE">
            <w:pPr>
              <w:keepNext w:val="0"/>
              <w:keepLines w:val="0"/>
              <w:pageBreakBefore w:val="0"/>
              <w:numPr>
                <w:ilvl w:val="0"/>
                <w:numId w:val="0"/>
              </w:numPr>
              <w:kinsoku/>
              <w:wordWrap/>
              <w:overflowPunct/>
              <w:topLinePunct w:val="0"/>
              <w:autoSpaceDE/>
              <w:autoSpaceDN/>
              <w:bidi w:val="0"/>
              <w:adjustRightInd w:val="0"/>
              <w:snapToGrid w:val="0"/>
              <w:ind w:left="0" w:leftChars="0" w:firstLine="482" w:firstLineChars="200"/>
              <w:jc w:val="both"/>
              <w:textAlignment w:val="auto"/>
              <w:rPr>
                <w:rFonts w:hint="default" w:ascii="Times New Roman" w:hAnsi="Times New Roman" w:cs="Times New Roman"/>
                <w:b/>
                <w:bCs/>
                <w:color w:val="000000" w:themeColor="text1"/>
                <w:lang w:val="en-US" w:eastAsia="zh-CN"/>
                <w14:textFill>
                  <w14:solidFill>
                    <w14:schemeClr w14:val="tx1"/>
                  </w14:solidFill>
                </w14:textFill>
              </w:rPr>
            </w:pPr>
            <w:r>
              <w:rPr>
                <w:rFonts w:hint="eastAsia" w:ascii="Times New Roman" w:hAnsi="Times New Roman" w:cs="Times New Roman"/>
                <w:b/>
                <w:bCs/>
                <w:color w:val="000000" w:themeColor="text1"/>
                <w:lang w:val="en-US" w:eastAsia="zh-CN"/>
                <w14:textFill>
                  <w14:solidFill>
                    <w14:schemeClr w14:val="tx1"/>
                  </w14:solidFill>
                </w14:textFill>
              </w:rPr>
              <w:t>1、废气影响分析</w:t>
            </w:r>
          </w:p>
          <w:p w14:paraId="61500409">
            <w:pPr>
              <w:keepNext w:val="0"/>
              <w:keepLines w:val="0"/>
              <w:pageBreakBefore w:val="0"/>
              <w:kinsoku/>
              <w:wordWrap/>
              <w:overflowPunct/>
              <w:topLinePunct w:val="0"/>
              <w:autoSpaceDE/>
              <w:autoSpaceDN/>
              <w:bidi w:val="0"/>
              <w:adjustRightInd w:val="0"/>
              <w:snapToGrid w:val="0"/>
              <w:ind w:left="0" w:leftChars="0" w:firstLine="480" w:firstLineChars="200"/>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本项目施工期为</w:t>
            </w:r>
            <w:r>
              <w:rPr>
                <w:rFonts w:hint="default" w:ascii="Times New Roman" w:hAnsi="Times New Roman" w:eastAsia="宋体" w:cs="Times New Roman"/>
                <w:color w:val="000000" w:themeColor="text1"/>
                <w:lang w:val="en-US" w:eastAsia="zh-CN"/>
                <w14:textFill>
                  <w14:solidFill>
                    <w14:schemeClr w14:val="tx1"/>
                  </w14:solidFill>
                </w14:textFill>
              </w:rPr>
              <w:t>2</w:t>
            </w:r>
            <w:r>
              <w:rPr>
                <w:rFonts w:hint="eastAsia" w:ascii="Times New Roman" w:hAnsi="Times New Roman" w:cs="Times New Roman"/>
                <w:color w:val="000000" w:themeColor="text1"/>
                <w:lang w:val="en-US" w:eastAsia="zh-CN"/>
                <w14:textFill>
                  <w14:solidFill>
                    <w14:schemeClr w14:val="tx1"/>
                  </w14:solidFill>
                </w14:textFill>
              </w:rPr>
              <w:t>2</w:t>
            </w:r>
            <w:r>
              <w:rPr>
                <w:rFonts w:hint="default" w:ascii="Times New Roman" w:hAnsi="Times New Roman" w:eastAsia="宋体" w:cs="Times New Roman"/>
                <w:color w:val="000000" w:themeColor="text1"/>
                <w14:textFill>
                  <w14:solidFill>
                    <w14:schemeClr w14:val="tx1"/>
                  </w14:solidFill>
                </w14:textFill>
              </w:rPr>
              <w:t>月，本项目施工</w:t>
            </w:r>
            <w:r>
              <w:rPr>
                <w:rFonts w:hint="default" w:ascii="Times New Roman" w:hAnsi="Times New Roman" w:eastAsia="宋体" w:cs="Times New Roman"/>
                <w:color w:val="000000" w:themeColor="text1"/>
                <w:lang w:val="en-US" w:eastAsia="zh-CN"/>
                <w14:textFill>
                  <w14:solidFill>
                    <w14:schemeClr w14:val="tx1"/>
                  </w14:solidFill>
                </w14:textFill>
              </w:rPr>
              <w:t>劳动定员</w:t>
            </w:r>
            <w:r>
              <w:rPr>
                <w:rFonts w:hint="eastAsia" w:ascii="Times New Roman" w:hAnsi="Times New Roman" w:cs="Times New Roman"/>
                <w:color w:val="000000" w:themeColor="text1"/>
                <w:lang w:val="en-US" w:eastAsia="zh-CN"/>
                <w14:textFill>
                  <w14:solidFill>
                    <w14:schemeClr w14:val="tx1"/>
                  </w14:solidFill>
                </w14:textFill>
              </w:rPr>
              <w:t>平均</w:t>
            </w:r>
            <w:r>
              <w:rPr>
                <w:rFonts w:hint="default" w:ascii="Times New Roman" w:hAnsi="Times New Roman" w:eastAsia="宋体" w:cs="Times New Roman"/>
                <w:color w:val="000000" w:themeColor="text1"/>
                <w14:textFill>
                  <w14:solidFill>
                    <w14:schemeClr w14:val="tx1"/>
                  </w14:solidFill>
                </w14:textFill>
              </w:rPr>
              <w:t>为</w:t>
            </w:r>
            <w:r>
              <w:rPr>
                <w:rFonts w:hint="eastAsia" w:ascii="Times New Roman" w:hAnsi="Times New Roman" w:cs="Times New Roman"/>
                <w:color w:val="000000" w:themeColor="text1"/>
                <w:lang w:val="en-US" w:eastAsia="zh-CN"/>
                <w14:textFill>
                  <w14:solidFill>
                    <w14:schemeClr w14:val="tx1"/>
                  </w14:solidFill>
                </w14:textFill>
              </w:rPr>
              <w:t>100</w:t>
            </w:r>
            <w:r>
              <w:rPr>
                <w:rFonts w:hint="default" w:ascii="Times New Roman" w:hAnsi="Times New Roman" w:eastAsia="宋体" w:cs="Times New Roman"/>
                <w:color w:val="000000" w:themeColor="text1"/>
                <w14:textFill>
                  <w14:solidFill>
                    <w14:schemeClr w14:val="tx1"/>
                  </w14:solidFill>
                </w14:textFill>
              </w:rPr>
              <w:t>人，均来自附近居民</w:t>
            </w:r>
            <w:r>
              <w:rPr>
                <w:rFonts w:hint="default" w:ascii="Times New Roman" w:hAnsi="Times New Roman" w:eastAsia="宋体"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不提供食宿，未在施工现场设置施工营地。项目施工期大气污染物主要是施工挖填扬尘</w:t>
            </w:r>
            <w:r>
              <w:rPr>
                <w:rFonts w:hint="default" w:ascii="Times New Roman" w:hAnsi="Times New Roman" w:eastAsia="宋体"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机械车辆尾气等。</w:t>
            </w:r>
          </w:p>
          <w:p w14:paraId="362C7E33">
            <w:pPr>
              <w:keepNext w:val="0"/>
              <w:keepLines w:val="0"/>
              <w:pageBreakBefore w:val="0"/>
              <w:numPr>
                <w:ilvl w:val="0"/>
                <w:numId w:val="0"/>
              </w:numPr>
              <w:kinsoku/>
              <w:wordWrap/>
              <w:overflowPunct/>
              <w:topLinePunct w:val="0"/>
              <w:autoSpaceDE/>
              <w:autoSpaceDN/>
              <w:bidi w:val="0"/>
              <w:adjustRightInd w:val="0"/>
              <w:snapToGrid w:val="0"/>
              <w:ind w:left="0" w:leftChars="0" w:firstLine="482" w:firstLineChars="200"/>
              <w:jc w:val="both"/>
              <w:textAlignment w:val="auto"/>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eastAsia" w:ascii="Times New Roman" w:hAnsi="Times New Roman" w:cs="Times New Roman"/>
                <w:b/>
                <w:bCs/>
                <w:color w:val="000000" w:themeColor="text1"/>
                <w:lang w:val="en-US" w:eastAsia="zh-CN"/>
                <w14:textFill>
                  <w14:solidFill>
                    <w14:schemeClr w14:val="tx1"/>
                  </w14:solidFill>
                </w14:textFill>
              </w:rPr>
              <w:t>（1）</w:t>
            </w:r>
            <w:r>
              <w:rPr>
                <w:rFonts w:hint="default" w:ascii="Times New Roman" w:hAnsi="Times New Roman" w:eastAsia="宋体" w:cs="Times New Roman"/>
                <w:b/>
                <w:bCs/>
                <w:color w:val="000000" w:themeColor="text1"/>
                <w:lang w:val="en-US" w:eastAsia="zh-CN"/>
                <w14:textFill>
                  <w14:solidFill>
                    <w14:schemeClr w14:val="tx1"/>
                  </w14:solidFill>
                </w14:textFill>
              </w:rPr>
              <w:t>施工扬尘</w:t>
            </w:r>
          </w:p>
          <w:p w14:paraId="74550FE9">
            <w:pPr>
              <w:keepNext w:val="0"/>
              <w:keepLines w:val="0"/>
              <w:pageBreakBefore w:val="0"/>
              <w:kinsoku/>
              <w:wordWrap/>
              <w:overflowPunct/>
              <w:topLinePunct w:val="0"/>
              <w:autoSpaceDE/>
              <w:autoSpaceDN/>
              <w:bidi w:val="0"/>
              <w:adjustRightInd w:val="0"/>
              <w:snapToGrid w:val="0"/>
              <w:ind w:left="0" w:leftChars="0" w:firstLine="480" w:firstLineChars="20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扬尘的主要原因是项目区内建设现有平整土地、主体工程建设、辅助工程建设等施工作业产生扬尘；施工车辆运送水泥、</w:t>
            </w:r>
            <w:r>
              <w:rPr>
                <w:rFonts w:hint="eastAsia" w:ascii="Times New Roman" w:hAnsi="Times New Roman" w:cs="Times New Roman"/>
                <w:color w:val="000000" w:themeColor="text1"/>
                <w:lang w:val="en-US" w:eastAsia="zh-CN"/>
                <w14:textFill>
                  <w14:solidFill>
                    <w14:schemeClr w14:val="tx1"/>
                  </w14:solidFill>
                </w14:textFill>
              </w:rPr>
              <w:t>砂石</w:t>
            </w:r>
            <w:r>
              <w:rPr>
                <w:rFonts w:hint="default" w:ascii="Times New Roman" w:hAnsi="Times New Roman" w:eastAsia="宋体" w:cs="Times New Roman"/>
                <w:color w:val="000000" w:themeColor="text1"/>
                <w:lang w:val="en-US" w:eastAsia="zh-CN"/>
                <w14:textFill>
                  <w14:solidFill>
                    <w14:schemeClr w14:val="tx1"/>
                  </w14:solidFill>
                </w14:textFill>
              </w:rPr>
              <w:t>等材料也可能引起石料散落及道路扬尘。主要污染物为TSP，不含有毒有害等特殊污染物质，对施工环境有一定的污染。扬尘呈无组织排放，其产生强度与施工方式、气象条件有关，一般风大时产生扬尘较多，影响较大。</w:t>
            </w:r>
          </w:p>
          <w:p w14:paraId="4C927599">
            <w:pPr>
              <w:keepNext w:val="0"/>
              <w:keepLines w:val="0"/>
              <w:pageBreakBefore w:val="0"/>
              <w:kinsoku/>
              <w:wordWrap/>
              <w:overflowPunct/>
              <w:topLinePunct w:val="0"/>
              <w:autoSpaceDE/>
              <w:autoSpaceDN/>
              <w:bidi w:val="0"/>
              <w:adjustRightInd w:val="0"/>
              <w:snapToGrid w:val="0"/>
              <w:ind w:left="0" w:leftChars="0" w:firstLine="480" w:firstLineChars="20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一般施工扬尘按起尘方式可分为动力起尘和风力起尘两种。动力产尘环节由于施工活动中粉尘等细颗粒物在外部动力条件下极易弥漫在空气中，对区域大气环境造成污染。风力起尘则由于项目区施工扰动导致地表土壤松散，在一定的风力条件下可引发扬尘污染。上述施工扬尘中主要污染因子均为颗粒物。考虑到施工扬尘属于无组织排放源，且项目区多片区同步施工，因此该类粉尘污染随各施工片区布置呈多面源性分布，通过采取洒水、苫盖等抑尘措施并结合必要的施工管理后，可有效缩减施工扬尘影响范围，降低施工扬尘影响程度，对施工片区周边环境空气质量影响较小。</w:t>
            </w:r>
          </w:p>
          <w:p w14:paraId="6B667C7C">
            <w:pPr>
              <w:keepNext w:val="0"/>
              <w:keepLines w:val="0"/>
              <w:pageBreakBefore w:val="0"/>
              <w:numPr>
                <w:ilvl w:val="0"/>
                <w:numId w:val="0"/>
              </w:numPr>
              <w:kinsoku/>
              <w:wordWrap/>
              <w:overflowPunct/>
              <w:topLinePunct w:val="0"/>
              <w:autoSpaceDE/>
              <w:autoSpaceDN/>
              <w:bidi w:val="0"/>
              <w:adjustRightInd w:val="0"/>
              <w:snapToGrid w:val="0"/>
              <w:ind w:left="0" w:leftChars="0" w:firstLine="482" w:firstLineChars="200"/>
              <w:jc w:val="both"/>
              <w:textAlignment w:val="auto"/>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eastAsia" w:ascii="Times New Roman" w:hAnsi="Times New Roman" w:cs="Times New Roman"/>
                <w:b/>
                <w:bCs/>
                <w:color w:val="000000" w:themeColor="text1"/>
                <w:lang w:val="en-US" w:eastAsia="zh-CN"/>
                <w14:textFill>
                  <w14:solidFill>
                    <w14:schemeClr w14:val="tx1"/>
                  </w14:solidFill>
                </w14:textFill>
              </w:rPr>
              <w:t>（2）</w:t>
            </w:r>
            <w:r>
              <w:rPr>
                <w:rFonts w:hint="default" w:ascii="Times New Roman" w:hAnsi="Times New Roman" w:eastAsia="宋体" w:cs="Times New Roman"/>
                <w:b/>
                <w:bCs/>
                <w:color w:val="000000" w:themeColor="text1"/>
                <w:lang w:val="en-US" w:eastAsia="zh-CN"/>
                <w14:textFill>
                  <w14:solidFill>
                    <w14:schemeClr w14:val="tx1"/>
                  </w14:solidFill>
                </w14:textFill>
              </w:rPr>
              <w:t>施工机械和车辆运输废气</w:t>
            </w:r>
          </w:p>
          <w:p w14:paraId="5A7FEF2E">
            <w:pPr>
              <w:keepNext w:val="0"/>
              <w:keepLines w:val="0"/>
              <w:pageBreakBefore w:val="0"/>
              <w:kinsoku/>
              <w:wordWrap/>
              <w:overflowPunct/>
              <w:topLinePunct w:val="0"/>
              <w:autoSpaceDE/>
              <w:autoSpaceDN/>
              <w:bidi w:val="0"/>
              <w:adjustRightInd w:val="0"/>
              <w:snapToGrid w:val="0"/>
              <w:ind w:left="0" w:leftChars="0" w:firstLine="480" w:firstLineChars="20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本项目施工期废气主要来源于运输车辆及其它燃油机械施工时产生的废气，其中的污染物主要有烟尘、NOx、CO及CHx等，会对环境空气造成一定影响。施工机械废气具有间断性产生、产生量较小、产生点相对分散、易被稀释扩散等特点。项目区处于半山坡地形，周边无特别高的山体，有利于大气扩散，一般情况下，施工机械和运输车辆所产生的废气污染在空气中经自然扩散和稀释后，对项目区域的空气环境质量影响不大。</w:t>
            </w:r>
          </w:p>
          <w:p w14:paraId="3F9FD983">
            <w:pPr>
              <w:keepNext w:val="0"/>
              <w:keepLines w:val="0"/>
              <w:pageBreakBefore w:val="0"/>
              <w:kinsoku/>
              <w:wordWrap/>
              <w:overflowPunct/>
              <w:topLinePunct w:val="0"/>
              <w:autoSpaceDE/>
              <w:autoSpaceDN/>
              <w:bidi w:val="0"/>
              <w:adjustRightInd w:val="0"/>
              <w:snapToGrid w:val="0"/>
              <w:ind w:left="0" w:leftChars="0" w:firstLine="482" w:firstLineChars="20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ascii="Times New Roman" w:hAnsi="Times New Roman" w:cs="Times New Roman"/>
                <w:b/>
                <w:bCs/>
                <w:color w:val="000000" w:themeColor="text1"/>
                <w:lang w:val="en-US" w:eastAsia="zh-CN"/>
                <w14:textFill>
                  <w14:solidFill>
                    <w14:schemeClr w14:val="tx1"/>
                  </w14:solidFill>
                </w14:textFill>
              </w:rPr>
              <w:t>3、</w:t>
            </w:r>
            <w:r>
              <w:rPr>
                <w:rFonts w:hint="default" w:ascii="Times New Roman" w:hAnsi="Times New Roman" w:eastAsia="宋体" w:cs="Times New Roman"/>
                <w:b/>
                <w:bCs/>
                <w:color w:val="000000" w:themeColor="text1"/>
                <w:lang w:val="en-US" w:eastAsia="zh-CN"/>
                <w14:textFill>
                  <w14:solidFill>
                    <w14:schemeClr w14:val="tx1"/>
                  </w14:solidFill>
                </w14:textFill>
              </w:rPr>
              <w:t>废水</w:t>
            </w:r>
            <w:r>
              <w:rPr>
                <w:rFonts w:hint="eastAsia" w:ascii="Times New Roman" w:hAnsi="Times New Roman" w:cs="Times New Roman"/>
                <w:b/>
                <w:bCs/>
                <w:color w:val="000000" w:themeColor="text1"/>
                <w:lang w:val="en-US" w:eastAsia="zh-CN"/>
                <w14:textFill>
                  <w14:solidFill>
                    <w14:schemeClr w14:val="tx1"/>
                  </w14:solidFill>
                </w14:textFill>
              </w:rPr>
              <w:t>影响分析</w:t>
            </w:r>
          </w:p>
          <w:p w14:paraId="00F79711">
            <w:pPr>
              <w:keepNext w:val="0"/>
              <w:keepLines w:val="0"/>
              <w:pageBreakBefore w:val="0"/>
              <w:kinsoku/>
              <w:wordWrap/>
              <w:overflowPunct/>
              <w:topLinePunct w:val="0"/>
              <w:autoSpaceDE/>
              <w:autoSpaceDN/>
              <w:bidi w:val="0"/>
              <w:adjustRightInd w:val="0"/>
              <w:snapToGrid w:val="0"/>
              <w:ind w:left="0" w:leftChars="0" w:firstLine="480" w:firstLineChars="20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项目施工期废水主要包括施工生活污水、雨季地表径流水。</w:t>
            </w:r>
          </w:p>
          <w:p w14:paraId="305BAE4F">
            <w:pPr>
              <w:keepNext w:val="0"/>
              <w:keepLines w:val="0"/>
              <w:pageBreakBefore w:val="0"/>
              <w:numPr>
                <w:ilvl w:val="0"/>
                <w:numId w:val="0"/>
              </w:numPr>
              <w:kinsoku/>
              <w:wordWrap/>
              <w:overflowPunct/>
              <w:topLinePunct w:val="0"/>
              <w:autoSpaceDE/>
              <w:autoSpaceDN/>
              <w:bidi w:val="0"/>
              <w:adjustRightInd w:val="0"/>
              <w:snapToGrid w:val="0"/>
              <w:ind w:left="0" w:leftChars="0" w:firstLine="482" w:firstLineChars="200"/>
              <w:jc w:val="both"/>
              <w:textAlignment w:val="auto"/>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eastAsia" w:ascii="Times New Roman" w:hAnsi="Times New Roman" w:cs="Times New Roman"/>
                <w:b/>
                <w:bCs/>
                <w:color w:val="000000" w:themeColor="text1"/>
                <w:lang w:val="en-US" w:eastAsia="zh-CN"/>
                <w14:textFill>
                  <w14:solidFill>
                    <w14:schemeClr w14:val="tx1"/>
                  </w14:solidFill>
                </w14:textFill>
              </w:rPr>
              <w:t>（1）</w:t>
            </w:r>
            <w:r>
              <w:rPr>
                <w:rFonts w:hint="default" w:ascii="Times New Roman" w:hAnsi="Times New Roman" w:eastAsia="宋体" w:cs="Times New Roman"/>
                <w:b/>
                <w:bCs/>
                <w:color w:val="000000" w:themeColor="text1"/>
                <w:lang w:val="en-US" w:eastAsia="zh-CN"/>
                <w14:textFill>
                  <w14:solidFill>
                    <w14:schemeClr w14:val="tx1"/>
                  </w14:solidFill>
                </w14:textFill>
              </w:rPr>
              <w:t>施工生活污水</w:t>
            </w:r>
          </w:p>
          <w:p w14:paraId="74A383BF">
            <w:pPr>
              <w:keepNext w:val="0"/>
              <w:keepLines w:val="0"/>
              <w:pageBreakBefore w:val="0"/>
              <w:widowControl/>
              <w:suppressLineNumbers w:val="0"/>
              <w:kinsoku/>
              <w:wordWrap/>
              <w:overflowPunct/>
              <w:topLinePunct w:val="0"/>
              <w:autoSpaceDE/>
              <w:autoSpaceDN/>
              <w:bidi w:val="0"/>
              <w:adjustRightInd w:val="0"/>
              <w:snapToGrid w:val="0"/>
              <w:ind w:left="0" w:leftChars="0" w:firstLine="480" w:firstLineChars="200"/>
              <w:jc w:val="both"/>
              <w:textAlignment w:val="auto"/>
              <w:rPr>
                <w:rFonts w:hint="eastAsia"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施工期间，根据本项目规模及工程量，施工人员</w:t>
            </w:r>
            <w:r>
              <w:rPr>
                <w:rFonts w:hint="eastAsia" w:ascii="Times New Roman" w:hAnsi="Times New Roman" w:cs="Times New Roman"/>
                <w:color w:val="000000" w:themeColor="text1"/>
                <w:lang w:val="en-US" w:eastAsia="zh-CN"/>
                <w14:textFill>
                  <w14:solidFill>
                    <w14:schemeClr w14:val="tx1"/>
                  </w14:solidFill>
                </w14:textFill>
              </w:rPr>
              <w:t>平均为100</w:t>
            </w:r>
            <w:r>
              <w:rPr>
                <w:rFonts w:hint="default" w:ascii="Times New Roman" w:hAnsi="Times New Roman" w:eastAsia="宋体" w:cs="Times New Roman"/>
                <w:color w:val="000000" w:themeColor="text1"/>
                <w:lang w:val="en-US" w:eastAsia="zh-CN"/>
                <w14:textFill>
                  <w14:solidFill>
                    <w14:schemeClr w14:val="tx1"/>
                  </w14:solidFill>
                </w14:textFill>
              </w:rPr>
              <w:t>人左右，施工人员不在项目区食宿，项目区内施工人员日常产生的洗手废水经收集后就近进入沉淀池或水池，回用于施工区域内降尘，不外排</w:t>
            </w:r>
            <w:r>
              <w:rPr>
                <w:rFonts w:hint="eastAsia" w:ascii="Times New Roman" w:hAnsi="Times New Roman" w:cs="Times New Roman"/>
                <w:color w:val="000000" w:themeColor="text1"/>
                <w:lang w:val="en-US" w:eastAsia="zh-CN"/>
                <w14:textFill>
                  <w14:solidFill>
                    <w14:schemeClr w14:val="tx1"/>
                  </w14:solidFill>
                </w14:textFill>
              </w:rPr>
              <w:t>。</w:t>
            </w:r>
          </w:p>
          <w:p w14:paraId="63DA0F31">
            <w:pPr>
              <w:keepNext w:val="0"/>
              <w:keepLines w:val="0"/>
              <w:pageBreakBefore w:val="0"/>
              <w:widowControl/>
              <w:suppressLineNumbers w:val="0"/>
              <w:kinsoku/>
              <w:wordWrap/>
              <w:overflowPunct/>
              <w:topLinePunct w:val="0"/>
              <w:autoSpaceDE/>
              <w:autoSpaceDN/>
              <w:bidi w:val="0"/>
              <w:adjustRightInd w:val="0"/>
              <w:snapToGrid w:val="0"/>
              <w:ind w:left="0" w:leftChars="0" w:firstLine="480" w:firstLineChars="20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kern w:val="24"/>
                <w:sz w:val="24"/>
                <w:szCs w:val="24"/>
                <w:highlight w:val="none"/>
                <w14:textFill>
                  <w14:solidFill>
                    <w14:schemeClr w14:val="tx1"/>
                  </w14:solidFill>
                </w14:textFill>
              </w:rPr>
              <w:t>根据《云南省地方标准 用水定额》（DB53/T 168-2026）</w:t>
            </w:r>
            <w:r>
              <w:rPr>
                <w:rFonts w:hint="default" w:ascii="Times New Roman" w:hAnsi="Times New Roman" w:eastAsia="宋体" w:cs="Times New Roman"/>
                <w:color w:val="000000" w:themeColor="text1"/>
                <w:kern w:val="24"/>
                <w:sz w:val="24"/>
                <w:szCs w:val="24"/>
                <w:highlight w:val="none"/>
                <w:lang w:val="en-US" w:eastAsia="zh-CN"/>
                <w14:textFill>
                  <w14:solidFill>
                    <w14:schemeClr w14:val="tx1"/>
                  </w14:solidFill>
                </w14:textFill>
              </w:rPr>
              <w:t>中</w:t>
            </w:r>
            <w:r>
              <w:rPr>
                <w:rFonts w:hint="eastAsia" w:ascii="Times New Roman" w:hAnsi="Times New Roman" w:cs="Times New Roman"/>
                <w:color w:val="000000" w:themeColor="text1"/>
                <w:kern w:val="24"/>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kern w:val="24"/>
                <w:sz w:val="24"/>
                <w:szCs w:val="24"/>
                <w:highlight w:val="none"/>
                <w:lang w:val="en-US" w:eastAsia="zh-CN"/>
                <w14:textFill>
                  <w14:solidFill>
                    <w14:schemeClr w14:val="tx1"/>
                  </w14:solidFill>
                </w14:textFill>
              </w:rPr>
              <w:t>表 2 农村居民生活及畜牧业用水分区表</w:t>
            </w:r>
            <w:r>
              <w:rPr>
                <w:rFonts w:hint="eastAsia" w:ascii="Times New Roman" w:hAnsi="Times New Roman" w:cs="Times New Roman"/>
                <w:color w:val="000000" w:themeColor="text1"/>
                <w:kern w:val="24"/>
                <w:sz w:val="24"/>
                <w:szCs w:val="24"/>
                <w:highlight w:val="none"/>
                <w:lang w:val="en-US" w:eastAsia="zh-CN"/>
                <w14:textFill>
                  <w14:solidFill>
                    <w14:schemeClr w14:val="tx1"/>
                  </w14:solidFill>
                </w14:textFill>
              </w:rPr>
              <w:t>”可知，峨山属于亚热带区，再根据“表 15 农村居民生活用水定额”，农村居民生活</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用水量为</w:t>
            </w:r>
            <w:r>
              <w:rPr>
                <w:rFonts w:hint="eastAsia" w:ascii="Times New Roman" w:hAnsi="Times New Roman" w:cs="Times New Roman"/>
                <w:b w:val="0"/>
                <w:bCs w:val="0"/>
                <w:color w:val="000000" w:themeColor="text1"/>
                <w:sz w:val="24"/>
                <w:highlight w:val="none"/>
                <w:lang w:val="en-US" w:eastAsia="zh-CN"/>
                <w14:textFill>
                  <w14:solidFill>
                    <w14:schemeClr w14:val="tx1"/>
                  </w14:solidFill>
                </w14:textFill>
              </w:rPr>
              <w:t>6</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5L</w:t>
            </w:r>
            <w:r>
              <w:rPr>
                <w:rFonts w:hint="eastAsia" w:ascii="Times New Roman" w:hAnsi="Times New Roman" w:cs="Times New Roman"/>
                <w:b w:val="0"/>
                <w:bCs w:val="0"/>
                <w:color w:val="000000" w:themeColor="text1"/>
                <w:sz w:val="24"/>
                <w:highlight w:val="none"/>
                <w:lang w:val="en-US" w:eastAsia="zh-CN"/>
                <w14:textFill>
                  <w14:solidFill>
                    <w14:schemeClr w14:val="tx1"/>
                  </w14:solidFill>
                </w14:textFill>
              </w:rPr>
              <w:t>/人·d</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计，</w:t>
            </w:r>
            <w:r>
              <w:rPr>
                <w:rFonts w:hint="eastAsia" w:ascii="Times New Roman" w:hAnsi="Times New Roman" w:cs="Times New Roman"/>
                <w:b w:val="0"/>
                <w:bCs w:val="0"/>
                <w:color w:val="000000" w:themeColor="text1"/>
                <w:sz w:val="24"/>
                <w:highlight w:val="none"/>
                <w:lang w:val="en-US" w:eastAsia="zh-CN"/>
                <w14:textFill>
                  <w14:solidFill>
                    <w14:schemeClr w14:val="tx1"/>
                  </w14:solidFill>
                </w14:textFill>
              </w:rPr>
              <w:t>由于</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本项目</w:t>
            </w:r>
            <w:r>
              <w:rPr>
                <w:rFonts w:hint="eastAsia" w:ascii="Times New Roman" w:hAnsi="Times New Roman" w:cs="Times New Roman"/>
                <w:b w:val="0"/>
                <w:bCs w:val="0"/>
                <w:color w:val="000000" w:themeColor="text1"/>
                <w:sz w:val="24"/>
                <w:highlight w:val="none"/>
                <w:lang w:val="en-US" w:eastAsia="zh-CN"/>
                <w14:textFill>
                  <w14:solidFill>
                    <w14:schemeClr w14:val="tx1"/>
                  </w14:solidFill>
                </w14:textFill>
              </w:rPr>
              <w:t>施工人员不在项目区内食宿，因此施工人员</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生活用水用水</w:t>
            </w:r>
            <w:r>
              <w:rPr>
                <w:rFonts w:hint="eastAsia" w:ascii="Times New Roman" w:hAnsi="Times New Roman" w:cs="Times New Roman"/>
                <w:b w:val="0"/>
                <w:bCs w:val="0"/>
                <w:color w:val="000000" w:themeColor="text1"/>
                <w:sz w:val="24"/>
                <w:highlight w:val="none"/>
                <w:lang w:val="en-US" w:eastAsia="zh-CN"/>
                <w14:textFill>
                  <w14:solidFill>
                    <w14:schemeClr w14:val="tx1"/>
                  </w14:solidFill>
                </w14:textFill>
              </w:rPr>
              <w:t>量按</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20L</w:t>
            </w:r>
            <w:r>
              <w:rPr>
                <w:rFonts w:hint="eastAsia" w:ascii="Times New Roman" w:hAnsi="Times New Roman" w:cs="Times New Roman"/>
                <w:b w:val="0"/>
                <w:bCs w:val="0"/>
                <w:color w:val="000000" w:themeColor="text1"/>
                <w:sz w:val="24"/>
                <w:highlight w:val="none"/>
                <w:lang w:val="en-US" w:eastAsia="zh-CN"/>
                <w14:textFill>
                  <w14:solidFill>
                    <w14:schemeClr w14:val="tx1"/>
                  </w14:solidFill>
                </w14:textFill>
              </w:rPr>
              <w:t>/d·人。</w:t>
            </w:r>
            <w:r>
              <w:rPr>
                <w:rFonts w:hint="default" w:ascii="Times New Roman" w:hAnsi="Times New Roman" w:eastAsia="宋体" w:cs="Times New Roman"/>
                <w:color w:val="000000" w:themeColor="text1"/>
                <w:lang w:val="en-US" w:eastAsia="zh-CN"/>
                <w14:textFill>
                  <w14:solidFill>
                    <w14:schemeClr w14:val="tx1"/>
                  </w14:solidFill>
                </w14:textFill>
              </w:rPr>
              <w:t>污水产生系数按80%计，则施工人员生活用水量为</w:t>
            </w:r>
            <w:r>
              <w:rPr>
                <w:rFonts w:hint="eastAsia" w:ascii="Times New Roman" w:hAnsi="Times New Roman" w:cs="Times New Roman"/>
                <w:color w:val="000000" w:themeColor="text1"/>
                <w:lang w:val="en-US" w:eastAsia="zh-CN"/>
                <w14:textFill>
                  <w14:solidFill>
                    <w14:schemeClr w14:val="tx1"/>
                  </w14:solidFill>
                </w14:textFill>
              </w:rPr>
              <w:t>2.0</w:t>
            </w:r>
            <w:r>
              <w:rPr>
                <w:rFonts w:hint="default" w:ascii="Times New Roman" w:hAnsi="Times New Roman" w:eastAsia="宋体" w:cs="Times New Roman"/>
                <w:color w:val="000000" w:themeColor="text1"/>
                <w:lang w:val="en-US" w:eastAsia="zh-CN"/>
                <w14:textFill>
                  <w14:solidFill>
                    <w14:schemeClr w14:val="tx1"/>
                  </w14:solidFill>
                </w14:textFill>
              </w:rPr>
              <w:t>m</w:t>
            </w:r>
            <w:r>
              <w:rPr>
                <w:rFonts w:hint="default" w:ascii="Times New Roman" w:hAnsi="Times New Roman" w:eastAsia="宋体" w:cs="Times New Roman"/>
                <w:color w:val="000000" w:themeColor="text1"/>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lang w:val="en-US" w:eastAsia="zh-CN"/>
                <w14:textFill>
                  <w14:solidFill>
                    <w14:schemeClr w14:val="tx1"/>
                  </w14:solidFill>
                </w14:textFill>
              </w:rPr>
              <w:t>/d，生活污水约为</w:t>
            </w:r>
            <w:r>
              <w:rPr>
                <w:rFonts w:hint="eastAsia" w:ascii="Times New Roman" w:hAnsi="Times New Roman" w:cs="Times New Roman"/>
                <w:color w:val="000000" w:themeColor="text1"/>
                <w:lang w:val="en-US" w:eastAsia="zh-CN"/>
                <w14:textFill>
                  <w14:solidFill>
                    <w14:schemeClr w14:val="tx1"/>
                  </w14:solidFill>
                </w14:textFill>
              </w:rPr>
              <w:t>1.6</w:t>
            </w:r>
            <w:r>
              <w:rPr>
                <w:rFonts w:hint="default" w:ascii="Times New Roman" w:hAnsi="Times New Roman" w:eastAsia="宋体" w:cs="Times New Roman"/>
                <w:color w:val="000000" w:themeColor="text1"/>
                <w:lang w:val="en-US" w:eastAsia="zh-CN"/>
                <w14:textFill>
                  <w14:solidFill>
                    <w14:schemeClr w14:val="tx1"/>
                  </w14:solidFill>
                </w14:textFill>
              </w:rPr>
              <w:t>m</w:t>
            </w:r>
            <w:r>
              <w:rPr>
                <w:rFonts w:hint="eastAsia" w:ascii="Times New Roman" w:hAnsi="Times New Roman" w:cs="Times New Roman"/>
                <w:color w:val="000000" w:themeColor="text1"/>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lang w:val="en-US" w:eastAsia="zh-CN"/>
                <w14:textFill>
                  <w14:solidFill>
                    <w14:schemeClr w14:val="tx1"/>
                  </w14:solidFill>
                </w14:textFill>
              </w:rPr>
              <w:t>/d。主要污染物为COD、SS、BOD，等，产生量较小，经收集后回用于项目</w:t>
            </w:r>
            <w:r>
              <w:rPr>
                <w:rFonts w:hint="default" w:ascii="Times New Roman" w:hAnsi="Times New Roman" w:eastAsia="宋体" w:cs="Times New Roman"/>
                <w:color w:val="000000" w:themeColor="text1"/>
                <w:highlight w:val="none"/>
                <w:lang w:val="en-US" w:eastAsia="zh-CN"/>
                <w14:textFill>
                  <w14:solidFill>
                    <w14:schemeClr w14:val="tx1"/>
                  </w14:solidFill>
                </w14:textFill>
              </w:rPr>
              <w:t>区洒水降尘</w:t>
            </w:r>
            <w:r>
              <w:rPr>
                <w:rFonts w:hint="eastAsia" w:ascii="Times New Roman" w:hAnsi="Times New Roman" w:cs="Times New Roman"/>
                <w:color w:val="000000" w:themeColor="text1"/>
                <w:lang w:val="en-US" w:eastAsia="zh-CN"/>
                <w14:textFill>
                  <w14:solidFill>
                    <w14:schemeClr w14:val="tx1"/>
                  </w14:solidFill>
                </w14:textFill>
              </w:rPr>
              <w:t>。</w:t>
            </w:r>
          </w:p>
          <w:p w14:paraId="4D172731">
            <w:pPr>
              <w:keepNext w:val="0"/>
              <w:keepLines w:val="0"/>
              <w:pageBreakBefore w:val="0"/>
              <w:numPr>
                <w:ilvl w:val="0"/>
                <w:numId w:val="0"/>
              </w:numPr>
              <w:kinsoku/>
              <w:wordWrap/>
              <w:overflowPunct/>
              <w:topLinePunct w:val="0"/>
              <w:autoSpaceDE/>
              <w:autoSpaceDN/>
              <w:bidi w:val="0"/>
              <w:adjustRightInd w:val="0"/>
              <w:snapToGrid w:val="0"/>
              <w:ind w:left="0" w:leftChars="0" w:firstLine="482" w:firstLineChars="200"/>
              <w:jc w:val="both"/>
              <w:textAlignment w:val="auto"/>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eastAsia" w:ascii="Times New Roman" w:hAnsi="Times New Roman" w:cs="Times New Roman"/>
                <w:b/>
                <w:bCs/>
                <w:color w:val="000000" w:themeColor="text1"/>
                <w:lang w:val="en-US" w:eastAsia="zh-CN"/>
                <w14:textFill>
                  <w14:solidFill>
                    <w14:schemeClr w14:val="tx1"/>
                  </w14:solidFill>
                </w14:textFill>
              </w:rPr>
              <w:t>（2）</w:t>
            </w:r>
            <w:r>
              <w:rPr>
                <w:rFonts w:hint="default" w:ascii="Times New Roman" w:hAnsi="Times New Roman" w:eastAsia="宋体" w:cs="Times New Roman"/>
                <w:b/>
                <w:bCs/>
                <w:color w:val="000000" w:themeColor="text1"/>
                <w:lang w:val="en-US" w:eastAsia="zh-CN"/>
                <w14:textFill>
                  <w14:solidFill>
                    <w14:schemeClr w14:val="tx1"/>
                  </w14:solidFill>
                </w14:textFill>
              </w:rPr>
              <w:t>雨季径流</w:t>
            </w:r>
          </w:p>
          <w:p w14:paraId="5F813981">
            <w:pPr>
              <w:keepNext w:val="0"/>
              <w:keepLines w:val="0"/>
              <w:pageBreakBefore w:val="0"/>
              <w:kinsoku/>
              <w:wordWrap/>
              <w:overflowPunct/>
              <w:topLinePunct w:val="0"/>
              <w:autoSpaceDE/>
              <w:autoSpaceDN/>
              <w:bidi w:val="0"/>
              <w:adjustRightInd w:val="0"/>
              <w:snapToGrid w:val="0"/>
              <w:ind w:left="0" w:leftChars="0" w:firstLine="480" w:firstLineChars="200"/>
              <w:jc w:val="both"/>
              <w:textAlignment w:val="auto"/>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雨季径流主要为雨季降水</w:t>
            </w:r>
            <w:r>
              <w:rPr>
                <w:rFonts w:hint="eastAsia" w:ascii="Times New Roman" w:hAnsi="Times New Roman" w:cs="Times New Roman"/>
                <w:color w:val="000000" w:themeColor="text1"/>
                <w:lang w:val="en-US" w:eastAsia="zh-CN"/>
                <w14:textFill>
                  <w14:solidFill>
                    <w14:schemeClr w14:val="tx1"/>
                  </w14:solidFill>
                </w14:textFill>
              </w:rPr>
              <w:t>冲刷</w:t>
            </w:r>
            <w:r>
              <w:rPr>
                <w:rFonts w:hint="default" w:ascii="Times New Roman" w:hAnsi="Times New Roman" w:eastAsia="宋体" w:cs="Times New Roman"/>
                <w:color w:val="000000" w:themeColor="text1"/>
                <w:lang w:val="en-US" w:eastAsia="zh-CN"/>
                <w14:textFill>
                  <w14:solidFill>
                    <w14:schemeClr w14:val="tx1"/>
                  </w14:solidFill>
                </w14:textFill>
              </w:rPr>
              <w:t>施工场地产生，其产生量根据降雨情况不同而不同，所含污染物主要为SS，其中SS浓度为200～500mg/L左右。</w:t>
            </w:r>
            <w:r>
              <w:rPr>
                <w:rFonts w:hint="default" w:ascii="Times New Roman" w:hAnsi="Times New Roman" w:eastAsia="宋体" w:cs="Times New Roman"/>
                <w:color w:val="000000" w:themeColor="text1"/>
                <w:highlight w:val="none"/>
                <w:lang w:val="en-US" w:eastAsia="zh-CN"/>
                <w14:textFill>
                  <w14:solidFill>
                    <w14:schemeClr w14:val="tx1"/>
                  </w14:solidFill>
                </w14:textFill>
              </w:rPr>
              <w:t>种植区在种植区四周及种植区合适位置设置截排水沟，雨水经截排水沟汇入蓄水池，后期回用于项目区灌溉，对周围地表水体影响较小。</w:t>
            </w:r>
          </w:p>
          <w:p w14:paraId="10B76380">
            <w:pPr>
              <w:keepNext w:val="0"/>
              <w:keepLines w:val="0"/>
              <w:pageBreakBefore w:val="0"/>
              <w:kinsoku/>
              <w:wordWrap/>
              <w:overflowPunct/>
              <w:topLinePunct w:val="0"/>
              <w:autoSpaceDE/>
              <w:autoSpaceDN/>
              <w:bidi w:val="0"/>
              <w:adjustRightInd w:val="0"/>
              <w:snapToGrid w:val="0"/>
              <w:ind w:left="0" w:leftChars="0" w:firstLine="480" w:firstLineChars="20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由于施工期废水影响为短期影响，施工结束后即可终止，因此本项目在采取了防治措施后，施工期废水对周围地表水体产生的影响较小。</w:t>
            </w:r>
          </w:p>
          <w:p w14:paraId="3CCE511D">
            <w:pPr>
              <w:keepNext w:val="0"/>
              <w:keepLines w:val="0"/>
              <w:pageBreakBefore w:val="0"/>
              <w:numPr>
                <w:ilvl w:val="0"/>
                <w:numId w:val="0"/>
              </w:numPr>
              <w:kinsoku/>
              <w:wordWrap/>
              <w:overflowPunct/>
              <w:topLinePunct w:val="0"/>
              <w:autoSpaceDE/>
              <w:autoSpaceDN/>
              <w:bidi w:val="0"/>
              <w:adjustRightInd w:val="0"/>
              <w:snapToGrid w:val="0"/>
              <w:ind w:left="0" w:leftChars="0" w:firstLine="482" w:firstLineChars="200"/>
              <w:jc w:val="both"/>
              <w:textAlignment w:val="auto"/>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eastAsia" w:ascii="Times New Roman" w:hAnsi="Times New Roman" w:cs="Times New Roman"/>
                <w:b/>
                <w:bCs/>
                <w:color w:val="000000" w:themeColor="text1"/>
                <w:lang w:val="en-US" w:eastAsia="zh-CN"/>
                <w14:textFill>
                  <w14:solidFill>
                    <w14:schemeClr w14:val="tx1"/>
                  </w14:solidFill>
                </w14:textFill>
              </w:rPr>
              <w:t>3、</w:t>
            </w:r>
            <w:r>
              <w:rPr>
                <w:rFonts w:hint="default" w:ascii="Times New Roman" w:hAnsi="Times New Roman" w:eastAsia="宋体" w:cs="Times New Roman"/>
                <w:b/>
                <w:bCs/>
                <w:color w:val="000000" w:themeColor="text1"/>
                <w:lang w:val="en-US" w:eastAsia="zh-CN"/>
                <w14:textFill>
                  <w14:solidFill>
                    <w14:schemeClr w14:val="tx1"/>
                  </w14:solidFill>
                </w14:textFill>
              </w:rPr>
              <w:t>噪声</w:t>
            </w:r>
            <w:r>
              <w:rPr>
                <w:rFonts w:hint="eastAsia" w:ascii="Times New Roman" w:hAnsi="Times New Roman" w:cs="Times New Roman"/>
                <w:b/>
                <w:bCs/>
                <w:color w:val="000000" w:themeColor="text1"/>
                <w:lang w:val="en-US" w:eastAsia="zh-CN"/>
                <w14:textFill>
                  <w14:solidFill>
                    <w14:schemeClr w14:val="tx1"/>
                  </w14:solidFill>
                </w14:textFill>
              </w:rPr>
              <w:t>影响分析</w:t>
            </w:r>
          </w:p>
          <w:p w14:paraId="3C3EE2B2">
            <w:pPr>
              <w:keepNext w:val="0"/>
              <w:keepLines w:val="0"/>
              <w:pageBreakBefore w:val="0"/>
              <w:widowControl/>
              <w:numPr>
                <w:ilvl w:val="0"/>
                <w:numId w:val="0"/>
              </w:numPr>
              <w:suppressLineNumbers w:val="0"/>
              <w:kinsoku/>
              <w:wordWrap/>
              <w:overflowPunct/>
              <w:topLinePunct w:val="0"/>
              <w:autoSpaceDE/>
              <w:autoSpaceDN/>
              <w:bidi w:val="0"/>
              <w:adjustRightInd w:val="0"/>
              <w:snapToGrid w:val="0"/>
              <w:ind w:left="0" w:leftChars="0" w:firstLine="482" w:firstLineChars="200"/>
              <w:jc w:val="both"/>
              <w:textAlignment w:val="auto"/>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eastAsia" w:ascii="Times New Roman" w:hAnsi="Times New Roman" w:cs="Times New Roman"/>
                <w:b/>
                <w:bCs/>
                <w:color w:val="000000" w:themeColor="text1"/>
                <w:kern w:val="2"/>
                <w:sz w:val="24"/>
                <w:szCs w:val="24"/>
                <w:lang w:val="en-US" w:eastAsia="zh-CN" w:bidi="ar-SA"/>
                <w14:textFill>
                  <w14:solidFill>
                    <w14:schemeClr w14:val="tx1"/>
                  </w14:solidFill>
                </w14:textFill>
              </w:rPr>
              <w:t>（1）</w:t>
            </w:r>
            <w:r>
              <w:rPr>
                <w:rFonts w:hint="default" w:ascii="Times New Roman" w:hAnsi="Times New Roman" w:eastAsia="宋体" w:cs="Times New Roman"/>
                <w:b/>
                <w:bCs/>
                <w:color w:val="000000" w:themeColor="text1"/>
                <w:lang w:val="en-US" w:eastAsia="zh-CN"/>
                <w14:textFill>
                  <w14:solidFill>
                    <w14:schemeClr w14:val="tx1"/>
                  </w14:solidFill>
                </w14:textFill>
              </w:rPr>
              <w:t>噪声源强</w:t>
            </w:r>
          </w:p>
          <w:p w14:paraId="2E45E966">
            <w:pPr>
              <w:keepNext w:val="0"/>
              <w:keepLines w:val="0"/>
              <w:pageBreakBefore w:val="0"/>
              <w:widowControl/>
              <w:numPr>
                <w:ilvl w:val="0"/>
                <w:numId w:val="0"/>
              </w:numPr>
              <w:suppressLineNumbers w:val="0"/>
              <w:kinsoku/>
              <w:wordWrap/>
              <w:overflowPunct/>
              <w:topLinePunct w:val="0"/>
              <w:autoSpaceDE/>
              <w:autoSpaceDN/>
              <w:bidi w:val="0"/>
              <w:adjustRightInd w:val="0"/>
              <w:snapToGrid w:val="0"/>
              <w:ind w:left="0" w:leftChars="0" w:firstLine="480" w:firstLineChars="200"/>
              <w:jc w:val="both"/>
              <w:textAlignment w:val="auto"/>
              <w:rPr>
                <w:rFonts w:hint="default" w:ascii="Times New Roman" w:hAnsi="Times New Roman" w:eastAsia="宋体" w:cs="Times New Roman"/>
                <w:b w:val="0"/>
                <w:bCs w:val="0"/>
                <w:color w:val="000000" w:themeColor="text1"/>
                <w:lang w:val="en-US" w:eastAsia="zh-CN"/>
                <w14:textFill>
                  <w14:solidFill>
                    <w14:schemeClr w14:val="tx1"/>
                  </w14:solidFill>
                </w14:textFill>
              </w:rPr>
            </w:pPr>
            <w:r>
              <w:rPr>
                <w:rFonts w:hint="default" w:ascii="Times New Roman" w:hAnsi="Times New Roman" w:eastAsia="宋体" w:cs="Times New Roman"/>
                <w:b w:val="0"/>
                <w:bCs w:val="0"/>
                <w:color w:val="000000" w:themeColor="text1"/>
                <w:lang w:val="en-US" w:eastAsia="zh-CN"/>
                <w14:textFill>
                  <w14:solidFill>
                    <w14:schemeClr w14:val="tx1"/>
                  </w14:solidFill>
                </w14:textFill>
              </w:rPr>
              <w:t>本工程施工噪声源强主要为施工机械设备噪声和施工交通运输噪声。主要有以下特点：</w:t>
            </w:r>
          </w:p>
          <w:p w14:paraId="6804FF7E">
            <w:pPr>
              <w:keepNext w:val="0"/>
              <w:keepLines w:val="0"/>
              <w:pageBreakBefore w:val="0"/>
              <w:widowControl/>
              <w:numPr>
                <w:ilvl w:val="0"/>
                <w:numId w:val="0"/>
              </w:numPr>
              <w:suppressLineNumbers w:val="0"/>
              <w:kinsoku/>
              <w:wordWrap/>
              <w:overflowPunct/>
              <w:topLinePunct w:val="0"/>
              <w:autoSpaceDE/>
              <w:autoSpaceDN/>
              <w:bidi w:val="0"/>
              <w:adjustRightInd w:val="0"/>
              <w:snapToGrid w:val="0"/>
              <w:ind w:left="0" w:leftChars="0" w:firstLine="480" w:firstLineChars="200"/>
              <w:jc w:val="both"/>
              <w:textAlignment w:val="auto"/>
              <w:rPr>
                <w:rFonts w:hint="default" w:ascii="Times New Roman" w:hAnsi="Times New Roman" w:eastAsia="宋体" w:cs="Times New Roman"/>
                <w:b w:val="0"/>
                <w:bCs w:val="0"/>
                <w:color w:val="000000" w:themeColor="text1"/>
                <w:lang w:val="en-US" w:eastAsia="zh-CN"/>
                <w14:textFill>
                  <w14:solidFill>
                    <w14:schemeClr w14:val="tx1"/>
                  </w14:solidFill>
                </w14:textFill>
              </w:rPr>
            </w:pPr>
            <w:r>
              <w:rPr>
                <w:rFonts w:hint="eastAsia" w:ascii="Times New Roman" w:hAnsi="Times New Roman" w:cs="Times New Roman"/>
                <w:b w:val="0"/>
                <w:bCs w:val="0"/>
                <w:color w:val="000000" w:themeColor="text1"/>
                <w:lang w:val="en-US" w:eastAsia="zh-CN"/>
                <w14:textFill>
                  <w14:solidFill>
                    <w14:schemeClr w14:val="tx1"/>
                  </w14:solidFill>
                </w14:textFill>
              </w:rPr>
              <w:t>1）</w:t>
            </w:r>
            <w:r>
              <w:rPr>
                <w:rFonts w:hint="default" w:ascii="Times New Roman" w:hAnsi="Times New Roman" w:eastAsia="宋体" w:cs="Times New Roman"/>
                <w:b w:val="0"/>
                <w:bCs w:val="0"/>
                <w:color w:val="000000" w:themeColor="text1"/>
                <w:lang w:val="en-US" w:eastAsia="zh-CN"/>
                <w14:textFill>
                  <w14:solidFill>
                    <w14:schemeClr w14:val="tx1"/>
                  </w14:solidFill>
                </w14:textFill>
              </w:rPr>
              <w:t>施工机械种类繁多，不同施工阶段会使用不同施工机械，同一施工阶段也会因为工程自身大小及工程安排而使得投入使用的施工机械数量无法确定，这就导致施工噪声具有偶然性的特点。</w:t>
            </w:r>
          </w:p>
          <w:p w14:paraId="251395AF">
            <w:pPr>
              <w:keepNext w:val="0"/>
              <w:keepLines w:val="0"/>
              <w:pageBreakBefore w:val="0"/>
              <w:widowControl/>
              <w:numPr>
                <w:ilvl w:val="0"/>
                <w:numId w:val="0"/>
              </w:numPr>
              <w:suppressLineNumbers w:val="0"/>
              <w:kinsoku/>
              <w:wordWrap/>
              <w:overflowPunct/>
              <w:topLinePunct w:val="0"/>
              <w:autoSpaceDE/>
              <w:autoSpaceDN/>
              <w:bidi w:val="0"/>
              <w:adjustRightInd w:val="0"/>
              <w:snapToGrid w:val="0"/>
              <w:ind w:left="0" w:leftChars="0" w:firstLine="480" w:firstLineChars="200"/>
              <w:jc w:val="both"/>
              <w:textAlignment w:val="auto"/>
              <w:rPr>
                <w:rFonts w:hint="default" w:ascii="Times New Roman" w:hAnsi="Times New Roman" w:eastAsia="宋体" w:cs="Times New Roman"/>
                <w:b w:val="0"/>
                <w:bCs w:val="0"/>
                <w:color w:val="000000" w:themeColor="text1"/>
                <w:lang w:val="en-US" w:eastAsia="zh-CN"/>
                <w14:textFill>
                  <w14:solidFill>
                    <w14:schemeClr w14:val="tx1"/>
                  </w14:solidFill>
                </w14:textFill>
              </w:rPr>
            </w:pPr>
            <w:r>
              <w:rPr>
                <w:rFonts w:hint="eastAsia" w:ascii="Times New Roman" w:hAnsi="Times New Roman" w:cs="Times New Roman"/>
                <w:b w:val="0"/>
                <w:bCs w:val="0"/>
                <w:color w:val="000000" w:themeColor="text1"/>
                <w:lang w:val="en-US" w:eastAsia="zh-CN"/>
                <w14:textFill>
                  <w14:solidFill>
                    <w14:schemeClr w14:val="tx1"/>
                  </w14:solidFill>
                </w14:textFill>
              </w:rPr>
              <w:t>2）</w:t>
            </w:r>
            <w:r>
              <w:rPr>
                <w:rFonts w:hint="default" w:ascii="Times New Roman" w:hAnsi="Times New Roman" w:eastAsia="宋体" w:cs="Times New Roman"/>
                <w:b w:val="0"/>
                <w:bCs w:val="0"/>
                <w:color w:val="000000" w:themeColor="text1"/>
                <w:lang w:val="en-US" w:eastAsia="zh-CN"/>
                <w14:textFill>
                  <w14:solidFill>
                    <w14:schemeClr w14:val="tx1"/>
                  </w14:solidFill>
                </w14:textFill>
              </w:rPr>
              <w:t>不同施工机械噪声特性不同。</w:t>
            </w:r>
          </w:p>
          <w:p w14:paraId="5FBAF1C6">
            <w:pPr>
              <w:keepNext w:val="0"/>
              <w:keepLines w:val="0"/>
              <w:pageBreakBefore w:val="0"/>
              <w:widowControl/>
              <w:numPr>
                <w:ilvl w:val="0"/>
                <w:numId w:val="0"/>
              </w:numPr>
              <w:suppressLineNumbers w:val="0"/>
              <w:kinsoku/>
              <w:wordWrap/>
              <w:overflowPunct/>
              <w:topLinePunct w:val="0"/>
              <w:autoSpaceDE/>
              <w:autoSpaceDN/>
              <w:bidi w:val="0"/>
              <w:adjustRightInd w:val="0"/>
              <w:snapToGrid w:val="0"/>
              <w:ind w:left="0" w:leftChars="0" w:firstLine="480" w:firstLineChars="200"/>
              <w:jc w:val="both"/>
              <w:textAlignment w:val="auto"/>
              <w:rPr>
                <w:rFonts w:hint="default" w:ascii="Times New Roman" w:hAnsi="Times New Roman" w:eastAsia="宋体" w:cs="Times New Roman"/>
                <w:b w:val="0"/>
                <w:bCs w:val="0"/>
                <w:color w:val="000000" w:themeColor="text1"/>
                <w:lang w:val="en-US" w:eastAsia="zh-CN"/>
                <w14:textFill>
                  <w14:solidFill>
                    <w14:schemeClr w14:val="tx1"/>
                  </w14:solidFill>
                </w14:textFill>
              </w:rPr>
            </w:pPr>
            <w:r>
              <w:rPr>
                <w:rFonts w:hint="eastAsia" w:ascii="Times New Roman" w:hAnsi="Times New Roman" w:cs="Times New Roman"/>
                <w:b w:val="0"/>
                <w:bCs w:val="0"/>
                <w:color w:val="000000" w:themeColor="text1"/>
                <w:lang w:val="en-US" w:eastAsia="zh-CN"/>
                <w14:textFill>
                  <w14:solidFill>
                    <w14:schemeClr w14:val="tx1"/>
                  </w14:solidFill>
                </w14:textFill>
              </w:rPr>
              <w:t>3）</w:t>
            </w:r>
            <w:r>
              <w:rPr>
                <w:rFonts w:hint="default" w:ascii="Times New Roman" w:hAnsi="Times New Roman" w:eastAsia="宋体" w:cs="Times New Roman"/>
                <w:b w:val="0"/>
                <w:bCs w:val="0"/>
                <w:color w:val="000000" w:themeColor="text1"/>
                <w:lang w:val="en-US" w:eastAsia="zh-CN"/>
                <w14:textFill>
                  <w14:solidFill>
                    <w14:schemeClr w14:val="tx1"/>
                  </w14:solidFill>
                </w14:textFill>
              </w:rPr>
              <w:t>各种施工机械在施工中部分是固定的，部分是不断移动的，会在一定范围内来回活动。与固定声源相比，</w:t>
            </w:r>
            <w:r>
              <w:rPr>
                <w:rFonts w:hint="eastAsia" w:ascii="Times New Roman" w:hAnsi="Times New Roman" w:cs="Times New Roman"/>
                <w:b w:val="0"/>
                <w:bCs w:val="0"/>
                <w:color w:val="000000" w:themeColor="text1"/>
                <w:lang w:val="en-US" w:eastAsia="zh-CN"/>
                <w14:textFill>
                  <w14:solidFill>
                    <w14:schemeClr w14:val="tx1"/>
                  </w14:solidFill>
                </w14:textFill>
              </w:rPr>
              <w:t>扩大</w:t>
            </w:r>
            <w:r>
              <w:rPr>
                <w:rFonts w:hint="default" w:ascii="Times New Roman" w:hAnsi="Times New Roman" w:eastAsia="宋体" w:cs="Times New Roman"/>
                <w:b w:val="0"/>
                <w:bCs w:val="0"/>
                <w:color w:val="000000" w:themeColor="text1"/>
                <w:lang w:val="en-US" w:eastAsia="zh-CN"/>
                <w14:textFill>
                  <w14:solidFill>
                    <w14:schemeClr w14:val="tx1"/>
                  </w14:solidFill>
                </w14:textFill>
              </w:rPr>
              <w:t>了噪声影响范围，但与流动源相比影响又局限在一定范围之内。施工机械体积与其影响范围相比较小，因此可视作点源。</w:t>
            </w:r>
          </w:p>
          <w:p w14:paraId="2FD019A9">
            <w:pPr>
              <w:keepNext w:val="0"/>
              <w:keepLines w:val="0"/>
              <w:pageBreakBefore w:val="0"/>
              <w:widowControl/>
              <w:suppressLineNumbers w:val="0"/>
              <w:kinsoku/>
              <w:wordWrap/>
              <w:overflowPunct/>
              <w:topLinePunct w:val="0"/>
              <w:autoSpaceDE/>
              <w:autoSpaceDN/>
              <w:bidi w:val="0"/>
              <w:adjustRightInd w:val="0"/>
              <w:snapToGrid w:val="0"/>
              <w:ind w:left="0" w:leftChars="0" w:firstLine="480" w:firstLineChars="20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项目施工期间产生噪声的工程内容主要为：</w:t>
            </w:r>
          </w:p>
          <w:p w14:paraId="73B1E474">
            <w:pPr>
              <w:keepNext w:val="0"/>
              <w:keepLines w:val="0"/>
              <w:pageBreakBefore w:val="0"/>
              <w:widowControl/>
              <w:suppressLineNumbers w:val="0"/>
              <w:kinsoku/>
              <w:wordWrap/>
              <w:overflowPunct/>
              <w:topLinePunct w:val="0"/>
              <w:autoSpaceDE/>
              <w:autoSpaceDN/>
              <w:bidi w:val="0"/>
              <w:adjustRightInd w:val="0"/>
              <w:snapToGrid w:val="0"/>
              <w:ind w:left="0" w:leftChars="0" w:firstLine="480" w:firstLineChars="200"/>
              <w:jc w:val="both"/>
              <w:textAlignment w:val="auto"/>
              <w:rPr>
                <w:rFonts w:hint="default" w:ascii="Times New Roman" w:hAnsi="Times New Roman" w:eastAsia="宋体" w:cs="Times New Roman"/>
                <w:color w:val="000000" w:themeColor="text1"/>
                <w:lang w:eastAsia="zh-CN"/>
                <w14:textFill>
                  <w14:solidFill>
                    <w14:schemeClr w14:val="tx1"/>
                  </w14:solidFill>
                </w14:textFill>
              </w:rPr>
            </w:pPr>
            <w:r>
              <w:rPr>
                <w:rFonts w:hint="eastAsia" w:ascii="Times New Roman" w:hAnsi="Times New Roman" w:cs="Times New Roman"/>
                <w:color w:val="000000" w:themeColor="text1"/>
                <w:lang w:val="en-US" w:eastAsia="zh-CN"/>
                <w14:textFill>
                  <w14:solidFill>
                    <w14:schemeClr w14:val="tx1"/>
                  </w14:solidFill>
                </w14:textFill>
              </w:rPr>
              <w:t>1）</w:t>
            </w:r>
            <w:r>
              <w:rPr>
                <w:rFonts w:hint="default" w:ascii="Times New Roman" w:hAnsi="Times New Roman" w:eastAsia="宋体" w:cs="Times New Roman"/>
                <w:color w:val="000000" w:themeColor="text1"/>
                <w:lang w:val="en-US" w:eastAsia="zh-CN"/>
                <w14:textFill>
                  <w14:solidFill>
                    <w14:schemeClr w14:val="tx1"/>
                  </w14:solidFill>
                </w14:textFill>
              </w:rPr>
              <w:t>农产品、药材种植区的建设</w:t>
            </w:r>
            <w:r>
              <w:rPr>
                <w:rFonts w:hint="default" w:ascii="Times New Roman" w:hAnsi="Times New Roman" w:eastAsia="宋体" w:cs="Times New Roman"/>
                <w:color w:val="000000" w:themeColor="text1"/>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总占地面积为1486.06</w:t>
            </w:r>
            <w:r>
              <w:rPr>
                <w:rFonts w:hint="default" w:ascii="Times New Roman" w:hAnsi="Times New Roman" w:eastAsia="宋体" w:cs="Times New Roman"/>
                <w:color w:val="000000" w:themeColor="text1"/>
                <w:lang w:val="en-US" w:eastAsia="zh-CN"/>
                <w14:textFill>
                  <w14:solidFill>
                    <w14:schemeClr w14:val="tx1"/>
                  </w14:solidFill>
                </w14:textFill>
              </w:rPr>
              <w:t>亩</w:t>
            </w:r>
            <w:r>
              <w:rPr>
                <w:rFonts w:hint="default" w:ascii="Times New Roman" w:hAnsi="Times New Roman" w:eastAsia="宋体" w:cs="Times New Roman"/>
                <w:color w:val="000000" w:themeColor="text1"/>
                <w:highlight w:val="none"/>
                <w:lang w:eastAsia="zh-CN"/>
                <w14:textFill>
                  <w14:solidFill>
                    <w14:schemeClr w14:val="tx1"/>
                  </w14:solidFill>
                </w14:textFill>
              </w:rPr>
              <w:t>；</w:t>
            </w:r>
            <w:r>
              <w:rPr>
                <w:rFonts w:hint="default" w:ascii="Times New Roman" w:hAnsi="Times New Roman" w:eastAsia="宋体" w:cs="Times New Roman"/>
                <w:color w:val="000000" w:themeColor="text1"/>
                <w:lang w:eastAsia="zh-CN"/>
                <w14:textFill>
                  <w14:solidFill>
                    <w14:schemeClr w14:val="tx1"/>
                  </w14:solidFill>
                </w14:textFill>
              </w:rPr>
              <w:t>该工程主要是场</w:t>
            </w:r>
            <w:r>
              <w:rPr>
                <w:rFonts w:hint="eastAsia" w:ascii="Times New Roman" w:hAnsi="Times New Roman" w:cs="Times New Roman"/>
                <w:color w:val="000000" w:themeColor="text1"/>
                <w:lang w:eastAsia="zh-CN"/>
                <w14:textFill>
                  <w14:solidFill>
                    <w14:schemeClr w14:val="tx1"/>
                  </w14:solidFill>
                </w14:textFill>
              </w:rPr>
              <w:t>内</w:t>
            </w:r>
            <w:r>
              <w:rPr>
                <w:rFonts w:hint="default" w:ascii="Times New Roman" w:hAnsi="Times New Roman" w:eastAsia="宋体" w:cs="Times New Roman"/>
                <w:color w:val="000000" w:themeColor="text1"/>
                <w:lang w:eastAsia="zh-CN"/>
                <w14:textFill>
                  <w14:solidFill>
                    <w14:schemeClr w14:val="tx1"/>
                  </w14:solidFill>
                </w14:textFill>
              </w:rPr>
              <w:t>现有杂灌的铲除、整地、运输等作业，产生的机械噪声。</w:t>
            </w:r>
          </w:p>
          <w:p w14:paraId="0CCC5F94">
            <w:pPr>
              <w:keepNext w:val="0"/>
              <w:keepLines w:val="0"/>
              <w:pageBreakBefore w:val="0"/>
              <w:widowControl/>
              <w:suppressLineNumbers w:val="0"/>
              <w:kinsoku/>
              <w:wordWrap/>
              <w:overflowPunct/>
              <w:topLinePunct w:val="0"/>
              <w:autoSpaceDE/>
              <w:autoSpaceDN/>
              <w:bidi w:val="0"/>
              <w:adjustRightInd w:val="0"/>
              <w:snapToGrid w:val="0"/>
              <w:ind w:left="0" w:leftChars="0" w:firstLine="480" w:firstLineChars="200"/>
              <w:jc w:val="both"/>
              <w:textAlignment w:val="auto"/>
              <w:rPr>
                <w:rFonts w:hint="default" w:ascii="Times New Roman" w:hAnsi="Times New Roman" w:eastAsia="宋体" w:cs="Times New Roman"/>
                <w:color w:val="000000" w:themeColor="text1"/>
                <w:highlight w:val="none"/>
                <w:lang w:eastAsia="zh-CN"/>
                <w14:textFill>
                  <w14:solidFill>
                    <w14:schemeClr w14:val="tx1"/>
                  </w14:solidFill>
                </w14:textFill>
              </w:rPr>
            </w:pPr>
            <w:r>
              <w:rPr>
                <w:rFonts w:hint="eastAsia" w:ascii="Times New Roman" w:hAnsi="Times New Roman" w:cs="Times New Roman"/>
                <w:color w:val="000000" w:themeColor="text1"/>
                <w:highlight w:val="none"/>
                <w:lang w:val="en-US" w:eastAsia="zh-CN"/>
                <w14:textFill>
                  <w14:solidFill>
                    <w14:schemeClr w14:val="tx1"/>
                  </w14:solidFill>
                </w14:textFill>
              </w:rPr>
              <w:t>2）蓝莓种植期大棚、</w:t>
            </w:r>
            <w:r>
              <w:rPr>
                <w:rFonts w:hint="default" w:ascii="Times New Roman" w:hAnsi="Times New Roman" w:eastAsia="宋体" w:cs="Times New Roman"/>
                <w:color w:val="000000" w:themeColor="text1"/>
                <w:highlight w:val="none"/>
                <w14:textFill>
                  <w14:solidFill>
                    <w14:schemeClr w14:val="tx1"/>
                  </w14:solidFill>
                </w14:textFill>
              </w:rPr>
              <w:t>管护用房、</w:t>
            </w:r>
            <w:r>
              <w:rPr>
                <w:rFonts w:hint="eastAsia" w:ascii="Times New Roman" w:hAnsi="Times New Roman" w:cs="Times New Roman"/>
                <w:color w:val="000000" w:themeColor="text1"/>
                <w:highlight w:val="none"/>
                <w:lang w:val="en-US" w:eastAsia="zh-CN"/>
                <w14:textFill>
                  <w14:solidFill>
                    <w14:schemeClr w14:val="tx1"/>
                  </w14:solidFill>
                </w14:textFill>
              </w:rPr>
              <w:t>工具房、水肥中心</w:t>
            </w:r>
            <w:r>
              <w:rPr>
                <w:rFonts w:hint="default" w:ascii="Times New Roman" w:hAnsi="Times New Roman" w:eastAsia="宋体" w:cs="Times New Roman"/>
                <w:color w:val="000000" w:themeColor="text1"/>
                <w:highlight w:val="none"/>
                <w14:textFill>
                  <w14:solidFill>
                    <w14:schemeClr w14:val="tx1"/>
                  </w14:solidFill>
                </w14:textFill>
              </w:rPr>
              <w:t>、</w:t>
            </w:r>
            <w:r>
              <w:rPr>
                <w:rFonts w:hint="default" w:ascii="Times New Roman" w:hAnsi="Times New Roman" w:eastAsia="宋体" w:cs="Times New Roman"/>
                <w:color w:val="000000" w:themeColor="text1"/>
                <w:highlight w:val="none"/>
                <w:lang w:val="en-US" w:eastAsia="zh-CN"/>
                <w14:textFill>
                  <w14:solidFill>
                    <w14:schemeClr w14:val="tx1"/>
                  </w14:solidFill>
                </w14:textFill>
              </w:rPr>
              <w:t>分拣</w:t>
            </w:r>
            <w:r>
              <w:rPr>
                <w:rFonts w:hint="eastAsia" w:ascii="Times New Roman" w:hAnsi="Times New Roman" w:cs="Times New Roman"/>
                <w:color w:val="000000" w:themeColor="text1"/>
                <w:highlight w:val="none"/>
                <w:lang w:val="en-US" w:eastAsia="zh-CN"/>
                <w14:textFill>
                  <w14:solidFill>
                    <w14:schemeClr w14:val="tx1"/>
                  </w14:solidFill>
                </w14:textFill>
              </w:rPr>
              <w:t>中心</w:t>
            </w:r>
            <w:r>
              <w:rPr>
                <w:rFonts w:hint="default" w:ascii="Times New Roman" w:hAnsi="Times New Roman" w:eastAsia="宋体" w:cs="Times New Roman"/>
                <w:color w:val="000000" w:themeColor="text1"/>
                <w:highlight w:val="none"/>
                <w:lang w:val="en-US" w:eastAsia="zh-CN"/>
                <w14:textFill>
                  <w14:solidFill>
                    <w14:schemeClr w14:val="tx1"/>
                  </w14:solidFill>
                </w14:textFill>
              </w:rPr>
              <w:t>、工具房、水池等工程的建设在</w:t>
            </w:r>
            <w:r>
              <w:rPr>
                <w:rFonts w:hint="default" w:ascii="Times New Roman" w:hAnsi="Times New Roman" w:eastAsia="宋体" w:cs="Times New Roman"/>
                <w:color w:val="000000" w:themeColor="text1"/>
                <w:highlight w:val="none"/>
                <w:lang w:eastAsia="zh-CN"/>
                <w14:textFill>
                  <w14:solidFill>
                    <w14:schemeClr w14:val="tx1"/>
                  </w14:solidFill>
                </w14:textFill>
              </w:rPr>
              <w:t>建设过程中的施工机械噪声。</w:t>
            </w:r>
          </w:p>
          <w:p w14:paraId="34DEC3C2">
            <w:pPr>
              <w:keepNext w:val="0"/>
              <w:keepLines w:val="0"/>
              <w:pageBreakBefore w:val="0"/>
              <w:widowControl/>
              <w:suppressLineNumbers w:val="0"/>
              <w:kinsoku/>
              <w:wordWrap/>
              <w:overflowPunct/>
              <w:topLinePunct w:val="0"/>
              <w:autoSpaceDE/>
              <w:autoSpaceDN/>
              <w:bidi w:val="0"/>
              <w:adjustRightInd w:val="0"/>
              <w:snapToGrid w:val="0"/>
              <w:ind w:left="0" w:leftChars="0" w:firstLine="480" w:firstLineChars="200"/>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各施工阶段的主要噪声源及其声级见下表。</w:t>
            </w:r>
          </w:p>
          <w:p w14:paraId="44040477">
            <w:pPr>
              <w:pStyle w:val="74"/>
              <w:bidi w:val="0"/>
              <w:jc w:val="center"/>
              <w:rPr>
                <w:rFonts w:hint="default" w:ascii="Times New Roman" w:hAnsi="Times New Roman" w:eastAsia="宋体" w:cs="Times New Roman"/>
                <w:b/>
                <w:color w:val="000000" w:themeColor="text1"/>
                <w:sz w:val="21"/>
                <w:szCs w:val="21"/>
                <w:lang w:val="en-US" w:eastAsia="zh-CN"/>
                <w14:textFill>
                  <w14:solidFill>
                    <w14:schemeClr w14:val="tx1"/>
                  </w14:solidFill>
                </w14:textFill>
              </w:rPr>
            </w:pPr>
          </w:p>
          <w:p w14:paraId="1D2B4E2A">
            <w:pPr>
              <w:pStyle w:val="74"/>
              <w:bidi w:val="0"/>
              <w:jc w:val="center"/>
              <w:rPr>
                <w:rFonts w:hint="default" w:ascii="Times New Roman" w:hAnsi="Times New Roman" w:eastAsia="宋体" w:cs="Times New Roman"/>
                <w:b/>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color w:val="000000" w:themeColor="text1"/>
                <w:sz w:val="21"/>
                <w:szCs w:val="21"/>
                <w:lang w:val="en-US" w:eastAsia="zh-CN"/>
                <w14:textFill>
                  <w14:solidFill>
                    <w14:schemeClr w14:val="tx1"/>
                  </w14:solidFill>
                </w14:textFill>
              </w:rPr>
              <w:t>表4-2</w:t>
            </w:r>
            <w:r>
              <w:rPr>
                <w:rFonts w:hint="eastAsia" w:ascii="Times New Roman" w:hAnsi="Times New Roman" w:cs="Times New Roman"/>
                <w:b/>
                <w:color w:val="000000" w:themeColor="text1"/>
                <w:sz w:val="21"/>
                <w:szCs w:val="21"/>
                <w:lang w:val="en-US" w:eastAsia="zh-CN"/>
                <w14:textFill>
                  <w14:solidFill>
                    <w14:schemeClr w14:val="tx1"/>
                  </w14:solidFill>
                </w14:textFill>
              </w:rPr>
              <w:t xml:space="preserve">  </w:t>
            </w:r>
            <w:r>
              <w:rPr>
                <w:rFonts w:hint="default" w:ascii="Times New Roman" w:hAnsi="Times New Roman" w:eastAsia="宋体" w:cs="Times New Roman"/>
                <w:b/>
                <w:color w:val="000000" w:themeColor="text1"/>
                <w:sz w:val="21"/>
                <w:szCs w:val="21"/>
                <w:lang w:val="en-US" w:eastAsia="zh-CN"/>
                <w14:textFill>
                  <w14:solidFill>
                    <w14:schemeClr w14:val="tx1"/>
                  </w14:solidFill>
                </w14:textFill>
              </w:rPr>
              <w:t>主要施工机械设备的噪声级</w:t>
            </w:r>
          </w:p>
          <w:tbl>
            <w:tblPr>
              <w:tblStyle w:val="27"/>
              <w:tblW w:w="77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2"/>
              <w:gridCol w:w="3639"/>
              <w:gridCol w:w="2488"/>
            </w:tblGrid>
            <w:tr w14:paraId="72816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592" w:type="dxa"/>
                  <w:vAlign w:val="center"/>
                </w:tcPr>
                <w:p w14:paraId="5F5A3DAC">
                  <w:pPr>
                    <w:pStyle w:val="73"/>
                    <w:bidi w:val="0"/>
                    <w:jc w:val="center"/>
                    <w:rPr>
                      <w:rFonts w:hint="default" w:ascii="Times New Roman" w:hAnsi="Times New Roman" w:eastAsia="宋体" w:cs="Times New Roman"/>
                      <w:b/>
                      <w:bCs w:val="0"/>
                      <w:color w:val="000000" w:themeColor="text1"/>
                      <w:lang w:val="en-US" w:eastAsia="zh-CN"/>
                      <w14:textFill>
                        <w14:solidFill>
                          <w14:schemeClr w14:val="tx1"/>
                        </w14:solidFill>
                      </w14:textFill>
                    </w:rPr>
                  </w:pPr>
                  <w:r>
                    <w:rPr>
                      <w:rFonts w:hint="default" w:ascii="Times New Roman" w:hAnsi="Times New Roman" w:eastAsia="宋体" w:cs="Times New Roman"/>
                      <w:b/>
                      <w:bCs w:val="0"/>
                      <w:color w:val="000000" w:themeColor="text1"/>
                      <w:lang w:val="en-US" w:eastAsia="zh-CN"/>
                      <w14:textFill>
                        <w14:solidFill>
                          <w14:schemeClr w14:val="tx1"/>
                        </w14:solidFill>
                      </w14:textFill>
                    </w:rPr>
                    <w:t>工程内容</w:t>
                  </w:r>
                </w:p>
              </w:tc>
              <w:tc>
                <w:tcPr>
                  <w:tcW w:w="3639" w:type="dxa"/>
                  <w:vAlign w:val="center"/>
                </w:tcPr>
                <w:p w14:paraId="1F4B4ADB">
                  <w:pPr>
                    <w:pStyle w:val="73"/>
                    <w:bidi w:val="0"/>
                    <w:jc w:val="center"/>
                    <w:rPr>
                      <w:rFonts w:hint="default" w:ascii="Times New Roman" w:hAnsi="Times New Roman" w:eastAsia="宋体" w:cs="Times New Roman"/>
                      <w:b/>
                      <w:bCs w:val="0"/>
                      <w:color w:val="000000" w:themeColor="text1"/>
                      <w:lang w:val="en-US" w:eastAsia="zh-CN"/>
                      <w14:textFill>
                        <w14:solidFill>
                          <w14:schemeClr w14:val="tx1"/>
                        </w14:solidFill>
                      </w14:textFill>
                    </w:rPr>
                  </w:pPr>
                  <w:r>
                    <w:rPr>
                      <w:rFonts w:hint="default" w:ascii="Times New Roman" w:hAnsi="Times New Roman" w:eastAsia="宋体" w:cs="Times New Roman"/>
                      <w:b/>
                      <w:bCs w:val="0"/>
                      <w:color w:val="000000" w:themeColor="text1"/>
                      <w:lang w:val="en-US" w:eastAsia="zh-CN"/>
                      <w14:textFill>
                        <w14:solidFill>
                          <w14:schemeClr w14:val="tx1"/>
                        </w14:solidFill>
                      </w14:textFill>
                    </w:rPr>
                    <w:t>声源</w:t>
                  </w:r>
                </w:p>
              </w:tc>
              <w:tc>
                <w:tcPr>
                  <w:tcW w:w="2488" w:type="dxa"/>
                  <w:vAlign w:val="center"/>
                </w:tcPr>
                <w:p w14:paraId="17B9CD59">
                  <w:pPr>
                    <w:pStyle w:val="73"/>
                    <w:bidi w:val="0"/>
                    <w:jc w:val="center"/>
                    <w:rPr>
                      <w:rFonts w:hint="default" w:ascii="Times New Roman" w:hAnsi="Times New Roman" w:eastAsia="宋体" w:cs="Times New Roman"/>
                      <w:b/>
                      <w:bCs w:val="0"/>
                      <w:color w:val="000000" w:themeColor="text1"/>
                      <w:lang w:val="en-US" w:eastAsia="zh-CN"/>
                      <w14:textFill>
                        <w14:solidFill>
                          <w14:schemeClr w14:val="tx1"/>
                        </w14:solidFill>
                      </w14:textFill>
                    </w:rPr>
                  </w:pPr>
                  <w:r>
                    <w:rPr>
                      <w:rFonts w:hint="default" w:ascii="Times New Roman" w:hAnsi="Times New Roman" w:eastAsia="宋体" w:cs="Times New Roman"/>
                      <w:b/>
                      <w:bCs w:val="0"/>
                      <w:color w:val="000000" w:themeColor="text1"/>
                      <w:lang w:val="en-US" w:eastAsia="zh-CN"/>
                      <w14:textFill>
                        <w14:solidFill>
                          <w14:schemeClr w14:val="tx1"/>
                        </w14:solidFill>
                      </w14:textFill>
                    </w:rPr>
                    <w:t>噪声源强dB（A）1m外</w:t>
                  </w:r>
                </w:p>
              </w:tc>
            </w:tr>
            <w:tr w14:paraId="79680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592" w:type="dxa"/>
                  <w:vMerge w:val="restart"/>
                  <w:vAlign w:val="center"/>
                </w:tcPr>
                <w:p w14:paraId="1D50BD67">
                  <w:pPr>
                    <w:pStyle w:val="73"/>
                    <w:bidi w:val="0"/>
                    <w:jc w:val="center"/>
                    <w:rPr>
                      <w:rFonts w:hint="default" w:ascii="Times New Roman" w:hAnsi="Times New Roman" w:eastAsia="宋体" w:cs="Times New Roman"/>
                      <w:b w:val="0"/>
                      <w:bCs/>
                      <w:color w:val="000000" w:themeColor="text1"/>
                      <w:lang w:val="en-US" w:eastAsia="zh-CN"/>
                      <w14:textFill>
                        <w14:solidFill>
                          <w14:schemeClr w14:val="tx1"/>
                        </w14:solidFill>
                      </w14:textFill>
                    </w:rPr>
                  </w:pPr>
                  <w:bookmarkStart w:id="15" w:name="OLE_LINK16" w:colFirst="2" w:colLast="2"/>
                  <w:r>
                    <w:rPr>
                      <w:rFonts w:hint="default" w:ascii="Times New Roman" w:hAnsi="Times New Roman" w:eastAsia="宋体" w:cs="Times New Roman"/>
                      <w:b w:val="0"/>
                      <w:bCs/>
                      <w:color w:val="000000" w:themeColor="text1"/>
                      <w:lang w:val="en-US" w:eastAsia="zh-CN"/>
                      <w14:textFill>
                        <w14:solidFill>
                          <w14:schemeClr w14:val="tx1"/>
                        </w14:solidFill>
                      </w14:textFill>
                    </w:rPr>
                    <w:t>种植区建设</w:t>
                  </w:r>
                </w:p>
              </w:tc>
              <w:tc>
                <w:tcPr>
                  <w:tcW w:w="3639" w:type="dxa"/>
                  <w:vAlign w:val="center"/>
                </w:tcPr>
                <w:p w14:paraId="042F0387">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油锯</w:t>
                  </w:r>
                </w:p>
              </w:tc>
              <w:tc>
                <w:tcPr>
                  <w:tcW w:w="2488" w:type="dxa"/>
                  <w:vAlign w:val="center"/>
                </w:tcPr>
                <w:p w14:paraId="447CCBBA">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95</w:t>
                  </w:r>
                </w:p>
              </w:tc>
            </w:tr>
            <w:tr w14:paraId="4F3FF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592" w:type="dxa"/>
                  <w:vMerge w:val="continue"/>
                  <w:vAlign w:val="center"/>
                </w:tcPr>
                <w:p w14:paraId="2416FE9F">
                  <w:pPr>
                    <w:pStyle w:val="73"/>
                    <w:bidi w:val="0"/>
                    <w:jc w:val="center"/>
                    <w:rPr>
                      <w:rFonts w:hint="default" w:ascii="Times New Roman" w:hAnsi="Times New Roman" w:eastAsia="宋体" w:cs="Times New Roman"/>
                      <w:b w:val="0"/>
                      <w:bCs/>
                      <w:color w:val="000000" w:themeColor="text1"/>
                      <w14:textFill>
                        <w14:solidFill>
                          <w14:schemeClr w14:val="tx1"/>
                        </w14:solidFill>
                      </w14:textFill>
                    </w:rPr>
                  </w:pPr>
                </w:p>
              </w:tc>
              <w:tc>
                <w:tcPr>
                  <w:tcW w:w="3639" w:type="dxa"/>
                  <w:vAlign w:val="center"/>
                </w:tcPr>
                <w:p w14:paraId="2E446EA4">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割草机</w:t>
                  </w:r>
                </w:p>
              </w:tc>
              <w:tc>
                <w:tcPr>
                  <w:tcW w:w="2488" w:type="dxa"/>
                  <w:vAlign w:val="center"/>
                </w:tcPr>
                <w:p w14:paraId="27D83A22">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98</w:t>
                  </w:r>
                </w:p>
              </w:tc>
            </w:tr>
            <w:tr w14:paraId="6E81E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592" w:type="dxa"/>
                  <w:vMerge w:val="continue"/>
                  <w:vAlign w:val="center"/>
                </w:tcPr>
                <w:p w14:paraId="537EB4BD">
                  <w:pPr>
                    <w:pStyle w:val="73"/>
                    <w:bidi w:val="0"/>
                    <w:jc w:val="center"/>
                    <w:rPr>
                      <w:rFonts w:hint="default" w:ascii="Times New Roman" w:hAnsi="Times New Roman" w:eastAsia="宋体" w:cs="Times New Roman"/>
                      <w:b w:val="0"/>
                      <w:bCs/>
                      <w:color w:val="000000" w:themeColor="text1"/>
                      <w14:textFill>
                        <w14:solidFill>
                          <w14:schemeClr w14:val="tx1"/>
                        </w14:solidFill>
                      </w14:textFill>
                    </w:rPr>
                  </w:pPr>
                </w:p>
              </w:tc>
              <w:tc>
                <w:tcPr>
                  <w:tcW w:w="3639" w:type="dxa"/>
                  <w:vAlign w:val="center"/>
                </w:tcPr>
                <w:p w14:paraId="6C690D43">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运输车辆</w:t>
                  </w:r>
                </w:p>
              </w:tc>
              <w:tc>
                <w:tcPr>
                  <w:tcW w:w="2488" w:type="dxa"/>
                  <w:vAlign w:val="center"/>
                </w:tcPr>
                <w:p w14:paraId="60562192">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80</w:t>
                  </w:r>
                </w:p>
              </w:tc>
            </w:tr>
            <w:tr w14:paraId="79850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592" w:type="dxa"/>
                  <w:vMerge w:val="continue"/>
                  <w:vAlign w:val="center"/>
                </w:tcPr>
                <w:p w14:paraId="28BB4FC2">
                  <w:pPr>
                    <w:pStyle w:val="73"/>
                    <w:bidi w:val="0"/>
                    <w:jc w:val="center"/>
                    <w:rPr>
                      <w:rFonts w:hint="default" w:ascii="Times New Roman" w:hAnsi="Times New Roman" w:eastAsia="宋体" w:cs="Times New Roman"/>
                      <w:b w:val="0"/>
                      <w:bCs/>
                      <w:color w:val="000000" w:themeColor="text1"/>
                      <w:lang w:val="en-US" w:eastAsia="zh-CN"/>
                      <w14:textFill>
                        <w14:solidFill>
                          <w14:schemeClr w14:val="tx1"/>
                        </w14:solidFill>
                      </w14:textFill>
                    </w:rPr>
                  </w:pPr>
                </w:p>
              </w:tc>
              <w:tc>
                <w:tcPr>
                  <w:tcW w:w="3639" w:type="dxa"/>
                  <w:vAlign w:val="center"/>
                </w:tcPr>
                <w:p w14:paraId="1610CABD">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旋耕机</w:t>
                  </w:r>
                </w:p>
              </w:tc>
              <w:tc>
                <w:tcPr>
                  <w:tcW w:w="2488" w:type="dxa"/>
                  <w:vAlign w:val="center"/>
                </w:tcPr>
                <w:p w14:paraId="0391329B">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98</w:t>
                  </w:r>
                </w:p>
              </w:tc>
            </w:tr>
            <w:tr w14:paraId="24C03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592" w:type="dxa"/>
                  <w:vMerge w:val="continue"/>
                  <w:vAlign w:val="center"/>
                </w:tcPr>
                <w:p w14:paraId="05AAFF9B">
                  <w:pPr>
                    <w:pStyle w:val="73"/>
                    <w:bidi w:val="0"/>
                    <w:jc w:val="center"/>
                    <w:rPr>
                      <w:rFonts w:hint="default" w:ascii="Times New Roman" w:hAnsi="Times New Roman" w:eastAsia="宋体" w:cs="Times New Roman"/>
                      <w:b w:val="0"/>
                      <w:bCs/>
                      <w:color w:val="000000" w:themeColor="text1"/>
                      <w:lang w:val="en-US" w:eastAsia="zh-CN"/>
                      <w14:textFill>
                        <w14:solidFill>
                          <w14:schemeClr w14:val="tx1"/>
                        </w14:solidFill>
                      </w14:textFill>
                    </w:rPr>
                  </w:pPr>
                </w:p>
              </w:tc>
              <w:tc>
                <w:tcPr>
                  <w:tcW w:w="3639" w:type="dxa"/>
                  <w:vAlign w:val="center"/>
                </w:tcPr>
                <w:p w14:paraId="19E819E8">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运输车辆</w:t>
                  </w:r>
                </w:p>
              </w:tc>
              <w:tc>
                <w:tcPr>
                  <w:tcW w:w="2488" w:type="dxa"/>
                  <w:vAlign w:val="center"/>
                </w:tcPr>
                <w:p w14:paraId="05DD4963">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80</w:t>
                  </w:r>
                </w:p>
              </w:tc>
            </w:tr>
            <w:tr w14:paraId="03C87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592" w:type="dxa"/>
                  <w:vMerge w:val="restart"/>
                  <w:vAlign w:val="center"/>
                </w:tcPr>
                <w:p w14:paraId="5AEE8C5A">
                  <w:pPr>
                    <w:pStyle w:val="73"/>
                    <w:bidi w:val="0"/>
                    <w:jc w:val="center"/>
                    <w:rPr>
                      <w:rFonts w:hint="default" w:ascii="Times New Roman" w:hAnsi="Times New Roman" w:eastAsia="宋体" w:cs="Times New Roman"/>
                      <w:b w:val="0"/>
                      <w:bCs/>
                      <w:color w:val="000000" w:themeColor="text1"/>
                      <w:lang w:val="en-US" w:eastAsia="zh-CN"/>
                      <w14:textFill>
                        <w14:solidFill>
                          <w14:schemeClr w14:val="tx1"/>
                        </w14:solidFill>
                      </w14:textFill>
                    </w:rPr>
                  </w:pPr>
                  <w:r>
                    <w:rPr>
                      <w:rFonts w:hint="default" w:ascii="Times New Roman" w:hAnsi="Times New Roman" w:eastAsia="宋体" w:cs="Times New Roman"/>
                      <w:b w:val="0"/>
                      <w:bCs/>
                      <w:color w:val="000000" w:themeColor="text1"/>
                      <w:lang w:val="en-US" w:eastAsia="zh-CN"/>
                      <w14:textFill>
                        <w14:solidFill>
                          <w14:schemeClr w14:val="tx1"/>
                        </w14:solidFill>
                      </w14:textFill>
                    </w:rPr>
                    <w:t>基础设施建设</w:t>
                  </w:r>
                </w:p>
              </w:tc>
              <w:tc>
                <w:tcPr>
                  <w:tcW w:w="3639" w:type="dxa"/>
                  <w:vAlign w:val="center"/>
                </w:tcPr>
                <w:p w14:paraId="3B266837">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挖掘机</w:t>
                  </w:r>
                </w:p>
              </w:tc>
              <w:tc>
                <w:tcPr>
                  <w:tcW w:w="2488" w:type="dxa"/>
                  <w:vAlign w:val="center"/>
                </w:tcPr>
                <w:p w14:paraId="4D03517B">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85</w:t>
                  </w:r>
                </w:p>
              </w:tc>
            </w:tr>
            <w:tr w14:paraId="691E2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592" w:type="dxa"/>
                  <w:vMerge w:val="continue"/>
                  <w:vAlign w:val="center"/>
                </w:tcPr>
                <w:p w14:paraId="6F9197ED">
                  <w:pPr>
                    <w:pStyle w:val="73"/>
                    <w:bidi w:val="0"/>
                    <w:jc w:val="center"/>
                    <w:rPr>
                      <w:rFonts w:hint="default" w:ascii="Times New Roman" w:hAnsi="Times New Roman" w:eastAsia="宋体" w:cs="Times New Roman"/>
                      <w:b w:val="0"/>
                      <w:bCs/>
                      <w:color w:val="000000" w:themeColor="text1"/>
                      <w:lang w:val="en-US" w:eastAsia="zh-CN"/>
                      <w14:textFill>
                        <w14:solidFill>
                          <w14:schemeClr w14:val="tx1"/>
                        </w14:solidFill>
                      </w14:textFill>
                    </w:rPr>
                  </w:pPr>
                </w:p>
              </w:tc>
              <w:tc>
                <w:tcPr>
                  <w:tcW w:w="3639" w:type="dxa"/>
                  <w:vAlign w:val="center"/>
                </w:tcPr>
                <w:p w14:paraId="0B128839">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装载机</w:t>
                  </w:r>
                </w:p>
              </w:tc>
              <w:tc>
                <w:tcPr>
                  <w:tcW w:w="2488" w:type="dxa"/>
                  <w:vAlign w:val="center"/>
                </w:tcPr>
                <w:p w14:paraId="37A9B439">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90</w:t>
                  </w:r>
                </w:p>
              </w:tc>
            </w:tr>
            <w:tr w14:paraId="20A7F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592" w:type="dxa"/>
                  <w:vMerge w:val="continue"/>
                  <w:vAlign w:val="center"/>
                </w:tcPr>
                <w:p w14:paraId="5D37F6B6">
                  <w:pPr>
                    <w:pStyle w:val="73"/>
                    <w:bidi w:val="0"/>
                    <w:jc w:val="center"/>
                    <w:rPr>
                      <w:rFonts w:hint="default" w:ascii="Times New Roman" w:hAnsi="Times New Roman" w:eastAsia="宋体" w:cs="Times New Roman"/>
                      <w:b w:val="0"/>
                      <w:bCs/>
                      <w:color w:val="000000" w:themeColor="text1"/>
                      <w:lang w:val="en-US" w:eastAsia="zh-CN"/>
                      <w14:textFill>
                        <w14:solidFill>
                          <w14:schemeClr w14:val="tx1"/>
                        </w14:solidFill>
                      </w14:textFill>
                    </w:rPr>
                  </w:pPr>
                </w:p>
              </w:tc>
              <w:tc>
                <w:tcPr>
                  <w:tcW w:w="3639" w:type="dxa"/>
                  <w:vAlign w:val="center"/>
                </w:tcPr>
                <w:p w14:paraId="31AAD045">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压路机</w:t>
                  </w:r>
                </w:p>
              </w:tc>
              <w:tc>
                <w:tcPr>
                  <w:tcW w:w="2488" w:type="dxa"/>
                  <w:vAlign w:val="center"/>
                </w:tcPr>
                <w:p w14:paraId="3B363281">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80</w:t>
                  </w:r>
                </w:p>
              </w:tc>
            </w:tr>
            <w:tr w14:paraId="78D37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592" w:type="dxa"/>
                  <w:vMerge w:val="continue"/>
                  <w:vAlign w:val="center"/>
                </w:tcPr>
                <w:p w14:paraId="263FCFBC">
                  <w:pPr>
                    <w:pStyle w:val="73"/>
                    <w:bidi w:val="0"/>
                    <w:jc w:val="center"/>
                    <w:rPr>
                      <w:rFonts w:hint="default" w:ascii="Times New Roman" w:hAnsi="Times New Roman" w:eastAsia="宋体" w:cs="Times New Roman"/>
                      <w:b w:val="0"/>
                      <w:bCs/>
                      <w:color w:val="000000" w:themeColor="text1"/>
                      <w:lang w:val="en-US" w:eastAsia="zh-CN"/>
                      <w14:textFill>
                        <w14:solidFill>
                          <w14:schemeClr w14:val="tx1"/>
                        </w14:solidFill>
                      </w14:textFill>
                    </w:rPr>
                  </w:pPr>
                </w:p>
              </w:tc>
              <w:tc>
                <w:tcPr>
                  <w:tcW w:w="3639" w:type="dxa"/>
                  <w:vAlign w:val="center"/>
                </w:tcPr>
                <w:p w14:paraId="28448F3E">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推土机</w:t>
                  </w:r>
                </w:p>
              </w:tc>
              <w:tc>
                <w:tcPr>
                  <w:tcW w:w="2488" w:type="dxa"/>
                  <w:vAlign w:val="center"/>
                </w:tcPr>
                <w:p w14:paraId="239CC137">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86</w:t>
                  </w:r>
                </w:p>
              </w:tc>
            </w:tr>
            <w:tr w14:paraId="73255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592" w:type="dxa"/>
                  <w:vMerge w:val="continue"/>
                  <w:vAlign w:val="center"/>
                </w:tcPr>
                <w:p w14:paraId="2B50A17B">
                  <w:pPr>
                    <w:pStyle w:val="73"/>
                    <w:bidi w:val="0"/>
                    <w:jc w:val="center"/>
                    <w:rPr>
                      <w:rFonts w:hint="default" w:ascii="Times New Roman" w:hAnsi="Times New Roman" w:eastAsia="宋体" w:cs="Times New Roman"/>
                      <w:b w:val="0"/>
                      <w:bCs/>
                      <w:color w:val="000000" w:themeColor="text1"/>
                      <w:lang w:val="en-US" w:eastAsia="zh-CN"/>
                      <w14:textFill>
                        <w14:solidFill>
                          <w14:schemeClr w14:val="tx1"/>
                        </w14:solidFill>
                      </w14:textFill>
                    </w:rPr>
                  </w:pPr>
                </w:p>
              </w:tc>
              <w:tc>
                <w:tcPr>
                  <w:tcW w:w="3639" w:type="dxa"/>
                  <w:vAlign w:val="center"/>
                </w:tcPr>
                <w:p w14:paraId="4F81E1A4">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运输车辆</w:t>
                  </w:r>
                </w:p>
              </w:tc>
              <w:tc>
                <w:tcPr>
                  <w:tcW w:w="2488" w:type="dxa"/>
                  <w:vAlign w:val="center"/>
                </w:tcPr>
                <w:p w14:paraId="030356E4">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80</w:t>
                  </w:r>
                </w:p>
              </w:tc>
            </w:tr>
            <w:bookmarkEnd w:id="15"/>
          </w:tbl>
          <w:p w14:paraId="0EEC99E3">
            <w:pPr>
              <w:keepNext w:val="0"/>
              <w:keepLines w:val="0"/>
              <w:pageBreakBefore w:val="0"/>
              <w:widowControl w:val="0"/>
              <w:numPr>
                <w:ilvl w:val="0"/>
                <w:numId w:val="9"/>
              </w:numPr>
              <w:kinsoku/>
              <w:wordWrap/>
              <w:overflowPunct/>
              <w:topLinePunct w:val="0"/>
              <w:autoSpaceDE/>
              <w:autoSpaceDN/>
              <w:bidi w:val="0"/>
              <w:adjustRightInd/>
              <w:snapToGrid/>
              <w:spacing w:before="157" w:beforeLines="50"/>
              <w:ind w:left="280" w:leftChars="0" w:firstLineChars="0"/>
              <w:jc w:val="both"/>
              <w:textAlignment w:val="auto"/>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环境影响</w:t>
            </w:r>
          </w:p>
          <w:p w14:paraId="491FF913">
            <w:pPr>
              <w:bidi w:val="0"/>
              <w:jc w:val="both"/>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施工机械中除各种运输车辆外，一般可视为固定声源。在不</w:t>
            </w:r>
            <w:r>
              <w:rPr>
                <w:rFonts w:hint="eastAsia" w:ascii="Times New Roman" w:hAnsi="Times New Roman" w:cs="Times New Roman"/>
                <w:color w:val="000000" w:themeColor="text1"/>
                <w:sz w:val="24"/>
                <w:lang w:val="en-US" w:eastAsia="zh-CN"/>
                <w14:textFill>
                  <w14:solidFill>
                    <w14:schemeClr w14:val="tx1"/>
                  </w14:solidFill>
                </w14:textFill>
              </w:rPr>
              <w:t>考虑其他</w:t>
            </w:r>
            <w:r>
              <w:rPr>
                <w:rFonts w:hint="default" w:ascii="Times New Roman" w:hAnsi="Times New Roman" w:eastAsia="宋体" w:cs="Times New Roman"/>
                <w:color w:val="000000" w:themeColor="text1"/>
                <w:sz w:val="24"/>
                <w:lang w:val="en-US" w:eastAsia="zh-CN"/>
                <w14:textFill>
                  <w14:solidFill>
                    <w14:schemeClr w14:val="tx1"/>
                  </w14:solidFill>
                </w14:textFill>
              </w:rPr>
              <w:t>因素情况下，不同距离处施工机械噪声预测模式如下：</w:t>
            </w:r>
          </w:p>
          <w:p w14:paraId="4D6BF9F3">
            <w:pPr>
              <w:bidi w:val="0"/>
              <w:jc w:val="both"/>
              <w:rPr>
                <w:rFonts w:hint="default" w:ascii="Times New Roman" w:hAnsi="Times New Roman" w:eastAsia="宋体" w:cs="Times New Roman"/>
                <w:color w:val="000000" w:themeColor="text1"/>
                <w:sz w:val="24"/>
                <w:lang w:val="en-US" w:eastAsia="zh-CN"/>
                <w14:textFill>
                  <w14:solidFill>
                    <w14:schemeClr w14:val="tx1"/>
                  </w14:solidFill>
                </w14:textFill>
              </w:rPr>
            </w:pPr>
            <m:oMathPara>
              <m:oMath>
                <m:sSub>
                  <m:sSubPr>
                    <m:ctrlPr>
                      <w:rPr>
                        <w:rFonts w:hint="default" w:ascii="Cambria Math" w:hAnsi="Cambria Math" w:eastAsia="宋体" w:cs="Times New Roman"/>
                        <w:color w:val="000000" w:themeColor="text1"/>
                        <w:sz w:val="24"/>
                        <w14:textFill>
                          <w14:solidFill>
                            <w14:schemeClr w14:val="tx1"/>
                          </w14:solidFill>
                        </w14:textFill>
                      </w:rPr>
                    </m:ctrlPr>
                  </m:sSubPr>
                  <m:e>
                    <m:r>
                      <m:rPr>
                        <m:nor/>
                      </m:rPr>
                      <w:rPr>
                        <w:rFonts w:hint="default" w:ascii="Times New Roman" w:hAnsi="Times New Roman" w:eastAsia="宋体" w:cs="Times New Roman"/>
                        <w:i/>
                        <w:color w:val="000000" w:themeColor="text1"/>
                        <w:sz w:val="24"/>
                        <w14:textFill>
                          <w14:solidFill>
                            <w14:schemeClr w14:val="tx1"/>
                          </w14:solidFill>
                        </w14:textFill>
                      </w:rPr>
                      <m:t>L</m:t>
                    </m:r>
                    <m:ctrlPr>
                      <w:rPr>
                        <w:rFonts w:hint="default" w:ascii="Cambria Math" w:hAnsi="Cambria Math" w:eastAsia="宋体" w:cs="Times New Roman"/>
                        <w:color w:val="000000" w:themeColor="text1"/>
                        <w:sz w:val="24"/>
                        <w14:textFill>
                          <w14:solidFill>
                            <w14:schemeClr w14:val="tx1"/>
                          </w14:solidFill>
                        </w14:textFill>
                      </w:rPr>
                    </m:ctrlPr>
                  </m:e>
                  <m:sub>
                    <m:r>
                      <m:rPr>
                        <m:nor/>
                      </m:rPr>
                      <w:rPr>
                        <w:rFonts w:hint="default" w:ascii="Times New Roman" w:hAnsi="Times New Roman" w:eastAsia="宋体" w:cs="Times New Roman"/>
                        <w:i/>
                        <w:color w:val="000000" w:themeColor="text1"/>
                        <w:sz w:val="24"/>
                        <w14:textFill>
                          <w14:solidFill>
                            <w14:schemeClr w14:val="tx1"/>
                          </w14:solidFill>
                        </w14:textFill>
                      </w:rPr>
                      <m:t>p</m:t>
                    </m:r>
                    <m:ctrlPr>
                      <w:rPr>
                        <w:rFonts w:hint="default" w:ascii="Cambria Math" w:hAnsi="Cambria Math" w:eastAsia="宋体" w:cs="Times New Roman"/>
                        <w:color w:val="000000" w:themeColor="text1"/>
                        <w:sz w:val="24"/>
                        <w14:textFill>
                          <w14:solidFill>
                            <w14:schemeClr w14:val="tx1"/>
                          </w14:solidFill>
                        </w14:textFill>
                      </w:rPr>
                    </m:ctrlPr>
                  </m:sub>
                </m:sSub>
                <m:r>
                  <m:rPr>
                    <m:nor/>
                    <m:sty m:val="p"/>
                  </m:rPr>
                  <w:rPr>
                    <w:rFonts w:hint="default" w:ascii="Times New Roman" w:hAnsi="Times New Roman" w:eastAsia="宋体" w:cs="Times New Roman"/>
                    <w:b w:val="0"/>
                    <w:i w:val="0"/>
                    <w:color w:val="000000" w:themeColor="text1"/>
                    <w:sz w:val="24"/>
                    <w14:textFill>
                      <w14:solidFill>
                        <w14:schemeClr w14:val="tx1"/>
                      </w14:solidFill>
                    </w14:textFill>
                  </w:rPr>
                  <m:t>(</m:t>
                </m:r>
                <m:r>
                  <m:rPr>
                    <m:nor/>
                  </m:rPr>
                  <w:rPr>
                    <w:rFonts w:hint="default" w:ascii="Times New Roman" w:hAnsi="Times New Roman" w:eastAsia="宋体" w:cs="Times New Roman"/>
                    <w:i/>
                    <w:color w:val="000000" w:themeColor="text1"/>
                    <w:sz w:val="24"/>
                    <w14:textFill>
                      <w14:solidFill>
                        <w14:schemeClr w14:val="tx1"/>
                      </w14:solidFill>
                    </w14:textFill>
                  </w:rPr>
                  <m:t>r</m:t>
                </m:r>
                <m:r>
                  <m:rPr>
                    <m:nor/>
                    <m:sty m:val="p"/>
                  </m:rPr>
                  <w:rPr>
                    <w:rFonts w:hint="default" w:ascii="Times New Roman" w:hAnsi="Times New Roman" w:eastAsia="宋体" w:cs="Times New Roman"/>
                    <w:b w:val="0"/>
                    <w:i w:val="0"/>
                    <w:color w:val="000000" w:themeColor="text1"/>
                    <w:sz w:val="24"/>
                    <w14:textFill>
                      <w14:solidFill>
                        <w14:schemeClr w14:val="tx1"/>
                      </w14:solidFill>
                    </w14:textFill>
                  </w:rPr>
                  <m:t>)=</m:t>
                </m:r>
                <m:sSub>
                  <m:sSubPr>
                    <m:ctrlPr>
                      <w:rPr>
                        <w:rFonts w:hint="default" w:ascii="Cambria Math" w:hAnsi="Cambria Math" w:eastAsia="宋体" w:cs="Times New Roman"/>
                        <w:color w:val="000000" w:themeColor="text1"/>
                        <w:sz w:val="24"/>
                        <w14:textFill>
                          <w14:solidFill>
                            <w14:schemeClr w14:val="tx1"/>
                          </w14:solidFill>
                        </w14:textFill>
                      </w:rPr>
                    </m:ctrlPr>
                  </m:sSubPr>
                  <m:e>
                    <m:r>
                      <m:rPr>
                        <m:nor/>
                      </m:rPr>
                      <w:rPr>
                        <w:rFonts w:hint="default" w:ascii="Times New Roman" w:hAnsi="Times New Roman" w:eastAsia="宋体" w:cs="Times New Roman"/>
                        <w:i/>
                        <w:color w:val="000000" w:themeColor="text1"/>
                        <w:sz w:val="24"/>
                        <w14:textFill>
                          <w14:solidFill>
                            <w14:schemeClr w14:val="tx1"/>
                          </w14:solidFill>
                        </w14:textFill>
                      </w:rPr>
                      <m:t>L</m:t>
                    </m:r>
                    <m:ctrlPr>
                      <w:rPr>
                        <w:rFonts w:hint="default" w:ascii="Cambria Math" w:hAnsi="Cambria Math" w:eastAsia="宋体" w:cs="Times New Roman"/>
                        <w:color w:val="000000" w:themeColor="text1"/>
                        <w:sz w:val="24"/>
                        <w14:textFill>
                          <w14:solidFill>
                            <w14:schemeClr w14:val="tx1"/>
                          </w14:solidFill>
                        </w14:textFill>
                      </w:rPr>
                    </m:ctrlPr>
                  </m:e>
                  <m:sub>
                    <m:r>
                      <m:rPr>
                        <m:nor/>
                      </m:rPr>
                      <w:rPr>
                        <w:rFonts w:hint="default" w:ascii="Times New Roman" w:hAnsi="Times New Roman" w:eastAsia="宋体" w:cs="Times New Roman"/>
                        <w:i/>
                        <w:color w:val="000000" w:themeColor="text1"/>
                        <w:sz w:val="24"/>
                        <w14:textFill>
                          <w14:solidFill>
                            <w14:schemeClr w14:val="tx1"/>
                          </w14:solidFill>
                        </w14:textFill>
                      </w:rPr>
                      <m:t>p</m:t>
                    </m:r>
                    <m:ctrlPr>
                      <w:rPr>
                        <w:rFonts w:hint="default" w:ascii="Cambria Math" w:hAnsi="Cambria Math" w:eastAsia="宋体" w:cs="Times New Roman"/>
                        <w:color w:val="000000" w:themeColor="text1"/>
                        <w:sz w:val="24"/>
                        <w14:textFill>
                          <w14:solidFill>
                            <w14:schemeClr w14:val="tx1"/>
                          </w14:solidFill>
                        </w14:textFill>
                      </w:rPr>
                    </m:ctrlPr>
                  </m:sub>
                </m:sSub>
                <m:r>
                  <m:rPr>
                    <m:nor/>
                    <m:sty m:val="p"/>
                  </m:rPr>
                  <w:rPr>
                    <w:rFonts w:hint="default" w:ascii="Times New Roman" w:hAnsi="Times New Roman" w:eastAsia="宋体" w:cs="Times New Roman"/>
                    <w:b w:val="0"/>
                    <w:i w:val="0"/>
                    <w:color w:val="000000" w:themeColor="text1"/>
                    <w:sz w:val="24"/>
                    <w14:textFill>
                      <w14:solidFill>
                        <w14:schemeClr w14:val="tx1"/>
                      </w14:solidFill>
                    </w14:textFill>
                  </w:rPr>
                  <m:t>(</m:t>
                </m:r>
                <m:sSub>
                  <m:sSubPr>
                    <m:ctrlPr>
                      <w:rPr>
                        <w:rFonts w:hint="default" w:ascii="Cambria Math" w:hAnsi="Cambria Math" w:eastAsia="宋体" w:cs="Times New Roman"/>
                        <w:color w:val="000000" w:themeColor="text1"/>
                        <w:sz w:val="24"/>
                        <w14:textFill>
                          <w14:solidFill>
                            <w14:schemeClr w14:val="tx1"/>
                          </w14:solidFill>
                        </w14:textFill>
                      </w:rPr>
                    </m:ctrlPr>
                  </m:sSubPr>
                  <m:e>
                    <m:r>
                      <m:rPr>
                        <m:nor/>
                      </m:rPr>
                      <w:rPr>
                        <w:rFonts w:hint="default" w:ascii="Times New Roman" w:hAnsi="Times New Roman" w:eastAsia="宋体" w:cs="Times New Roman"/>
                        <w:i/>
                        <w:color w:val="000000" w:themeColor="text1"/>
                        <w:sz w:val="24"/>
                        <w14:textFill>
                          <w14:solidFill>
                            <w14:schemeClr w14:val="tx1"/>
                          </w14:solidFill>
                        </w14:textFill>
                      </w:rPr>
                      <m:t>r</m:t>
                    </m:r>
                    <m:ctrlPr>
                      <w:rPr>
                        <w:rFonts w:hint="default" w:ascii="Cambria Math" w:hAnsi="Cambria Math" w:eastAsia="宋体" w:cs="Times New Roman"/>
                        <w:color w:val="000000" w:themeColor="text1"/>
                        <w:sz w:val="24"/>
                        <w14:textFill>
                          <w14:solidFill>
                            <w14:schemeClr w14:val="tx1"/>
                          </w14:solidFill>
                        </w14:textFill>
                      </w:rPr>
                    </m:ctrlPr>
                  </m:e>
                  <m:sub>
                    <m:r>
                      <m:rPr>
                        <m:nor/>
                        <m:sty m:val="p"/>
                      </m:rPr>
                      <w:rPr>
                        <w:rFonts w:hint="default" w:ascii="Times New Roman" w:hAnsi="Times New Roman" w:eastAsia="宋体" w:cs="Times New Roman"/>
                        <w:b w:val="0"/>
                        <w:i w:val="0"/>
                        <w:color w:val="000000" w:themeColor="text1"/>
                        <w:sz w:val="24"/>
                        <w14:textFill>
                          <w14:solidFill>
                            <w14:schemeClr w14:val="tx1"/>
                          </w14:solidFill>
                        </w14:textFill>
                      </w:rPr>
                      <m:t>0</m:t>
                    </m:r>
                    <m:ctrlPr>
                      <w:rPr>
                        <w:rFonts w:hint="default" w:ascii="Cambria Math" w:hAnsi="Cambria Math" w:eastAsia="宋体" w:cs="Times New Roman"/>
                        <w:color w:val="000000" w:themeColor="text1"/>
                        <w:sz w:val="24"/>
                        <w14:textFill>
                          <w14:solidFill>
                            <w14:schemeClr w14:val="tx1"/>
                          </w14:solidFill>
                        </w14:textFill>
                      </w:rPr>
                    </m:ctrlPr>
                  </m:sub>
                </m:sSub>
                <m:r>
                  <m:rPr>
                    <m:nor/>
                    <m:sty m:val="p"/>
                  </m:rPr>
                  <w:rPr>
                    <w:rFonts w:hint="default" w:ascii="Times New Roman" w:hAnsi="Times New Roman" w:eastAsia="宋体" w:cs="Times New Roman"/>
                    <w:b w:val="0"/>
                    <w:i w:val="0"/>
                    <w:color w:val="000000" w:themeColor="text1"/>
                    <w:sz w:val="24"/>
                    <w14:textFill>
                      <w14:solidFill>
                        <w14:schemeClr w14:val="tx1"/>
                      </w14:solidFill>
                    </w14:textFill>
                  </w:rPr>
                  <m:t>)−20lg⁡(</m:t>
                </m:r>
                <m:r>
                  <m:rPr>
                    <m:nor/>
                  </m:rPr>
                  <w:rPr>
                    <w:rFonts w:hint="default" w:ascii="Times New Roman" w:hAnsi="Times New Roman" w:eastAsia="宋体" w:cs="Times New Roman"/>
                    <w:i/>
                    <w:color w:val="000000" w:themeColor="text1"/>
                    <w:sz w:val="24"/>
                    <w14:textFill>
                      <w14:solidFill>
                        <w14:schemeClr w14:val="tx1"/>
                      </w14:solidFill>
                    </w14:textFill>
                  </w:rPr>
                  <m:t>r</m:t>
                </m:r>
                <m:r>
                  <m:rPr>
                    <m:nor/>
                    <m:sty m:val="p"/>
                  </m:rPr>
                  <w:rPr>
                    <w:rFonts w:hint="default" w:ascii="Times New Roman" w:hAnsi="Times New Roman" w:eastAsia="宋体" w:cs="Times New Roman"/>
                    <w:b w:val="0"/>
                    <w:i w:val="0"/>
                    <w:color w:val="000000" w:themeColor="text1"/>
                    <w:sz w:val="24"/>
                    <w14:textFill>
                      <w14:solidFill>
                        <w14:schemeClr w14:val="tx1"/>
                      </w14:solidFill>
                    </w14:textFill>
                  </w:rPr>
                  <m:t>/</m:t>
                </m:r>
                <m:sSub>
                  <m:sSubPr>
                    <m:ctrlPr>
                      <w:rPr>
                        <w:rFonts w:hint="default" w:ascii="Cambria Math" w:hAnsi="Cambria Math" w:eastAsia="宋体" w:cs="Times New Roman"/>
                        <w:color w:val="000000" w:themeColor="text1"/>
                        <w:sz w:val="24"/>
                        <w14:textFill>
                          <w14:solidFill>
                            <w14:schemeClr w14:val="tx1"/>
                          </w14:solidFill>
                        </w14:textFill>
                      </w:rPr>
                    </m:ctrlPr>
                  </m:sSubPr>
                  <m:e>
                    <m:r>
                      <m:rPr>
                        <m:nor/>
                      </m:rPr>
                      <w:rPr>
                        <w:rFonts w:hint="default" w:ascii="Times New Roman" w:hAnsi="Times New Roman" w:eastAsia="宋体" w:cs="Times New Roman"/>
                        <w:i/>
                        <w:color w:val="000000" w:themeColor="text1"/>
                        <w:sz w:val="24"/>
                        <w14:textFill>
                          <w14:solidFill>
                            <w14:schemeClr w14:val="tx1"/>
                          </w14:solidFill>
                        </w14:textFill>
                      </w:rPr>
                      <m:t>r</m:t>
                    </m:r>
                    <m:ctrlPr>
                      <w:rPr>
                        <w:rFonts w:hint="default" w:ascii="Cambria Math" w:hAnsi="Cambria Math" w:eastAsia="宋体" w:cs="Times New Roman"/>
                        <w:color w:val="000000" w:themeColor="text1"/>
                        <w:sz w:val="24"/>
                        <w14:textFill>
                          <w14:solidFill>
                            <w14:schemeClr w14:val="tx1"/>
                          </w14:solidFill>
                        </w14:textFill>
                      </w:rPr>
                    </m:ctrlPr>
                  </m:e>
                  <m:sub>
                    <m:r>
                      <m:rPr>
                        <m:nor/>
                        <m:sty m:val="p"/>
                      </m:rPr>
                      <w:rPr>
                        <w:rFonts w:hint="default" w:ascii="Times New Roman" w:hAnsi="Times New Roman" w:eastAsia="宋体" w:cs="Times New Roman"/>
                        <w:b w:val="0"/>
                        <w:i w:val="0"/>
                        <w:color w:val="000000" w:themeColor="text1"/>
                        <w:sz w:val="24"/>
                        <w14:textFill>
                          <w14:solidFill>
                            <w14:schemeClr w14:val="tx1"/>
                          </w14:solidFill>
                        </w14:textFill>
                      </w:rPr>
                      <m:t>0</m:t>
                    </m:r>
                    <m:ctrlPr>
                      <w:rPr>
                        <w:rFonts w:hint="default" w:ascii="Cambria Math" w:hAnsi="Cambria Math" w:eastAsia="宋体" w:cs="Times New Roman"/>
                        <w:color w:val="000000" w:themeColor="text1"/>
                        <w:sz w:val="24"/>
                        <w14:textFill>
                          <w14:solidFill>
                            <w14:schemeClr w14:val="tx1"/>
                          </w14:solidFill>
                        </w14:textFill>
                      </w:rPr>
                    </m:ctrlPr>
                  </m:sub>
                </m:sSub>
                <m:r>
                  <m:rPr>
                    <m:nor/>
                    <m:sty m:val="p"/>
                  </m:rPr>
                  <w:rPr>
                    <w:rFonts w:hint="default" w:ascii="Times New Roman" w:hAnsi="Times New Roman" w:eastAsia="宋体" w:cs="Times New Roman"/>
                    <w:b w:val="0"/>
                    <w:i w:val="0"/>
                    <w:color w:val="000000" w:themeColor="text1"/>
                    <w:sz w:val="24"/>
                    <w14:textFill>
                      <w14:solidFill>
                        <w14:schemeClr w14:val="tx1"/>
                      </w14:solidFill>
                    </w14:textFill>
                  </w:rPr>
                  <m:t>)</m:t>
                </m:r>
              </m:oMath>
            </m:oMathPara>
          </w:p>
          <w:p w14:paraId="0838012E">
            <w:pPr>
              <w:bidi w:val="0"/>
              <w:jc w:val="both"/>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式中：</w:t>
            </w:r>
            <m:oMath>
              <m:sSub>
                <m:sSubPr>
                  <m:ctrlPr>
                    <w:rPr>
                      <w:rFonts w:hint="default" w:ascii="Cambria Math" w:hAnsi="Cambria Math" w:eastAsia="宋体" w:cs="Times New Roman"/>
                      <w:color w:val="000000" w:themeColor="text1"/>
                      <w:sz w:val="24"/>
                      <w14:textFill>
                        <w14:solidFill>
                          <w14:schemeClr w14:val="tx1"/>
                        </w14:solidFill>
                      </w14:textFill>
                    </w:rPr>
                  </m:ctrlPr>
                </m:sSubPr>
                <m:e>
                  <m:r>
                    <m:rPr>
                      <m:nor/>
                    </m:rPr>
                    <w:rPr>
                      <w:rFonts w:hint="default" w:ascii="Times New Roman" w:hAnsi="Times New Roman" w:eastAsia="宋体" w:cs="Times New Roman"/>
                      <w:i/>
                      <w:color w:val="000000" w:themeColor="text1"/>
                      <w:sz w:val="24"/>
                      <w14:textFill>
                        <w14:solidFill>
                          <w14:schemeClr w14:val="tx1"/>
                        </w14:solidFill>
                      </w14:textFill>
                    </w:rPr>
                    <m:t>L</m:t>
                  </m:r>
                  <m:ctrlPr>
                    <w:rPr>
                      <w:rFonts w:hint="default" w:ascii="Cambria Math" w:hAnsi="Cambria Math" w:eastAsia="宋体" w:cs="Times New Roman"/>
                      <w:color w:val="000000" w:themeColor="text1"/>
                      <w:sz w:val="24"/>
                      <w14:textFill>
                        <w14:solidFill>
                          <w14:schemeClr w14:val="tx1"/>
                        </w14:solidFill>
                      </w14:textFill>
                    </w:rPr>
                  </m:ctrlPr>
                </m:e>
                <m:sub>
                  <m:r>
                    <m:rPr>
                      <m:nor/>
                    </m:rPr>
                    <w:rPr>
                      <w:rFonts w:hint="default" w:ascii="Times New Roman" w:hAnsi="Times New Roman" w:eastAsia="宋体" w:cs="Times New Roman"/>
                      <w:i/>
                      <w:color w:val="000000" w:themeColor="text1"/>
                      <w:sz w:val="24"/>
                      <w14:textFill>
                        <w14:solidFill>
                          <w14:schemeClr w14:val="tx1"/>
                        </w14:solidFill>
                      </w14:textFill>
                    </w:rPr>
                    <m:t>p</m:t>
                  </m:r>
                  <m:ctrlPr>
                    <w:rPr>
                      <w:rFonts w:hint="default" w:ascii="Cambria Math" w:hAnsi="Cambria Math" w:eastAsia="宋体" w:cs="Times New Roman"/>
                      <w:color w:val="000000" w:themeColor="text1"/>
                      <w:sz w:val="24"/>
                      <w14:textFill>
                        <w14:solidFill>
                          <w14:schemeClr w14:val="tx1"/>
                        </w14:solidFill>
                      </w14:textFill>
                    </w:rPr>
                  </m:ctrlPr>
                </m:sub>
              </m:sSub>
              <m:r>
                <m:rPr>
                  <m:nor/>
                  <m:sty m:val="p"/>
                </m:rPr>
                <w:rPr>
                  <w:rFonts w:hint="default" w:ascii="Times New Roman" w:hAnsi="Times New Roman" w:eastAsia="宋体" w:cs="Times New Roman"/>
                  <w:b w:val="0"/>
                  <w:i w:val="0"/>
                  <w:color w:val="000000" w:themeColor="text1"/>
                  <w:sz w:val="24"/>
                  <w14:textFill>
                    <w14:solidFill>
                      <w14:schemeClr w14:val="tx1"/>
                    </w14:solidFill>
                  </w14:textFill>
                </w:rPr>
                <m:t>(</m:t>
              </m:r>
              <m:r>
                <m:rPr>
                  <m:nor/>
                </m:rPr>
                <w:rPr>
                  <w:rFonts w:hint="default" w:ascii="Times New Roman" w:hAnsi="Times New Roman" w:eastAsia="宋体" w:cs="Times New Roman"/>
                  <w:i/>
                  <w:color w:val="000000" w:themeColor="text1"/>
                  <w:sz w:val="24"/>
                  <w14:textFill>
                    <w14:solidFill>
                      <w14:schemeClr w14:val="tx1"/>
                    </w14:solidFill>
                  </w14:textFill>
                </w:rPr>
                <m:t>r</m:t>
              </m:r>
              <m:r>
                <m:rPr>
                  <m:nor/>
                  <m:sty m:val="p"/>
                </m:rPr>
                <w:rPr>
                  <w:rFonts w:hint="default" w:ascii="Times New Roman" w:hAnsi="Times New Roman" w:eastAsia="宋体" w:cs="Times New Roman"/>
                  <w:b w:val="0"/>
                  <w:i w:val="0"/>
                  <w:color w:val="000000" w:themeColor="text1"/>
                  <w:sz w:val="24"/>
                  <w14:textFill>
                    <w14:solidFill>
                      <w14:schemeClr w14:val="tx1"/>
                    </w14:solidFill>
                  </w14:textFill>
                </w:rPr>
                <m:t>)</m:t>
              </m:r>
            </m:oMath>
            <w:r>
              <w:rPr>
                <w:rFonts w:hint="default" w:ascii="Times New Roman" w:hAnsi="Times New Roman" w:eastAsia="宋体" w:cs="Times New Roman"/>
                <w:color w:val="000000" w:themeColor="text1"/>
                <w:sz w:val="24"/>
                <w:lang w:val="en-US" w:eastAsia="zh-CN"/>
                <w14:textFill>
                  <w14:solidFill>
                    <w14:schemeClr w14:val="tx1"/>
                  </w14:solidFill>
                </w14:textFill>
              </w:rPr>
              <w:t>——预测点处声压级，dB；</w:t>
            </w:r>
          </w:p>
          <w:p w14:paraId="2126953A">
            <w:pPr>
              <w:bidi w:val="0"/>
              <w:jc w:val="both"/>
              <w:rPr>
                <w:rFonts w:hint="default" w:ascii="Times New Roman" w:hAnsi="Times New Roman" w:eastAsia="宋体" w:cs="Times New Roman"/>
                <w:color w:val="000000" w:themeColor="text1"/>
                <w:sz w:val="24"/>
                <w:lang w:val="en-US" w:eastAsia="zh-CN"/>
                <w14:textFill>
                  <w14:solidFill>
                    <w14:schemeClr w14:val="tx1"/>
                  </w14:solidFill>
                </w14:textFill>
              </w:rPr>
            </w:pPr>
            <m:oMath>
              <m:sSub>
                <m:sSubPr>
                  <m:ctrlPr>
                    <w:rPr>
                      <w:rFonts w:hint="default" w:ascii="Cambria Math" w:hAnsi="Cambria Math" w:eastAsia="宋体" w:cs="Times New Roman"/>
                      <w:color w:val="000000" w:themeColor="text1"/>
                      <w:sz w:val="24"/>
                      <w14:textFill>
                        <w14:solidFill>
                          <w14:schemeClr w14:val="tx1"/>
                        </w14:solidFill>
                      </w14:textFill>
                    </w:rPr>
                  </m:ctrlPr>
                </m:sSubPr>
                <m:e>
                  <m:r>
                    <m:rPr>
                      <m:nor/>
                    </m:rPr>
                    <w:rPr>
                      <w:rFonts w:hint="default" w:ascii="Times New Roman" w:hAnsi="Times New Roman" w:eastAsia="宋体" w:cs="Times New Roman"/>
                      <w:i/>
                      <w:color w:val="000000" w:themeColor="text1"/>
                      <w:sz w:val="24"/>
                      <w14:textFill>
                        <w14:solidFill>
                          <w14:schemeClr w14:val="tx1"/>
                        </w14:solidFill>
                      </w14:textFill>
                    </w:rPr>
                    <m:t>L</m:t>
                  </m:r>
                  <m:ctrlPr>
                    <w:rPr>
                      <w:rFonts w:hint="default" w:ascii="Cambria Math" w:hAnsi="Cambria Math" w:eastAsia="宋体" w:cs="Times New Roman"/>
                      <w:color w:val="000000" w:themeColor="text1"/>
                      <w:sz w:val="24"/>
                      <w14:textFill>
                        <w14:solidFill>
                          <w14:schemeClr w14:val="tx1"/>
                        </w14:solidFill>
                      </w14:textFill>
                    </w:rPr>
                  </m:ctrlPr>
                </m:e>
                <m:sub>
                  <m:r>
                    <m:rPr>
                      <m:nor/>
                    </m:rPr>
                    <w:rPr>
                      <w:rFonts w:hint="default" w:ascii="Times New Roman" w:hAnsi="Times New Roman" w:eastAsia="宋体" w:cs="Times New Roman"/>
                      <w:i/>
                      <w:color w:val="000000" w:themeColor="text1"/>
                      <w:sz w:val="24"/>
                      <w14:textFill>
                        <w14:solidFill>
                          <w14:schemeClr w14:val="tx1"/>
                        </w14:solidFill>
                      </w14:textFill>
                    </w:rPr>
                    <m:t>p</m:t>
                  </m:r>
                  <m:ctrlPr>
                    <w:rPr>
                      <w:rFonts w:hint="default" w:ascii="Cambria Math" w:hAnsi="Cambria Math" w:eastAsia="宋体" w:cs="Times New Roman"/>
                      <w:color w:val="000000" w:themeColor="text1"/>
                      <w:sz w:val="24"/>
                      <w14:textFill>
                        <w14:solidFill>
                          <w14:schemeClr w14:val="tx1"/>
                        </w14:solidFill>
                      </w14:textFill>
                    </w:rPr>
                  </m:ctrlPr>
                </m:sub>
              </m:sSub>
              <m:r>
                <m:rPr>
                  <m:nor/>
                  <m:sty m:val="p"/>
                </m:rPr>
                <w:rPr>
                  <w:rFonts w:hint="default" w:ascii="Times New Roman" w:hAnsi="Times New Roman" w:eastAsia="宋体" w:cs="Times New Roman"/>
                  <w:b w:val="0"/>
                  <w:i w:val="0"/>
                  <w:color w:val="000000" w:themeColor="text1"/>
                  <w:sz w:val="24"/>
                  <w14:textFill>
                    <w14:solidFill>
                      <w14:schemeClr w14:val="tx1"/>
                    </w14:solidFill>
                  </w14:textFill>
                </w:rPr>
                <m:t>(</m:t>
              </m:r>
              <m:sSub>
                <m:sSubPr>
                  <m:ctrlPr>
                    <w:rPr>
                      <w:rFonts w:hint="default" w:ascii="Cambria Math" w:hAnsi="Cambria Math" w:eastAsia="宋体" w:cs="Times New Roman"/>
                      <w:color w:val="000000" w:themeColor="text1"/>
                      <w:sz w:val="24"/>
                      <w14:textFill>
                        <w14:solidFill>
                          <w14:schemeClr w14:val="tx1"/>
                        </w14:solidFill>
                      </w14:textFill>
                    </w:rPr>
                  </m:ctrlPr>
                </m:sSubPr>
                <m:e>
                  <m:r>
                    <m:rPr>
                      <m:nor/>
                    </m:rPr>
                    <w:rPr>
                      <w:rFonts w:hint="default" w:ascii="Times New Roman" w:hAnsi="Times New Roman" w:eastAsia="宋体" w:cs="Times New Roman"/>
                      <w:i/>
                      <w:color w:val="000000" w:themeColor="text1"/>
                      <w:sz w:val="24"/>
                      <w14:textFill>
                        <w14:solidFill>
                          <w14:schemeClr w14:val="tx1"/>
                        </w14:solidFill>
                      </w14:textFill>
                    </w:rPr>
                    <m:t>r</m:t>
                  </m:r>
                  <m:ctrlPr>
                    <w:rPr>
                      <w:rFonts w:hint="default" w:ascii="Cambria Math" w:hAnsi="Cambria Math" w:eastAsia="宋体" w:cs="Times New Roman"/>
                      <w:color w:val="000000" w:themeColor="text1"/>
                      <w:sz w:val="24"/>
                      <w14:textFill>
                        <w14:solidFill>
                          <w14:schemeClr w14:val="tx1"/>
                        </w14:solidFill>
                      </w14:textFill>
                    </w:rPr>
                  </m:ctrlPr>
                </m:e>
                <m:sub>
                  <m:r>
                    <m:rPr>
                      <m:nor/>
                      <m:sty m:val="p"/>
                    </m:rPr>
                    <w:rPr>
                      <w:rFonts w:hint="default" w:ascii="Times New Roman" w:hAnsi="Times New Roman" w:eastAsia="宋体" w:cs="Times New Roman"/>
                      <w:b w:val="0"/>
                      <w:i w:val="0"/>
                      <w:color w:val="000000" w:themeColor="text1"/>
                      <w:sz w:val="24"/>
                      <w14:textFill>
                        <w14:solidFill>
                          <w14:schemeClr w14:val="tx1"/>
                        </w14:solidFill>
                      </w14:textFill>
                    </w:rPr>
                    <m:t>0</m:t>
                  </m:r>
                  <m:ctrlPr>
                    <w:rPr>
                      <w:rFonts w:hint="default" w:ascii="Cambria Math" w:hAnsi="Cambria Math" w:eastAsia="宋体" w:cs="Times New Roman"/>
                      <w:color w:val="000000" w:themeColor="text1"/>
                      <w:sz w:val="24"/>
                      <w14:textFill>
                        <w14:solidFill>
                          <w14:schemeClr w14:val="tx1"/>
                        </w14:solidFill>
                      </w14:textFill>
                    </w:rPr>
                  </m:ctrlPr>
                </m:sub>
              </m:sSub>
              <m:r>
                <m:rPr>
                  <m:nor/>
                  <m:sty m:val="p"/>
                </m:rPr>
                <w:rPr>
                  <w:rFonts w:hint="default" w:ascii="Times New Roman" w:hAnsi="Times New Roman" w:eastAsia="宋体" w:cs="Times New Roman"/>
                  <w:b w:val="0"/>
                  <w:i w:val="0"/>
                  <w:color w:val="000000" w:themeColor="text1"/>
                  <w:sz w:val="24"/>
                  <w14:textFill>
                    <w14:solidFill>
                      <w14:schemeClr w14:val="tx1"/>
                    </w14:solidFill>
                  </w14:textFill>
                </w:rPr>
                <m:t>)</m:t>
              </m:r>
            </m:oMath>
            <w:r>
              <w:rPr>
                <w:rFonts w:hint="default" w:ascii="Times New Roman" w:hAnsi="Times New Roman" w:eastAsia="宋体" w:cs="Times New Roman"/>
                <w:color w:val="000000" w:themeColor="text1"/>
                <w:sz w:val="24"/>
                <w:lang w:val="en-US" w:eastAsia="zh-CN"/>
                <w14:textFill>
                  <w14:solidFill>
                    <w14:schemeClr w14:val="tx1"/>
                  </w14:solidFill>
                </w14:textFill>
              </w:rPr>
              <w:t>——参考位置</w:t>
            </w:r>
            <m:oMath>
              <m:sSub>
                <m:sSubPr>
                  <m:ctrlPr>
                    <w:rPr>
                      <w:rFonts w:hint="default" w:ascii="Cambria Math" w:hAnsi="Cambria Math" w:eastAsia="宋体" w:cs="Times New Roman"/>
                      <w:color w:val="000000" w:themeColor="text1"/>
                      <w:sz w:val="24"/>
                      <w14:textFill>
                        <w14:solidFill>
                          <w14:schemeClr w14:val="tx1"/>
                        </w14:solidFill>
                      </w14:textFill>
                    </w:rPr>
                  </m:ctrlPr>
                </m:sSubPr>
                <m:e>
                  <m:r>
                    <m:rPr>
                      <m:nor/>
                    </m:rPr>
                    <w:rPr>
                      <w:rFonts w:hint="default" w:ascii="Times New Roman" w:hAnsi="Times New Roman" w:eastAsia="宋体" w:cs="Times New Roman"/>
                      <w:i/>
                      <w:color w:val="000000" w:themeColor="text1"/>
                      <w:sz w:val="24"/>
                      <w14:textFill>
                        <w14:solidFill>
                          <w14:schemeClr w14:val="tx1"/>
                        </w14:solidFill>
                      </w14:textFill>
                    </w:rPr>
                    <m:t>r</m:t>
                  </m:r>
                  <m:ctrlPr>
                    <w:rPr>
                      <w:rFonts w:hint="default" w:ascii="Cambria Math" w:hAnsi="Cambria Math" w:eastAsia="宋体" w:cs="Times New Roman"/>
                      <w:color w:val="000000" w:themeColor="text1"/>
                      <w:sz w:val="24"/>
                      <w14:textFill>
                        <w14:solidFill>
                          <w14:schemeClr w14:val="tx1"/>
                        </w14:solidFill>
                      </w14:textFill>
                    </w:rPr>
                  </m:ctrlPr>
                </m:e>
                <m:sub>
                  <m:r>
                    <m:rPr>
                      <m:nor/>
                      <m:sty m:val="p"/>
                    </m:rPr>
                    <w:rPr>
                      <w:rFonts w:hint="default" w:ascii="Times New Roman" w:hAnsi="Times New Roman" w:eastAsia="宋体" w:cs="Times New Roman"/>
                      <w:b w:val="0"/>
                      <w:i w:val="0"/>
                      <w:color w:val="000000" w:themeColor="text1"/>
                      <w:sz w:val="24"/>
                      <w14:textFill>
                        <w14:solidFill>
                          <w14:schemeClr w14:val="tx1"/>
                        </w14:solidFill>
                      </w14:textFill>
                    </w:rPr>
                    <m:t>0</m:t>
                  </m:r>
                  <m:ctrlPr>
                    <w:rPr>
                      <w:rFonts w:hint="default" w:ascii="Cambria Math" w:hAnsi="Cambria Math" w:eastAsia="宋体" w:cs="Times New Roman"/>
                      <w:color w:val="000000" w:themeColor="text1"/>
                      <w:sz w:val="24"/>
                      <w14:textFill>
                        <w14:solidFill>
                          <w14:schemeClr w14:val="tx1"/>
                        </w14:solidFill>
                      </w14:textFill>
                    </w:rPr>
                  </m:ctrlPr>
                </m:sub>
              </m:sSub>
            </m:oMath>
            <w:r>
              <w:rPr>
                <w:rFonts w:hint="default" w:ascii="Times New Roman" w:hAnsi="Times New Roman" w:eastAsia="宋体" w:cs="Times New Roman"/>
                <w:color w:val="000000" w:themeColor="text1"/>
                <w:sz w:val="24"/>
                <w:lang w:val="en-US" w:eastAsia="zh-CN"/>
                <w14:textFill>
                  <w14:solidFill>
                    <w14:schemeClr w14:val="tx1"/>
                  </w14:solidFill>
                </w14:textFill>
              </w:rPr>
              <w:t>处的声压级，dB；</w:t>
            </w:r>
          </w:p>
          <w:p w14:paraId="50DB4E80">
            <w:pPr>
              <w:bidi w:val="0"/>
              <w:jc w:val="both"/>
              <w:rPr>
                <w:rFonts w:hint="default" w:ascii="Times New Roman" w:hAnsi="Times New Roman" w:eastAsia="宋体" w:cs="Times New Roman"/>
                <w:color w:val="000000" w:themeColor="text1"/>
                <w:sz w:val="24"/>
                <w:lang w:val="en-US" w:eastAsia="zh-CN"/>
                <w14:textFill>
                  <w14:solidFill>
                    <w14:schemeClr w14:val="tx1"/>
                  </w14:solidFill>
                </w14:textFill>
              </w:rPr>
            </w:pPr>
            <m:oMath>
              <m:r>
                <m:rPr>
                  <m:nor/>
                </m:rPr>
                <w:rPr>
                  <w:rFonts w:hint="default" w:ascii="Times New Roman" w:hAnsi="Times New Roman" w:eastAsia="宋体" w:cs="Times New Roman"/>
                  <w:i/>
                  <w:color w:val="000000" w:themeColor="text1"/>
                  <w:sz w:val="24"/>
                  <w14:textFill>
                    <w14:solidFill>
                      <w14:schemeClr w14:val="tx1"/>
                    </w14:solidFill>
                  </w14:textFill>
                </w:rPr>
                <m:t>r</m:t>
              </m:r>
            </m:oMath>
            <w:r>
              <w:rPr>
                <w:rFonts w:hint="default" w:ascii="Times New Roman" w:hAnsi="Times New Roman" w:eastAsia="宋体" w:cs="Times New Roman"/>
                <w:i w:val="0"/>
                <w:color w:val="000000" w:themeColor="text1"/>
                <w:sz w:val="24"/>
                <w:lang w:eastAsia="zh-CN"/>
                <w14:textFill>
                  <w14:solidFill>
                    <w14:schemeClr w14:val="tx1"/>
                  </w14:solidFill>
                </w14:textFill>
              </w:rPr>
              <w:t>——预测点距声源的距离；</w:t>
            </w:r>
          </w:p>
          <w:p w14:paraId="0F1BFC5A">
            <w:pPr>
              <w:bidi w:val="0"/>
              <w:jc w:val="both"/>
              <w:rPr>
                <w:rFonts w:hint="default" w:ascii="Times New Roman" w:hAnsi="Times New Roman" w:eastAsia="宋体" w:cs="Times New Roman"/>
                <w:color w:val="000000" w:themeColor="text1"/>
                <w:sz w:val="24"/>
                <w:lang w:val="en-US" w:eastAsia="zh-CN"/>
                <w14:textFill>
                  <w14:solidFill>
                    <w14:schemeClr w14:val="tx1"/>
                  </w14:solidFill>
                </w14:textFill>
              </w:rPr>
            </w:pPr>
            <m:oMath>
              <m:sSub>
                <m:sSubPr>
                  <m:ctrlPr>
                    <w:rPr>
                      <w:rFonts w:hint="default" w:ascii="Cambria Math" w:hAnsi="Cambria Math" w:eastAsia="宋体" w:cs="Times New Roman"/>
                      <w:color w:val="000000" w:themeColor="text1"/>
                      <w:sz w:val="24"/>
                      <w14:textFill>
                        <w14:solidFill>
                          <w14:schemeClr w14:val="tx1"/>
                        </w14:solidFill>
                      </w14:textFill>
                    </w:rPr>
                  </m:ctrlPr>
                </m:sSubPr>
                <m:e>
                  <m:r>
                    <m:rPr>
                      <m:nor/>
                    </m:rPr>
                    <w:rPr>
                      <w:rFonts w:hint="default" w:ascii="Times New Roman" w:hAnsi="Times New Roman" w:eastAsia="宋体" w:cs="Times New Roman"/>
                      <w:i/>
                      <w:color w:val="000000" w:themeColor="text1"/>
                      <w:sz w:val="24"/>
                      <w14:textFill>
                        <w14:solidFill>
                          <w14:schemeClr w14:val="tx1"/>
                        </w14:solidFill>
                      </w14:textFill>
                    </w:rPr>
                    <m:t>r</m:t>
                  </m:r>
                  <m:ctrlPr>
                    <w:rPr>
                      <w:rFonts w:hint="default" w:ascii="Cambria Math" w:hAnsi="Cambria Math" w:eastAsia="宋体" w:cs="Times New Roman"/>
                      <w:color w:val="000000" w:themeColor="text1"/>
                      <w:sz w:val="24"/>
                      <w14:textFill>
                        <w14:solidFill>
                          <w14:schemeClr w14:val="tx1"/>
                        </w14:solidFill>
                      </w14:textFill>
                    </w:rPr>
                  </m:ctrlPr>
                </m:e>
                <m:sub>
                  <m:r>
                    <m:rPr>
                      <m:nor/>
                      <m:sty m:val="p"/>
                    </m:rPr>
                    <w:rPr>
                      <w:rFonts w:hint="default" w:ascii="Times New Roman" w:hAnsi="Times New Roman" w:eastAsia="宋体" w:cs="Times New Roman"/>
                      <w:b w:val="0"/>
                      <w:i w:val="0"/>
                      <w:color w:val="000000" w:themeColor="text1"/>
                      <w:sz w:val="24"/>
                      <w14:textFill>
                        <w14:solidFill>
                          <w14:schemeClr w14:val="tx1"/>
                        </w14:solidFill>
                      </w14:textFill>
                    </w:rPr>
                    <m:t>0</m:t>
                  </m:r>
                  <m:ctrlPr>
                    <w:rPr>
                      <w:rFonts w:hint="default" w:ascii="Cambria Math" w:hAnsi="Cambria Math" w:eastAsia="宋体" w:cs="Times New Roman"/>
                      <w:color w:val="000000" w:themeColor="text1"/>
                      <w:sz w:val="24"/>
                      <w14:textFill>
                        <w14:solidFill>
                          <w14:schemeClr w14:val="tx1"/>
                        </w14:solidFill>
                      </w14:textFill>
                    </w:rPr>
                  </m:ctrlPr>
                </m:sub>
              </m:sSub>
            </m:oMath>
            <w:r>
              <w:rPr>
                <w:rFonts w:hint="default" w:ascii="Times New Roman" w:hAnsi="Times New Roman" w:eastAsia="宋体" w:cs="Times New Roman"/>
                <w:i w:val="0"/>
                <w:color w:val="000000" w:themeColor="text1"/>
                <w:sz w:val="24"/>
                <w:lang w:eastAsia="zh-CN"/>
                <w14:textFill>
                  <w14:solidFill>
                    <w14:schemeClr w14:val="tx1"/>
                  </w14:solidFill>
                </w14:textFill>
              </w:rPr>
              <w:t>——</w:t>
            </w:r>
            <w:r>
              <w:rPr>
                <w:rFonts w:hint="default" w:ascii="Times New Roman" w:hAnsi="Times New Roman" w:eastAsia="宋体" w:cs="Times New Roman"/>
                <w:color w:val="000000" w:themeColor="text1"/>
                <w:sz w:val="24"/>
                <w:lang w:val="en-US" w:eastAsia="zh-CN"/>
                <w14:textFill>
                  <w14:solidFill>
                    <w14:schemeClr w14:val="tx1"/>
                  </w14:solidFill>
                </w14:textFill>
              </w:rPr>
              <w:t>参考位置距声源的距离。</w:t>
            </w:r>
          </w:p>
          <w:p w14:paraId="419F50CE">
            <w:pPr>
              <w:bidi w:val="0"/>
              <w:jc w:val="both"/>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项目施工期主要的噪声源，各施工机械设备等效声级影响范围见下表。</w:t>
            </w:r>
          </w:p>
          <w:p w14:paraId="611AA3C2">
            <w:pPr>
              <w:pStyle w:val="74"/>
              <w:bidi w:val="0"/>
              <w:jc w:val="center"/>
              <w:rPr>
                <w:rFonts w:hint="default" w:ascii="Times New Roman" w:hAnsi="Times New Roman" w:eastAsia="宋体" w:cs="Times New Roman"/>
                <w:b/>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color w:val="000000" w:themeColor="text1"/>
                <w:sz w:val="21"/>
                <w:szCs w:val="21"/>
                <w:lang w:val="en-US" w:eastAsia="zh-CN"/>
                <w14:textFill>
                  <w14:solidFill>
                    <w14:schemeClr w14:val="tx1"/>
                  </w14:solidFill>
                </w14:textFill>
              </w:rPr>
              <w:t>表4-3</w:t>
            </w:r>
            <w:r>
              <w:rPr>
                <w:rFonts w:hint="eastAsia" w:ascii="Times New Roman" w:hAnsi="Times New Roman" w:cs="Times New Roman"/>
                <w:b/>
                <w:color w:val="000000" w:themeColor="text1"/>
                <w:sz w:val="21"/>
                <w:szCs w:val="21"/>
                <w:lang w:val="en-US" w:eastAsia="zh-CN"/>
                <w14:textFill>
                  <w14:solidFill>
                    <w14:schemeClr w14:val="tx1"/>
                  </w14:solidFill>
                </w14:textFill>
              </w:rPr>
              <w:t xml:space="preserve">  </w:t>
            </w:r>
            <w:r>
              <w:rPr>
                <w:rFonts w:hint="default" w:ascii="Times New Roman" w:hAnsi="Times New Roman" w:eastAsia="宋体" w:cs="Times New Roman"/>
                <w:b/>
                <w:color w:val="000000" w:themeColor="text1"/>
                <w:sz w:val="21"/>
                <w:szCs w:val="21"/>
                <w:lang w:val="en-US" w:eastAsia="zh-CN"/>
                <w14:textFill>
                  <w14:solidFill>
                    <w14:schemeClr w14:val="tx1"/>
                  </w14:solidFill>
                </w14:textFill>
              </w:rPr>
              <w:t>距声源不同距离处的噪声值单位：dB（A）</w:t>
            </w:r>
          </w:p>
          <w:tbl>
            <w:tblPr>
              <w:tblStyle w:val="27"/>
              <w:tblW w:w="80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7"/>
              <w:gridCol w:w="808"/>
              <w:gridCol w:w="653"/>
              <w:gridCol w:w="679"/>
              <w:gridCol w:w="694"/>
              <w:gridCol w:w="653"/>
              <w:gridCol w:w="756"/>
              <w:gridCol w:w="732"/>
              <w:gridCol w:w="744"/>
              <w:gridCol w:w="744"/>
            </w:tblGrid>
            <w:tr w14:paraId="7D8F2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0" w:type="pct"/>
                  <w:vAlign w:val="center"/>
                </w:tcPr>
                <w:p w14:paraId="7AB78430">
                  <w:pPr>
                    <w:pStyle w:val="73"/>
                    <w:bidi w:val="0"/>
                    <w:jc w:val="center"/>
                    <w:rPr>
                      <w:rFonts w:hint="default" w:ascii="Times New Roman" w:hAnsi="Times New Roman" w:eastAsia="宋体" w:cs="Times New Roman"/>
                      <w:b w:val="0"/>
                      <w:bCs/>
                      <w:color w:val="000000" w:themeColor="text1"/>
                      <w:lang w:val="en-US" w:eastAsia="zh-CN"/>
                      <w14:textFill>
                        <w14:solidFill>
                          <w14:schemeClr w14:val="tx1"/>
                        </w14:solidFill>
                      </w14:textFill>
                    </w:rPr>
                  </w:pPr>
                  <w:r>
                    <w:rPr>
                      <w:rFonts w:hint="default" w:ascii="Times New Roman" w:hAnsi="Times New Roman" w:eastAsia="宋体" w:cs="Times New Roman"/>
                      <w:b w:val="0"/>
                      <w:bCs/>
                      <w:color w:val="000000" w:themeColor="text1"/>
                      <w:lang w:val="en-US" w:eastAsia="zh-CN"/>
                      <w14:textFill>
                        <w14:solidFill>
                          <w14:schemeClr w14:val="tx1"/>
                        </w14:solidFill>
                      </w14:textFill>
                    </w:rPr>
                    <w:t>设备名称</w:t>
                  </w:r>
                </w:p>
              </w:tc>
              <w:tc>
                <w:tcPr>
                  <w:tcW w:w="503" w:type="pct"/>
                  <w:vAlign w:val="center"/>
                </w:tcPr>
                <w:p w14:paraId="3D2F32F5">
                  <w:pPr>
                    <w:pStyle w:val="73"/>
                    <w:bidi w:val="0"/>
                    <w:jc w:val="center"/>
                    <w:rPr>
                      <w:rFonts w:hint="default" w:ascii="Times New Roman" w:hAnsi="Times New Roman" w:eastAsia="宋体" w:cs="Times New Roman"/>
                      <w:b w:val="0"/>
                      <w:bCs/>
                      <w:color w:val="000000" w:themeColor="text1"/>
                      <w:lang w:val="en-US" w:eastAsia="zh-CN"/>
                      <w14:textFill>
                        <w14:solidFill>
                          <w14:schemeClr w14:val="tx1"/>
                        </w14:solidFill>
                      </w14:textFill>
                    </w:rPr>
                  </w:pPr>
                  <w:r>
                    <w:rPr>
                      <w:rFonts w:hint="default" w:ascii="Times New Roman" w:hAnsi="Times New Roman" w:eastAsia="宋体" w:cs="Times New Roman"/>
                      <w:b w:val="0"/>
                      <w:bCs/>
                      <w:color w:val="000000" w:themeColor="text1"/>
                      <w:lang w:val="en-US" w:eastAsia="zh-CN"/>
                      <w14:textFill>
                        <w14:solidFill>
                          <w14:schemeClr w14:val="tx1"/>
                        </w14:solidFill>
                      </w14:textFill>
                    </w:rPr>
                    <w:t>源强</w:t>
                  </w:r>
                  <w:r>
                    <w:rPr>
                      <w:rFonts w:hint="eastAsia" w:cs="Times New Roman"/>
                      <w:b w:val="0"/>
                      <w:bCs/>
                      <w:color w:val="000000" w:themeColor="text1"/>
                      <w:lang w:val="en-US" w:eastAsia="zh-CN"/>
                      <w14:textFill>
                        <w14:solidFill>
                          <w14:schemeClr w14:val="tx1"/>
                        </w14:solidFill>
                      </w14:textFill>
                    </w:rPr>
                    <w:t>（</w:t>
                  </w:r>
                  <w:r>
                    <w:rPr>
                      <w:rFonts w:hint="default" w:ascii="Times New Roman" w:hAnsi="Times New Roman" w:eastAsia="宋体" w:cs="Times New Roman"/>
                      <w:b w:val="0"/>
                      <w:bCs/>
                      <w:color w:val="000000" w:themeColor="text1"/>
                      <w:lang w:val="en-US" w:eastAsia="zh-CN"/>
                      <w14:textFill>
                        <w14:solidFill>
                          <w14:schemeClr w14:val="tx1"/>
                        </w14:solidFill>
                      </w14:textFill>
                    </w:rPr>
                    <w:t>1m</w:t>
                  </w:r>
                  <w:r>
                    <w:rPr>
                      <w:rFonts w:hint="eastAsia" w:cs="Times New Roman"/>
                      <w:b w:val="0"/>
                      <w:bCs/>
                      <w:color w:val="000000" w:themeColor="text1"/>
                      <w:lang w:val="en-US" w:eastAsia="zh-CN"/>
                      <w14:textFill>
                        <w14:solidFill>
                          <w14:schemeClr w14:val="tx1"/>
                        </w14:solidFill>
                      </w14:textFill>
                    </w:rPr>
                    <w:t>）</w:t>
                  </w:r>
                </w:p>
              </w:tc>
              <w:tc>
                <w:tcPr>
                  <w:tcW w:w="407" w:type="pct"/>
                  <w:vAlign w:val="center"/>
                </w:tcPr>
                <w:p w14:paraId="163295BE">
                  <w:pPr>
                    <w:pStyle w:val="73"/>
                    <w:bidi w:val="0"/>
                    <w:jc w:val="center"/>
                    <w:rPr>
                      <w:rFonts w:hint="default" w:ascii="Times New Roman" w:hAnsi="Times New Roman" w:eastAsia="宋体" w:cs="Times New Roman"/>
                      <w:b w:val="0"/>
                      <w:bCs/>
                      <w:color w:val="000000" w:themeColor="text1"/>
                      <w:lang w:val="en-US" w:eastAsia="zh-CN"/>
                      <w14:textFill>
                        <w14:solidFill>
                          <w14:schemeClr w14:val="tx1"/>
                        </w14:solidFill>
                      </w14:textFill>
                    </w:rPr>
                  </w:pPr>
                  <w:r>
                    <w:rPr>
                      <w:rFonts w:hint="default" w:ascii="Times New Roman" w:hAnsi="Times New Roman" w:eastAsia="宋体" w:cs="Times New Roman"/>
                      <w:b w:val="0"/>
                      <w:bCs/>
                      <w:color w:val="000000" w:themeColor="text1"/>
                      <w:lang w:val="en-US" w:eastAsia="zh-CN"/>
                      <w14:textFill>
                        <w14:solidFill>
                          <w14:schemeClr w14:val="tx1"/>
                        </w14:solidFill>
                      </w14:textFill>
                    </w:rPr>
                    <w:t>5m</w:t>
                  </w:r>
                </w:p>
              </w:tc>
              <w:tc>
                <w:tcPr>
                  <w:tcW w:w="423" w:type="pct"/>
                  <w:vAlign w:val="center"/>
                </w:tcPr>
                <w:p w14:paraId="4025116A">
                  <w:pPr>
                    <w:pStyle w:val="73"/>
                    <w:bidi w:val="0"/>
                    <w:jc w:val="center"/>
                    <w:rPr>
                      <w:rFonts w:hint="default" w:ascii="Times New Roman" w:hAnsi="Times New Roman" w:eastAsia="宋体" w:cs="Times New Roman"/>
                      <w:b w:val="0"/>
                      <w:bCs/>
                      <w:color w:val="000000" w:themeColor="text1"/>
                      <w:lang w:val="en-US" w:eastAsia="zh-CN"/>
                      <w14:textFill>
                        <w14:solidFill>
                          <w14:schemeClr w14:val="tx1"/>
                        </w14:solidFill>
                      </w14:textFill>
                    </w:rPr>
                  </w:pPr>
                  <w:r>
                    <w:rPr>
                      <w:rFonts w:hint="default" w:ascii="Times New Roman" w:hAnsi="Times New Roman" w:eastAsia="宋体" w:cs="Times New Roman"/>
                      <w:b w:val="0"/>
                      <w:bCs/>
                      <w:color w:val="000000" w:themeColor="text1"/>
                      <w:lang w:val="en-US" w:eastAsia="zh-CN"/>
                      <w14:textFill>
                        <w14:solidFill>
                          <w14:schemeClr w14:val="tx1"/>
                        </w14:solidFill>
                      </w14:textFill>
                    </w:rPr>
                    <w:t>10m</w:t>
                  </w:r>
                </w:p>
              </w:tc>
              <w:tc>
                <w:tcPr>
                  <w:tcW w:w="432" w:type="pct"/>
                  <w:vAlign w:val="center"/>
                </w:tcPr>
                <w:p w14:paraId="6DFD17A1">
                  <w:pPr>
                    <w:pStyle w:val="73"/>
                    <w:bidi w:val="0"/>
                    <w:jc w:val="center"/>
                    <w:rPr>
                      <w:rFonts w:hint="default" w:ascii="Times New Roman" w:hAnsi="Times New Roman" w:eastAsia="宋体" w:cs="Times New Roman"/>
                      <w:b w:val="0"/>
                      <w:bCs/>
                      <w:color w:val="000000" w:themeColor="text1"/>
                      <w:lang w:val="en-US" w:eastAsia="zh-CN"/>
                      <w14:textFill>
                        <w14:solidFill>
                          <w14:schemeClr w14:val="tx1"/>
                        </w14:solidFill>
                      </w14:textFill>
                    </w:rPr>
                  </w:pPr>
                  <w:r>
                    <w:rPr>
                      <w:rFonts w:hint="default" w:ascii="Times New Roman" w:hAnsi="Times New Roman" w:eastAsia="宋体" w:cs="Times New Roman"/>
                      <w:b w:val="0"/>
                      <w:bCs/>
                      <w:color w:val="000000" w:themeColor="text1"/>
                      <w:lang w:val="en-US" w:eastAsia="zh-CN"/>
                      <w14:textFill>
                        <w14:solidFill>
                          <w14:schemeClr w14:val="tx1"/>
                        </w14:solidFill>
                      </w14:textFill>
                    </w:rPr>
                    <w:t>20m</w:t>
                  </w:r>
                </w:p>
              </w:tc>
              <w:tc>
                <w:tcPr>
                  <w:tcW w:w="407" w:type="pct"/>
                  <w:vAlign w:val="center"/>
                </w:tcPr>
                <w:p w14:paraId="3B9F538A">
                  <w:pPr>
                    <w:pStyle w:val="73"/>
                    <w:bidi w:val="0"/>
                    <w:jc w:val="center"/>
                    <w:rPr>
                      <w:rFonts w:hint="default" w:ascii="Times New Roman" w:hAnsi="Times New Roman" w:eastAsia="宋体" w:cs="Times New Roman"/>
                      <w:b w:val="0"/>
                      <w:bCs/>
                      <w:color w:val="000000" w:themeColor="text1"/>
                      <w:lang w:val="en-US" w:eastAsia="zh-CN"/>
                      <w14:textFill>
                        <w14:solidFill>
                          <w14:schemeClr w14:val="tx1"/>
                        </w14:solidFill>
                      </w14:textFill>
                    </w:rPr>
                  </w:pPr>
                  <w:r>
                    <w:rPr>
                      <w:rFonts w:hint="default" w:ascii="Times New Roman" w:hAnsi="Times New Roman" w:eastAsia="宋体" w:cs="Times New Roman"/>
                      <w:b w:val="0"/>
                      <w:bCs/>
                      <w:color w:val="000000" w:themeColor="text1"/>
                      <w:lang w:val="en-US" w:eastAsia="zh-CN"/>
                      <w14:textFill>
                        <w14:solidFill>
                          <w14:schemeClr w14:val="tx1"/>
                        </w14:solidFill>
                      </w14:textFill>
                    </w:rPr>
                    <w:t>40m</w:t>
                  </w:r>
                </w:p>
              </w:tc>
              <w:tc>
                <w:tcPr>
                  <w:tcW w:w="471" w:type="pct"/>
                  <w:vAlign w:val="center"/>
                </w:tcPr>
                <w:p w14:paraId="2E831715">
                  <w:pPr>
                    <w:pStyle w:val="73"/>
                    <w:bidi w:val="0"/>
                    <w:jc w:val="center"/>
                    <w:rPr>
                      <w:rFonts w:hint="default" w:ascii="Times New Roman" w:hAnsi="Times New Roman" w:eastAsia="宋体" w:cs="Times New Roman"/>
                      <w:b w:val="0"/>
                      <w:bCs/>
                      <w:color w:val="000000" w:themeColor="text1"/>
                      <w:lang w:val="en-US" w:eastAsia="zh-CN"/>
                      <w14:textFill>
                        <w14:solidFill>
                          <w14:schemeClr w14:val="tx1"/>
                        </w14:solidFill>
                      </w14:textFill>
                    </w:rPr>
                  </w:pPr>
                  <w:r>
                    <w:rPr>
                      <w:rFonts w:hint="default" w:ascii="Times New Roman" w:hAnsi="Times New Roman" w:eastAsia="宋体" w:cs="Times New Roman"/>
                      <w:b w:val="0"/>
                      <w:bCs/>
                      <w:color w:val="000000" w:themeColor="text1"/>
                      <w:lang w:val="en-US" w:eastAsia="zh-CN"/>
                      <w14:textFill>
                        <w14:solidFill>
                          <w14:schemeClr w14:val="tx1"/>
                        </w14:solidFill>
                      </w14:textFill>
                    </w:rPr>
                    <w:t>50m</w:t>
                  </w:r>
                </w:p>
              </w:tc>
              <w:tc>
                <w:tcPr>
                  <w:tcW w:w="456" w:type="pct"/>
                  <w:vAlign w:val="center"/>
                </w:tcPr>
                <w:p w14:paraId="71939BF0">
                  <w:pPr>
                    <w:pStyle w:val="73"/>
                    <w:bidi w:val="0"/>
                    <w:jc w:val="center"/>
                    <w:rPr>
                      <w:rFonts w:hint="default" w:ascii="Times New Roman" w:hAnsi="Times New Roman" w:eastAsia="宋体" w:cs="Times New Roman"/>
                      <w:b w:val="0"/>
                      <w:bCs/>
                      <w:color w:val="000000" w:themeColor="text1"/>
                      <w:lang w:val="en-US" w:eastAsia="zh-CN"/>
                      <w14:textFill>
                        <w14:solidFill>
                          <w14:schemeClr w14:val="tx1"/>
                        </w14:solidFill>
                      </w14:textFill>
                    </w:rPr>
                  </w:pPr>
                  <w:r>
                    <w:rPr>
                      <w:rFonts w:hint="default" w:ascii="Times New Roman" w:hAnsi="Times New Roman" w:eastAsia="宋体" w:cs="Times New Roman"/>
                      <w:b w:val="0"/>
                      <w:bCs/>
                      <w:color w:val="000000" w:themeColor="text1"/>
                      <w:lang w:val="en-US" w:eastAsia="zh-CN"/>
                      <w14:textFill>
                        <w14:solidFill>
                          <w14:schemeClr w14:val="tx1"/>
                        </w14:solidFill>
                      </w14:textFill>
                    </w:rPr>
                    <w:t>100m</w:t>
                  </w:r>
                </w:p>
              </w:tc>
              <w:tc>
                <w:tcPr>
                  <w:tcW w:w="463" w:type="pct"/>
                  <w:vAlign w:val="center"/>
                </w:tcPr>
                <w:p w14:paraId="68B3374A">
                  <w:pPr>
                    <w:pStyle w:val="73"/>
                    <w:bidi w:val="0"/>
                    <w:jc w:val="center"/>
                    <w:rPr>
                      <w:rFonts w:hint="default" w:ascii="Times New Roman" w:hAnsi="Times New Roman" w:eastAsia="宋体" w:cs="Times New Roman"/>
                      <w:b w:val="0"/>
                      <w:bCs/>
                      <w:color w:val="000000" w:themeColor="text1"/>
                      <w:lang w:val="en-US" w:eastAsia="zh-CN"/>
                      <w14:textFill>
                        <w14:solidFill>
                          <w14:schemeClr w14:val="tx1"/>
                        </w14:solidFill>
                      </w14:textFill>
                    </w:rPr>
                  </w:pPr>
                  <w:r>
                    <w:rPr>
                      <w:rFonts w:hint="default" w:ascii="Times New Roman" w:hAnsi="Times New Roman" w:eastAsia="宋体" w:cs="Times New Roman"/>
                      <w:b w:val="0"/>
                      <w:bCs/>
                      <w:color w:val="000000" w:themeColor="text1"/>
                      <w:lang w:val="en-US" w:eastAsia="zh-CN"/>
                      <w14:textFill>
                        <w14:solidFill>
                          <w14:schemeClr w14:val="tx1"/>
                        </w14:solidFill>
                      </w14:textFill>
                    </w:rPr>
                    <w:t>150m</w:t>
                  </w:r>
                </w:p>
              </w:tc>
              <w:tc>
                <w:tcPr>
                  <w:tcW w:w="463" w:type="pct"/>
                  <w:vAlign w:val="center"/>
                </w:tcPr>
                <w:p w14:paraId="2369FB9A">
                  <w:pPr>
                    <w:pStyle w:val="73"/>
                    <w:bidi w:val="0"/>
                    <w:jc w:val="center"/>
                    <w:rPr>
                      <w:rFonts w:hint="default" w:ascii="Times New Roman" w:hAnsi="Times New Roman" w:eastAsia="宋体" w:cs="Times New Roman"/>
                      <w:b w:val="0"/>
                      <w:bCs/>
                      <w:color w:val="000000" w:themeColor="text1"/>
                      <w:lang w:val="en-US" w:eastAsia="zh-CN"/>
                      <w14:textFill>
                        <w14:solidFill>
                          <w14:schemeClr w14:val="tx1"/>
                        </w14:solidFill>
                      </w14:textFill>
                    </w:rPr>
                  </w:pPr>
                  <w:r>
                    <w:rPr>
                      <w:rFonts w:hint="default" w:ascii="Times New Roman" w:hAnsi="Times New Roman" w:eastAsia="宋体" w:cs="Times New Roman"/>
                      <w:b w:val="0"/>
                      <w:bCs/>
                      <w:color w:val="000000" w:themeColor="text1"/>
                      <w:lang w:val="en-US" w:eastAsia="zh-CN"/>
                      <w14:textFill>
                        <w14:solidFill>
                          <w14:schemeClr w14:val="tx1"/>
                        </w14:solidFill>
                      </w14:textFill>
                    </w:rPr>
                    <w:t>200m</w:t>
                  </w:r>
                </w:p>
              </w:tc>
            </w:tr>
            <w:tr w14:paraId="4C1BD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0" w:type="pct"/>
                  <w:vAlign w:val="center"/>
                </w:tcPr>
                <w:p w14:paraId="77A68B4B">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油锯</w:t>
                  </w:r>
                </w:p>
              </w:tc>
              <w:tc>
                <w:tcPr>
                  <w:tcW w:w="503" w:type="pct"/>
                  <w:vAlign w:val="center"/>
                </w:tcPr>
                <w:p w14:paraId="17C8D6B4">
                  <w:pPr>
                    <w:pStyle w:val="73"/>
                    <w:bidi w:val="0"/>
                    <w:ind w:firstLine="210" w:firstLineChars="10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95</w:t>
                  </w:r>
                </w:p>
              </w:tc>
              <w:tc>
                <w:tcPr>
                  <w:tcW w:w="407" w:type="pct"/>
                  <w:vAlign w:val="center"/>
                </w:tcPr>
                <w:p w14:paraId="7CB4AA77">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81.0</w:t>
                  </w:r>
                </w:p>
              </w:tc>
              <w:tc>
                <w:tcPr>
                  <w:tcW w:w="423" w:type="pct"/>
                  <w:vAlign w:val="center"/>
                </w:tcPr>
                <w:p w14:paraId="1AC20C29">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75.0</w:t>
                  </w:r>
                </w:p>
              </w:tc>
              <w:tc>
                <w:tcPr>
                  <w:tcW w:w="432" w:type="pct"/>
                  <w:vAlign w:val="center"/>
                </w:tcPr>
                <w:p w14:paraId="17DD33C2">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69.0</w:t>
                  </w:r>
                </w:p>
              </w:tc>
              <w:tc>
                <w:tcPr>
                  <w:tcW w:w="407" w:type="pct"/>
                  <w:vAlign w:val="center"/>
                </w:tcPr>
                <w:p w14:paraId="15E9B051">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63.0</w:t>
                  </w:r>
                </w:p>
              </w:tc>
              <w:tc>
                <w:tcPr>
                  <w:tcW w:w="471" w:type="pct"/>
                  <w:vAlign w:val="center"/>
                </w:tcPr>
                <w:p w14:paraId="3C786263">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61.0</w:t>
                  </w:r>
                </w:p>
              </w:tc>
              <w:tc>
                <w:tcPr>
                  <w:tcW w:w="456" w:type="pct"/>
                  <w:vAlign w:val="center"/>
                </w:tcPr>
                <w:p w14:paraId="4A83F02C">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55.0</w:t>
                  </w:r>
                </w:p>
              </w:tc>
              <w:tc>
                <w:tcPr>
                  <w:tcW w:w="463" w:type="pct"/>
                  <w:vAlign w:val="center"/>
                </w:tcPr>
                <w:p w14:paraId="084A5B11">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51.5</w:t>
                  </w:r>
                </w:p>
              </w:tc>
              <w:tc>
                <w:tcPr>
                  <w:tcW w:w="463" w:type="pct"/>
                  <w:vAlign w:val="center"/>
                </w:tcPr>
                <w:p w14:paraId="264DA419">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49.0</w:t>
                  </w:r>
                </w:p>
              </w:tc>
            </w:tr>
            <w:tr w14:paraId="4B782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0" w:type="pct"/>
                  <w:vAlign w:val="center"/>
                </w:tcPr>
                <w:p w14:paraId="2787500D">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割草机</w:t>
                  </w:r>
                </w:p>
              </w:tc>
              <w:tc>
                <w:tcPr>
                  <w:tcW w:w="503" w:type="pct"/>
                  <w:vAlign w:val="center"/>
                </w:tcPr>
                <w:p w14:paraId="75229DB1">
                  <w:pPr>
                    <w:pStyle w:val="73"/>
                    <w:bidi w:val="0"/>
                    <w:ind w:firstLine="210" w:firstLineChars="10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98</w:t>
                  </w:r>
                </w:p>
              </w:tc>
              <w:tc>
                <w:tcPr>
                  <w:tcW w:w="407" w:type="pct"/>
                  <w:vAlign w:val="center"/>
                </w:tcPr>
                <w:p w14:paraId="1D4C3F5A">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84.0</w:t>
                  </w:r>
                </w:p>
              </w:tc>
              <w:tc>
                <w:tcPr>
                  <w:tcW w:w="423" w:type="pct"/>
                  <w:vAlign w:val="center"/>
                </w:tcPr>
                <w:p w14:paraId="66AD83B6">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78.0</w:t>
                  </w:r>
                </w:p>
              </w:tc>
              <w:tc>
                <w:tcPr>
                  <w:tcW w:w="432" w:type="pct"/>
                  <w:vAlign w:val="center"/>
                </w:tcPr>
                <w:p w14:paraId="04B43BAF">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72.0</w:t>
                  </w:r>
                </w:p>
              </w:tc>
              <w:tc>
                <w:tcPr>
                  <w:tcW w:w="407" w:type="pct"/>
                  <w:vAlign w:val="center"/>
                </w:tcPr>
                <w:p w14:paraId="7AF538A9">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66.0</w:t>
                  </w:r>
                </w:p>
              </w:tc>
              <w:tc>
                <w:tcPr>
                  <w:tcW w:w="471" w:type="pct"/>
                  <w:vAlign w:val="center"/>
                </w:tcPr>
                <w:p w14:paraId="6F16A7FB">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64.0</w:t>
                  </w:r>
                </w:p>
              </w:tc>
              <w:tc>
                <w:tcPr>
                  <w:tcW w:w="456" w:type="pct"/>
                  <w:vAlign w:val="center"/>
                </w:tcPr>
                <w:p w14:paraId="189281D0">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58.0</w:t>
                  </w:r>
                </w:p>
              </w:tc>
              <w:tc>
                <w:tcPr>
                  <w:tcW w:w="463" w:type="pct"/>
                  <w:vAlign w:val="center"/>
                </w:tcPr>
                <w:p w14:paraId="7AE55FAE">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54.5</w:t>
                  </w:r>
                </w:p>
              </w:tc>
              <w:tc>
                <w:tcPr>
                  <w:tcW w:w="463" w:type="pct"/>
                  <w:vAlign w:val="center"/>
                </w:tcPr>
                <w:p w14:paraId="7CF70CFB">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52.0</w:t>
                  </w:r>
                </w:p>
              </w:tc>
            </w:tr>
            <w:tr w14:paraId="7782E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0" w:type="pct"/>
                  <w:vAlign w:val="center"/>
                </w:tcPr>
                <w:p w14:paraId="016CBA65">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小型挖树坑机</w:t>
                  </w:r>
                </w:p>
              </w:tc>
              <w:tc>
                <w:tcPr>
                  <w:tcW w:w="503" w:type="pct"/>
                  <w:vAlign w:val="center"/>
                </w:tcPr>
                <w:p w14:paraId="29BB8BCB">
                  <w:pPr>
                    <w:pStyle w:val="73"/>
                    <w:bidi w:val="0"/>
                    <w:ind w:firstLine="210" w:firstLineChars="10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85</w:t>
                  </w:r>
                </w:p>
              </w:tc>
              <w:tc>
                <w:tcPr>
                  <w:tcW w:w="407" w:type="pct"/>
                  <w:vAlign w:val="center"/>
                </w:tcPr>
                <w:p w14:paraId="3C640F15">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71.0</w:t>
                  </w:r>
                </w:p>
              </w:tc>
              <w:tc>
                <w:tcPr>
                  <w:tcW w:w="423" w:type="pct"/>
                  <w:vAlign w:val="center"/>
                </w:tcPr>
                <w:p w14:paraId="65F90DA8">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65.0</w:t>
                  </w:r>
                </w:p>
              </w:tc>
              <w:tc>
                <w:tcPr>
                  <w:tcW w:w="432" w:type="pct"/>
                  <w:vAlign w:val="center"/>
                </w:tcPr>
                <w:p w14:paraId="58BA27B5">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59.0</w:t>
                  </w:r>
                </w:p>
              </w:tc>
              <w:tc>
                <w:tcPr>
                  <w:tcW w:w="407" w:type="pct"/>
                  <w:vAlign w:val="center"/>
                </w:tcPr>
                <w:p w14:paraId="2ED77DAA">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53.0</w:t>
                  </w:r>
                </w:p>
              </w:tc>
              <w:tc>
                <w:tcPr>
                  <w:tcW w:w="471" w:type="pct"/>
                  <w:vAlign w:val="center"/>
                </w:tcPr>
                <w:p w14:paraId="75A90FBE">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51.0</w:t>
                  </w:r>
                </w:p>
              </w:tc>
              <w:tc>
                <w:tcPr>
                  <w:tcW w:w="456" w:type="pct"/>
                  <w:vAlign w:val="center"/>
                </w:tcPr>
                <w:p w14:paraId="1F03386D">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45.0</w:t>
                  </w:r>
                </w:p>
              </w:tc>
              <w:tc>
                <w:tcPr>
                  <w:tcW w:w="463" w:type="pct"/>
                  <w:vAlign w:val="center"/>
                </w:tcPr>
                <w:p w14:paraId="02FF9ABC">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41.5</w:t>
                  </w:r>
                </w:p>
              </w:tc>
              <w:tc>
                <w:tcPr>
                  <w:tcW w:w="463" w:type="pct"/>
                  <w:vAlign w:val="center"/>
                </w:tcPr>
                <w:p w14:paraId="4F07BDE2">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39.0</w:t>
                  </w:r>
                </w:p>
              </w:tc>
            </w:tr>
            <w:tr w14:paraId="78857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0" w:type="pct"/>
                  <w:vAlign w:val="center"/>
                </w:tcPr>
                <w:p w14:paraId="7D7A0B79">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运输车辆</w:t>
                  </w:r>
                </w:p>
              </w:tc>
              <w:tc>
                <w:tcPr>
                  <w:tcW w:w="503" w:type="pct"/>
                  <w:vAlign w:val="center"/>
                </w:tcPr>
                <w:p w14:paraId="2A291AF3">
                  <w:pPr>
                    <w:pStyle w:val="73"/>
                    <w:bidi w:val="0"/>
                    <w:ind w:firstLine="210" w:firstLineChars="10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80</w:t>
                  </w:r>
                </w:p>
              </w:tc>
              <w:tc>
                <w:tcPr>
                  <w:tcW w:w="407" w:type="pct"/>
                  <w:vAlign w:val="center"/>
                </w:tcPr>
                <w:p w14:paraId="47FC0633">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66.0</w:t>
                  </w:r>
                </w:p>
              </w:tc>
              <w:tc>
                <w:tcPr>
                  <w:tcW w:w="423" w:type="pct"/>
                  <w:vAlign w:val="center"/>
                </w:tcPr>
                <w:p w14:paraId="1F6A4516">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60.0</w:t>
                  </w:r>
                </w:p>
              </w:tc>
              <w:tc>
                <w:tcPr>
                  <w:tcW w:w="432" w:type="pct"/>
                  <w:vAlign w:val="center"/>
                </w:tcPr>
                <w:p w14:paraId="35635205">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54.0</w:t>
                  </w:r>
                </w:p>
              </w:tc>
              <w:tc>
                <w:tcPr>
                  <w:tcW w:w="407" w:type="pct"/>
                  <w:vAlign w:val="center"/>
                </w:tcPr>
                <w:p w14:paraId="030EE953">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48.0</w:t>
                  </w:r>
                </w:p>
              </w:tc>
              <w:tc>
                <w:tcPr>
                  <w:tcW w:w="471" w:type="pct"/>
                  <w:vAlign w:val="center"/>
                </w:tcPr>
                <w:p w14:paraId="0F433AD9">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46.0</w:t>
                  </w:r>
                </w:p>
              </w:tc>
              <w:tc>
                <w:tcPr>
                  <w:tcW w:w="456" w:type="pct"/>
                  <w:vAlign w:val="center"/>
                </w:tcPr>
                <w:p w14:paraId="35C7DE84">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40.0</w:t>
                  </w:r>
                </w:p>
              </w:tc>
              <w:tc>
                <w:tcPr>
                  <w:tcW w:w="463" w:type="pct"/>
                  <w:vAlign w:val="center"/>
                </w:tcPr>
                <w:p w14:paraId="37D1E5C3">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36.5</w:t>
                  </w:r>
                </w:p>
              </w:tc>
              <w:tc>
                <w:tcPr>
                  <w:tcW w:w="463" w:type="pct"/>
                  <w:vAlign w:val="center"/>
                </w:tcPr>
                <w:p w14:paraId="6E73B4B2">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34.0</w:t>
                  </w:r>
                </w:p>
              </w:tc>
            </w:tr>
            <w:tr w14:paraId="48022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0" w:type="pct"/>
                  <w:vAlign w:val="center"/>
                </w:tcPr>
                <w:p w14:paraId="1B601E87">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油锯</w:t>
                  </w:r>
                </w:p>
              </w:tc>
              <w:tc>
                <w:tcPr>
                  <w:tcW w:w="503" w:type="pct"/>
                  <w:vAlign w:val="center"/>
                </w:tcPr>
                <w:p w14:paraId="68C6EC70">
                  <w:pPr>
                    <w:pStyle w:val="73"/>
                    <w:bidi w:val="0"/>
                    <w:ind w:firstLine="210" w:firstLineChars="10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95</w:t>
                  </w:r>
                </w:p>
              </w:tc>
              <w:tc>
                <w:tcPr>
                  <w:tcW w:w="407" w:type="pct"/>
                  <w:vAlign w:val="center"/>
                </w:tcPr>
                <w:p w14:paraId="141386E4">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81.0</w:t>
                  </w:r>
                </w:p>
              </w:tc>
              <w:tc>
                <w:tcPr>
                  <w:tcW w:w="423" w:type="pct"/>
                  <w:vAlign w:val="center"/>
                </w:tcPr>
                <w:p w14:paraId="5E8BB94D">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75.0</w:t>
                  </w:r>
                </w:p>
              </w:tc>
              <w:tc>
                <w:tcPr>
                  <w:tcW w:w="432" w:type="pct"/>
                  <w:vAlign w:val="center"/>
                </w:tcPr>
                <w:p w14:paraId="0303573F">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69.0</w:t>
                  </w:r>
                </w:p>
              </w:tc>
              <w:tc>
                <w:tcPr>
                  <w:tcW w:w="407" w:type="pct"/>
                  <w:vAlign w:val="center"/>
                </w:tcPr>
                <w:p w14:paraId="7C96AD84">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63.0</w:t>
                  </w:r>
                </w:p>
              </w:tc>
              <w:tc>
                <w:tcPr>
                  <w:tcW w:w="471" w:type="pct"/>
                  <w:vAlign w:val="center"/>
                </w:tcPr>
                <w:p w14:paraId="4C6F7423">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61.0</w:t>
                  </w:r>
                </w:p>
              </w:tc>
              <w:tc>
                <w:tcPr>
                  <w:tcW w:w="456" w:type="pct"/>
                  <w:vAlign w:val="center"/>
                </w:tcPr>
                <w:p w14:paraId="09D3BDB0">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55.0</w:t>
                  </w:r>
                </w:p>
              </w:tc>
              <w:tc>
                <w:tcPr>
                  <w:tcW w:w="463" w:type="pct"/>
                  <w:vAlign w:val="center"/>
                </w:tcPr>
                <w:p w14:paraId="680B32E5">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51.5</w:t>
                  </w:r>
                </w:p>
              </w:tc>
              <w:tc>
                <w:tcPr>
                  <w:tcW w:w="463" w:type="pct"/>
                  <w:vAlign w:val="center"/>
                </w:tcPr>
                <w:p w14:paraId="4BC07069">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49.0</w:t>
                  </w:r>
                </w:p>
              </w:tc>
            </w:tr>
            <w:tr w14:paraId="5259F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0" w:type="pct"/>
                  <w:vAlign w:val="center"/>
                </w:tcPr>
                <w:p w14:paraId="5F2071C6">
                  <w:pPr>
                    <w:pStyle w:val="73"/>
                    <w:bidi w:val="0"/>
                    <w:ind w:firstLine="0" w:firstLineChars="0"/>
                    <w:jc w:val="center"/>
                    <w:rPr>
                      <w:rFonts w:hint="default" w:ascii="Times New Roman" w:hAnsi="Times New Roman" w:eastAsia="宋体" w:cs="Times New Roman"/>
                      <w:b w:val="0"/>
                      <w:bCs/>
                      <w:color w:val="000000" w:themeColor="text1"/>
                      <w:lang w:val="en-US" w:eastAsia="zh-CN"/>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油锯</w:t>
                  </w:r>
                </w:p>
              </w:tc>
              <w:tc>
                <w:tcPr>
                  <w:tcW w:w="503" w:type="pct"/>
                  <w:vAlign w:val="center"/>
                </w:tcPr>
                <w:p w14:paraId="25DDF675">
                  <w:pPr>
                    <w:pStyle w:val="73"/>
                    <w:bidi w:val="0"/>
                    <w:ind w:firstLine="210" w:firstLineChars="10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95</w:t>
                  </w:r>
                </w:p>
              </w:tc>
              <w:tc>
                <w:tcPr>
                  <w:tcW w:w="407" w:type="pct"/>
                  <w:vAlign w:val="center"/>
                </w:tcPr>
                <w:p w14:paraId="0537A373">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81.0</w:t>
                  </w:r>
                </w:p>
              </w:tc>
              <w:tc>
                <w:tcPr>
                  <w:tcW w:w="423" w:type="pct"/>
                  <w:vAlign w:val="center"/>
                </w:tcPr>
                <w:p w14:paraId="1DF84B09">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75.0</w:t>
                  </w:r>
                </w:p>
              </w:tc>
              <w:tc>
                <w:tcPr>
                  <w:tcW w:w="432" w:type="pct"/>
                  <w:vAlign w:val="center"/>
                </w:tcPr>
                <w:p w14:paraId="6FC83D11">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69.0</w:t>
                  </w:r>
                </w:p>
              </w:tc>
              <w:tc>
                <w:tcPr>
                  <w:tcW w:w="407" w:type="pct"/>
                  <w:vAlign w:val="center"/>
                </w:tcPr>
                <w:p w14:paraId="4ED2992B">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63.0</w:t>
                  </w:r>
                </w:p>
              </w:tc>
              <w:tc>
                <w:tcPr>
                  <w:tcW w:w="471" w:type="pct"/>
                  <w:vAlign w:val="center"/>
                </w:tcPr>
                <w:p w14:paraId="37E2B37F">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61.0</w:t>
                  </w:r>
                </w:p>
              </w:tc>
              <w:tc>
                <w:tcPr>
                  <w:tcW w:w="456" w:type="pct"/>
                  <w:vAlign w:val="center"/>
                </w:tcPr>
                <w:p w14:paraId="67DBD4F7">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55.0</w:t>
                  </w:r>
                </w:p>
              </w:tc>
              <w:tc>
                <w:tcPr>
                  <w:tcW w:w="463" w:type="pct"/>
                  <w:vAlign w:val="center"/>
                </w:tcPr>
                <w:p w14:paraId="06014351">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51.5</w:t>
                  </w:r>
                </w:p>
              </w:tc>
              <w:tc>
                <w:tcPr>
                  <w:tcW w:w="463" w:type="pct"/>
                  <w:vAlign w:val="center"/>
                </w:tcPr>
                <w:p w14:paraId="0A86DF75">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49.0</w:t>
                  </w:r>
                </w:p>
              </w:tc>
            </w:tr>
            <w:tr w14:paraId="10B51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0" w:type="pct"/>
                  <w:vAlign w:val="center"/>
                </w:tcPr>
                <w:p w14:paraId="0CE9F8F5">
                  <w:pPr>
                    <w:pStyle w:val="73"/>
                    <w:bidi w:val="0"/>
                    <w:ind w:firstLine="0" w:firstLineChars="0"/>
                    <w:jc w:val="center"/>
                    <w:rPr>
                      <w:rFonts w:hint="default" w:ascii="Times New Roman" w:hAnsi="Times New Roman" w:eastAsia="宋体" w:cs="Times New Roman"/>
                      <w:b w:val="0"/>
                      <w:bCs/>
                      <w:color w:val="000000" w:themeColor="text1"/>
                      <w:lang w:val="en-US" w:eastAsia="zh-CN"/>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小型挖树坑机</w:t>
                  </w:r>
                </w:p>
              </w:tc>
              <w:tc>
                <w:tcPr>
                  <w:tcW w:w="503" w:type="pct"/>
                  <w:vAlign w:val="center"/>
                </w:tcPr>
                <w:p w14:paraId="1A27B912">
                  <w:pPr>
                    <w:pStyle w:val="73"/>
                    <w:bidi w:val="0"/>
                    <w:ind w:firstLine="210" w:firstLineChars="10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85</w:t>
                  </w:r>
                </w:p>
              </w:tc>
              <w:tc>
                <w:tcPr>
                  <w:tcW w:w="407" w:type="pct"/>
                  <w:vAlign w:val="center"/>
                </w:tcPr>
                <w:p w14:paraId="14860B33">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71.0</w:t>
                  </w:r>
                </w:p>
              </w:tc>
              <w:tc>
                <w:tcPr>
                  <w:tcW w:w="423" w:type="pct"/>
                  <w:vAlign w:val="center"/>
                </w:tcPr>
                <w:p w14:paraId="1DAB2B74">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65.0</w:t>
                  </w:r>
                </w:p>
              </w:tc>
              <w:tc>
                <w:tcPr>
                  <w:tcW w:w="432" w:type="pct"/>
                  <w:vAlign w:val="center"/>
                </w:tcPr>
                <w:p w14:paraId="0CF61EB9">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59.0</w:t>
                  </w:r>
                </w:p>
              </w:tc>
              <w:tc>
                <w:tcPr>
                  <w:tcW w:w="407" w:type="pct"/>
                  <w:vAlign w:val="center"/>
                </w:tcPr>
                <w:p w14:paraId="5098F646">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53.0</w:t>
                  </w:r>
                </w:p>
              </w:tc>
              <w:tc>
                <w:tcPr>
                  <w:tcW w:w="471" w:type="pct"/>
                  <w:vAlign w:val="center"/>
                </w:tcPr>
                <w:p w14:paraId="7F0E289F">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51.0</w:t>
                  </w:r>
                </w:p>
              </w:tc>
              <w:tc>
                <w:tcPr>
                  <w:tcW w:w="456" w:type="pct"/>
                  <w:vAlign w:val="center"/>
                </w:tcPr>
                <w:p w14:paraId="520880D6">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45.0</w:t>
                  </w:r>
                </w:p>
              </w:tc>
              <w:tc>
                <w:tcPr>
                  <w:tcW w:w="463" w:type="pct"/>
                  <w:vAlign w:val="center"/>
                </w:tcPr>
                <w:p w14:paraId="039E6D5B">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41.5</w:t>
                  </w:r>
                </w:p>
              </w:tc>
              <w:tc>
                <w:tcPr>
                  <w:tcW w:w="463" w:type="pct"/>
                  <w:vAlign w:val="center"/>
                </w:tcPr>
                <w:p w14:paraId="676EE240">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39.0</w:t>
                  </w:r>
                </w:p>
              </w:tc>
            </w:tr>
            <w:tr w14:paraId="0ADD0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0" w:type="pct"/>
                  <w:vAlign w:val="center"/>
                </w:tcPr>
                <w:p w14:paraId="44A89119">
                  <w:pPr>
                    <w:pStyle w:val="73"/>
                    <w:bidi w:val="0"/>
                    <w:ind w:firstLine="0" w:firstLineChars="0"/>
                    <w:jc w:val="center"/>
                    <w:rPr>
                      <w:rFonts w:hint="default" w:ascii="Times New Roman" w:hAnsi="Times New Roman" w:eastAsia="宋体" w:cs="Times New Roman"/>
                      <w:b w:val="0"/>
                      <w:bCs/>
                      <w:color w:val="000000" w:themeColor="text1"/>
                      <w:lang w:val="en-US" w:eastAsia="zh-CN"/>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运输车辆</w:t>
                  </w:r>
                </w:p>
              </w:tc>
              <w:tc>
                <w:tcPr>
                  <w:tcW w:w="503" w:type="pct"/>
                  <w:vAlign w:val="center"/>
                </w:tcPr>
                <w:p w14:paraId="42202A9A">
                  <w:pPr>
                    <w:pStyle w:val="73"/>
                    <w:bidi w:val="0"/>
                    <w:ind w:firstLine="210" w:firstLineChars="10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80</w:t>
                  </w:r>
                </w:p>
              </w:tc>
              <w:tc>
                <w:tcPr>
                  <w:tcW w:w="407" w:type="pct"/>
                  <w:vAlign w:val="center"/>
                </w:tcPr>
                <w:p w14:paraId="2054B689">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66.0</w:t>
                  </w:r>
                </w:p>
              </w:tc>
              <w:tc>
                <w:tcPr>
                  <w:tcW w:w="423" w:type="pct"/>
                  <w:vAlign w:val="center"/>
                </w:tcPr>
                <w:p w14:paraId="54F1C4BC">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60.0</w:t>
                  </w:r>
                </w:p>
              </w:tc>
              <w:tc>
                <w:tcPr>
                  <w:tcW w:w="432" w:type="pct"/>
                  <w:vAlign w:val="center"/>
                </w:tcPr>
                <w:p w14:paraId="6F0B7E97">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54.0</w:t>
                  </w:r>
                </w:p>
              </w:tc>
              <w:tc>
                <w:tcPr>
                  <w:tcW w:w="407" w:type="pct"/>
                  <w:vAlign w:val="center"/>
                </w:tcPr>
                <w:p w14:paraId="5B7928CA">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48.0</w:t>
                  </w:r>
                </w:p>
              </w:tc>
              <w:tc>
                <w:tcPr>
                  <w:tcW w:w="471" w:type="pct"/>
                  <w:vAlign w:val="center"/>
                </w:tcPr>
                <w:p w14:paraId="7E763178">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46.0</w:t>
                  </w:r>
                </w:p>
              </w:tc>
              <w:tc>
                <w:tcPr>
                  <w:tcW w:w="456" w:type="pct"/>
                  <w:vAlign w:val="center"/>
                </w:tcPr>
                <w:p w14:paraId="30672360">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40.0</w:t>
                  </w:r>
                </w:p>
              </w:tc>
              <w:tc>
                <w:tcPr>
                  <w:tcW w:w="463" w:type="pct"/>
                  <w:vAlign w:val="center"/>
                </w:tcPr>
                <w:p w14:paraId="2995687E">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36.5</w:t>
                  </w:r>
                </w:p>
              </w:tc>
              <w:tc>
                <w:tcPr>
                  <w:tcW w:w="463" w:type="pct"/>
                  <w:vAlign w:val="center"/>
                </w:tcPr>
                <w:p w14:paraId="11F1BE42">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34.0</w:t>
                  </w:r>
                </w:p>
              </w:tc>
            </w:tr>
            <w:tr w14:paraId="1D3AA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0" w:type="pct"/>
                  <w:vAlign w:val="center"/>
                </w:tcPr>
                <w:p w14:paraId="6C3227DD">
                  <w:pPr>
                    <w:pStyle w:val="73"/>
                    <w:bidi w:val="0"/>
                    <w:ind w:firstLine="0" w:firstLineChars="0"/>
                    <w:jc w:val="center"/>
                    <w:rPr>
                      <w:rFonts w:hint="default" w:ascii="Times New Roman" w:hAnsi="Times New Roman" w:eastAsia="宋体" w:cs="Times New Roman"/>
                      <w:b w:val="0"/>
                      <w:bCs/>
                      <w:color w:val="000000" w:themeColor="text1"/>
                      <w:lang w:val="en-US" w:eastAsia="zh-CN"/>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旋耕机</w:t>
                  </w:r>
                </w:p>
              </w:tc>
              <w:tc>
                <w:tcPr>
                  <w:tcW w:w="503" w:type="pct"/>
                  <w:vAlign w:val="center"/>
                </w:tcPr>
                <w:p w14:paraId="65137577">
                  <w:pPr>
                    <w:pStyle w:val="73"/>
                    <w:bidi w:val="0"/>
                    <w:ind w:firstLine="210" w:firstLineChars="10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98</w:t>
                  </w:r>
                </w:p>
              </w:tc>
              <w:tc>
                <w:tcPr>
                  <w:tcW w:w="407" w:type="pct"/>
                  <w:vAlign w:val="center"/>
                </w:tcPr>
                <w:p w14:paraId="344E390C">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84.0</w:t>
                  </w:r>
                </w:p>
              </w:tc>
              <w:tc>
                <w:tcPr>
                  <w:tcW w:w="423" w:type="pct"/>
                  <w:vAlign w:val="center"/>
                </w:tcPr>
                <w:p w14:paraId="5099B331">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78.0</w:t>
                  </w:r>
                </w:p>
              </w:tc>
              <w:tc>
                <w:tcPr>
                  <w:tcW w:w="432" w:type="pct"/>
                  <w:vAlign w:val="center"/>
                </w:tcPr>
                <w:p w14:paraId="00413509">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72.0</w:t>
                  </w:r>
                </w:p>
              </w:tc>
              <w:tc>
                <w:tcPr>
                  <w:tcW w:w="407" w:type="pct"/>
                  <w:vAlign w:val="center"/>
                </w:tcPr>
                <w:p w14:paraId="43AC1484">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66.0</w:t>
                  </w:r>
                </w:p>
              </w:tc>
              <w:tc>
                <w:tcPr>
                  <w:tcW w:w="471" w:type="pct"/>
                  <w:vAlign w:val="center"/>
                </w:tcPr>
                <w:p w14:paraId="2729A697">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64.0</w:t>
                  </w:r>
                </w:p>
              </w:tc>
              <w:tc>
                <w:tcPr>
                  <w:tcW w:w="456" w:type="pct"/>
                  <w:vAlign w:val="center"/>
                </w:tcPr>
                <w:p w14:paraId="34FBC9CC">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58.0</w:t>
                  </w:r>
                </w:p>
              </w:tc>
              <w:tc>
                <w:tcPr>
                  <w:tcW w:w="463" w:type="pct"/>
                  <w:vAlign w:val="center"/>
                </w:tcPr>
                <w:p w14:paraId="64986113">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54.5</w:t>
                  </w:r>
                </w:p>
              </w:tc>
              <w:tc>
                <w:tcPr>
                  <w:tcW w:w="463" w:type="pct"/>
                  <w:vAlign w:val="center"/>
                </w:tcPr>
                <w:p w14:paraId="1AE88B34">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52.0</w:t>
                  </w:r>
                </w:p>
              </w:tc>
            </w:tr>
            <w:tr w14:paraId="4D26C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0" w:type="pct"/>
                  <w:vAlign w:val="center"/>
                </w:tcPr>
                <w:p w14:paraId="7630881D">
                  <w:pPr>
                    <w:pStyle w:val="73"/>
                    <w:bidi w:val="0"/>
                    <w:ind w:firstLine="0" w:firstLineChars="0"/>
                    <w:jc w:val="center"/>
                    <w:rPr>
                      <w:rFonts w:hint="default" w:ascii="Times New Roman" w:hAnsi="Times New Roman" w:eastAsia="宋体" w:cs="Times New Roman"/>
                      <w:b w:val="0"/>
                      <w:bCs/>
                      <w:color w:val="000000" w:themeColor="text1"/>
                      <w:lang w:val="en-US" w:eastAsia="zh-CN"/>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运输车辆</w:t>
                  </w:r>
                </w:p>
              </w:tc>
              <w:tc>
                <w:tcPr>
                  <w:tcW w:w="503" w:type="pct"/>
                  <w:vAlign w:val="center"/>
                </w:tcPr>
                <w:p w14:paraId="0592E420">
                  <w:pPr>
                    <w:pStyle w:val="73"/>
                    <w:bidi w:val="0"/>
                    <w:ind w:firstLine="210" w:firstLineChars="10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80</w:t>
                  </w:r>
                </w:p>
              </w:tc>
              <w:tc>
                <w:tcPr>
                  <w:tcW w:w="407" w:type="pct"/>
                  <w:vAlign w:val="center"/>
                </w:tcPr>
                <w:p w14:paraId="4666F409">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66.0</w:t>
                  </w:r>
                </w:p>
              </w:tc>
              <w:tc>
                <w:tcPr>
                  <w:tcW w:w="423" w:type="pct"/>
                  <w:vAlign w:val="center"/>
                </w:tcPr>
                <w:p w14:paraId="4CA6A7F8">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60.0</w:t>
                  </w:r>
                </w:p>
              </w:tc>
              <w:tc>
                <w:tcPr>
                  <w:tcW w:w="432" w:type="pct"/>
                  <w:vAlign w:val="center"/>
                </w:tcPr>
                <w:p w14:paraId="379945EE">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54.0</w:t>
                  </w:r>
                </w:p>
              </w:tc>
              <w:tc>
                <w:tcPr>
                  <w:tcW w:w="407" w:type="pct"/>
                  <w:vAlign w:val="center"/>
                </w:tcPr>
                <w:p w14:paraId="38E9E85E">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48.0</w:t>
                  </w:r>
                </w:p>
              </w:tc>
              <w:tc>
                <w:tcPr>
                  <w:tcW w:w="471" w:type="pct"/>
                  <w:vAlign w:val="center"/>
                </w:tcPr>
                <w:p w14:paraId="1049FF35">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46.0</w:t>
                  </w:r>
                </w:p>
              </w:tc>
              <w:tc>
                <w:tcPr>
                  <w:tcW w:w="456" w:type="pct"/>
                  <w:vAlign w:val="center"/>
                </w:tcPr>
                <w:p w14:paraId="6A5C1B06">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40.0</w:t>
                  </w:r>
                </w:p>
              </w:tc>
              <w:tc>
                <w:tcPr>
                  <w:tcW w:w="463" w:type="pct"/>
                  <w:vAlign w:val="center"/>
                </w:tcPr>
                <w:p w14:paraId="62135CA9">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36.5</w:t>
                  </w:r>
                </w:p>
              </w:tc>
              <w:tc>
                <w:tcPr>
                  <w:tcW w:w="463" w:type="pct"/>
                  <w:vAlign w:val="center"/>
                </w:tcPr>
                <w:p w14:paraId="4A629E39">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34.0</w:t>
                  </w:r>
                </w:p>
              </w:tc>
            </w:tr>
            <w:tr w14:paraId="47DDA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0" w:type="pct"/>
                  <w:vAlign w:val="center"/>
                </w:tcPr>
                <w:p w14:paraId="5B8C3C3A">
                  <w:pPr>
                    <w:pStyle w:val="73"/>
                    <w:bidi w:val="0"/>
                    <w:ind w:firstLine="0" w:firstLineChars="0"/>
                    <w:jc w:val="center"/>
                    <w:rPr>
                      <w:rFonts w:hint="default" w:ascii="Times New Roman" w:hAnsi="Times New Roman" w:eastAsia="宋体" w:cs="Times New Roman"/>
                      <w:b w:val="0"/>
                      <w:bCs/>
                      <w:color w:val="000000" w:themeColor="text1"/>
                      <w:lang w:val="en-US" w:eastAsia="zh-CN"/>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挖掘机</w:t>
                  </w:r>
                </w:p>
              </w:tc>
              <w:tc>
                <w:tcPr>
                  <w:tcW w:w="503" w:type="pct"/>
                  <w:vAlign w:val="center"/>
                </w:tcPr>
                <w:p w14:paraId="26E3B293">
                  <w:pPr>
                    <w:pStyle w:val="73"/>
                    <w:bidi w:val="0"/>
                    <w:ind w:firstLine="210" w:firstLineChars="10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85</w:t>
                  </w:r>
                </w:p>
              </w:tc>
              <w:tc>
                <w:tcPr>
                  <w:tcW w:w="407" w:type="pct"/>
                  <w:vAlign w:val="center"/>
                </w:tcPr>
                <w:p w14:paraId="614083AC">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71.0</w:t>
                  </w:r>
                </w:p>
              </w:tc>
              <w:tc>
                <w:tcPr>
                  <w:tcW w:w="423" w:type="pct"/>
                  <w:vAlign w:val="center"/>
                </w:tcPr>
                <w:p w14:paraId="7B81A450">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65.0</w:t>
                  </w:r>
                </w:p>
              </w:tc>
              <w:tc>
                <w:tcPr>
                  <w:tcW w:w="432" w:type="pct"/>
                  <w:vAlign w:val="center"/>
                </w:tcPr>
                <w:p w14:paraId="1A86C4E0">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59.0</w:t>
                  </w:r>
                </w:p>
              </w:tc>
              <w:tc>
                <w:tcPr>
                  <w:tcW w:w="407" w:type="pct"/>
                  <w:vAlign w:val="center"/>
                </w:tcPr>
                <w:p w14:paraId="0BBFBB4D">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53.0</w:t>
                  </w:r>
                </w:p>
              </w:tc>
              <w:tc>
                <w:tcPr>
                  <w:tcW w:w="471" w:type="pct"/>
                  <w:vAlign w:val="center"/>
                </w:tcPr>
                <w:p w14:paraId="72DB3A55">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51.0</w:t>
                  </w:r>
                </w:p>
              </w:tc>
              <w:tc>
                <w:tcPr>
                  <w:tcW w:w="456" w:type="pct"/>
                  <w:vAlign w:val="center"/>
                </w:tcPr>
                <w:p w14:paraId="4B4463C5">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45.0</w:t>
                  </w:r>
                </w:p>
              </w:tc>
              <w:tc>
                <w:tcPr>
                  <w:tcW w:w="463" w:type="pct"/>
                  <w:vAlign w:val="center"/>
                </w:tcPr>
                <w:p w14:paraId="7F574C94">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41.5</w:t>
                  </w:r>
                </w:p>
              </w:tc>
              <w:tc>
                <w:tcPr>
                  <w:tcW w:w="463" w:type="pct"/>
                  <w:vAlign w:val="center"/>
                </w:tcPr>
                <w:p w14:paraId="512C2F58">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39.0</w:t>
                  </w:r>
                </w:p>
              </w:tc>
            </w:tr>
            <w:tr w14:paraId="48500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0" w:type="pct"/>
                  <w:vAlign w:val="center"/>
                </w:tcPr>
                <w:p w14:paraId="0D65BA54">
                  <w:pPr>
                    <w:pStyle w:val="73"/>
                    <w:bidi w:val="0"/>
                    <w:ind w:firstLine="0" w:firstLineChars="0"/>
                    <w:jc w:val="center"/>
                    <w:rPr>
                      <w:rFonts w:hint="default" w:ascii="Times New Roman" w:hAnsi="Times New Roman" w:eastAsia="宋体" w:cs="Times New Roman"/>
                      <w:b w:val="0"/>
                      <w:bCs/>
                      <w:color w:val="000000" w:themeColor="text1"/>
                      <w:lang w:val="en-US" w:eastAsia="zh-CN"/>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装载机</w:t>
                  </w:r>
                </w:p>
              </w:tc>
              <w:tc>
                <w:tcPr>
                  <w:tcW w:w="503" w:type="pct"/>
                  <w:vAlign w:val="center"/>
                </w:tcPr>
                <w:p w14:paraId="6D6CAD87">
                  <w:pPr>
                    <w:pStyle w:val="73"/>
                    <w:bidi w:val="0"/>
                    <w:ind w:firstLine="210" w:firstLineChars="10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90</w:t>
                  </w:r>
                </w:p>
              </w:tc>
              <w:tc>
                <w:tcPr>
                  <w:tcW w:w="407" w:type="pct"/>
                  <w:vAlign w:val="center"/>
                </w:tcPr>
                <w:p w14:paraId="7F619C2F">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76.0</w:t>
                  </w:r>
                </w:p>
              </w:tc>
              <w:tc>
                <w:tcPr>
                  <w:tcW w:w="423" w:type="pct"/>
                  <w:vAlign w:val="center"/>
                </w:tcPr>
                <w:p w14:paraId="4F56C051">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70.0</w:t>
                  </w:r>
                </w:p>
              </w:tc>
              <w:tc>
                <w:tcPr>
                  <w:tcW w:w="432" w:type="pct"/>
                  <w:vAlign w:val="center"/>
                </w:tcPr>
                <w:p w14:paraId="27E259CB">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64.0</w:t>
                  </w:r>
                </w:p>
              </w:tc>
              <w:tc>
                <w:tcPr>
                  <w:tcW w:w="407" w:type="pct"/>
                  <w:vAlign w:val="center"/>
                </w:tcPr>
                <w:p w14:paraId="433327E4">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58.0</w:t>
                  </w:r>
                </w:p>
              </w:tc>
              <w:tc>
                <w:tcPr>
                  <w:tcW w:w="471" w:type="pct"/>
                  <w:vAlign w:val="center"/>
                </w:tcPr>
                <w:p w14:paraId="0A391F94">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56.0</w:t>
                  </w:r>
                </w:p>
              </w:tc>
              <w:tc>
                <w:tcPr>
                  <w:tcW w:w="456" w:type="pct"/>
                  <w:vAlign w:val="center"/>
                </w:tcPr>
                <w:p w14:paraId="4ECD5F1F">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50.0</w:t>
                  </w:r>
                </w:p>
              </w:tc>
              <w:tc>
                <w:tcPr>
                  <w:tcW w:w="463" w:type="pct"/>
                  <w:vAlign w:val="center"/>
                </w:tcPr>
                <w:p w14:paraId="425F62B1">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46.5</w:t>
                  </w:r>
                </w:p>
              </w:tc>
              <w:tc>
                <w:tcPr>
                  <w:tcW w:w="463" w:type="pct"/>
                  <w:vAlign w:val="center"/>
                </w:tcPr>
                <w:p w14:paraId="0EEA6D30">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44.0</w:t>
                  </w:r>
                </w:p>
              </w:tc>
            </w:tr>
            <w:tr w14:paraId="21260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0" w:type="pct"/>
                  <w:vAlign w:val="center"/>
                </w:tcPr>
                <w:p w14:paraId="110FD1E9">
                  <w:pPr>
                    <w:pStyle w:val="73"/>
                    <w:bidi w:val="0"/>
                    <w:ind w:firstLine="0" w:firstLineChars="0"/>
                    <w:jc w:val="center"/>
                    <w:rPr>
                      <w:rFonts w:hint="default" w:ascii="Times New Roman" w:hAnsi="Times New Roman" w:eastAsia="宋体" w:cs="Times New Roman"/>
                      <w:b w:val="0"/>
                      <w:bCs/>
                      <w:color w:val="000000" w:themeColor="text1"/>
                      <w:lang w:val="en-US" w:eastAsia="zh-CN"/>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压路机</w:t>
                  </w:r>
                </w:p>
              </w:tc>
              <w:tc>
                <w:tcPr>
                  <w:tcW w:w="503" w:type="pct"/>
                  <w:vAlign w:val="center"/>
                </w:tcPr>
                <w:p w14:paraId="69A91703">
                  <w:pPr>
                    <w:pStyle w:val="73"/>
                    <w:bidi w:val="0"/>
                    <w:ind w:firstLine="210" w:firstLineChars="10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80</w:t>
                  </w:r>
                </w:p>
              </w:tc>
              <w:tc>
                <w:tcPr>
                  <w:tcW w:w="407" w:type="pct"/>
                  <w:vAlign w:val="center"/>
                </w:tcPr>
                <w:p w14:paraId="3CFE2298">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66.0</w:t>
                  </w:r>
                </w:p>
              </w:tc>
              <w:tc>
                <w:tcPr>
                  <w:tcW w:w="423" w:type="pct"/>
                  <w:vAlign w:val="center"/>
                </w:tcPr>
                <w:p w14:paraId="357BE779">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60.0</w:t>
                  </w:r>
                </w:p>
              </w:tc>
              <w:tc>
                <w:tcPr>
                  <w:tcW w:w="432" w:type="pct"/>
                  <w:vAlign w:val="center"/>
                </w:tcPr>
                <w:p w14:paraId="1B297AB6">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54.0</w:t>
                  </w:r>
                </w:p>
              </w:tc>
              <w:tc>
                <w:tcPr>
                  <w:tcW w:w="407" w:type="pct"/>
                  <w:vAlign w:val="center"/>
                </w:tcPr>
                <w:p w14:paraId="064D7425">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48.0</w:t>
                  </w:r>
                </w:p>
              </w:tc>
              <w:tc>
                <w:tcPr>
                  <w:tcW w:w="471" w:type="pct"/>
                  <w:vAlign w:val="center"/>
                </w:tcPr>
                <w:p w14:paraId="59CFFDE2">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46.0</w:t>
                  </w:r>
                </w:p>
              </w:tc>
              <w:tc>
                <w:tcPr>
                  <w:tcW w:w="456" w:type="pct"/>
                  <w:vAlign w:val="center"/>
                </w:tcPr>
                <w:p w14:paraId="54E7300A">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40.0</w:t>
                  </w:r>
                </w:p>
              </w:tc>
              <w:tc>
                <w:tcPr>
                  <w:tcW w:w="463" w:type="pct"/>
                  <w:vAlign w:val="center"/>
                </w:tcPr>
                <w:p w14:paraId="4375A6E5">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36.5</w:t>
                  </w:r>
                </w:p>
              </w:tc>
              <w:tc>
                <w:tcPr>
                  <w:tcW w:w="463" w:type="pct"/>
                  <w:vAlign w:val="center"/>
                </w:tcPr>
                <w:p w14:paraId="10A23B2C">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34.0</w:t>
                  </w:r>
                </w:p>
              </w:tc>
            </w:tr>
            <w:tr w14:paraId="139CF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0" w:type="pct"/>
                  <w:vAlign w:val="center"/>
                </w:tcPr>
                <w:p w14:paraId="7DBD9F16">
                  <w:pPr>
                    <w:pStyle w:val="73"/>
                    <w:bidi w:val="0"/>
                    <w:ind w:firstLine="0" w:firstLineChars="0"/>
                    <w:jc w:val="center"/>
                    <w:rPr>
                      <w:rFonts w:hint="default" w:ascii="Times New Roman" w:hAnsi="Times New Roman" w:eastAsia="宋体" w:cs="Times New Roman"/>
                      <w:b w:val="0"/>
                      <w:bCs/>
                      <w:color w:val="000000" w:themeColor="text1"/>
                      <w:lang w:val="en-US" w:eastAsia="zh-CN"/>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推土机</w:t>
                  </w:r>
                </w:p>
              </w:tc>
              <w:tc>
                <w:tcPr>
                  <w:tcW w:w="503" w:type="pct"/>
                  <w:vAlign w:val="center"/>
                </w:tcPr>
                <w:p w14:paraId="7A409128">
                  <w:pPr>
                    <w:pStyle w:val="73"/>
                    <w:bidi w:val="0"/>
                    <w:ind w:firstLine="210" w:firstLineChars="10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86</w:t>
                  </w:r>
                </w:p>
              </w:tc>
              <w:tc>
                <w:tcPr>
                  <w:tcW w:w="407" w:type="pct"/>
                  <w:vAlign w:val="center"/>
                </w:tcPr>
                <w:p w14:paraId="4864BF0A">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72.0</w:t>
                  </w:r>
                </w:p>
              </w:tc>
              <w:tc>
                <w:tcPr>
                  <w:tcW w:w="423" w:type="pct"/>
                  <w:vAlign w:val="center"/>
                </w:tcPr>
                <w:p w14:paraId="3167C366">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66.0</w:t>
                  </w:r>
                </w:p>
              </w:tc>
              <w:tc>
                <w:tcPr>
                  <w:tcW w:w="432" w:type="pct"/>
                  <w:vAlign w:val="center"/>
                </w:tcPr>
                <w:p w14:paraId="472A40BC">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60.0</w:t>
                  </w:r>
                </w:p>
              </w:tc>
              <w:tc>
                <w:tcPr>
                  <w:tcW w:w="407" w:type="pct"/>
                  <w:vAlign w:val="center"/>
                </w:tcPr>
                <w:p w14:paraId="6DE1028C">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54.0</w:t>
                  </w:r>
                </w:p>
              </w:tc>
              <w:tc>
                <w:tcPr>
                  <w:tcW w:w="471" w:type="pct"/>
                  <w:vAlign w:val="center"/>
                </w:tcPr>
                <w:p w14:paraId="35ABBF78">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52.0</w:t>
                  </w:r>
                </w:p>
              </w:tc>
              <w:tc>
                <w:tcPr>
                  <w:tcW w:w="456" w:type="pct"/>
                  <w:vAlign w:val="center"/>
                </w:tcPr>
                <w:p w14:paraId="282B3270">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46.0</w:t>
                  </w:r>
                </w:p>
              </w:tc>
              <w:tc>
                <w:tcPr>
                  <w:tcW w:w="463" w:type="pct"/>
                  <w:vAlign w:val="center"/>
                </w:tcPr>
                <w:p w14:paraId="4E90FEAB">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42.5</w:t>
                  </w:r>
                </w:p>
              </w:tc>
              <w:tc>
                <w:tcPr>
                  <w:tcW w:w="463" w:type="pct"/>
                  <w:vAlign w:val="center"/>
                </w:tcPr>
                <w:p w14:paraId="19DDADFC">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40.0</w:t>
                  </w:r>
                </w:p>
              </w:tc>
            </w:tr>
            <w:tr w14:paraId="4CA42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0" w:type="pct"/>
                  <w:vAlign w:val="center"/>
                </w:tcPr>
                <w:p w14:paraId="0F4C6BAD">
                  <w:pPr>
                    <w:pStyle w:val="73"/>
                    <w:bidi w:val="0"/>
                    <w:ind w:firstLine="0" w:firstLineChars="0"/>
                    <w:jc w:val="center"/>
                    <w:rPr>
                      <w:rFonts w:hint="default" w:ascii="Times New Roman" w:hAnsi="Times New Roman" w:eastAsia="宋体" w:cs="Times New Roman"/>
                      <w:b w:val="0"/>
                      <w:bCs/>
                      <w:color w:val="000000" w:themeColor="text1"/>
                      <w:lang w:val="en-US" w:eastAsia="zh-CN"/>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运输车辆</w:t>
                  </w:r>
                </w:p>
              </w:tc>
              <w:tc>
                <w:tcPr>
                  <w:tcW w:w="503" w:type="pct"/>
                  <w:vAlign w:val="center"/>
                </w:tcPr>
                <w:p w14:paraId="50678AA4">
                  <w:pPr>
                    <w:pStyle w:val="73"/>
                    <w:bidi w:val="0"/>
                    <w:ind w:firstLine="210" w:firstLineChars="10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80</w:t>
                  </w:r>
                </w:p>
              </w:tc>
              <w:tc>
                <w:tcPr>
                  <w:tcW w:w="407" w:type="pct"/>
                  <w:vAlign w:val="center"/>
                </w:tcPr>
                <w:p w14:paraId="3E6CA065">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66.0</w:t>
                  </w:r>
                </w:p>
              </w:tc>
              <w:tc>
                <w:tcPr>
                  <w:tcW w:w="423" w:type="pct"/>
                  <w:vAlign w:val="center"/>
                </w:tcPr>
                <w:p w14:paraId="0BFE7377">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60.0</w:t>
                  </w:r>
                </w:p>
              </w:tc>
              <w:tc>
                <w:tcPr>
                  <w:tcW w:w="432" w:type="pct"/>
                  <w:vAlign w:val="center"/>
                </w:tcPr>
                <w:p w14:paraId="65F27694">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54.0</w:t>
                  </w:r>
                </w:p>
              </w:tc>
              <w:tc>
                <w:tcPr>
                  <w:tcW w:w="407" w:type="pct"/>
                  <w:vAlign w:val="center"/>
                </w:tcPr>
                <w:p w14:paraId="6D82C515">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48.0</w:t>
                  </w:r>
                </w:p>
              </w:tc>
              <w:tc>
                <w:tcPr>
                  <w:tcW w:w="471" w:type="pct"/>
                  <w:vAlign w:val="center"/>
                </w:tcPr>
                <w:p w14:paraId="59F855AD">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46.0</w:t>
                  </w:r>
                </w:p>
              </w:tc>
              <w:tc>
                <w:tcPr>
                  <w:tcW w:w="456" w:type="pct"/>
                  <w:vAlign w:val="center"/>
                </w:tcPr>
                <w:p w14:paraId="18254D66">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40.0</w:t>
                  </w:r>
                </w:p>
              </w:tc>
              <w:tc>
                <w:tcPr>
                  <w:tcW w:w="463" w:type="pct"/>
                  <w:vAlign w:val="center"/>
                </w:tcPr>
                <w:p w14:paraId="6DCA1799">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36.5</w:t>
                  </w:r>
                </w:p>
              </w:tc>
              <w:tc>
                <w:tcPr>
                  <w:tcW w:w="463" w:type="pct"/>
                  <w:vAlign w:val="center"/>
                </w:tcPr>
                <w:p w14:paraId="6D4BE652">
                  <w:pPr>
                    <w:pStyle w:val="73"/>
                    <w:bidi w:val="0"/>
                    <w:ind w:firstLine="0" w:firstLineChars="0"/>
                    <w:jc w:val="cente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kern w:val="2"/>
                      <w:sz w:val="21"/>
                      <w:szCs w:val="24"/>
                      <w:lang w:val="en-US" w:eastAsia="zh-CN" w:bidi="ar-SA"/>
                      <w14:textFill>
                        <w14:solidFill>
                          <w14:schemeClr w14:val="tx1"/>
                        </w14:solidFill>
                      </w14:textFill>
                    </w:rPr>
                    <w:t>34.0</w:t>
                  </w:r>
                </w:p>
              </w:tc>
            </w:tr>
          </w:tbl>
          <w:p w14:paraId="25134071">
            <w:pPr>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hint="default" w:ascii="Times New Roman" w:hAnsi="Times New Roman" w:eastAsia="宋体" w:cs="Times New Roman"/>
                <w:color w:val="000000" w:themeColor="text1"/>
                <w:sz w:val="24"/>
                <w:lang w:val="en-US" w:eastAsia="zh-CN"/>
                <w14:textFill>
                  <w14:solidFill>
                    <w14:schemeClr w14:val="tx1"/>
                  </w14:solidFill>
                </w14:textFill>
              </w:rPr>
            </w:pPr>
          </w:p>
          <w:p w14:paraId="259F45E9">
            <w:pPr>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由上表可以看出，施工机械中噪声影响较大的设备是割草机及旋耕机等。单台设备运行时，距施工点40m外昼间可达《建筑施工噪声排放</w:t>
            </w:r>
            <w:r>
              <w:rPr>
                <w:rFonts w:hint="eastAsia" w:ascii="Times New Roman" w:hAnsi="Times New Roman" w:cs="Times New Roman"/>
                <w:color w:val="000000" w:themeColor="text1"/>
                <w:sz w:val="24"/>
                <w:lang w:val="en-US" w:eastAsia="zh-CN"/>
                <w14:textFill>
                  <w14:solidFill>
                    <w14:schemeClr w14:val="tx1"/>
                  </w14:solidFill>
                </w14:textFill>
              </w:rPr>
              <w:t>标准</w:t>
            </w:r>
            <w:r>
              <w:rPr>
                <w:rFonts w:hint="default" w:ascii="Times New Roman" w:hAnsi="Times New Roman" w:eastAsia="宋体" w:cs="Times New Roman"/>
                <w:color w:val="000000" w:themeColor="text1"/>
                <w:sz w:val="24"/>
                <w:lang w:val="en-US" w:eastAsia="zh-CN"/>
                <w14:textFill>
                  <w14:solidFill>
                    <w14:schemeClr w14:val="tx1"/>
                  </w14:solidFill>
                </w14:textFill>
              </w:rPr>
              <w:t>》（GB12523-20</w:t>
            </w:r>
            <w:r>
              <w:rPr>
                <w:rFonts w:hint="eastAsia" w:ascii="Times New Roman" w:hAnsi="Times New Roman" w:cs="Times New Roman"/>
                <w:color w:val="000000" w:themeColor="text1"/>
                <w:sz w:val="24"/>
                <w:lang w:val="en-US" w:eastAsia="zh-CN"/>
                <w14:textFill>
                  <w14:solidFill>
                    <w14:schemeClr w14:val="tx1"/>
                  </w14:solidFill>
                </w14:textFill>
              </w:rPr>
              <w:t>25</w:t>
            </w:r>
            <w:r>
              <w:rPr>
                <w:rFonts w:hint="default" w:ascii="Times New Roman" w:hAnsi="Times New Roman" w:eastAsia="宋体" w:cs="Times New Roman"/>
                <w:color w:val="000000" w:themeColor="text1"/>
                <w:sz w:val="24"/>
                <w:lang w:val="en-US" w:eastAsia="zh-CN"/>
                <w14:textFill>
                  <w14:solidFill>
                    <w14:schemeClr w14:val="tx1"/>
                  </w14:solidFill>
                </w14:textFill>
              </w:rPr>
              <w:t>）</w:t>
            </w:r>
            <w:r>
              <w:rPr>
                <w:rFonts w:hint="eastAsia" w:ascii="Times New Roman" w:hAnsi="Times New Roman" w:cs="Times New Roman"/>
                <w:color w:val="000000" w:themeColor="text1"/>
                <w:sz w:val="24"/>
                <w:lang w:val="en-US" w:eastAsia="zh-CN"/>
                <w14:textFill>
                  <w14:solidFill>
                    <w14:schemeClr w14:val="tx1"/>
                  </w14:solidFill>
                </w14:textFill>
              </w:rPr>
              <w:t>中的昼间标准限值</w:t>
            </w:r>
            <w:r>
              <w:rPr>
                <w:rFonts w:hint="default" w:ascii="Times New Roman" w:hAnsi="Times New Roman" w:eastAsia="宋体" w:cs="Times New Roman"/>
                <w:color w:val="000000" w:themeColor="text1"/>
                <w:sz w:val="24"/>
                <w:lang w:val="en-US" w:eastAsia="zh-CN"/>
                <w14:textFill>
                  <w14:solidFill>
                    <w14:schemeClr w14:val="tx1"/>
                  </w14:solidFill>
                </w14:textFill>
              </w:rPr>
              <w:t>的要求，从预测结果看，项目施工噪声昼间影响范围在距施工点周围200m内，项目区</w:t>
            </w:r>
            <w:r>
              <w:rPr>
                <w:rFonts w:hint="eastAsia" w:ascii="Times New Roman" w:hAnsi="Times New Roman" w:cs="Times New Roman"/>
                <w:color w:val="000000" w:themeColor="text1"/>
                <w:sz w:val="24"/>
                <w:lang w:val="en-US" w:eastAsia="zh-CN"/>
                <w14:textFill>
                  <w14:solidFill>
                    <w14:schemeClr w14:val="tx1"/>
                  </w14:solidFill>
                </w14:textFill>
              </w:rPr>
              <w:t>200</w:t>
            </w:r>
            <w:r>
              <w:rPr>
                <w:rFonts w:hint="default" w:ascii="Times New Roman" w:hAnsi="Times New Roman" w:eastAsia="宋体" w:cs="Times New Roman"/>
                <w:color w:val="000000" w:themeColor="text1"/>
                <w:sz w:val="24"/>
                <w:lang w:val="en-US" w:eastAsia="zh-CN"/>
                <w14:textFill>
                  <w14:solidFill>
                    <w14:schemeClr w14:val="tx1"/>
                  </w14:solidFill>
                </w14:textFill>
              </w:rPr>
              <w:t>m范围内无敏感点</w:t>
            </w:r>
            <w:r>
              <w:rPr>
                <w:rFonts w:hint="eastAsia" w:ascii="Times New Roman" w:hAnsi="Times New Roman" w:cs="Times New Roman"/>
                <w:color w:val="000000" w:themeColor="text1"/>
                <w:sz w:val="24"/>
                <w:lang w:val="en-US" w:eastAsia="zh-CN"/>
                <w14:textFill>
                  <w14:solidFill>
                    <w14:schemeClr w14:val="tx1"/>
                  </w14:solidFill>
                </w14:textFill>
              </w:rPr>
              <w:t>，</w:t>
            </w:r>
            <w:r>
              <w:rPr>
                <w:rFonts w:hint="default" w:ascii="Times New Roman" w:hAnsi="Times New Roman" w:eastAsia="宋体" w:cs="Times New Roman"/>
                <w:color w:val="000000" w:themeColor="text1"/>
                <w:sz w:val="24"/>
                <w:lang w:val="en-US" w:eastAsia="zh-CN"/>
                <w14:textFill>
                  <w14:solidFill>
                    <w14:schemeClr w14:val="tx1"/>
                  </w14:solidFill>
                </w14:textFill>
              </w:rPr>
              <w:t>且夜间项目不施工。</w:t>
            </w:r>
          </w:p>
          <w:p w14:paraId="79818A45">
            <w:pPr>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施工中运输车辆行驶过程所产生的噪声也将对行驶路线周边产生一定的影响。</w:t>
            </w:r>
            <w:r>
              <w:rPr>
                <w:rFonts w:hint="eastAsia" w:ascii="Times New Roman" w:hAnsi="Times New Roman" w:cs="Times New Roman"/>
                <w:color w:val="000000" w:themeColor="text1"/>
                <w:sz w:val="24"/>
                <w:lang w:val="en-US" w:eastAsia="zh-CN"/>
                <w14:textFill>
                  <w14:solidFill>
                    <w14:schemeClr w14:val="tx1"/>
                  </w14:solidFill>
                </w14:textFill>
              </w:rPr>
              <w:t>因此，</w:t>
            </w:r>
            <w:r>
              <w:rPr>
                <w:rFonts w:hint="default" w:ascii="Times New Roman" w:hAnsi="Times New Roman" w:eastAsia="宋体" w:cs="Times New Roman"/>
                <w:color w:val="000000" w:themeColor="text1"/>
                <w:sz w:val="24"/>
                <w14:textFill>
                  <w14:solidFill>
                    <w14:schemeClr w14:val="tx1"/>
                  </w14:solidFill>
                </w14:textFill>
              </w:rPr>
              <w:t>施工阶段必须加强管理，施工合理布局，产噪设备尽量设置在距离保护目标较远的地方，同时进一步实施文明施工，对产生噪声和振动严重的机械设备，采取有效的消声减振等措施，并禁止夜间施工，将噪声</w:t>
            </w:r>
            <w:r>
              <w:rPr>
                <w:rFonts w:hint="eastAsia" w:ascii="Times New Roman" w:hAnsi="Times New Roman" w:cs="Times New Roman"/>
                <w:color w:val="000000" w:themeColor="text1"/>
                <w:sz w:val="24"/>
                <w:lang w:eastAsia="zh-CN"/>
                <w14:textFill>
                  <w14:solidFill>
                    <w14:schemeClr w14:val="tx1"/>
                  </w14:solidFill>
                </w14:textFill>
              </w:rPr>
              <w:t>对</w:t>
            </w:r>
            <w:r>
              <w:rPr>
                <w:rFonts w:hint="default" w:ascii="Times New Roman" w:hAnsi="Times New Roman" w:eastAsia="宋体" w:cs="Times New Roman"/>
                <w:color w:val="000000" w:themeColor="text1"/>
                <w:sz w:val="24"/>
                <w14:textFill>
                  <w14:solidFill>
                    <w14:schemeClr w14:val="tx1"/>
                  </w14:solidFill>
                </w14:textFill>
              </w:rPr>
              <w:t>周围环境的影响降到最低。同时本项目施工期的施工活动是流动性质的，受影响区域随着施工点移动而移动，对每一个特定的</w:t>
            </w:r>
            <w:r>
              <w:rPr>
                <w:rFonts w:hint="eastAsia" w:ascii="Times New Roman" w:hAnsi="Times New Roman" w:cs="Times New Roman"/>
                <w:color w:val="000000" w:themeColor="text1"/>
                <w:sz w:val="24"/>
                <w:lang w:eastAsia="zh-CN"/>
                <w14:textFill>
                  <w14:solidFill>
                    <w14:schemeClr w14:val="tx1"/>
                  </w14:solidFill>
                </w14:textFill>
              </w:rPr>
              <w:t>接收</w:t>
            </w:r>
            <w:r>
              <w:rPr>
                <w:rFonts w:hint="default" w:ascii="Times New Roman" w:hAnsi="Times New Roman" w:eastAsia="宋体" w:cs="Times New Roman"/>
                <w:color w:val="000000" w:themeColor="text1"/>
                <w:sz w:val="24"/>
                <w14:textFill>
                  <w14:solidFill>
                    <w14:schemeClr w14:val="tx1"/>
                  </w14:solidFill>
                </w14:textFill>
              </w:rPr>
              <w:t>点来说，其受到的影响是短暂的，一旦关联施工区的施工结束，其噪声影响也随之结束。</w:t>
            </w:r>
          </w:p>
          <w:p w14:paraId="04DC0004">
            <w:pPr>
              <w:pStyle w:val="69"/>
              <w:keepNext w:val="0"/>
              <w:keepLines w:val="0"/>
              <w:pageBreakBefore w:val="0"/>
              <w:kinsoku/>
              <w:wordWrap/>
              <w:overflowPunct/>
              <w:topLinePunct w:val="0"/>
              <w:autoSpaceDE/>
              <w:autoSpaceDN/>
              <w:bidi w:val="0"/>
              <w:adjustRightInd w:val="0"/>
              <w:snapToGrid w:val="0"/>
              <w:ind w:firstLine="480" w:firstLineChars="200"/>
              <w:jc w:val="both"/>
              <w:textAlignment w:val="auto"/>
              <w:rPr>
                <w:rFonts w:hint="default" w:ascii="Times New Roman" w:hAnsi="Times New Roman" w:eastAsia="宋体" w:cs="Times New Roman"/>
                <w:color w:val="000000" w:themeColor="text1"/>
                <w:sz w:val="24"/>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项目施工用的设备为小型设备，噪声影响呈点状，</w:t>
            </w:r>
            <w:r>
              <w:rPr>
                <w:rFonts w:hint="default" w:ascii="Times New Roman" w:hAnsi="Times New Roman" w:eastAsia="宋体" w:cs="Times New Roman"/>
                <w:color w:val="000000" w:themeColor="text1"/>
                <w:sz w:val="24"/>
                <w14:textFill>
                  <w14:solidFill>
                    <w14:schemeClr w14:val="tx1"/>
                  </w14:solidFill>
                </w14:textFill>
              </w:rPr>
              <w:t>整体而言，项目区内施工过程中，昼间人员和车流量大，受施工影响较大。项目夜间</w:t>
            </w:r>
            <w:r>
              <w:rPr>
                <w:rFonts w:hint="default" w:ascii="Times New Roman" w:hAnsi="Times New Roman" w:eastAsia="宋体" w:cs="Times New Roman"/>
                <w:color w:val="000000" w:themeColor="text1"/>
                <w:sz w:val="24"/>
                <w:lang w:eastAsia="zh-CN"/>
                <w14:textFill>
                  <w14:solidFill>
                    <w14:schemeClr w14:val="tx1"/>
                  </w14:solidFill>
                </w14:textFill>
              </w:rPr>
              <w:t>不</w:t>
            </w:r>
            <w:r>
              <w:rPr>
                <w:rFonts w:hint="default" w:ascii="Times New Roman" w:hAnsi="Times New Roman" w:eastAsia="宋体" w:cs="Times New Roman"/>
                <w:color w:val="000000" w:themeColor="text1"/>
                <w:sz w:val="24"/>
                <w14:textFill>
                  <w14:solidFill>
                    <w14:schemeClr w14:val="tx1"/>
                  </w14:solidFill>
                </w14:textFill>
              </w:rPr>
              <w:t>施工，对关心点的影响可大大减缓。同时本项目施工期的施工活动是流动性质的，受影响区域随着施工点移动而移动，对每一个特定的</w:t>
            </w:r>
            <w:r>
              <w:rPr>
                <w:rFonts w:hint="eastAsia" w:ascii="Times New Roman" w:hAnsi="Times New Roman" w:cs="Times New Roman"/>
                <w:color w:val="000000" w:themeColor="text1"/>
                <w:sz w:val="24"/>
                <w:lang w:eastAsia="zh-CN"/>
                <w14:textFill>
                  <w14:solidFill>
                    <w14:schemeClr w14:val="tx1"/>
                  </w14:solidFill>
                </w14:textFill>
              </w:rPr>
              <w:t>接收</w:t>
            </w:r>
            <w:r>
              <w:rPr>
                <w:rFonts w:hint="default" w:ascii="Times New Roman" w:hAnsi="Times New Roman" w:eastAsia="宋体" w:cs="Times New Roman"/>
                <w:color w:val="000000" w:themeColor="text1"/>
                <w:sz w:val="24"/>
                <w14:textFill>
                  <w14:solidFill>
                    <w14:schemeClr w14:val="tx1"/>
                  </w14:solidFill>
                </w14:textFill>
              </w:rPr>
              <w:t>点来说，其受到的影响是短暂的，一旦施工区的施工结束，其噪声影响也随之结束。由于施工期产生的噪声是不</w:t>
            </w:r>
            <w:r>
              <w:rPr>
                <w:rFonts w:hint="eastAsia" w:ascii="Times New Roman" w:hAnsi="Times New Roman" w:cs="Times New Roman"/>
                <w:color w:val="000000" w:themeColor="text1"/>
                <w:sz w:val="24"/>
                <w:lang w:eastAsia="zh-CN"/>
                <w14:textFill>
                  <w14:solidFill>
                    <w14:schemeClr w14:val="tx1"/>
                  </w14:solidFill>
                </w14:textFill>
              </w:rPr>
              <w:t>可</w:t>
            </w:r>
            <w:r>
              <w:rPr>
                <w:rFonts w:hint="default" w:ascii="Times New Roman" w:hAnsi="Times New Roman" w:eastAsia="宋体" w:cs="Times New Roman"/>
                <w:color w:val="000000" w:themeColor="text1"/>
                <w:sz w:val="24"/>
                <w14:textFill>
                  <w14:solidFill>
                    <w14:schemeClr w14:val="tx1"/>
                  </w14:solidFill>
                </w14:textFill>
              </w:rPr>
              <w:t>避免的，故建设单位要严格执行施工期噪声的防治措施，同时要对周围居民进行提前</w:t>
            </w:r>
            <w:r>
              <w:rPr>
                <w:rFonts w:hint="eastAsia" w:ascii="Times New Roman" w:hAnsi="Times New Roman" w:cs="Times New Roman"/>
                <w:color w:val="000000" w:themeColor="text1"/>
                <w:sz w:val="24"/>
                <w:lang w:eastAsia="zh-CN"/>
                <w14:textFill>
                  <w14:solidFill>
                    <w14:schemeClr w14:val="tx1"/>
                  </w14:solidFill>
                </w14:textFill>
              </w:rPr>
              <w:t>告知</w:t>
            </w:r>
            <w:r>
              <w:rPr>
                <w:rFonts w:hint="default" w:ascii="Times New Roman" w:hAnsi="Times New Roman" w:eastAsia="宋体" w:cs="Times New Roman"/>
                <w:color w:val="000000" w:themeColor="text1"/>
                <w:sz w:val="24"/>
                <w14:textFill>
                  <w14:solidFill>
                    <w14:schemeClr w14:val="tx1"/>
                  </w14:solidFill>
                </w14:textFill>
              </w:rPr>
              <w:t>，本项目计划施工期间约</w:t>
            </w:r>
            <w:r>
              <w:rPr>
                <w:rFonts w:hint="eastAsia" w:ascii="Times New Roman" w:hAnsi="Times New Roman" w:cs="Times New Roman"/>
                <w:color w:val="000000" w:themeColor="text1"/>
                <w:sz w:val="24"/>
                <w:lang w:val="en-US" w:eastAsia="zh-CN"/>
                <w14:textFill>
                  <w14:solidFill>
                    <w14:schemeClr w14:val="tx1"/>
                  </w14:solidFill>
                </w14:textFill>
              </w:rPr>
              <w:t>22</w:t>
            </w:r>
            <w:r>
              <w:rPr>
                <w:rFonts w:hint="default" w:ascii="Times New Roman" w:hAnsi="Times New Roman" w:eastAsia="宋体" w:cs="Times New Roman"/>
                <w:color w:val="000000" w:themeColor="text1"/>
                <w:sz w:val="24"/>
                <w14:textFill>
                  <w14:solidFill>
                    <w14:schemeClr w14:val="tx1"/>
                  </w14:solidFill>
                </w14:textFill>
              </w:rPr>
              <w:t>个月，施工期噪声影响将随施工期的结束而消失。</w:t>
            </w:r>
          </w:p>
          <w:p w14:paraId="6B820DE2">
            <w:pPr>
              <w:keepNext w:val="0"/>
              <w:keepLines w:val="0"/>
              <w:pageBreakBefore w:val="0"/>
              <w:kinsoku/>
              <w:wordWrap/>
              <w:overflowPunct/>
              <w:topLinePunct w:val="0"/>
              <w:autoSpaceDE/>
              <w:autoSpaceDN/>
              <w:bidi w:val="0"/>
              <w:adjustRightInd w:val="0"/>
              <w:snapToGrid w:val="0"/>
              <w:ind w:firstLine="480" w:firstLineChars="200"/>
              <w:jc w:val="both"/>
              <w:textAlignment w:val="auto"/>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综上所述，本项目施工期噪声对周围声环境影响较小，将随施工活动的结束而消失，运输车辆经过敏感点时，只要采取减速行驶、禁鸣等措施后，可以减小噪声对所经过敏感点的声环境影响。</w:t>
            </w:r>
          </w:p>
          <w:p w14:paraId="0B40F065">
            <w:pPr>
              <w:keepNext w:val="0"/>
              <w:keepLines w:val="0"/>
              <w:pageBreakBefore w:val="0"/>
              <w:widowControl/>
              <w:suppressLineNumbers w:val="0"/>
              <w:kinsoku/>
              <w:wordWrap/>
              <w:overflowPunct/>
              <w:topLinePunct w:val="0"/>
              <w:autoSpaceDE/>
              <w:autoSpaceDN/>
              <w:bidi w:val="0"/>
              <w:adjustRightInd w:val="0"/>
              <w:snapToGrid w:val="0"/>
              <w:ind w:firstLine="482" w:firstLineChars="200"/>
              <w:jc w:val="both"/>
              <w:textAlignment w:val="auto"/>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eastAsia" w:ascii="Times New Roman" w:hAnsi="Times New Roman" w:cs="Times New Roman"/>
                <w:b/>
                <w:bCs/>
                <w:color w:val="000000" w:themeColor="text1"/>
                <w:lang w:val="en-US" w:eastAsia="zh-CN"/>
                <w14:textFill>
                  <w14:solidFill>
                    <w14:schemeClr w14:val="tx1"/>
                  </w14:solidFill>
                </w14:textFill>
              </w:rPr>
              <w:t>4、</w:t>
            </w:r>
            <w:r>
              <w:rPr>
                <w:rFonts w:hint="default" w:ascii="Times New Roman" w:hAnsi="Times New Roman" w:eastAsia="宋体" w:cs="Times New Roman"/>
                <w:b/>
                <w:bCs/>
                <w:color w:val="000000" w:themeColor="text1"/>
                <w:lang w:val="en-US" w:eastAsia="zh-CN"/>
                <w14:textFill>
                  <w14:solidFill>
                    <w14:schemeClr w14:val="tx1"/>
                  </w14:solidFill>
                </w14:textFill>
              </w:rPr>
              <w:t>固废</w:t>
            </w:r>
            <w:r>
              <w:rPr>
                <w:rFonts w:hint="eastAsia" w:ascii="Times New Roman" w:hAnsi="Times New Roman" w:cs="Times New Roman"/>
                <w:b/>
                <w:bCs/>
                <w:color w:val="000000" w:themeColor="text1"/>
                <w:lang w:val="en-US" w:eastAsia="zh-CN"/>
                <w14:textFill>
                  <w14:solidFill>
                    <w14:schemeClr w14:val="tx1"/>
                  </w14:solidFill>
                </w14:textFill>
              </w:rPr>
              <w:t>影响分析</w:t>
            </w:r>
          </w:p>
          <w:p w14:paraId="694DB253">
            <w:pPr>
              <w:pStyle w:val="75"/>
              <w:keepNext w:val="0"/>
              <w:keepLines w:val="0"/>
              <w:pageBreakBefore w:val="0"/>
              <w:kinsoku/>
              <w:wordWrap/>
              <w:overflowPunct/>
              <w:topLinePunct w:val="0"/>
              <w:autoSpaceDE/>
              <w:autoSpaceDN/>
              <w:bidi w:val="0"/>
              <w:adjustRightInd w:val="0"/>
              <w:snapToGrid w:val="0"/>
              <w:ind w:firstLine="480" w:firstLineChars="20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项目施工区域内可实现土石方调运平衡，施工阶段</w:t>
            </w:r>
            <w:r>
              <w:rPr>
                <w:rFonts w:hint="eastAsia" w:ascii="Times New Roman" w:hAnsi="Times New Roman" w:cs="Times New Roman"/>
                <w:color w:val="000000" w:themeColor="text1"/>
                <w:lang w:val="en-US" w:eastAsia="zh-CN"/>
                <w14:textFill>
                  <w14:solidFill>
                    <w14:schemeClr w14:val="tx1"/>
                  </w14:solidFill>
                </w14:textFill>
              </w:rPr>
              <w:t>无废弃土石方</w:t>
            </w:r>
            <w:r>
              <w:rPr>
                <w:rFonts w:hint="default" w:ascii="Times New Roman" w:hAnsi="Times New Roman" w:eastAsia="宋体" w:cs="Times New Roman"/>
                <w:color w:val="000000" w:themeColor="text1"/>
                <w:lang w:val="en-US" w:eastAsia="zh-CN"/>
                <w14:textFill>
                  <w14:solidFill>
                    <w14:schemeClr w14:val="tx1"/>
                  </w14:solidFill>
                </w14:textFill>
              </w:rPr>
              <w:t>产生，施工阶段产生的固体废物包括施工区域原有地表挖除的灌木杂草、大棚建设产生的废弃材料、施工人员生活垃圾。本项目施工机械、设备的维修保养均不在现场进行，需要维修保养的施工机械和设备均外运到当地合法维修单位进行，维修保养过</w:t>
            </w:r>
            <w:r>
              <w:rPr>
                <w:rFonts w:hint="eastAsia" w:ascii="Times New Roman" w:hAnsi="Times New Roman" w:cs="Times New Roman"/>
                <w:color w:val="000000" w:themeColor="text1"/>
                <w:lang w:val="en-US" w:eastAsia="zh-CN"/>
                <w14:textFill>
                  <w14:solidFill>
                    <w14:schemeClr w14:val="tx1"/>
                  </w14:solidFill>
                </w14:textFill>
              </w:rPr>
              <w:t>程中</w:t>
            </w:r>
            <w:r>
              <w:rPr>
                <w:rFonts w:hint="default" w:ascii="Times New Roman" w:hAnsi="Times New Roman" w:eastAsia="宋体" w:cs="Times New Roman"/>
                <w:color w:val="000000" w:themeColor="text1"/>
                <w:lang w:val="en-US" w:eastAsia="zh-CN"/>
                <w14:textFill>
                  <w14:solidFill>
                    <w14:schemeClr w14:val="tx1"/>
                  </w14:solidFill>
                </w14:textFill>
              </w:rPr>
              <w:t>产生的废机油等危险废物由维修单位负责转移处置。</w:t>
            </w:r>
          </w:p>
          <w:p w14:paraId="0CFABDBF">
            <w:pPr>
              <w:keepNext w:val="0"/>
              <w:keepLines w:val="0"/>
              <w:pageBreakBefore w:val="0"/>
              <w:kinsoku/>
              <w:wordWrap/>
              <w:overflowPunct/>
              <w:topLinePunct w:val="0"/>
              <w:autoSpaceDE/>
              <w:autoSpaceDN/>
              <w:bidi w:val="0"/>
              <w:adjustRightInd w:val="0"/>
              <w:snapToGrid w:val="0"/>
              <w:ind w:firstLine="482" w:firstLineChars="200"/>
              <w:jc w:val="both"/>
              <w:textAlignment w:val="auto"/>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eastAsia" w:ascii="Times New Roman" w:hAnsi="Times New Roman" w:cs="Times New Roman"/>
                <w:b/>
                <w:bCs/>
                <w:color w:val="000000" w:themeColor="text1"/>
                <w:lang w:val="en-US" w:eastAsia="zh-CN"/>
                <w14:textFill>
                  <w14:solidFill>
                    <w14:schemeClr w14:val="tx1"/>
                  </w14:solidFill>
                </w14:textFill>
              </w:rPr>
              <w:t>（</w:t>
            </w:r>
            <w:r>
              <w:rPr>
                <w:rFonts w:hint="default" w:ascii="Times New Roman" w:hAnsi="Times New Roman" w:eastAsia="宋体" w:cs="Times New Roman"/>
                <w:b/>
                <w:bCs/>
                <w:color w:val="000000" w:themeColor="text1"/>
                <w:lang w:val="en-US" w:eastAsia="zh-CN"/>
                <w14:textFill>
                  <w14:solidFill>
                    <w14:schemeClr w14:val="tx1"/>
                  </w14:solidFill>
                </w14:textFill>
              </w:rPr>
              <w:t>1）施工区域原有地表挖除的灌木杂草</w:t>
            </w:r>
          </w:p>
          <w:p w14:paraId="341F26D4">
            <w:pPr>
              <w:keepNext w:val="0"/>
              <w:keepLines w:val="0"/>
              <w:pageBreakBefore w:val="0"/>
              <w:kinsoku/>
              <w:wordWrap/>
              <w:overflowPunct/>
              <w:topLinePunct w:val="0"/>
              <w:autoSpaceDE/>
              <w:autoSpaceDN/>
              <w:bidi w:val="0"/>
              <w:adjustRightInd w:val="0"/>
              <w:snapToGrid w:val="0"/>
              <w:ind w:firstLine="480" w:firstLineChars="20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项目范围内整地过程中需对原有地表挖出的灌木杂草及其根系进行清除，挖除的灌木杂草与土壤中残存的植物根系产生量与项目区原地表植被类型、植被覆盖度等密切相关，难以进行定量分析，该类固废中</w:t>
            </w:r>
            <w:r>
              <w:rPr>
                <w:rFonts w:hint="default" w:ascii="Times New Roman" w:hAnsi="Times New Roman" w:eastAsia="宋体" w:cs="Times New Roman"/>
                <w:color w:val="000000" w:themeColor="text1"/>
                <w:lang w:eastAsia="zh-CN"/>
                <w14:textFill>
                  <w14:solidFill>
                    <w14:schemeClr w14:val="tx1"/>
                  </w14:solidFill>
                </w14:textFill>
              </w:rPr>
              <w:t>直径≥</w:t>
            </w:r>
            <w:r>
              <w:rPr>
                <w:rFonts w:hint="default" w:ascii="Times New Roman" w:hAnsi="Times New Roman" w:eastAsia="宋体" w:cs="Times New Roman"/>
                <w:color w:val="000000" w:themeColor="text1"/>
                <w:lang w:val="en-US" w:eastAsia="zh-CN"/>
                <w14:textFill>
                  <w14:solidFill>
                    <w14:schemeClr w14:val="tx1"/>
                  </w14:solidFill>
                </w14:textFill>
              </w:rPr>
              <w:t>5cm的统一收集后外售木炭加工和生物质燃料企业，作为木炭和生物质燃料加工原料。直径＜5cm的木材及杂草可就地切碎后埋入土壤内通过发酵腐熟后作为肥料。</w:t>
            </w:r>
          </w:p>
          <w:p w14:paraId="7F77F111">
            <w:pPr>
              <w:keepNext w:val="0"/>
              <w:keepLines w:val="0"/>
              <w:pageBreakBefore w:val="0"/>
              <w:kinsoku/>
              <w:wordWrap/>
              <w:overflowPunct/>
              <w:topLinePunct w:val="0"/>
              <w:autoSpaceDE/>
              <w:autoSpaceDN/>
              <w:bidi w:val="0"/>
              <w:adjustRightInd w:val="0"/>
              <w:snapToGrid w:val="0"/>
              <w:ind w:firstLine="482" w:firstLineChars="200"/>
              <w:jc w:val="both"/>
              <w:textAlignment w:val="auto"/>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eastAsia" w:ascii="Times New Roman" w:hAnsi="Times New Roman" w:cs="Times New Roman"/>
                <w:b/>
                <w:bCs/>
                <w:color w:val="000000" w:themeColor="text1"/>
                <w:lang w:val="en-US" w:eastAsia="zh-CN"/>
                <w14:textFill>
                  <w14:solidFill>
                    <w14:schemeClr w14:val="tx1"/>
                  </w14:solidFill>
                </w14:textFill>
              </w:rPr>
              <w:t>（</w:t>
            </w:r>
            <w:r>
              <w:rPr>
                <w:rFonts w:hint="default" w:ascii="Times New Roman" w:hAnsi="Times New Roman" w:eastAsia="宋体" w:cs="Times New Roman"/>
                <w:b/>
                <w:bCs/>
                <w:color w:val="000000" w:themeColor="text1"/>
                <w:lang w:val="en-US" w:eastAsia="zh-CN"/>
                <w14:textFill>
                  <w14:solidFill>
                    <w14:schemeClr w14:val="tx1"/>
                  </w14:solidFill>
                </w14:textFill>
              </w:rPr>
              <w:t>2）大棚建设产生的废弃材料</w:t>
            </w:r>
          </w:p>
          <w:p w14:paraId="4CB0B79D">
            <w:pPr>
              <w:keepNext w:val="0"/>
              <w:keepLines w:val="0"/>
              <w:pageBreakBefore w:val="0"/>
              <w:kinsoku/>
              <w:wordWrap/>
              <w:overflowPunct/>
              <w:topLinePunct w:val="0"/>
              <w:autoSpaceDE/>
              <w:autoSpaceDN/>
              <w:bidi w:val="0"/>
              <w:adjustRightInd w:val="0"/>
              <w:snapToGrid w:val="0"/>
              <w:ind w:firstLine="480" w:firstLineChars="20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大棚结构及顶棚覆盖过程中会产生少量的废弃材料，集中收集运至就近生活垃圾中转站，委托环卫部门处置。</w:t>
            </w:r>
          </w:p>
          <w:p w14:paraId="75DFB9EF">
            <w:pPr>
              <w:keepNext w:val="0"/>
              <w:keepLines w:val="0"/>
              <w:pageBreakBefore w:val="0"/>
              <w:kinsoku/>
              <w:wordWrap/>
              <w:overflowPunct/>
              <w:topLinePunct w:val="0"/>
              <w:autoSpaceDE/>
              <w:autoSpaceDN/>
              <w:bidi w:val="0"/>
              <w:adjustRightInd w:val="0"/>
              <w:snapToGrid w:val="0"/>
              <w:ind w:firstLine="482" w:firstLineChars="200"/>
              <w:jc w:val="both"/>
              <w:textAlignment w:val="auto"/>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eastAsia" w:ascii="Times New Roman" w:hAnsi="Times New Roman" w:cs="Times New Roman"/>
                <w:b/>
                <w:bCs/>
                <w:color w:val="000000" w:themeColor="text1"/>
                <w:lang w:val="en-US" w:eastAsia="zh-CN"/>
                <w14:textFill>
                  <w14:solidFill>
                    <w14:schemeClr w14:val="tx1"/>
                  </w14:solidFill>
                </w14:textFill>
              </w:rPr>
              <w:t>（</w:t>
            </w:r>
            <w:r>
              <w:rPr>
                <w:rFonts w:hint="default" w:ascii="Times New Roman" w:hAnsi="Times New Roman" w:eastAsia="宋体" w:cs="Times New Roman"/>
                <w:b/>
                <w:bCs/>
                <w:color w:val="000000" w:themeColor="text1"/>
                <w:lang w:val="en-US" w:eastAsia="zh-CN"/>
                <w14:textFill>
                  <w14:solidFill>
                    <w14:schemeClr w14:val="tx1"/>
                  </w14:solidFill>
                </w14:textFill>
              </w:rPr>
              <w:t>3）生活垃圾</w:t>
            </w:r>
          </w:p>
          <w:p w14:paraId="41DAF30A">
            <w:pPr>
              <w:keepNext w:val="0"/>
              <w:keepLines w:val="0"/>
              <w:pageBreakBefore w:val="0"/>
              <w:kinsoku/>
              <w:wordWrap/>
              <w:overflowPunct/>
              <w:topLinePunct w:val="0"/>
              <w:autoSpaceDE/>
              <w:autoSpaceDN/>
              <w:bidi w:val="0"/>
              <w:adjustRightInd w:val="0"/>
              <w:snapToGrid w:val="0"/>
              <w:ind w:firstLine="480" w:firstLineChars="20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施工期施工人员（</w:t>
            </w:r>
            <w:r>
              <w:rPr>
                <w:rFonts w:hint="eastAsia" w:ascii="Times New Roman" w:hAnsi="Times New Roman" w:cs="Times New Roman"/>
                <w:color w:val="000000" w:themeColor="text1"/>
                <w:lang w:val="en-US" w:eastAsia="zh-CN"/>
                <w14:textFill>
                  <w14:solidFill>
                    <w14:schemeClr w14:val="tx1"/>
                  </w14:solidFill>
                </w14:textFill>
              </w:rPr>
              <w:t>100</w:t>
            </w:r>
            <w:r>
              <w:rPr>
                <w:rFonts w:hint="default" w:ascii="Times New Roman" w:hAnsi="Times New Roman" w:eastAsia="宋体" w:cs="Times New Roman"/>
                <w:color w:val="000000" w:themeColor="text1"/>
                <w:lang w:val="en-US" w:eastAsia="zh-CN"/>
                <w14:textFill>
                  <w14:solidFill>
                    <w14:schemeClr w14:val="tx1"/>
                  </w14:solidFill>
                </w14:textFill>
              </w:rPr>
              <w:t>人）生活垃圾产生量按0.1kg/人·d计，施工期为22个月则生活垃圾的最大产生量为0.03t/d，</w:t>
            </w:r>
            <w:r>
              <w:rPr>
                <w:rFonts w:hint="eastAsia" w:ascii="Times New Roman" w:hAnsi="Times New Roman" w:cs="Times New Roman"/>
                <w:color w:val="000000" w:themeColor="text1"/>
                <w:lang w:val="en-US" w:eastAsia="zh-CN"/>
                <w14:textFill>
                  <w14:solidFill>
                    <w14:schemeClr w14:val="tx1"/>
                  </w14:solidFill>
                </w14:textFill>
              </w:rPr>
              <w:t>9.0</w:t>
            </w:r>
            <w:r>
              <w:rPr>
                <w:rFonts w:hint="default" w:ascii="Times New Roman" w:hAnsi="Times New Roman" w:eastAsia="宋体" w:cs="Times New Roman"/>
                <w:color w:val="000000" w:themeColor="text1"/>
                <w:lang w:val="en-US" w:eastAsia="zh-CN"/>
                <w14:textFill>
                  <w14:solidFill>
                    <w14:schemeClr w14:val="tx1"/>
                  </w14:solidFill>
                </w14:textFill>
              </w:rPr>
              <w:t>t/a。施工期为22个月则施工期间生活垃圾的产生量为16</w:t>
            </w:r>
            <w:r>
              <w:rPr>
                <w:rFonts w:hint="eastAsia"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5t。该类固废在施工区域内集中收集日产日清拉运至就近村镇指定的生活垃圾收集点，定期由当地环卫部门清运处置。</w:t>
            </w:r>
          </w:p>
          <w:p w14:paraId="5395FCC5">
            <w:pPr>
              <w:keepNext w:val="0"/>
              <w:keepLines w:val="0"/>
              <w:pageBreakBefore w:val="0"/>
              <w:kinsoku/>
              <w:wordWrap/>
              <w:overflowPunct/>
              <w:topLinePunct w:val="0"/>
              <w:autoSpaceDE/>
              <w:autoSpaceDN/>
              <w:bidi w:val="0"/>
              <w:adjustRightInd w:val="0"/>
              <w:snapToGrid w:val="0"/>
              <w:ind w:firstLine="480" w:firstLineChars="200"/>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综上分析，项目施工期间，通过加强对施工人员和施工过程的管理，规范固体废物的堆放与处置，严格执行文明施工条例，对所产生的固体废弃物进行合理处置，则施工期所产生的固体废物不会对当地环境产生不良影响。</w:t>
            </w:r>
          </w:p>
          <w:p w14:paraId="53610876">
            <w:pPr>
              <w:keepNext w:val="0"/>
              <w:keepLines w:val="0"/>
              <w:pageBreakBefore w:val="0"/>
              <w:numPr>
                <w:ilvl w:val="0"/>
                <w:numId w:val="0"/>
              </w:numPr>
              <w:kinsoku/>
              <w:wordWrap/>
              <w:overflowPunct/>
              <w:topLinePunct w:val="0"/>
              <w:autoSpaceDE/>
              <w:autoSpaceDN/>
              <w:bidi w:val="0"/>
              <w:adjustRightInd w:val="0"/>
              <w:snapToGrid w:val="0"/>
              <w:ind w:firstLine="482" w:firstLineChars="200"/>
              <w:jc w:val="both"/>
              <w:textAlignment w:val="auto"/>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eastAsia" w:ascii="Times New Roman" w:hAnsi="Times New Roman" w:cs="Times New Roman"/>
                <w:b/>
                <w:bCs/>
                <w:color w:val="000000" w:themeColor="text1"/>
                <w:lang w:val="en-US" w:eastAsia="zh-CN"/>
                <w14:textFill>
                  <w14:solidFill>
                    <w14:schemeClr w14:val="tx1"/>
                  </w14:solidFill>
                </w14:textFill>
              </w:rPr>
              <w:t>四</w:t>
            </w:r>
            <w:r>
              <w:rPr>
                <w:rFonts w:hint="default" w:ascii="Times New Roman" w:hAnsi="Times New Roman" w:eastAsia="宋体" w:cs="Times New Roman"/>
                <w:b/>
                <w:bCs/>
                <w:color w:val="000000" w:themeColor="text1"/>
                <w:lang w:val="en-US" w:eastAsia="zh-CN"/>
                <w14:textFill>
                  <w14:solidFill>
                    <w14:schemeClr w14:val="tx1"/>
                  </w14:solidFill>
                </w14:textFill>
              </w:rPr>
              <w:t>、施工期对饮用水保护区影响分析</w:t>
            </w:r>
          </w:p>
          <w:p w14:paraId="1C8A21DD">
            <w:pPr>
              <w:keepNext w:val="0"/>
              <w:keepLines w:val="0"/>
              <w:pageBreakBefore w:val="0"/>
              <w:kinsoku/>
              <w:wordWrap/>
              <w:overflowPunct/>
              <w:topLinePunct w:val="0"/>
              <w:autoSpaceDE/>
              <w:autoSpaceDN/>
              <w:bidi w:val="0"/>
              <w:adjustRightInd w:val="0"/>
              <w:snapToGrid w:val="0"/>
              <w:ind w:firstLine="482" w:firstLineChars="200"/>
              <w:jc w:val="both"/>
              <w:textAlignment w:val="auto"/>
              <w:rPr>
                <w:rFonts w:hint="default" w:ascii="Times New Roman" w:hAnsi="Times New Roman" w:eastAsia="宋体" w:cs="Times New Roman"/>
                <w:b/>
                <w:bCs/>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highlight w:val="none"/>
                <w:lang w:val="en-US" w:eastAsia="zh-CN"/>
                <w14:textFill>
                  <w14:solidFill>
                    <w14:schemeClr w14:val="tx1"/>
                  </w14:solidFill>
                </w14:textFill>
              </w:rPr>
              <w:t>（1）项目区域与大西水库及尼去本水库饮用水水源保护区关系</w:t>
            </w:r>
          </w:p>
          <w:p w14:paraId="38B22AD3">
            <w:pPr>
              <w:keepNext w:val="0"/>
              <w:keepLines w:val="0"/>
              <w:pageBreakBefore w:val="0"/>
              <w:kinsoku/>
              <w:wordWrap/>
              <w:overflowPunct/>
              <w:topLinePunct w:val="0"/>
              <w:autoSpaceDE/>
              <w:autoSpaceDN/>
              <w:bidi w:val="0"/>
              <w:adjustRightInd w:val="0"/>
              <w:snapToGrid w:val="0"/>
              <w:ind w:firstLine="480" w:firstLineChars="200"/>
              <w:jc w:val="both"/>
              <w:textAlignment w:val="auto"/>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项目一片区位于峨山县大西水库二级保护区内，距离一级保护区最近距离1.21km，距离一级保护区最近的区块项目规划为羊肚菌种植区。项目二片区位于尼去本水库二级保护区内，距离一级保护区最近距离</w:t>
            </w:r>
            <w:r>
              <w:rPr>
                <w:rFonts w:hint="default" w:ascii="Times New Roman" w:hAnsi="Times New Roman" w:eastAsia="宋体" w:cs="Times New Roman"/>
                <w:color w:val="000000" w:themeColor="text1"/>
                <w:sz w:val="24"/>
                <w:lang w:val="en-US" w:eastAsia="zh-CN"/>
                <w14:textFill>
                  <w14:solidFill>
                    <w14:schemeClr w14:val="tx1"/>
                  </w14:solidFill>
                </w14:textFill>
              </w:rPr>
              <w:t>1.84km</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，距离一级保护区最近的区块项目规划为羊肚菌种植区。</w:t>
            </w:r>
            <w:r>
              <w:rPr>
                <w:rFonts w:hint="default" w:ascii="Times New Roman" w:hAnsi="Times New Roman" w:eastAsia="宋体" w:cs="Times New Roman"/>
                <w:color w:val="000000" w:themeColor="text1"/>
                <w:sz w:val="24"/>
                <w:lang w:val="en-US" w:eastAsia="zh-CN"/>
                <w14:textFill>
                  <w14:solidFill>
                    <w14:schemeClr w14:val="tx1"/>
                  </w14:solidFill>
                </w14:textFill>
              </w:rPr>
              <w:t>可判定距离最近的项目区地块与大西水库饮用水水源保护区地块和尼去本水库饮用水水源保护区地块属于同一汇水范围。地表汇水范围是依据地形地貌、地质条件以及水系分布等多种因素所确定的区域，在此区域内，降水形成的地表径流会向特定的</w:t>
            </w:r>
            <w:r>
              <w:rPr>
                <w:rFonts w:hint="eastAsia" w:ascii="Times New Roman" w:hAnsi="Times New Roman" w:cs="Times New Roman"/>
                <w:color w:val="000000" w:themeColor="text1"/>
                <w:sz w:val="24"/>
                <w:lang w:val="en-US" w:eastAsia="zh-CN"/>
                <w14:textFill>
                  <w14:solidFill>
                    <w14:schemeClr w14:val="tx1"/>
                  </w14:solidFill>
                </w14:textFill>
              </w:rPr>
              <w:t>低点</w:t>
            </w:r>
            <w:r>
              <w:rPr>
                <w:rFonts w:hint="default" w:ascii="Times New Roman" w:hAnsi="Times New Roman" w:eastAsia="宋体" w:cs="Times New Roman"/>
                <w:color w:val="000000" w:themeColor="text1"/>
                <w:sz w:val="24"/>
                <w:lang w:val="en-US" w:eastAsia="zh-CN"/>
                <w14:textFill>
                  <w14:solidFill>
                    <w14:schemeClr w14:val="tx1"/>
                  </w14:solidFill>
                </w14:textFill>
              </w:rPr>
              <w:t>或水系汇聚。</w:t>
            </w:r>
          </w:p>
          <w:p w14:paraId="38720726">
            <w:pPr>
              <w:keepNext w:val="0"/>
              <w:keepLines w:val="0"/>
              <w:pageBreakBefore w:val="0"/>
              <w:kinsoku/>
              <w:wordWrap/>
              <w:overflowPunct/>
              <w:topLinePunct w:val="0"/>
              <w:autoSpaceDE/>
              <w:autoSpaceDN/>
              <w:bidi w:val="0"/>
              <w:adjustRightInd w:val="0"/>
              <w:snapToGrid w:val="0"/>
              <w:ind w:firstLine="480" w:firstLineChars="200"/>
              <w:jc w:val="both"/>
              <w:textAlignment w:val="auto"/>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具体图示如下：</w:t>
            </w:r>
          </w:p>
          <w:p w14:paraId="60E0AC25">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000000" w:themeColor="text1"/>
                <w:sz w:val="24"/>
                <w:lang w:val="en-US" w:eastAsia="zh-CN"/>
                <w14:textFill>
                  <w14:solidFill>
                    <w14:schemeClr w14:val="tx1"/>
                  </w14:solidFill>
                </w14:textFill>
              </w:rPr>
            </w:pPr>
            <w:r>
              <w:drawing>
                <wp:inline distT="0" distB="0" distL="114300" distR="114300">
                  <wp:extent cx="5060315" cy="3336925"/>
                  <wp:effectExtent l="0" t="0" r="6985" b="158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9"/>
                          <a:stretch>
                            <a:fillRect/>
                          </a:stretch>
                        </pic:blipFill>
                        <pic:spPr>
                          <a:xfrm>
                            <a:off x="0" y="0"/>
                            <a:ext cx="5060315" cy="3336925"/>
                          </a:xfrm>
                          <a:prstGeom prst="rect">
                            <a:avLst/>
                          </a:prstGeom>
                          <a:noFill/>
                          <a:ln>
                            <a:noFill/>
                          </a:ln>
                        </pic:spPr>
                      </pic:pic>
                    </a:graphicData>
                  </a:graphic>
                </wp:inline>
              </w:drawing>
            </w:r>
          </w:p>
          <w:p w14:paraId="3C95759B">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b/>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color w:val="000000" w:themeColor="text1"/>
                <w:sz w:val="21"/>
                <w:szCs w:val="21"/>
                <w:highlight w:val="none"/>
                <w:lang w:val="en-US" w:eastAsia="zh-CN"/>
                <w14:textFill>
                  <w14:solidFill>
                    <w14:schemeClr w14:val="tx1"/>
                  </w14:solidFill>
                </w14:textFill>
              </w:rPr>
              <w:t>图4-1项目一区与大西水库饮用水水源保护区流域关系图</w:t>
            </w:r>
          </w:p>
          <w:p w14:paraId="05EDFE3E">
            <w:pPr>
              <w:bidi w:val="0"/>
              <w:ind w:left="0" w:leftChars="0" w:firstLine="0" w:firstLineChars="0"/>
              <w:jc w:val="both"/>
              <w:rPr>
                <w:rFonts w:hint="default" w:ascii="Times New Roman" w:hAnsi="Times New Roman" w:eastAsia="宋体" w:cs="Times New Roman"/>
                <w:b/>
                <w:color w:val="000000" w:themeColor="text1"/>
                <w:sz w:val="24"/>
                <w:szCs w:val="24"/>
                <w:lang w:val="en-US" w:eastAsia="zh-CN"/>
                <w14:textFill>
                  <w14:solidFill>
                    <w14:schemeClr w14:val="tx1"/>
                  </w14:solidFill>
                </w14:textFill>
              </w:rPr>
            </w:pPr>
            <w:r>
              <w:drawing>
                <wp:inline distT="0" distB="0" distL="114300" distR="114300">
                  <wp:extent cx="5054600" cy="3354705"/>
                  <wp:effectExtent l="0" t="0" r="12700" b="1714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20"/>
                          <a:stretch>
                            <a:fillRect/>
                          </a:stretch>
                        </pic:blipFill>
                        <pic:spPr>
                          <a:xfrm>
                            <a:off x="0" y="0"/>
                            <a:ext cx="5054600" cy="3354705"/>
                          </a:xfrm>
                          <a:prstGeom prst="rect">
                            <a:avLst/>
                          </a:prstGeom>
                          <a:noFill/>
                          <a:ln>
                            <a:noFill/>
                          </a:ln>
                        </pic:spPr>
                      </pic:pic>
                    </a:graphicData>
                  </a:graphic>
                </wp:inline>
              </w:drawing>
            </w:r>
            <w:bookmarkStart w:id="24" w:name="_GoBack"/>
            <w:bookmarkEnd w:id="24"/>
          </w:p>
          <w:p w14:paraId="36382368">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b/>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color w:val="000000" w:themeColor="text1"/>
                <w:sz w:val="21"/>
                <w:szCs w:val="21"/>
                <w:highlight w:val="none"/>
                <w:lang w:val="en-US" w:eastAsia="zh-CN"/>
                <w14:textFill>
                  <w14:solidFill>
                    <w14:schemeClr w14:val="tx1"/>
                  </w14:solidFill>
                </w14:textFill>
              </w:rPr>
              <w:t>图4-2项目二区与尼去本水库饮用水水源保护区流域关系图</w:t>
            </w:r>
          </w:p>
          <w:p w14:paraId="061E3B99">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（2）项目施工期对大西水库饮用水水源和尼去本水库饮用水水源的影响</w:t>
            </w:r>
          </w:p>
          <w:p w14:paraId="39A6726D">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根据《建设项目环境影响报告表编制技术指南</w:t>
            </w: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生态影响类</w:t>
            </w: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试行</w:t>
            </w: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w:t>
            </w: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地下水等环境要素参照环境影响评价技术导则开展现状调查。根据《环境影响评价技术导则</w:t>
            </w: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地下水环境》（HJ610-2016）附录A，本项目地下水环境影响评价项目类别为“A</w:t>
            </w:r>
            <w:r>
              <w:rPr>
                <w:rFonts w:hint="default" w:ascii="Times New Roman" w:hAnsi="Times New Roman" w:eastAsia="宋体" w:cs="Times New Roman"/>
                <w:color w:val="000000" w:themeColor="text1"/>
                <w:sz w:val="24"/>
                <w:szCs w:val="24"/>
                <w14:textFill>
                  <w14:solidFill>
                    <w14:schemeClr w14:val="tx1"/>
                  </w14:solidFill>
                </w14:textFill>
              </w:rPr>
              <w:t>农、林、牧、渔、海洋</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”中的“9、农产品基地”，为</w:t>
            </w: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Ⅳ类</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项目；</w:t>
            </w:r>
            <w:r>
              <w:rPr>
                <w:rFonts w:hint="default" w:ascii="Times New Roman" w:hAnsi="Times New Roman" w:eastAsia="宋体" w:cs="Times New Roman"/>
                <w:color w:val="000000" w:themeColor="text1"/>
                <w:sz w:val="24"/>
                <w:szCs w:val="24"/>
                <w:highlight w:val="none"/>
                <w14:textFill>
                  <w14:solidFill>
                    <w14:schemeClr w14:val="tx1"/>
                  </w14:solidFill>
                </w14:textFill>
              </w:rPr>
              <w:t>本项目地处</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峨山县塔甸镇大西村</w:t>
            </w:r>
            <w:r>
              <w:rPr>
                <w:rFonts w:hint="default" w:ascii="Times New Roman" w:hAnsi="Times New Roman" w:eastAsia="宋体" w:cs="Times New Roman"/>
                <w:color w:val="000000" w:themeColor="text1"/>
                <w:sz w:val="24"/>
                <w:szCs w:val="24"/>
                <w:highlight w:val="none"/>
                <w14:textFill>
                  <w14:solidFill>
                    <w14:schemeClr w14:val="tx1"/>
                  </w14:solidFill>
                </w14:textFill>
              </w:rPr>
              <w:t>，评价范围内</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也</w:t>
            </w:r>
            <w:r>
              <w:rPr>
                <w:rFonts w:hint="default" w:ascii="Times New Roman" w:hAnsi="Times New Roman" w:eastAsia="宋体" w:cs="Times New Roman"/>
                <w:color w:val="000000" w:themeColor="text1"/>
                <w:sz w:val="24"/>
                <w:szCs w:val="24"/>
                <w:highlight w:val="none"/>
                <w14:textFill>
                  <w14:solidFill>
                    <w14:schemeClr w14:val="tx1"/>
                  </w14:solidFill>
                </w14:textFill>
              </w:rPr>
              <w:t>不涉及重要的生态、野生珍稀动植物、自然保护区、文物保护单位、地下热水、矿泉水、温泉等特殊地下水资源的保护区和补给区。</w:t>
            </w:r>
            <w:r>
              <w:rPr>
                <w:rFonts w:hint="default" w:ascii="Times New Roman" w:hAnsi="Times New Roman" w:eastAsia="宋体" w:cs="Times New Roman"/>
                <w:color w:val="000000" w:themeColor="text1"/>
                <w:sz w:val="24"/>
                <w:lang w:val="en-US" w:eastAsia="zh-CN"/>
                <w14:textFill>
                  <w14:solidFill>
                    <w14:schemeClr w14:val="tx1"/>
                  </w14:solidFill>
                </w14:textFill>
              </w:rPr>
              <w:t>涉及大西水库和尼去本水库两处饮用水水源保护区，一片区距离</w:t>
            </w:r>
            <w:r>
              <w:rPr>
                <w:rFonts w:hint="default" w:ascii="Times New Roman" w:hAnsi="Times New Roman" w:eastAsia="宋体" w:cs="Times New Roman"/>
                <w:b w:val="0"/>
                <w:bCs w:val="0"/>
                <w:color w:val="000000" w:themeColor="text1"/>
                <w:lang w:val="en-US" w:eastAsia="zh-CN"/>
                <w14:textFill>
                  <w14:solidFill>
                    <w14:schemeClr w14:val="tx1"/>
                  </w14:solidFill>
                </w14:textFill>
              </w:rPr>
              <w:t>大西水库饮用水水源地一级保护区最近距离为</w:t>
            </w:r>
            <w:r>
              <w:rPr>
                <w:rFonts w:hint="default" w:ascii="Times New Roman" w:hAnsi="Times New Roman" w:eastAsia="宋体" w:cs="Times New Roman"/>
                <w:color w:val="000000" w:themeColor="text1"/>
                <w:sz w:val="24"/>
                <w:lang w:val="en-US" w:eastAsia="zh-CN"/>
                <w14:textFill>
                  <w14:solidFill>
                    <w14:schemeClr w14:val="tx1"/>
                  </w14:solidFill>
                </w14:textFill>
              </w:rPr>
              <w:t>1.21km，二片区距离</w:t>
            </w:r>
            <w:r>
              <w:rPr>
                <w:rFonts w:hint="default" w:ascii="Times New Roman" w:hAnsi="Times New Roman" w:eastAsia="宋体" w:cs="Times New Roman"/>
                <w:b w:val="0"/>
                <w:bCs w:val="0"/>
                <w:color w:val="000000" w:themeColor="text1"/>
                <w:lang w:val="en-US" w:eastAsia="zh-CN"/>
                <w14:textFill>
                  <w14:solidFill>
                    <w14:schemeClr w14:val="tx1"/>
                  </w14:solidFill>
                </w14:textFill>
              </w:rPr>
              <w:t>尼去本水库饮用水水源保护区一级保护区</w:t>
            </w:r>
            <w:r>
              <w:rPr>
                <w:rFonts w:hint="default" w:ascii="Times New Roman" w:hAnsi="Times New Roman" w:eastAsia="宋体" w:cs="Times New Roman"/>
                <w:color w:val="000000" w:themeColor="text1"/>
                <w:sz w:val="24"/>
                <w:lang w:val="en-US" w:eastAsia="zh-CN"/>
                <w14:textFill>
                  <w14:solidFill>
                    <w14:schemeClr w14:val="tx1"/>
                  </w14:solidFill>
                </w14:textFill>
              </w:rPr>
              <w:t>最近距离为1.84km。</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水库距离项目区较远</w:t>
            </w:r>
            <w:r>
              <w:rPr>
                <w:rFonts w:hint="default" w:ascii="Times New Roman" w:hAnsi="Times New Roman" w:eastAsia="宋体" w:cs="Times New Roman"/>
                <w:color w:val="000000" w:themeColor="text1"/>
                <w:sz w:val="24"/>
                <w:lang w:val="en-US" w:eastAsia="zh-CN"/>
                <w14:textFill>
                  <w14:solidFill>
                    <w14:schemeClr w14:val="tx1"/>
                  </w14:solidFill>
                </w14:textFill>
              </w:rPr>
              <w:t>，可判定距离最近的项目区地块与</w:t>
            </w:r>
            <w:r>
              <w:rPr>
                <w:rFonts w:hint="default" w:ascii="Times New Roman" w:hAnsi="Times New Roman" w:eastAsia="宋体" w:cs="Times New Roman"/>
                <w:b w:val="0"/>
                <w:bCs w:val="0"/>
                <w:color w:val="000000" w:themeColor="text1"/>
                <w:lang w:val="en-US" w:eastAsia="zh-CN"/>
                <w14:textFill>
                  <w14:solidFill>
                    <w14:schemeClr w14:val="tx1"/>
                  </w14:solidFill>
                </w14:textFill>
              </w:rPr>
              <w:t>大西水库饮用水水源保护区和尼去本水库饮用水水源保护区</w:t>
            </w:r>
            <w:r>
              <w:rPr>
                <w:rFonts w:hint="default" w:ascii="Times New Roman" w:hAnsi="Times New Roman" w:eastAsia="宋体" w:cs="Times New Roman"/>
                <w:color w:val="000000" w:themeColor="text1"/>
                <w:sz w:val="24"/>
                <w:lang w:val="en-US" w:eastAsia="zh-CN"/>
                <w14:textFill>
                  <w14:solidFill>
                    <w14:schemeClr w14:val="tx1"/>
                  </w14:solidFill>
                </w14:textFill>
              </w:rPr>
              <w:t>并没有地表水联系，</w:t>
            </w:r>
            <w:r>
              <w:rPr>
                <w:rFonts w:hint="eastAsia" w:ascii="Times New Roman" w:hAnsi="Times New Roman" w:cs="Times New Roman"/>
                <w:color w:val="000000" w:themeColor="text1"/>
                <w:sz w:val="24"/>
                <w:lang w:val="en-US" w:eastAsia="zh-CN"/>
                <w14:textFill>
                  <w14:solidFill>
                    <w14:schemeClr w14:val="tx1"/>
                  </w14:solidFill>
                </w14:textFill>
              </w:rPr>
              <w:t>仅</w:t>
            </w:r>
            <w:r>
              <w:rPr>
                <w:rFonts w:hint="default" w:ascii="Times New Roman" w:hAnsi="Times New Roman" w:eastAsia="宋体" w:cs="Times New Roman"/>
                <w:color w:val="000000" w:themeColor="text1"/>
                <w:sz w:val="24"/>
                <w:lang w:val="en-US" w:eastAsia="zh-CN"/>
                <w14:textFill>
                  <w14:solidFill>
                    <w14:schemeClr w14:val="tx1"/>
                  </w14:solidFill>
                </w14:textFill>
              </w:rPr>
              <w:t>属于同一汇水范围。地表汇水范围是依据地形地貌、地质条件以及水系分布等多种因素所确定的区域，在此区域内，降水形成的地表径流会向特定的低点或水系汇聚。项目区内不设厕所，施工期产生的生活污水仅为洗手用水和建筑工地用水，经沉淀池沉淀后</w:t>
            </w:r>
            <w:r>
              <w:rPr>
                <w:rFonts w:hint="eastAsia" w:ascii="Times New Roman" w:hAnsi="Times New Roman" w:cs="Times New Roman"/>
                <w:color w:val="000000" w:themeColor="text1"/>
                <w:sz w:val="24"/>
                <w:lang w:val="en-US" w:eastAsia="zh-CN"/>
                <w14:textFill>
                  <w14:solidFill>
                    <w14:schemeClr w14:val="tx1"/>
                  </w14:solidFill>
                </w14:textFill>
              </w:rPr>
              <w:t>回用于项目区洒水降尘，种植期生活污水主要是洗手废水及工具清洗废水，收集至沉淀池后回用于</w:t>
            </w:r>
            <w:r>
              <w:rPr>
                <w:rFonts w:hint="default" w:ascii="Times New Roman" w:hAnsi="Times New Roman" w:eastAsia="宋体" w:cs="Times New Roman"/>
                <w:color w:val="000000" w:themeColor="text1"/>
                <w:highlight w:val="none"/>
                <w:lang w:val="en-US" w:eastAsia="zh-CN"/>
                <w14:textFill>
                  <w14:solidFill>
                    <w14:schemeClr w14:val="tx1"/>
                  </w14:solidFill>
                </w14:textFill>
              </w:rPr>
              <w:t>项目种植区灌溉</w:t>
            </w:r>
            <w:r>
              <w:rPr>
                <w:rFonts w:hint="default" w:ascii="Times New Roman" w:hAnsi="Times New Roman" w:eastAsia="宋体" w:cs="Times New Roman"/>
                <w:color w:val="000000" w:themeColor="text1"/>
                <w:sz w:val="24"/>
                <w:lang w:val="en-US" w:eastAsia="zh-CN"/>
                <w14:textFill>
                  <w14:solidFill>
                    <w14:schemeClr w14:val="tx1"/>
                  </w14:solidFill>
                </w14:textFill>
              </w:rPr>
              <w:t>。项目施工期对</w:t>
            </w:r>
            <w:r>
              <w:rPr>
                <w:rFonts w:hint="default" w:ascii="Times New Roman" w:hAnsi="Times New Roman" w:eastAsia="宋体" w:cs="Times New Roman"/>
                <w:b w:val="0"/>
                <w:bCs w:val="0"/>
                <w:color w:val="000000" w:themeColor="text1"/>
                <w:lang w:val="en-US" w:eastAsia="zh-CN"/>
                <w14:textFill>
                  <w14:solidFill>
                    <w14:schemeClr w14:val="tx1"/>
                  </w14:solidFill>
                </w14:textFill>
              </w:rPr>
              <w:t>大西水库饮用水水源保护区和尼去本水库饮用水水源保护区</w:t>
            </w:r>
            <w:r>
              <w:rPr>
                <w:rFonts w:hint="default" w:ascii="Times New Roman" w:hAnsi="Times New Roman" w:eastAsia="宋体" w:cs="Times New Roman"/>
                <w:color w:val="000000" w:themeColor="text1"/>
                <w:sz w:val="24"/>
                <w:lang w:val="en-US" w:eastAsia="zh-CN"/>
                <w14:textFill>
                  <w14:solidFill>
                    <w14:schemeClr w14:val="tx1"/>
                  </w14:solidFill>
                </w14:textFill>
              </w:rPr>
              <w:t>影响不大。</w:t>
            </w:r>
          </w:p>
          <w:p w14:paraId="19D47D00">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（3）项目施工期对大西水库饮用水水源和尼去本水库饮用水水源的保护措施</w:t>
            </w:r>
          </w:p>
          <w:p w14:paraId="28FFEA5E">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Times New Roman" w:hAnsi="Times New Roman" w:cs="Times New Roman"/>
                <w:color w:val="000000" w:themeColor="text1"/>
                <w:sz w:val="24"/>
                <w:lang w:val="en-US" w:eastAsia="zh-CN"/>
                <w14:textFill>
                  <w14:solidFill>
                    <w14:schemeClr w14:val="tx1"/>
                  </w14:solidFill>
                </w14:textFill>
              </w:rPr>
            </w:pPr>
            <w:r>
              <w:rPr>
                <w:rFonts w:hint="eastAsia" w:ascii="Times New Roman" w:hAnsi="Times New Roman" w:cs="Times New Roman"/>
                <w:color w:val="000000" w:themeColor="text1"/>
                <w:sz w:val="24"/>
                <w:lang w:val="en-US" w:eastAsia="zh-CN"/>
                <w14:textFill>
                  <w14:solidFill>
                    <w14:schemeClr w14:val="tx1"/>
                  </w14:solidFill>
                </w14:textFill>
              </w:rPr>
              <w:t>1）项目施工期间优先建设项目区四周截排水沟、水池及沉淀池等池体，避免施工期间雨水排入外环境中；</w:t>
            </w:r>
          </w:p>
          <w:p w14:paraId="5D357C68">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eastAsia" w:ascii="Times New Roman" w:hAnsi="Times New Roman" w:cs="Times New Roman"/>
                <w:color w:val="000000" w:themeColor="text1"/>
                <w:sz w:val="24"/>
                <w:lang w:val="en-US" w:eastAsia="zh-CN"/>
                <w14:textFill>
                  <w14:solidFill>
                    <w14:schemeClr w14:val="tx1"/>
                  </w14:solidFill>
                </w14:textFill>
              </w:rPr>
              <w:t>2</w:t>
            </w:r>
            <w:r>
              <w:rPr>
                <w:rFonts w:hint="default" w:ascii="Times New Roman" w:hAnsi="Times New Roman" w:eastAsia="宋体" w:cs="Times New Roman"/>
                <w:color w:val="000000" w:themeColor="text1"/>
                <w:sz w:val="24"/>
                <w:lang w:val="en-US" w:eastAsia="zh-CN"/>
                <w14:textFill>
                  <w14:solidFill>
                    <w14:schemeClr w14:val="tx1"/>
                  </w14:solidFill>
                </w14:textFill>
              </w:rPr>
              <w:t>）设置防护距离</w:t>
            </w:r>
          </w:p>
          <w:p w14:paraId="484BFFF9">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根据项目范围矢量数据和</w:t>
            </w:r>
            <w:r>
              <w:rPr>
                <w:rFonts w:hint="default" w:ascii="Times New Roman" w:hAnsi="Times New Roman" w:eastAsia="宋体" w:cs="Times New Roman"/>
                <w:b w:val="0"/>
                <w:bCs w:val="0"/>
                <w:color w:val="000000" w:themeColor="text1"/>
                <w:lang w:val="en-US" w:eastAsia="zh-CN"/>
                <w14:textFill>
                  <w14:solidFill>
                    <w14:schemeClr w14:val="tx1"/>
                  </w14:solidFill>
                </w14:textFill>
              </w:rPr>
              <w:t>大西水库饮用水水源保护区和尼去本水库饮用水水源保护区</w:t>
            </w:r>
            <w:r>
              <w:rPr>
                <w:rFonts w:hint="default" w:ascii="Times New Roman" w:hAnsi="Times New Roman" w:eastAsia="宋体" w:cs="Times New Roman"/>
                <w:color w:val="000000" w:themeColor="text1"/>
                <w:sz w:val="24"/>
                <w:lang w:val="en-US" w:eastAsia="zh-CN"/>
                <w14:textFill>
                  <w14:solidFill>
                    <w14:schemeClr w14:val="tx1"/>
                  </w14:solidFill>
                </w14:textFill>
              </w:rPr>
              <w:t>比对分析，项目一片区距离峨山县大西水库水源保护区一级保护区1.21km，最近的区块项目规划为羊肚菌种植。项目二片区块距离尼去本水库水源保护区一级保护区为1.84km，最近的区块项目规划为羊肚菌种植。两个项目片区均在饮用水水源保护区二级保护区内</w:t>
            </w:r>
            <w:r>
              <w:rPr>
                <w:rFonts w:hint="default" w:ascii="Times New Roman" w:hAnsi="Times New Roman" w:cs="Times New Roman"/>
                <w:color w:val="000000" w:themeColor="text1"/>
                <w:sz w:val="24"/>
                <w:lang w:val="en-US" w:eastAsia="zh-CN"/>
                <w14:textFill>
                  <w14:solidFill>
                    <w14:schemeClr w14:val="tx1"/>
                  </w14:solidFill>
                </w14:textFill>
              </w:rPr>
              <w:t>。根据水源地划定方案，</w:t>
            </w:r>
            <w:r>
              <w:rPr>
                <w:rFonts w:hint="default" w:ascii="Times New Roman" w:hAnsi="Times New Roman" w:cs="Times New Roman"/>
                <w:color w:val="000000" w:themeColor="text1"/>
                <w:sz w:val="24"/>
                <w:szCs w:val="24"/>
                <w:highlight w:val="none"/>
                <w14:textFill>
                  <w14:solidFill>
                    <w14:schemeClr w14:val="tx1"/>
                  </w14:solidFill>
                </w14:textFill>
              </w:rPr>
              <w:t>陆域一级保护区范围</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为</w:t>
            </w:r>
            <w:r>
              <w:rPr>
                <w:rFonts w:hint="default" w:ascii="Times New Roman" w:hAnsi="Times New Roman" w:cs="Times New Roman"/>
                <w:color w:val="000000" w:themeColor="text1"/>
                <w:sz w:val="24"/>
                <w:szCs w:val="24"/>
                <w:highlight w:val="none"/>
                <w14:textFill>
                  <w14:solidFill>
                    <w14:schemeClr w14:val="tx1"/>
                  </w14:solidFill>
                </w14:textFill>
              </w:rPr>
              <w:t>水域外200m范围内的区域，</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且</w:t>
            </w:r>
            <w:r>
              <w:rPr>
                <w:rFonts w:hint="default" w:ascii="Times New Roman" w:hAnsi="Times New Roman" w:cs="Times New Roman"/>
                <w:color w:val="000000" w:themeColor="text1"/>
                <w:sz w:val="24"/>
                <w:szCs w:val="24"/>
                <w:highlight w:val="none"/>
                <w14:textFill>
                  <w14:solidFill>
                    <w14:schemeClr w14:val="tx1"/>
                  </w14:solidFill>
                </w14:textFill>
              </w:rPr>
              <w:t>不超过分水岭范围</w:t>
            </w:r>
            <w:r>
              <w:rPr>
                <w:rFonts w:hint="default" w:ascii="Times New Roman" w:hAnsi="Times New Roman" w:cs="Times New Roman"/>
                <w:color w:val="000000" w:themeColor="text1"/>
                <w:sz w:val="24"/>
                <w:szCs w:val="24"/>
                <w:highlight w:val="none"/>
                <w:lang w:eastAsia="zh-CN"/>
                <w14:textFill>
                  <w14:solidFill>
                    <w14:schemeClr w14:val="tx1"/>
                  </w14:solidFill>
                </w14:textFill>
              </w:rPr>
              <w:t>，</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因此项目设置距离水源地一级保护区500m为防护距离。</w:t>
            </w:r>
          </w:p>
          <w:p w14:paraId="5C701837">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为了尽量减少项目对饮用水源保护区的影响，</w:t>
            </w:r>
            <w:r>
              <w:rPr>
                <w:rFonts w:hint="eastAsia" w:ascii="Times New Roman" w:hAnsi="Times New Roman" w:cs="Times New Roman"/>
                <w:color w:val="000000" w:themeColor="text1"/>
                <w:sz w:val="24"/>
                <w:lang w:val="en-US" w:eastAsia="zh-CN"/>
                <w14:textFill>
                  <w14:solidFill>
                    <w14:schemeClr w14:val="tx1"/>
                  </w14:solidFill>
                </w14:textFill>
              </w:rPr>
              <w:t>距离水库</w:t>
            </w:r>
            <w:r>
              <w:rPr>
                <w:rFonts w:hint="default" w:ascii="Times New Roman" w:hAnsi="Times New Roman" w:eastAsia="宋体" w:cs="Times New Roman"/>
                <w:color w:val="000000" w:themeColor="text1"/>
                <w:sz w:val="24"/>
                <w:lang w:val="en-US" w:eastAsia="zh-CN"/>
                <w14:textFill>
                  <w14:solidFill>
                    <w14:schemeClr w14:val="tx1"/>
                  </w14:solidFill>
                </w14:textFill>
              </w:rPr>
              <w:t>在此防护距离内：</w:t>
            </w:r>
          </w:p>
          <w:p w14:paraId="7146C501">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①设置醒目标志，提醒管护人员防护区的范围。</w:t>
            </w:r>
          </w:p>
          <w:p w14:paraId="12CFE9F5">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②在此范围内管护过程中产生的残枝败叶应及时运走，不得堆置。不得放置肥料、农药等农用物资。</w:t>
            </w:r>
          </w:p>
          <w:p w14:paraId="7B8F9728">
            <w:pPr>
              <w:bidi w:val="0"/>
              <w:jc w:val="both"/>
              <w:rPr>
                <w:rFonts w:hint="default" w:ascii="Times New Roman" w:hAnsi="Times New Roman" w:eastAsia="宋体" w:cs="Times New Roman"/>
                <w:color w:val="000000" w:themeColor="text1"/>
                <w14:textFill>
                  <w14:solidFill>
                    <w14:schemeClr w14:val="tx1"/>
                  </w14:solidFill>
                </w14:textFill>
              </w:rPr>
            </w:pPr>
          </w:p>
        </w:tc>
      </w:tr>
      <w:tr w14:paraId="4455E1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06" w:hRule="atLeast"/>
          <w:jc w:val="center"/>
        </w:trPr>
        <w:tc>
          <w:tcPr>
            <w:tcW w:w="777" w:type="dxa"/>
            <w:tcMar>
              <w:left w:w="28" w:type="dxa"/>
              <w:right w:w="28" w:type="dxa"/>
            </w:tcMar>
            <w:vAlign w:val="center"/>
          </w:tcPr>
          <w:p w14:paraId="5D7E079E">
            <w:pPr>
              <w:pStyle w:val="21"/>
              <w:adjustRightInd w:val="0"/>
              <w:snapToGrid w:val="0"/>
              <w:spacing w:before="0" w:beforeAutospacing="0" w:after="0" w:afterAutospacing="0"/>
              <w:ind w:firstLine="0" w:firstLineChars="0"/>
              <w:jc w:val="both"/>
              <w:rPr>
                <w:rFonts w:hint="default" w:ascii="Times New Roman" w:hAnsi="Times New Roman" w:eastAsia="宋体" w:cs="Times New Roman"/>
                <w:bCs/>
                <w:color w:val="000000" w:themeColor="text1"/>
                <w:kern w:val="2"/>
                <w14:textFill>
                  <w14:solidFill>
                    <w14:schemeClr w14:val="tx1"/>
                  </w14:solidFill>
                </w14:textFill>
              </w:rPr>
            </w:pPr>
            <w:r>
              <w:rPr>
                <w:rFonts w:hint="default" w:ascii="Times New Roman" w:hAnsi="Times New Roman" w:eastAsia="宋体" w:cs="Times New Roman"/>
                <w:bCs/>
                <w:color w:val="000000" w:themeColor="text1"/>
                <w:spacing w:val="10"/>
                <w:kern w:val="2"/>
                <w14:textFill>
                  <w14:solidFill>
                    <w14:schemeClr w14:val="tx1"/>
                  </w14:solidFill>
                </w14:textFill>
              </w:rPr>
              <w:t>运营期生态环境影响分析</w:t>
            </w:r>
          </w:p>
        </w:tc>
        <w:tc>
          <w:tcPr>
            <w:tcW w:w="8189" w:type="dxa"/>
          </w:tcPr>
          <w:p w14:paraId="64A78B7A">
            <w:pPr>
              <w:keepNext w:val="0"/>
              <w:keepLines w:val="0"/>
              <w:pageBreakBefore w:val="0"/>
              <w:widowControl w:val="0"/>
              <w:numPr>
                <w:ilvl w:val="0"/>
                <w:numId w:val="0"/>
              </w:numPr>
              <w:kinsoku/>
              <w:wordWrap/>
              <w:overflowPunct/>
              <w:topLinePunct w:val="0"/>
              <w:autoSpaceDE/>
              <w:autoSpaceDN/>
              <w:bidi w:val="0"/>
              <w:adjustRightInd w:val="0"/>
              <w:snapToGrid w:val="0"/>
              <w:jc w:val="both"/>
              <w:textAlignment w:val="auto"/>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eastAsia" w:ascii="Times New Roman" w:hAnsi="Times New Roman" w:eastAsia="宋体" w:cs="Times New Roman"/>
                <w:b/>
                <w:bCs/>
                <w:color w:val="000000" w:themeColor="text1"/>
                <w:lang w:val="en-US" w:eastAsia="zh-CN"/>
                <w14:textFill>
                  <w14:solidFill>
                    <w14:schemeClr w14:val="tx1"/>
                  </w14:solidFill>
                </w14:textFill>
              </w:rPr>
              <w:t>一</w:t>
            </w:r>
            <w:r>
              <w:rPr>
                <w:rFonts w:hint="default" w:ascii="Times New Roman" w:hAnsi="Times New Roman" w:eastAsia="宋体" w:cs="Times New Roman"/>
                <w:b/>
                <w:bCs/>
                <w:color w:val="000000" w:themeColor="text1"/>
                <w:lang w:val="en-US" w:eastAsia="zh-CN"/>
                <w14:textFill>
                  <w14:solidFill>
                    <w14:schemeClr w14:val="tx1"/>
                  </w14:solidFill>
                </w14:textFill>
              </w:rPr>
              <w:t>、运营期生态环境影响分析</w:t>
            </w:r>
          </w:p>
          <w:p w14:paraId="5CDA8B5F">
            <w:pPr>
              <w:keepNext w:val="0"/>
              <w:keepLines w:val="0"/>
              <w:pageBreakBefore w:val="0"/>
              <w:widowControl w:val="0"/>
              <w:numPr>
                <w:ilvl w:val="0"/>
                <w:numId w:val="0"/>
              </w:numPr>
              <w:kinsoku/>
              <w:wordWrap/>
              <w:overflowPunct/>
              <w:topLinePunct w:val="0"/>
              <w:autoSpaceDE/>
              <w:autoSpaceDN/>
              <w:bidi w:val="0"/>
              <w:adjustRightInd w:val="0"/>
              <w:snapToGrid w:val="0"/>
              <w:ind w:leftChars="0" w:firstLine="482" w:firstLineChars="200"/>
              <w:jc w:val="both"/>
              <w:textAlignment w:val="auto"/>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（1）对地表植被的影响分析</w:t>
            </w:r>
          </w:p>
          <w:p w14:paraId="50690985">
            <w:pPr>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pPr>
            <w:r>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t>本项目属于</w:t>
            </w:r>
            <w:r>
              <w:rPr>
                <w:rFonts w:hint="default" w:ascii="Times New Roman" w:hAnsi="Times New Roman" w:eastAsia="宋体" w:cs="Times New Roman"/>
                <w:b w:val="0"/>
                <w:bCs w:val="0"/>
                <w:color w:val="000000" w:themeColor="text1"/>
                <w:sz w:val="24"/>
                <w:szCs w:val="24"/>
                <w:highlight w:val="none"/>
                <w:lang w:val="en-US" w:eastAsia="zh-CN"/>
                <w14:textFill>
                  <w14:solidFill>
                    <w14:schemeClr w14:val="tx1"/>
                  </w14:solidFill>
                </w14:textFill>
              </w:rPr>
              <w:t>农业种植</w:t>
            </w:r>
            <w:r>
              <w:rPr>
                <w:rFonts w:hint="default" w:ascii="Times New Roman" w:hAnsi="Times New Roman" w:eastAsia="宋体" w:cs="Times New Roman"/>
                <w:b w:val="0"/>
                <w:bCs w:val="0"/>
                <w:color w:val="000000" w:themeColor="text1"/>
                <w:sz w:val="24"/>
                <w:szCs w:val="24"/>
                <w:highlight w:val="none"/>
                <w14:textFill>
                  <w14:solidFill>
                    <w14:schemeClr w14:val="tx1"/>
                  </w14:solidFill>
                </w14:textFill>
              </w:rPr>
              <w:t>活动，</w:t>
            </w:r>
            <w:r>
              <w:rPr>
                <w:rFonts w:hint="eastAsia" w:ascii="Times New Roman" w:hAnsi="Times New Roman" w:cs="Times New Roman"/>
                <w:b w:val="0"/>
                <w:bCs w:val="0"/>
                <w:color w:val="000000" w:themeColor="text1"/>
                <w:sz w:val="24"/>
                <w:szCs w:val="24"/>
                <w:highlight w:val="none"/>
                <w:lang w:val="en-US" w:eastAsia="zh-CN"/>
                <w14:textFill>
                  <w14:solidFill>
                    <w14:schemeClr w14:val="tx1"/>
                  </w14:solidFill>
                </w14:textFill>
              </w:rPr>
              <w:t>主要为</w:t>
            </w:r>
            <w:r>
              <w:rPr>
                <w:rFonts w:hint="default" w:ascii="Times New Roman" w:hAnsi="Times New Roman" w:eastAsia="宋体" w:cs="Times New Roman"/>
                <w:color w:val="000000" w:themeColor="text1"/>
                <w:highlight w:val="none"/>
                <w:lang w:val="en-US" w:eastAsia="zh-CN"/>
                <w14:textFill>
                  <w14:solidFill>
                    <w14:schemeClr w14:val="tx1"/>
                  </w14:solidFill>
                </w14:textFill>
              </w:rPr>
              <w:t>蓝莓、三七、羊肚菌、桃树、苹果树种植</w:t>
            </w:r>
            <w:r>
              <w:rPr>
                <w:rFonts w:hint="eastAsia" w:ascii="Times New Roman" w:hAnsi="Times New Roman" w:eastAsia="宋体" w:cs="Times New Roman"/>
                <w:color w:val="000000" w:themeColor="text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种植基地为租用大西村委会下属六个村小组的荒山荒地，范围内已基本不存在原生植被，主要是次生物种，为地方常见种类和果林</w:t>
            </w:r>
            <w:r>
              <w:rPr>
                <w:rFonts w:hint="eastAsia"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4"/>
                <w:szCs w:val="24"/>
                <w14:textFill>
                  <w14:solidFill>
                    <w14:schemeClr w14:val="tx1"/>
                  </w14:solidFill>
                </w14:textFill>
              </w:rPr>
              <w:t>项目区内的植被为人</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工</w:t>
            </w:r>
            <w:r>
              <w:rPr>
                <w:rFonts w:hint="default" w:ascii="Times New Roman" w:hAnsi="Times New Roman" w:eastAsia="宋体" w:cs="Times New Roman"/>
                <w:b w:val="0"/>
                <w:bCs w:val="0"/>
                <w:color w:val="000000" w:themeColor="text1"/>
                <w:sz w:val="24"/>
                <w:szCs w:val="24"/>
                <w14:textFill>
                  <w14:solidFill>
                    <w14:schemeClr w14:val="tx1"/>
                  </w14:solidFill>
                </w14:textFill>
              </w:rPr>
              <w:t>植被，以及黄茅、毛轴蕨、紫茎泽兰、皱叶狗尾草、蜈蚣草、野茼蒿、酢浆草等，均为项目区内的常见植物植被</w:t>
            </w:r>
            <w:r>
              <w:rPr>
                <w:rFonts w:hint="eastAsia" w:ascii="Times New Roman" w:hAnsi="Times New Roman" w:eastAsia="宋体" w:cs="Times New Roman"/>
                <w:b w:val="0"/>
                <w:bCs w:val="0"/>
                <w:color w:val="000000" w:themeColor="text1"/>
                <w:sz w:val="24"/>
                <w:szCs w:val="24"/>
                <w:lang w:eastAsia="zh-CN"/>
                <w14:textFill>
                  <w14:solidFill>
                    <w14:schemeClr w14:val="tx1"/>
                  </w14:solidFill>
                </w14:textFill>
              </w:rPr>
              <w:t>，</w:t>
            </w:r>
            <w:r>
              <w:rPr>
                <w:rFonts w:hint="default"/>
                <w:color w:val="000000" w:themeColor="text1"/>
                <w:lang w:val="en-US" w:eastAsia="zh-CN"/>
                <w14:textFill>
                  <w14:solidFill>
                    <w14:schemeClr w14:val="tx1"/>
                  </w14:solidFill>
                </w14:textFill>
              </w:rPr>
              <w:t>这些常见植物在评价区分布很广，虽然其中部分个体会随着工程建设而消失，对评价区的生物多样性产生一定的负面影响</w:t>
            </w:r>
            <w:r>
              <w:rPr>
                <w:rFonts w:hint="eastAsia"/>
                <w:color w:val="000000" w:themeColor="text1"/>
                <w:lang w:val="en-US" w:eastAsia="zh-CN"/>
                <w14:textFill>
                  <w14:solidFill>
                    <w14:schemeClr w14:val="tx1"/>
                  </w14:solidFill>
                </w14:textFill>
              </w:rPr>
              <w:t>，但是</w:t>
            </w:r>
            <w:r>
              <w:rPr>
                <w:rFonts w:hint="default"/>
                <w:color w:val="000000" w:themeColor="text1"/>
                <w:lang w:val="en-US" w:eastAsia="zh-CN"/>
                <w14:textFill>
                  <w14:solidFill>
                    <w14:schemeClr w14:val="tx1"/>
                  </w14:solidFill>
                </w14:textFill>
              </w:rPr>
              <w:t>项目区草本物种以入侵植物紫茎泽兰、阳性杂草蕨菜等占绝对优势，对其进行清理反而有利于削弱其入侵性。项目的建设不会造成除紫茎泽兰外的任何一个物种种群结构受到显著的影响，更不会绝灭。因此，该工程建设对评价区的植物种类的影响不大。</w:t>
            </w:r>
          </w:p>
          <w:p w14:paraId="432C13D3">
            <w:pPr>
              <w:keepNext w:val="0"/>
              <w:keepLines w:val="0"/>
              <w:pageBreakBefore w:val="0"/>
              <w:widowControl w:val="0"/>
              <w:kinsoku/>
              <w:wordWrap/>
              <w:overflowPunct/>
              <w:topLinePunct w:val="0"/>
              <w:autoSpaceDE/>
              <w:autoSpaceDN/>
              <w:bidi w:val="0"/>
              <w:adjustRightInd w:val="0"/>
              <w:snapToGrid w:val="0"/>
              <w:ind w:firstLine="482" w:firstLineChars="200"/>
              <w:jc w:val="both"/>
              <w:textAlignment w:val="auto"/>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（2）对当地动物的影响</w:t>
            </w:r>
          </w:p>
          <w:p w14:paraId="7AD9C707">
            <w:pPr>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项目区占地区域内的陆生脊椎动物一般为蟾蜍、蛙、燕子、鬣蜥、壁虎、蛇以及鸟类等，</w:t>
            </w:r>
            <w:r>
              <w:rPr>
                <w:rFonts w:hint="default" w:ascii="Times New Roman" w:hAnsi="Times New Roman" w:eastAsia="宋体" w:cs="Times New Roman"/>
                <w:color w:val="000000" w:themeColor="text1"/>
                <w:lang w:val="en-US" w:eastAsia="zh-CN"/>
                <w14:textFill>
                  <w14:solidFill>
                    <w14:schemeClr w14:val="tx1"/>
                  </w14:solidFill>
                </w14:textFill>
              </w:rPr>
              <w:t>三七、羊肚菌、桃树、苹果树种植</w:t>
            </w:r>
            <w:r>
              <w:rPr>
                <w:rFonts w:hint="eastAsia" w:ascii="Times New Roman" w:hAnsi="Times New Roman" w:eastAsia="宋体" w:cs="Times New Roman"/>
                <w:color w:val="000000" w:themeColor="text1"/>
                <w:lang w:val="en-US" w:eastAsia="zh-CN"/>
                <w14:textFill>
                  <w14:solidFill>
                    <w14:schemeClr w14:val="tx1"/>
                  </w14:solidFill>
                </w14:textFill>
              </w:rPr>
              <w:t>及</w:t>
            </w:r>
            <w:r>
              <w:rPr>
                <w:rFonts w:hint="default" w:ascii="Times New Roman" w:hAnsi="Times New Roman" w:eastAsia="宋体" w:cs="Times New Roman"/>
                <w:color w:val="000000" w:themeColor="text1"/>
                <w:lang w:val="en-US" w:eastAsia="zh-CN"/>
                <w14:textFill>
                  <w14:solidFill>
                    <w14:schemeClr w14:val="tx1"/>
                  </w14:solidFill>
                </w14:textFill>
              </w:rPr>
              <w:t>蓝莓在大棚</w:t>
            </w:r>
            <w:r>
              <w:rPr>
                <w:rFonts w:hint="eastAsia" w:ascii="Times New Roman" w:hAnsi="Times New Roman" w:eastAsia="宋体" w:cs="Times New Roman"/>
                <w:color w:val="000000" w:themeColor="text1"/>
                <w:lang w:val="en-US" w:eastAsia="zh-CN"/>
                <w14:textFill>
                  <w14:solidFill>
                    <w14:schemeClr w14:val="tx1"/>
                  </w14:solidFill>
                </w14:textFill>
              </w:rPr>
              <w:t>内</w:t>
            </w:r>
            <w:r>
              <w:rPr>
                <w:rFonts w:hint="default" w:ascii="Times New Roman" w:hAnsi="Times New Roman" w:eastAsia="宋体" w:cs="Times New Roman"/>
                <w:color w:val="000000" w:themeColor="text1"/>
                <w:lang w:val="en-US" w:eastAsia="zh-CN"/>
                <w14:textFill>
                  <w14:solidFill>
                    <w14:schemeClr w14:val="tx1"/>
                  </w14:solidFill>
                </w14:textFill>
              </w:rPr>
              <w:t>种植过程中，通过生境调控与资源供给的协同作用，对当地动物群落形成多维生态增益：运营期大棚种植模式下，蓝莓可借助环境调控保障浆果持续供给，为雀形目鸟类及啮齿类提供稳定饵料，棚内保留的杂草带构建微栖息地，支撑鞘翅目、鳞翅目昆虫等初级消费者，经食物链层级传递维系次级消费者种群；三七依托大棚遮阳系统精准营造湿润阴凉微气候，显著提升喜阴昆虫物种丰富度，伴生植被为植食性生物提供食物，通过能量流动吸引鸟类、蜥蜴等形成完整营养级结构。而在农林经济框架中，羊肚菌与林木共生的栽培模式，其腐生基质为腐食性昆虫提供生存资源，促进有机质循环并支撑鸟类、两栖类食物网，同时借助林地原生植被维持栖息地完整性与连通性，保障动物迁徙与繁衍节律；桃树、苹果树种植能为当地动物提供花粉、果实等食物及筑巢栖息空间，科学管理（如林下间作）还可丰富局部植物种类，辅助维持生态系统运转。部分蓝莓、三七的林下套种模式，更能减少对原生环境的干扰，通过植被分层为不同动物类群提供多样生存空间。四者通过大棚种植的环境可控性与农林经济的生态兼容性，实现资源供给与生境优化的有机结合，助力区域动物群落结构稳定与动态平衡。不会造成显著的生态压力。</w:t>
            </w:r>
          </w:p>
          <w:p w14:paraId="7235CFD1">
            <w:pPr>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采摘工人聚集，对周围的野生动物造成骚扰，采摘工人可能在闲暇之时对野生动物和鸟类进行捕获，这将对野生动物构成严重影响，而且这种影响往往要经过很长时间才能恢复，有时甚至是不可逆的，故运营期加强采摘工人保护意识，禁止捕获野生动物，</w:t>
            </w:r>
            <w:r>
              <w:rPr>
                <w:rFonts w:hint="default" w:ascii="Times New Roman" w:hAnsi="Times New Roman" w:eastAsia="宋体" w:cs="Times New Roman"/>
                <w:b w:val="0"/>
                <w:bCs w:val="0"/>
                <w:color w:val="000000" w:themeColor="text1"/>
                <w:sz w:val="24"/>
                <w:szCs w:val="24"/>
                <w14:textFill>
                  <w14:solidFill>
                    <w14:schemeClr w14:val="tx1"/>
                  </w14:solidFill>
                </w14:textFill>
              </w:rPr>
              <w:t>故项目运营期对陆生脊椎动物的影响不大。</w:t>
            </w:r>
          </w:p>
          <w:p w14:paraId="5B3D7603">
            <w:pPr>
              <w:keepNext w:val="0"/>
              <w:keepLines w:val="0"/>
              <w:pageBreakBefore w:val="0"/>
              <w:widowControl w:val="0"/>
              <w:kinsoku/>
              <w:wordWrap/>
              <w:overflowPunct/>
              <w:topLinePunct w:val="0"/>
              <w:autoSpaceDE/>
              <w:autoSpaceDN/>
              <w:bidi w:val="0"/>
              <w:adjustRightInd w:val="0"/>
              <w:snapToGrid w:val="0"/>
              <w:ind w:firstLine="482" w:firstLineChars="200"/>
              <w:jc w:val="both"/>
              <w:textAlignment w:val="auto"/>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（3）对景观的影响</w:t>
            </w:r>
          </w:p>
          <w:p w14:paraId="3EB87EA1">
            <w:pPr>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项目建设将会在很大程度上改变项目直接实施区域内原有的自然景观，项目建设占地对原地表形态、植被等产生直接的破坏，将使项目区内的自然景观</w:t>
            </w:r>
            <w:r>
              <w:rPr>
                <w:rFonts w:hint="eastAsia" w:ascii="Times New Roman" w:hAnsi="Times New Roman" w:eastAsia="宋体" w:cs="Times New Roman"/>
                <w:color w:val="000000" w:themeColor="text1"/>
                <w:lang w:val="en-US" w:eastAsia="zh-CN"/>
                <w14:textFill>
                  <w14:solidFill>
                    <w14:schemeClr w14:val="tx1"/>
                  </w14:solidFill>
                </w14:textFill>
              </w:rPr>
              <w:t>遭受</w:t>
            </w:r>
            <w:r>
              <w:rPr>
                <w:rFonts w:hint="default" w:ascii="Times New Roman" w:hAnsi="Times New Roman" w:eastAsia="宋体" w:cs="Times New Roman"/>
                <w:color w:val="000000" w:themeColor="text1"/>
                <w:lang w:val="en-US" w:eastAsia="zh-CN"/>
                <w14:textFill>
                  <w14:solidFill>
                    <w14:schemeClr w14:val="tx1"/>
                  </w14:solidFill>
                </w14:textFill>
              </w:rPr>
              <w:t>完全破坏；随着项目的运营，将形成裸露的大棚种植区域，从色彩上与周边自然景观的不相协调；会对原有的景观进行分隔，造成景观生态系统在空间上的非连续性，对原有的景观产生一定的影响。</w:t>
            </w:r>
          </w:p>
          <w:p w14:paraId="49B7AD3C">
            <w:pPr>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项目运营后，工程建设会导致原有地表植被和景观不可避免</w:t>
            </w:r>
            <w:r>
              <w:rPr>
                <w:rFonts w:hint="eastAsia" w:ascii="Times New Roman" w:hAnsi="Times New Roman" w:eastAsia="宋体" w:cs="Times New Roman"/>
                <w:color w:val="000000" w:themeColor="text1"/>
                <w:lang w:val="en-US" w:eastAsia="zh-CN"/>
                <w14:textFill>
                  <w14:solidFill>
                    <w14:schemeClr w14:val="tx1"/>
                  </w14:solidFill>
                </w14:textFill>
              </w:rPr>
              <w:t>地</w:t>
            </w:r>
            <w:r>
              <w:rPr>
                <w:rFonts w:hint="default" w:ascii="Times New Roman" w:hAnsi="Times New Roman" w:eastAsia="宋体" w:cs="Times New Roman"/>
                <w:color w:val="000000" w:themeColor="text1"/>
                <w:lang w:val="en-US" w:eastAsia="zh-CN"/>
                <w14:textFill>
                  <w14:solidFill>
                    <w14:schemeClr w14:val="tx1"/>
                  </w14:solidFill>
                </w14:textFill>
              </w:rPr>
              <w:t>被进一步破坏，使项目区景观破碎化程度加深，使原来较为单纯的自然山貌景观发生变化，</w:t>
            </w:r>
            <w:r>
              <w:rPr>
                <w:rFonts w:hint="eastAsia" w:ascii="Times New Roman" w:hAnsi="Times New Roman" w:eastAsia="宋体" w:cs="Times New Roman"/>
                <w:color w:val="000000" w:themeColor="text1"/>
                <w:lang w:val="en-US" w:eastAsia="zh-CN"/>
                <w14:textFill>
                  <w14:solidFill>
                    <w14:schemeClr w14:val="tx1"/>
                  </w14:solidFill>
                </w14:textFill>
              </w:rPr>
              <w:t>增添</w:t>
            </w:r>
            <w:r>
              <w:rPr>
                <w:rFonts w:hint="default" w:ascii="Times New Roman" w:hAnsi="Times New Roman" w:eastAsia="宋体" w:cs="Times New Roman"/>
                <w:color w:val="000000" w:themeColor="text1"/>
                <w:lang w:val="en-US" w:eastAsia="zh-CN"/>
                <w14:textFill>
                  <w14:solidFill>
                    <w14:schemeClr w14:val="tx1"/>
                  </w14:solidFill>
                </w14:textFill>
              </w:rPr>
              <w:t>了形状不同的斑块，对小范围内的自然景观造成一定程度的破坏，但从较大范围的生态景观以及地质风貌来说，影响面甚小。</w:t>
            </w:r>
          </w:p>
          <w:p w14:paraId="54D89C9E">
            <w:pPr>
              <w:keepNext w:val="0"/>
              <w:keepLines w:val="0"/>
              <w:pageBreakBefore w:val="0"/>
              <w:widowControl w:val="0"/>
              <w:kinsoku/>
              <w:wordWrap/>
              <w:overflowPunct/>
              <w:topLinePunct w:val="0"/>
              <w:autoSpaceDE/>
              <w:autoSpaceDN/>
              <w:bidi w:val="0"/>
              <w:adjustRightInd w:val="0"/>
              <w:snapToGrid w:val="0"/>
              <w:ind w:firstLine="482" w:firstLineChars="200"/>
              <w:jc w:val="both"/>
              <w:textAlignment w:val="auto"/>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（4）水土流失影响</w:t>
            </w:r>
          </w:p>
          <w:p w14:paraId="292D8A3D">
            <w:pPr>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施工期开挖、填土、地基建设、机械设备及材料堆放等活动不可避免</w:t>
            </w:r>
            <w:r>
              <w:rPr>
                <w:rFonts w:hint="eastAsia" w:ascii="Times New Roman" w:hAnsi="Times New Roman" w:eastAsia="宋体" w:cs="Times New Roman"/>
                <w:color w:val="000000" w:themeColor="text1"/>
                <w:lang w:val="en-US" w:eastAsia="zh-CN"/>
                <w14:textFill>
                  <w14:solidFill>
                    <w14:schemeClr w14:val="tx1"/>
                  </w14:solidFill>
                </w14:textFill>
              </w:rPr>
              <w:t>地</w:t>
            </w:r>
            <w:r>
              <w:rPr>
                <w:rFonts w:hint="default" w:ascii="Times New Roman" w:hAnsi="Times New Roman" w:eastAsia="宋体" w:cs="Times New Roman"/>
                <w:color w:val="000000" w:themeColor="text1"/>
                <w:lang w:val="en-US" w:eastAsia="zh-CN"/>
                <w14:textFill>
                  <w14:solidFill>
                    <w14:schemeClr w14:val="tx1"/>
                  </w14:solidFill>
                </w14:textFill>
              </w:rPr>
              <w:t>对地表产生影响，造成原有土壤扰动，增加水土流失。雨季施工易造成水土流失。在施工过程中必将形成新的开挖面，由于土体结构的扰动，破坏了原来的地貌，使土壤的抗蚀能力减弱，会导致不同程度的水土流失；在径流的冲刷作用下，施工场地的水土流失量将会大量增加，污染附近水体，其后果是水变浑浊，透明度降低；另外，在表土开挖和运输过程中，会使旱季空气中的扬尘增加，这些尘土降落沿线附近水体后会使其悬浮物浓度上升；余土处理不当，会使水土流失延续至施工期以后。因此，项目运营期不会引起不良的水土流失。</w:t>
            </w:r>
          </w:p>
          <w:p w14:paraId="055100E2">
            <w:pPr>
              <w:keepNext w:val="0"/>
              <w:keepLines w:val="0"/>
              <w:pageBreakBefore w:val="0"/>
              <w:widowControl w:val="0"/>
              <w:kinsoku/>
              <w:wordWrap/>
              <w:overflowPunct/>
              <w:topLinePunct w:val="0"/>
              <w:autoSpaceDE/>
              <w:autoSpaceDN/>
              <w:bidi w:val="0"/>
              <w:adjustRightInd w:val="0"/>
              <w:snapToGrid w:val="0"/>
              <w:ind w:firstLine="482" w:firstLineChars="200"/>
              <w:jc w:val="both"/>
              <w:textAlignment w:val="auto"/>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（5）对土地利用的影响分析</w:t>
            </w:r>
          </w:p>
          <w:p w14:paraId="49CB6456">
            <w:pPr>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项目规划占地面积约</w:t>
            </w:r>
            <w:r>
              <w:rPr>
                <w:rFonts w:hint="eastAsia" w:ascii="Times New Roman" w:hAnsi="Times New Roman" w:cs="Times New Roman"/>
                <w:color w:val="000000" w:themeColor="text1"/>
                <w:highlight w:val="none"/>
                <w:lang w:val="en-US" w:eastAsia="zh-CN"/>
                <w14:textFill>
                  <w14:solidFill>
                    <w14:schemeClr w14:val="tx1"/>
                  </w14:solidFill>
                </w14:textFill>
              </w:rPr>
              <w:t>1486.06</w:t>
            </w:r>
            <w:r>
              <w:rPr>
                <w:rFonts w:hint="default" w:ascii="Times New Roman" w:hAnsi="Times New Roman" w:eastAsia="宋体" w:cs="Times New Roman"/>
                <w:color w:val="000000" w:themeColor="text1"/>
                <w:highlight w:val="none"/>
                <w:lang w:val="en-US" w:eastAsia="zh-CN"/>
                <w14:textFill>
                  <w14:solidFill>
                    <w14:schemeClr w14:val="tx1"/>
                  </w14:solidFill>
                </w14:textFill>
              </w:rPr>
              <w:t>亩</w:t>
            </w:r>
            <w:r>
              <w:rPr>
                <w:rFonts w:hint="default" w:ascii="Times New Roman" w:hAnsi="Times New Roman" w:eastAsia="宋体" w:cs="Times New Roman"/>
                <w:color w:val="000000" w:themeColor="text1"/>
                <w:lang w:val="en-US" w:eastAsia="zh-CN"/>
                <w14:textFill>
                  <w14:solidFill>
                    <w14:schemeClr w14:val="tx1"/>
                  </w14:solidFill>
                </w14:textFill>
              </w:rPr>
              <w:t>。项目运营期间不会导致原有的土地利用性质发生改变。将杂灌林改造为农林种植基地，极大地提高了土地的生态效益。</w:t>
            </w:r>
          </w:p>
          <w:p w14:paraId="6FFDBFED">
            <w:pPr>
              <w:keepNext w:val="0"/>
              <w:keepLines w:val="0"/>
              <w:pageBreakBefore w:val="0"/>
              <w:widowControl w:val="0"/>
              <w:numPr>
                <w:ilvl w:val="0"/>
                <w:numId w:val="0"/>
              </w:numPr>
              <w:kinsoku/>
              <w:wordWrap/>
              <w:overflowPunct/>
              <w:topLinePunct w:val="0"/>
              <w:autoSpaceDE/>
              <w:autoSpaceDN/>
              <w:bidi w:val="0"/>
              <w:adjustRightInd w:val="0"/>
              <w:snapToGrid w:val="0"/>
              <w:ind w:firstLine="482" w:firstLineChars="200"/>
              <w:jc w:val="both"/>
              <w:textAlignment w:val="auto"/>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1）蓝莓种植对土地利用的影响</w:t>
            </w:r>
          </w:p>
          <w:p w14:paraId="5E5CBE3E">
            <w:pPr>
              <w:keepNext w:val="0"/>
              <w:keepLines w:val="0"/>
              <w:pageBreakBefore w:val="0"/>
              <w:widowControl w:val="0"/>
              <w:numPr>
                <w:ilvl w:val="0"/>
                <w:numId w:val="0"/>
              </w:numPr>
              <w:kinsoku/>
              <w:wordWrap/>
              <w:overflowPunct/>
              <w:topLinePunct w:val="0"/>
              <w:autoSpaceDE/>
              <w:autoSpaceDN/>
              <w:bidi w:val="0"/>
              <w:adjustRightInd w:val="0"/>
              <w:snapToGrid w:val="0"/>
              <w:ind w:firstLine="480" w:firstLineChars="20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①土地利用可持续性方面：蓝莓适应酸性、贫瘠土壤，蓝莓种植能够盘活传统农业难以利用的土地资源。</w:t>
            </w:r>
          </w:p>
          <w:p w14:paraId="6A4CC639">
            <w:pPr>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②土壤质量与养分循环方面：蓝莓种植需大量覆盖有机基质（如松针、木屑），长期可提升土壤腐殖质含量。减少水土流失：蓝莓根系浅但密集，配合覆盖物能有效固定表层土壤，特别适合坡地种植。</w:t>
            </w:r>
          </w:p>
          <w:p w14:paraId="0F3C99C4">
            <w:pPr>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③生态服务功能生物多样性：蓝莓花蜜吸引蜜蜂等传粉昆虫，果实为鸟类等野生动物提供食物，促进生态链稳定。并且生长迅速，适应性强，能快速形成森林植被，有效防止水土流失。</w:t>
            </w:r>
          </w:p>
          <w:p w14:paraId="51C7F6ED">
            <w:pPr>
              <w:keepNext w:val="0"/>
              <w:keepLines w:val="0"/>
              <w:pageBreakBefore w:val="0"/>
              <w:widowControl w:val="0"/>
              <w:kinsoku/>
              <w:wordWrap/>
              <w:overflowPunct/>
              <w:topLinePunct w:val="0"/>
              <w:autoSpaceDE/>
              <w:autoSpaceDN/>
              <w:bidi w:val="0"/>
              <w:adjustRightInd w:val="0"/>
              <w:snapToGrid w:val="0"/>
              <w:ind w:firstLine="480" w:firstLineChars="20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为了确保杂灌林蓝莓种植对土地利用产生积极影响，需要采取科学合理的管理措施。在运营过程</w:t>
            </w:r>
            <w:r>
              <w:rPr>
                <w:rFonts w:hint="eastAsia" w:ascii="Times New Roman" w:hAnsi="Times New Roman" w:eastAsia="宋体" w:cs="Times New Roman"/>
                <w:color w:val="000000" w:themeColor="text1"/>
                <w:lang w:val="en-US" w:eastAsia="zh-CN"/>
                <w14:textFill>
                  <w14:solidFill>
                    <w14:schemeClr w14:val="tx1"/>
                  </w14:solidFill>
                </w14:textFill>
              </w:rPr>
              <w:t>中</w:t>
            </w:r>
            <w:r>
              <w:rPr>
                <w:rFonts w:hint="default" w:ascii="Times New Roman" w:hAnsi="Times New Roman" w:eastAsia="宋体" w:cs="Times New Roman"/>
                <w:color w:val="000000" w:themeColor="text1"/>
                <w:lang w:val="en-US" w:eastAsia="zh-CN"/>
                <w14:textFill>
                  <w14:solidFill>
                    <w14:schemeClr w14:val="tx1"/>
                  </w14:solidFill>
                </w14:textFill>
              </w:rPr>
              <w:t>，应注重生态保护，采用适当的造林技术，避免对土地造成过度破坏。要合理规划种植面积和密度，加强对土壤和水分的管理，同时加强对土地的监测和评估，及时调整土地利用策略，实现土地资源的可持续利用。</w:t>
            </w:r>
          </w:p>
          <w:p w14:paraId="09FB5C8C">
            <w:pPr>
              <w:keepNext w:val="0"/>
              <w:keepLines w:val="0"/>
              <w:pageBreakBefore w:val="0"/>
              <w:widowControl w:val="0"/>
              <w:kinsoku/>
              <w:wordWrap/>
              <w:overflowPunct/>
              <w:topLinePunct w:val="0"/>
              <w:autoSpaceDE/>
              <w:autoSpaceDN/>
              <w:bidi w:val="0"/>
              <w:adjustRightInd w:val="0"/>
              <w:snapToGrid w:val="0"/>
              <w:ind w:firstLine="482" w:firstLineChars="200"/>
              <w:jc w:val="both"/>
              <w:textAlignment w:val="auto"/>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2）三七种植对土地利用的影响</w:t>
            </w:r>
          </w:p>
          <w:p w14:paraId="70F73907">
            <w:pPr>
              <w:keepNext w:val="0"/>
              <w:keepLines w:val="0"/>
              <w:pageBreakBefore w:val="0"/>
              <w:widowControl w:val="0"/>
              <w:numPr>
                <w:ilvl w:val="0"/>
                <w:numId w:val="0"/>
              </w:numPr>
              <w:kinsoku/>
              <w:wordWrap/>
              <w:overflowPunct/>
              <w:topLinePunct w:val="0"/>
              <w:autoSpaceDE/>
              <w:autoSpaceDN/>
              <w:bidi w:val="0"/>
              <w:adjustRightInd w:val="0"/>
              <w:snapToGrid w:val="0"/>
              <w:ind w:firstLine="480" w:firstLineChars="20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①土地占用与类型转换：传统三七种植对生长环境要求较高，偏高海拔1200</w:t>
            </w:r>
            <w:r>
              <w:rPr>
                <w:rFonts w:hint="eastAsia"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1800米的坡地或林下环境，规模化种植可能导致部分林地、草地等自然用地向农业用地转换，尤其在缺乏规划的区域，易引发原生植被破坏，改变土地覆被结构。而项目采用林下套种模式则通过利用林地间隙空间，实现土地复合利用，减少对新增耕地的依赖，提升单位土地的生态与经济产出效率。​②土壤质量与可持续：三七作为多年生作物，对土壤养分需求集中，连作易导致土壤肥力下降、酸化及病原菌积累，使土地生产力降低，甚至出现短期撂荒现象，增加土地修复成本。采用轮作制度、增施有机肥及土壤消毒技术，可改善土壤理化性质，维持土地的长期耕作潜力。​</w:t>
            </w:r>
          </w:p>
          <w:p w14:paraId="398B92C7">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③土地利用强度与空间布局：大棚集约化种植模式通过精准控制光照、水分等条件，提高了土地利用强度与产出率，减少了对边际土地的开发；而分散化种植可能因管理粗放，导致土地利用碎片化，不利于规模化管理与生态保护。此外，三七种植区往往配套建设灌溉、仓储等设施，会占用部分土地资源，但其基础设施的共享性也可能提升区域土地的综合利用效率。​</w:t>
            </w:r>
          </w:p>
          <w:p w14:paraId="034C7803">
            <w:pPr>
              <w:keepNext w:val="0"/>
              <w:keepLines w:val="0"/>
              <w:pageBreakBefore w:val="0"/>
              <w:widowControl w:val="0"/>
              <w:numPr>
                <w:ilvl w:val="0"/>
                <w:numId w:val="0"/>
              </w:numPr>
              <w:kinsoku/>
              <w:wordWrap/>
              <w:overflowPunct/>
              <w:topLinePunct w:val="0"/>
              <w:autoSpaceDE/>
              <w:autoSpaceDN/>
              <w:bidi w:val="0"/>
              <w:adjustRightInd w:val="0"/>
              <w:snapToGrid w:val="0"/>
              <w:ind w:firstLine="480" w:firstLineChars="20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三七种植对土地利用的影响具有双重性，在运营期科学规划种植规模、推广生态种植模式及强化土壤改良措施，可在保障经济效益的同时，降低对土地资源的负面影响，促进土地可持续利用。</w:t>
            </w:r>
          </w:p>
          <w:p w14:paraId="3549B3BF">
            <w:pPr>
              <w:keepNext w:val="0"/>
              <w:keepLines w:val="0"/>
              <w:pageBreakBefore w:val="0"/>
              <w:widowControl w:val="0"/>
              <w:numPr>
                <w:ilvl w:val="0"/>
                <w:numId w:val="0"/>
              </w:numPr>
              <w:kinsoku/>
              <w:wordWrap/>
              <w:overflowPunct/>
              <w:topLinePunct w:val="0"/>
              <w:autoSpaceDE/>
              <w:autoSpaceDN/>
              <w:bidi w:val="0"/>
              <w:adjustRightInd w:val="0"/>
              <w:snapToGrid w:val="0"/>
              <w:ind w:firstLine="482" w:firstLineChars="200"/>
              <w:jc w:val="both"/>
              <w:textAlignment w:val="auto"/>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3）林木+羊肚菌种植对土地利用的影响</w:t>
            </w:r>
          </w:p>
          <w:p w14:paraId="0E0710B3">
            <w:pPr>
              <w:keepNext w:val="0"/>
              <w:keepLines w:val="0"/>
              <w:pageBreakBefore w:val="0"/>
              <w:widowControl w:val="0"/>
              <w:numPr>
                <w:ilvl w:val="0"/>
                <w:numId w:val="0"/>
              </w:numPr>
              <w:kinsoku/>
              <w:wordWrap/>
              <w:overflowPunct/>
              <w:topLinePunct w:val="0"/>
              <w:autoSpaceDE/>
              <w:autoSpaceDN/>
              <w:bidi w:val="0"/>
              <w:adjustRightInd w:val="0"/>
              <w:snapToGrid w:val="0"/>
              <w:ind w:firstLine="480" w:firstLineChars="20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①土地属性保持与多元利用方面：林下种植模式依托林地原有植被覆盖，不改变土地的林业用地属性，避免了耕地向其他用地的转换，同时通过利用林、林下空带种植，实现了土地的立体式复合利用。这种模式将林业生产与食用菌栽培相结合，使单位土地面积产生“林木+羊肚菌”的双重产出，显著提升了土地的经济与生态价值密度，打破了单一林业用地的产出局限。​</w:t>
            </w:r>
          </w:p>
          <w:p w14:paraId="0E4AEC22">
            <w:pPr>
              <w:keepNext w:val="0"/>
              <w:keepLines w:val="0"/>
              <w:pageBreakBefore w:val="0"/>
              <w:widowControl w:val="0"/>
              <w:numPr>
                <w:ilvl w:val="0"/>
                <w:numId w:val="0"/>
              </w:numPr>
              <w:kinsoku/>
              <w:wordWrap/>
              <w:overflowPunct/>
              <w:topLinePunct w:val="0"/>
              <w:autoSpaceDE/>
              <w:autoSpaceDN/>
              <w:bidi w:val="0"/>
              <w:adjustRightInd w:val="0"/>
              <w:snapToGrid w:val="0"/>
              <w:ind w:firstLine="480" w:firstLineChars="20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②土壤质量与养分循环方面：林下环境的天然遮阴与湿度条件为羊肚菌生长提供了适宜的微气候，减少了人工干预需求。羊肚菌依赖的秸秆、木屑等有机质基质在林下自然降解过程中，不仅为菌丝体提供营养，其降解产物还能补充土壤有机质，改善土壤团粒结构，增强土壤保水保肥能力。同时，林地凋落物与菌渣形成的复合有机质层，可促进土壤微生物群落活性，加速养分循环，对维持林地土壤肥力具有积极作用，避免了单一作物种植导致的土壤养分失衡问题。​</w:t>
            </w:r>
          </w:p>
          <w:p w14:paraId="6B1E3FF7">
            <w:pPr>
              <w:keepNext w:val="0"/>
              <w:keepLines w:val="0"/>
              <w:pageBreakBefore w:val="0"/>
              <w:widowControl w:val="0"/>
              <w:numPr>
                <w:ilvl w:val="0"/>
                <w:numId w:val="0"/>
              </w:numPr>
              <w:kinsoku/>
              <w:wordWrap/>
              <w:overflowPunct/>
              <w:topLinePunct w:val="0"/>
              <w:autoSpaceDE/>
              <w:autoSpaceDN/>
              <w:bidi w:val="0"/>
              <w:adjustRightInd w:val="0"/>
              <w:snapToGrid w:val="0"/>
              <w:ind w:firstLine="480" w:firstLineChars="20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③土地利用可持续性方面：林下种植模式对土地的干扰程度较低，无需大规模平整土地或破坏原生植被，有利于保持林地生态系统的完整性。羊肚菌生长周期短（3-6个月），与林木生长周期形成互补，可通过轮作或间歇种植避免土地长期连作压力，降低土壤退化风险。此外，林下种植所需的配套设施（如简易灌溉系统、遮阳辅助设施）可与林地原有基础设施兼容，减少额外土地占用，进一步提升了土地利用的集约化程度。​</w:t>
            </w:r>
          </w:p>
          <w:p w14:paraId="12DEAA8C">
            <w:pPr>
              <w:keepNext w:val="0"/>
              <w:keepLines w:val="0"/>
              <w:pageBreakBefore w:val="0"/>
              <w:widowControl w:val="0"/>
              <w:numPr>
                <w:ilvl w:val="0"/>
                <w:numId w:val="0"/>
              </w:numPr>
              <w:kinsoku/>
              <w:wordWrap/>
              <w:overflowPunct/>
              <w:topLinePunct w:val="0"/>
              <w:autoSpaceDE/>
              <w:autoSpaceDN/>
              <w:bidi w:val="0"/>
              <w:adjustRightInd w:val="0"/>
              <w:snapToGrid w:val="0"/>
              <w:ind w:firstLine="480" w:firstLineChars="20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运营期羊肚菌种植通过</w:t>
            </w:r>
            <w:r>
              <w:rPr>
                <w:rFonts w:hint="eastAsia" w:ascii="Times New Roman" w:hAnsi="Times New Roman" w:eastAsia="宋体" w:cs="Times New Roman"/>
                <w:color w:val="000000" w:themeColor="text1"/>
                <w:lang w:val="en-US" w:eastAsia="zh-CN"/>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空间复用、资源循环、生态兼容</w:t>
            </w:r>
            <w:r>
              <w:rPr>
                <w:rFonts w:hint="eastAsia" w:ascii="Times New Roman" w:hAnsi="Times New Roman" w:eastAsia="宋体" w:cs="Times New Roman"/>
                <w:color w:val="000000" w:themeColor="text1"/>
                <w:lang w:val="en-US" w:eastAsia="zh-CN"/>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的特点，在维持土地原有属性的基础上，实现了土地利用效率的提升与土壤质量的改善，为林地资源的可持续利用提供了有效路径。</w:t>
            </w:r>
          </w:p>
          <w:p w14:paraId="7C9B2FF6">
            <w:pPr>
              <w:keepNext w:val="0"/>
              <w:keepLines w:val="0"/>
              <w:pageBreakBefore w:val="0"/>
              <w:widowControl w:val="0"/>
              <w:kinsoku/>
              <w:wordWrap/>
              <w:overflowPunct/>
              <w:topLinePunct w:val="0"/>
              <w:autoSpaceDE/>
              <w:autoSpaceDN/>
              <w:bidi w:val="0"/>
              <w:adjustRightInd w:val="0"/>
              <w:snapToGrid w:val="0"/>
              <w:ind w:firstLine="482" w:firstLineChars="200"/>
              <w:jc w:val="both"/>
              <w:textAlignment w:val="auto"/>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（6）对生物多样性的影响</w:t>
            </w:r>
          </w:p>
          <w:p w14:paraId="5D0E8550">
            <w:pPr>
              <w:keepNext w:val="0"/>
              <w:keepLines w:val="0"/>
              <w:pageBreakBefore w:val="0"/>
              <w:widowControl w:val="0"/>
              <w:numPr>
                <w:ilvl w:val="0"/>
                <w:numId w:val="0"/>
              </w:numPr>
              <w:kinsoku/>
              <w:wordWrap/>
              <w:overflowPunct/>
              <w:topLinePunct w:val="0"/>
              <w:autoSpaceDE/>
              <w:autoSpaceDN/>
              <w:bidi w:val="0"/>
              <w:adjustRightInd w:val="0"/>
              <w:snapToGrid w:val="0"/>
              <w:ind w:firstLine="480" w:firstLineChars="200"/>
              <w:jc w:val="both"/>
              <w:textAlignment w:val="auto"/>
              <w:rPr>
                <w:rFonts w:hint="eastAsia"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进入运营期，项目施工时临时占地将原表土回覆后进行恢复，采取复植措施，在施工</w:t>
            </w:r>
            <w:r>
              <w:rPr>
                <w:rFonts w:hint="eastAsia" w:ascii="Times New Roman" w:hAnsi="Times New Roman" w:cs="Times New Roman"/>
                <w:color w:val="000000" w:themeColor="text1"/>
                <w:lang w:val="en-US" w:eastAsia="zh-CN"/>
                <w14:textFill>
                  <w14:solidFill>
                    <w14:schemeClr w14:val="tx1"/>
                  </w14:solidFill>
                </w14:textFill>
              </w:rPr>
              <w:t>期间</w:t>
            </w:r>
            <w:r>
              <w:rPr>
                <w:rFonts w:hint="default" w:ascii="Times New Roman" w:hAnsi="Times New Roman" w:eastAsia="宋体" w:cs="Times New Roman"/>
                <w:color w:val="000000" w:themeColor="text1"/>
                <w:lang w:val="en-US" w:eastAsia="zh-CN"/>
                <w14:textFill>
                  <w14:solidFill>
                    <w14:schemeClr w14:val="tx1"/>
                  </w14:solidFill>
                </w14:textFill>
              </w:rPr>
              <w:t>损失的物种量会有所补偿。项目施工结束自然恢复期间，随着植被逐渐恢复、地面的硬化等，水土流失量将逐渐</w:t>
            </w:r>
            <w:r>
              <w:rPr>
                <w:rFonts w:hint="eastAsia" w:ascii="Times New Roman" w:hAnsi="Times New Roman" w:eastAsia="宋体" w:cs="Times New Roman"/>
                <w:color w:val="000000" w:themeColor="text1"/>
                <w:lang w:val="en-US" w:eastAsia="zh-CN"/>
                <w14:textFill>
                  <w14:solidFill>
                    <w14:schemeClr w14:val="tx1"/>
                  </w14:solidFill>
                </w14:textFill>
              </w:rPr>
              <w:t>减少</w:t>
            </w:r>
            <w:r>
              <w:rPr>
                <w:rFonts w:hint="default" w:ascii="Times New Roman" w:hAnsi="Times New Roman" w:eastAsia="宋体" w:cs="Times New Roman"/>
                <w:color w:val="000000" w:themeColor="text1"/>
                <w:lang w:val="en-US" w:eastAsia="zh-CN"/>
                <w14:textFill>
                  <w14:solidFill>
                    <w14:schemeClr w14:val="tx1"/>
                  </w14:solidFill>
                </w14:textFill>
              </w:rPr>
              <w:t>。种植基地为租用大西村委会下属六个村小组的荒山荒地，范围内已基本不存在原生植被，主要是次生物种，为地方常见种类和果林，在项目区周边均有分布。这些个体在极小范围内的消失不会影响到这些物种在当地的种群数量，更不会影响到它们的种群生存，均为当地常见物种，不存在外来物种入侵的问题。因此，项目建设对</w:t>
            </w:r>
            <w:r>
              <w:rPr>
                <w:rFonts w:hint="eastAsia" w:ascii="Times New Roman" w:hAnsi="Times New Roman" w:cs="Times New Roman"/>
                <w:color w:val="000000" w:themeColor="text1"/>
                <w:lang w:val="en-US" w:eastAsia="zh-CN"/>
                <w14:textFill>
                  <w14:solidFill>
                    <w14:schemeClr w14:val="tx1"/>
                  </w14:solidFill>
                </w14:textFill>
              </w:rPr>
              <w:t>本地</w:t>
            </w:r>
            <w:r>
              <w:rPr>
                <w:rFonts w:hint="default" w:ascii="Times New Roman" w:hAnsi="Times New Roman" w:eastAsia="宋体" w:cs="Times New Roman"/>
                <w:color w:val="000000" w:themeColor="text1"/>
                <w:lang w:val="en-US" w:eastAsia="zh-CN"/>
                <w14:textFill>
                  <w14:solidFill>
                    <w14:schemeClr w14:val="tx1"/>
                  </w14:solidFill>
                </w14:textFill>
              </w:rPr>
              <w:t>区生物多样性的影响非常小。</w:t>
            </w:r>
          </w:p>
          <w:p w14:paraId="3AF512F7">
            <w:pPr>
              <w:pStyle w:val="78"/>
              <w:jc w:val="both"/>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二</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、运营期污染源分析</w:t>
            </w:r>
          </w:p>
          <w:p w14:paraId="36025AF3">
            <w:pPr>
              <w:keepNext w:val="0"/>
              <w:keepLines w:val="0"/>
              <w:pageBreakBefore w:val="0"/>
              <w:widowControl w:val="0"/>
              <w:kinsoku/>
              <w:wordWrap/>
              <w:overflowPunct/>
              <w:topLinePunct w:val="0"/>
              <w:autoSpaceDE/>
              <w:autoSpaceDN/>
              <w:bidi w:val="0"/>
              <w:adjustRightInd w:val="0"/>
              <w:snapToGrid w:val="0"/>
              <w:ind w:firstLine="480"/>
              <w:jc w:val="both"/>
              <w:textAlignment w:val="auto"/>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1、废气</w:t>
            </w:r>
          </w:p>
          <w:p w14:paraId="3DC191FF">
            <w:pPr>
              <w:keepNext w:val="0"/>
              <w:keepLines w:val="0"/>
              <w:pageBreakBefore w:val="0"/>
              <w:widowControl w:val="0"/>
              <w:kinsoku/>
              <w:wordWrap/>
              <w:overflowPunct/>
              <w:topLinePunct w:val="0"/>
              <w:autoSpaceDE/>
              <w:autoSpaceDN/>
              <w:bidi w:val="0"/>
              <w:adjustRightInd w:val="0"/>
              <w:snapToGrid w:val="0"/>
              <w:ind w:firstLine="480"/>
              <w:jc w:val="both"/>
              <w:textAlignment w:val="auto"/>
              <w:rPr>
                <w:rFonts w:hint="default" w:ascii="Times New Roman" w:hAnsi="Times New Roman" w:eastAsia="宋体" w:cs="Times New Roman"/>
                <w:color w:val="000000" w:themeColor="text1"/>
                <w:sz w:val="24"/>
                <w:szCs w:val="24"/>
                <w:lang w:eastAsia="zh-CN"/>
                <w14:textFill>
                  <w14:solidFill>
                    <w14:schemeClr w14:val="tx1"/>
                  </w14:solidFill>
                </w14:textFill>
              </w:rPr>
            </w:pPr>
            <w:r>
              <w:rPr>
                <w:rFonts w:hint="default" w:ascii="Times New Roman" w:hAnsi="Times New Roman" w:eastAsia="宋体" w:cs="Times New Roman"/>
                <w:color w:val="000000" w:themeColor="text1"/>
                <w:sz w:val="24"/>
                <w:szCs w:val="24"/>
                <w:lang w:eastAsia="zh-CN"/>
                <w14:textFill>
                  <w14:solidFill>
                    <w14:schemeClr w14:val="tx1"/>
                  </w14:solidFill>
                </w14:textFill>
              </w:rPr>
              <w:t>运营期废气主要为病虫害防治农药废气、种植翻地扬尘、运</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输</w:t>
            </w:r>
            <w:r>
              <w:rPr>
                <w:rFonts w:hint="default" w:ascii="Times New Roman" w:hAnsi="Times New Roman" w:eastAsia="宋体" w:cs="Times New Roman"/>
                <w:color w:val="000000" w:themeColor="text1"/>
                <w:sz w:val="24"/>
                <w:szCs w:val="24"/>
                <w:lang w:eastAsia="zh-CN"/>
                <w14:textFill>
                  <w14:solidFill>
                    <w14:schemeClr w14:val="tx1"/>
                  </w14:solidFill>
                </w14:textFill>
              </w:rPr>
              <w:t>车辆尾气。</w:t>
            </w:r>
          </w:p>
          <w:p w14:paraId="20FC87D1">
            <w:pPr>
              <w:keepNext w:val="0"/>
              <w:keepLines w:val="0"/>
              <w:pageBreakBefore w:val="0"/>
              <w:widowControl w:val="0"/>
              <w:kinsoku/>
              <w:wordWrap/>
              <w:overflowPunct/>
              <w:topLinePunct w:val="0"/>
              <w:autoSpaceDE/>
              <w:autoSpaceDN/>
              <w:bidi w:val="0"/>
              <w:adjustRightInd w:val="0"/>
              <w:snapToGrid w:val="0"/>
              <w:ind w:firstLine="480"/>
              <w:jc w:val="both"/>
              <w:textAlignment w:val="auto"/>
              <w:rPr>
                <w:rFonts w:hint="default" w:ascii="Times New Roman" w:hAnsi="Times New Roman" w:eastAsia="宋体" w:cs="Times New Roman"/>
                <w:color w:val="000000" w:themeColor="text1"/>
                <w:sz w:val="24"/>
                <w:szCs w:val="24"/>
                <w:lang w:eastAsia="zh-CN"/>
                <w14:textFill>
                  <w14:solidFill>
                    <w14:schemeClr w14:val="tx1"/>
                  </w14:solidFill>
                </w14:textFill>
              </w:rPr>
            </w:pPr>
            <w:r>
              <w:rPr>
                <w:rFonts w:hint="default"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1</w:t>
            </w:r>
            <w:r>
              <w:rPr>
                <w:rFonts w:hint="default" w:ascii="Times New Roman" w:hAnsi="Times New Roman" w:eastAsia="宋体" w:cs="Times New Roman"/>
                <w:color w:val="000000" w:themeColor="text1"/>
                <w:sz w:val="24"/>
                <w:szCs w:val="24"/>
                <w:lang w:eastAsia="zh-CN"/>
                <w14:textFill>
                  <w14:solidFill>
                    <w14:schemeClr w14:val="tx1"/>
                  </w14:solidFill>
                </w14:textFill>
              </w:rPr>
              <w:t>）农药使用挥发的废气</w:t>
            </w:r>
          </w:p>
          <w:p w14:paraId="39B05DA8">
            <w:pPr>
              <w:keepNext w:val="0"/>
              <w:keepLines w:val="0"/>
              <w:pageBreakBefore w:val="0"/>
              <w:widowControl w:val="0"/>
              <w:kinsoku/>
              <w:wordWrap/>
              <w:overflowPunct/>
              <w:topLinePunct w:val="0"/>
              <w:autoSpaceDE/>
              <w:autoSpaceDN/>
              <w:bidi w:val="0"/>
              <w:adjustRightInd w:val="0"/>
              <w:snapToGrid w:val="0"/>
              <w:ind w:firstLine="480"/>
              <w:jc w:val="both"/>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本项目在运营过程中会对植被树木施加农药，暂时会对环境空气造成一定的影响。在施加农药过程中，尽量使用生物农药或高效、低毒、低残留的农药，采用精准施药技术，并控制好施用的比例，对树下药，减少农药的滴洒，加强管理，保证农药施用的安全，把农药对环境的污染降低到</w:t>
            </w:r>
            <w:r>
              <w:rPr>
                <w:rFonts w:hint="eastAsia" w:ascii="Times New Roman" w:hAnsi="Times New Roman" w:cs="Times New Roman"/>
                <w:color w:val="000000" w:themeColor="text1"/>
                <w:sz w:val="24"/>
                <w:szCs w:val="24"/>
                <w:lang w:eastAsia="zh-CN"/>
                <w14:textFill>
                  <w14:solidFill>
                    <w14:schemeClr w14:val="tx1"/>
                  </w14:solidFill>
                </w14:textFill>
              </w:rPr>
              <w:t>最低</w:t>
            </w:r>
            <w:r>
              <w:rPr>
                <w:rFonts w:hint="default" w:ascii="Times New Roman" w:hAnsi="Times New Roman" w:eastAsia="宋体" w:cs="Times New Roman"/>
                <w:color w:val="000000" w:themeColor="text1"/>
                <w:sz w:val="24"/>
                <w:szCs w:val="24"/>
                <w14:textFill>
                  <w14:solidFill>
                    <w14:schemeClr w14:val="tx1"/>
                  </w14:solidFill>
                </w14:textFill>
              </w:rPr>
              <w:t>程度。通过安全、合理地使用农药化肥对环境的污染降低到</w:t>
            </w:r>
            <w:r>
              <w:rPr>
                <w:rFonts w:hint="eastAsia" w:ascii="Times New Roman" w:hAnsi="Times New Roman" w:cs="Times New Roman"/>
                <w:color w:val="000000" w:themeColor="text1"/>
                <w:sz w:val="24"/>
                <w:szCs w:val="24"/>
                <w:lang w:eastAsia="zh-CN"/>
                <w14:textFill>
                  <w14:solidFill>
                    <w14:schemeClr w14:val="tx1"/>
                  </w14:solidFill>
                </w14:textFill>
              </w:rPr>
              <w:t>最低</w:t>
            </w:r>
            <w:r>
              <w:rPr>
                <w:rFonts w:hint="default" w:ascii="Times New Roman" w:hAnsi="Times New Roman" w:eastAsia="宋体" w:cs="Times New Roman"/>
                <w:color w:val="000000" w:themeColor="text1"/>
                <w:sz w:val="24"/>
                <w:szCs w:val="24"/>
                <w14:textFill>
                  <w14:solidFill>
                    <w14:schemeClr w14:val="tx1"/>
                  </w14:solidFill>
                </w14:textFill>
              </w:rPr>
              <w:t>程度。农药喷洒过程中产生的刺鼻异味影响通常与所使用农药的化学成分和喷洒时间相关，项目通过科学适量喷洒低毒低残留农药后，结合大气稀释扩散能力，可有效降低农药喷洒产生的异味对周边环境空气质量造成的不良影响。</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蓝莓、三七、羊肚菌采用大棚种植，大棚起到一定的阻隔废气的效果。</w:t>
            </w:r>
          </w:p>
          <w:p w14:paraId="55DC38C1">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2</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土地翻整、播种、管理过程中粉尘</w:t>
            </w:r>
          </w:p>
          <w:p w14:paraId="05FA1D44">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主要进行种植中产生的翻地扬尘，粉尘产生主要产生于土地整理、作物种植阶段，产生量较小，呈无组织间断式排放，在大风天气不进行土地整理的情况下，且具有季节性，产生时间较短，不连续产生，无法进行定量分析，本次仅进行定性分析。</w:t>
            </w:r>
          </w:p>
          <w:p w14:paraId="56AB5FFB">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（3）运输车辆尾气</w:t>
            </w:r>
          </w:p>
          <w:p w14:paraId="64A2A351">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肥料和采摘的果实运输主要采用汽车运输，运输车辆会产生一定量的NOx、CO、HC等，其特点是排放量小，且属间断性无组织排放。项目场地开阔，扩散条件良好，严禁使用已淘汰的设备和已报废的车辆，并加强对运输车辆、施工设备的维护，使其能够正常</w:t>
            </w:r>
            <w:r>
              <w:rPr>
                <w:rFonts w:hint="eastAsia" w:ascii="Times New Roman" w:hAnsi="Times New Roman" w:cs="Times New Roman"/>
                <w:color w:val="000000" w:themeColor="text1"/>
                <w:sz w:val="24"/>
                <w:szCs w:val="24"/>
                <w:lang w:val="en-US" w:eastAsia="zh-CN"/>
                <w14:textFill>
                  <w14:solidFill>
                    <w14:schemeClr w14:val="tx1"/>
                  </w14:solidFill>
                </w14:textFill>
              </w:rPr>
              <w:t>地</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运行，提高设备燃料的利用率，汽车尾气对环境影响较小。</w:t>
            </w:r>
          </w:p>
          <w:p w14:paraId="313D526A">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2、废水</w:t>
            </w:r>
          </w:p>
          <w:p w14:paraId="6E064C37">
            <w:pPr>
              <w:keepNext w:val="0"/>
              <w:keepLines w:val="0"/>
              <w:pageBreakBefore w:val="0"/>
              <w:widowControl w:val="0"/>
              <w:kinsoku/>
              <w:wordWrap/>
              <w:overflowPunct/>
              <w:topLinePunct w:val="0"/>
              <w:autoSpaceDE/>
              <w:autoSpaceDN/>
              <w:bidi w:val="0"/>
              <w:adjustRightInd w:val="0"/>
              <w:snapToGrid w:val="0"/>
              <w:ind w:left="0" w:leftChars="0" w:firstLine="480" w:firstLineChars="200"/>
              <w:jc w:val="both"/>
              <w:textAlignment w:val="auto"/>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（1）本项目用水主要是员工</w:t>
            </w:r>
            <w:r>
              <w:rPr>
                <w:rFonts w:hint="eastAsia" w:ascii="Times New Roman" w:hAnsi="Times New Roman" w:cs="Times New Roman"/>
                <w:color w:val="000000" w:themeColor="text1"/>
                <w:sz w:val="24"/>
                <w:lang w:val="en-US" w:eastAsia="zh-CN"/>
                <w14:textFill>
                  <w14:solidFill>
                    <w14:schemeClr w14:val="tx1"/>
                  </w14:solidFill>
                </w14:textFill>
              </w:rPr>
              <w:t>生活</w:t>
            </w:r>
            <w:r>
              <w:rPr>
                <w:rFonts w:hint="default" w:ascii="Times New Roman" w:hAnsi="Times New Roman" w:eastAsia="宋体" w:cs="Times New Roman"/>
                <w:color w:val="000000" w:themeColor="text1"/>
                <w:sz w:val="24"/>
                <w:lang w:val="en-US" w:eastAsia="zh-CN"/>
                <w14:textFill>
                  <w14:solidFill>
                    <w14:schemeClr w14:val="tx1"/>
                  </w14:solidFill>
                </w14:textFill>
              </w:rPr>
              <w:t>用水、灌溉用水。</w:t>
            </w:r>
          </w:p>
          <w:p w14:paraId="5BF28366">
            <w:pPr>
              <w:keepNext w:val="0"/>
              <w:keepLines w:val="0"/>
              <w:pageBreakBefore w:val="0"/>
              <w:widowControl w:val="0"/>
              <w:kinsoku/>
              <w:wordWrap/>
              <w:overflowPunct/>
              <w:topLinePunct w:val="0"/>
              <w:autoSpaceDE/>
              <w:autoSpaceDN/>
              <w:bidi w:val="0"/>
              <w:adjustRightInd w:val="0"/>
              <w:snapToGrid w:val="0"/>
              <w:ind w:left="0" w:leftChars="0" w:firstLine="480" w:firstLineChars="200"/>
              <w:jc w:val="both"/>
              <w:textAlignment w:val="auto"/>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1）用水情况</w:t>
            </w:r>
          </w:p>
          <w:p w14:paraId="152C07B0">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①生活用水</w:t>
            </w:r>
          </w:p>
          <w:p w14:paraId="2499F934">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cs="Times New Roman"/>
                <w:b w:val="0"/>
                <w:bCs w:val="0"/>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项目营运过程中</w:t>
            </w:r>
            <w:r>
              <w:rPr>
                <w:rFonts w:hint="eastAsia" w:ascii="Times New Roman" w:hAnsi="Times New Roman" w:cs="Times New Roman"/>
                <w:b w:val="0"/>
                <w:bCs w:val="0"/>
                <w:color w:val="000000" w:themeColor="text1"/>
                <w:sz w:val="24"/>
                <w:highlight w:val="none"/>
                <w:lang w:val="en-US" w:eastAsia="zh-CN"/>
                <w14:textFill>
                  <w14:solidFill>
                    <w14:schemeClr w14:val="tx1"/>
                  </w14:solidFill>
                </w14:textFill>
              </w:rPr>
              <w:t>生产作业</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人员在日常生活中会产生一定量的生活污水，项目</w:t>
            </w:r>
            <w:r>
              <w:rPr>
                <w:rFonts w:hint="eastAsia" w:ascii="Times New Roman" w:hAnsi="Times New Roman" w:cs="Times New Roman"/>
                <w:b w:val="0"/>
                <w:bCs w:val="0"/>
                <w:color w:val="000000" w:themeColor="text1"/>
                <w:sz w:val="24"/>
                <w:highlight w:val="none"/>
                <w:lang w:val="en-US" w:eastAsia="zh-CN"/>
                <w14:textFill>
                  <w14:solidFill>
                    <w14:schemeClr w14:val="tx1"/>
                  </w14:solidFill>
                </w14:textFill>
              </w:rPr>
              <w:t>平均</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劳动定员为100人</w:t>
            </w:r>
            <w:r>
              <w:rPr>
                <w:rFonts w:hint="eastAsia" w:ascii="Times New Roman" w:hAnsi="Times New Roman" w:cs="Times New Roman"/>
                <w:b w:val="0"/>
                <w:bCs w:val="0"/>
                <w:color w:val="000000" w:themeColor="text1"/>
                <w:sz w:val="24"/>
                <w:highlight w:val="none"/>
                <w:lang w:val="en-US" w:eastAsia="zh-CN"/>
                <w14:textFill>
                  <w14:solidFill>
                    <w14:schemeClr w14:val="tx1"/>
                  </w14:solidFill>
                </w14:textFill>
              </w:rPr>
              <w:t>（一片区40人，二片区60人）</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kern w:val="24"/>
                <w:sz w:val="24"/>
                <w:szCs w:val="24"/>
                <w:highlight w:val="none"/>
                <w14:textFill>
                  <w14:solidFill>
                    <w14:schemeClr w14:val="tx1"/>
                  </w14:solidFill>
                </w14:textFill>
              </w:rPr>
              <w:t>根据《</w:t>
            </w:r>
            <w:r>
              <w:rPr>
                <w:rFonts w:hint="eastAsia" w:ascii="Times New Roman" w:hAnsi="Times New Roman" w:cs="Times New Roman"/>
                <w:color w:val="000000" w:themeColor="text1"/>
                <w:kern w:val="24"/>
                <w:sz w:val="24"/>
                <w:szCs w:val="24"/>
                <w:highlight w:val="none"/>
                <w:lang w:val="en-US" w:eastAsia="zh-CN"/>
                <w14:textFill>
                  <w14:solidFill>
                    <w14:schemeClr w14:val="tx1"/>
                  </w14:solidFill>
                </w14:textFill>
              </w:rPr>
              <w:t>云南省地方标准 用水定额</w:t>
            </w:r>
            <w:r>
              <w:rPr>
                <w:rFonts w:hint="default" w:ascii="Times New Roman" w:hAnsi="Times New Roman" w:eastAsia="宋体" w:cs="Times New Roman"/>
                <w:color w:val="000000" w:themeColor="text1"/>
                <w:kern w:val="24"/>
                <w:sz w:val="24"/>
                <w:szCs w:val="24"/>
                <w:highlight w:val="none"/>
                <w14:textFill>
                  <w14:solidFill>
                    <w14:schemeClr w14:val="tx1"/>
                  </w14:solidFill>
                </w14:textFill>
              </w:rPr>
              <w:t>》</w:t>
            </w:r>
            <w:r>
              <w:rPr>
                <w:rFonts w:hint="eastAsia" w:ascii="Times New Roman" w:hAnsi="Times New Roman" w:cs="Times New Roman"/>
                <w:color w:val="000000" w:themeColor="text1"/>
                <w:kern w:val="24"/>
                <w:sz w:val="24"/>
                <w:szCs w:val="24"/>
                <w:highlight w:val="none"/>
                <w:lang w:eastAsia="zh-CN"/>
                <w14:textFill>
                  <w14:solidFill>
                    <w14:schemeClr w14:val="tx1"/>
                  </w14:solidFill>
                </w14:textFill>
              </w:rPr>
              <w:t>（DB53/T168—2026）</w:t>
            </w:r>
            <w:r>
              <w:rPr>
                <w:rFonts w:hint="default" w:ascii="Times New Roman" w:hAnsi="Times New Roman" w:eastAsia="宋体" w:cs="Times New Roman"/>
                <w:color w:val="000000" w:themeColor="text1"/>
                <w:kern w:val="24"/>
                <w:sz w:val="24"/>
                <w:szCs w:val="24"/>
                <w:highlight w:val="none"/>
                <w:lang w:val="en-US" w:eastAsia="zh-CN"/>
                <w14:textFill>
                  <w14:solidFill>
                    <w14:schemeClr w14:val="tx1"/>
                  </w14:solidFill>
                </w14:textFill>
              </w:rPr>
              <w:t>中</w:t>
            </w:r>
            <w:r>
              <w:rPr>
                <w:rFonts w:hint="eastAsia" w:ascii="Times New Roman" w:hAnsi="Times New Roman" w:cs="Times New Roman"/>
                <w:color w:val="000000" w:themeColor="text1"/>
                <w:kern w:val="24"/>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kern w:val="24"/>
                <w:sz w:val="24"/>
                <w:szCs w:val="24"/>
                <w:highlight w:val="none"/>
                <w:lang w:val="en-US" w:eastAsia="zh-CN"/>
                <w14:textFill>
                  <w14:solidFill>
                    <w14:schemeClr w14:val="tx1"/>
                  </w14:solidFill>
                </w14:textFill>
              </w:rPr>
              <w:t>表 2 农村居民生活及畜牧业用水分区表</w:t>
            </w:r>
            <w:r>
              <w:rPr>
                <w:rFonts w:hint="eastAsia" w:ascii="Times New Roman" w:hAnsi="Times New Roman" w:cs="Times New Roman"/>
                <w:color w:val="000000" w:themeColor="text1"/>
                <w:kern w:val="24"/>
                <w:sz w:val="24"/>
                <w:szCs w:val="24"/>
                <w:highlight w:val="none"/>
                <w:lang w:val="en-US" w:eastAsia="zh-CN"/>
                <w14:textFill>
                  <w14:solidFill>
                    <w14:schemeClr w14:val="tx1"/>
                  </w14:solidFill>
                </w14:textFill>
              </w:rPr>
              <w:t>”可知，峨山属于亚热带区，再根据“表 15 农村居民生活用水定额”的，项目劳动</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人员用水量为</w:t>
            </w:r>
            <w:r>
              <w:rPr>
                <w:rFonts w:hint="eastAsia" w:ascii="Times New Roman" w:hAnsi="Times New Roman" w:cs="Times New Roman"/>
                <w:b w:val="0"/>
                <w:bCs w:val="0"/>
                <w:color w:val="000000" w:themeColor="text1"/>
                <w:sz w:val="24"/>
                <w:highlight w:val="none"/>
                <w:lang w:val="en-US" w:eastAsia="zh-CN"/>
                <w14:textFill>
                  <w14:solidFill>
                    <w14:schemeClr w14:val="tx1"/>
                  </w14:solidFill>
                </w14:textFill>
              </w:rPr>
              <w:t>6</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5L</w:t>
            </w:r>
            <w:r>
              <w:rPr>
                <w:rFonts w:hint="eastAsia" w:ascii="Times New Roman" w:hAnsi="Times New Roman" w:cs="Times New Roman"/>
                <w:b w:val="0"/>
                <w:bCs w:val="0"/>
                <w:color w:val="000000" w:themeColor="text1"/>
                <w:sz w:val="24"/>
                <w:highlight w:val="none"/>
                <w:lang w:val="en-US" w:eastAsia="zh-CN"/>
                <w14:textFill>
                  <w14:solidFill>
                    <w14:schemeClr w14:val="tx1"/>
                  </w14:solidFill>
                </w14:textFill>
              </w:rPr>
              <w:t>/人·d</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计，年工作时间为3</w:t>
            </w:r>
            <w:r>
              <w:rPr>
                <w:rFonts w:hint="eastAsia" w:ascii="Times New Roman" w:hAnsi="Times New Roman" w:cs="Times New Roman"/>
                <w:b w:val="0"/>
                <w:bCs w:val="0"/>
                <w:color w:val="000000" w:themeColor="text1"/>
                <w:sz w:val="24"/>
                <w:highlight w:val="none"/>
                <w:lang w:val="en-US" w:eastAsia="zh-CN"/>
                <w14:textFill>
                  <w14:solidFill>
                    <w14:schemeClr w14:val="tx1"/>
                  </w14:solidFill>
                </w14:textFill>
              </w:rPr>
              <w:t>60</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天，则项目</w:t>
            </w:r>
            <w:r>
              <w:rPr>
                <w:rFonts w:hint="eastAsia" w:ascii="Times New Roman" w:hAnsi="Times New Roman" w:cs="Times New Roman"/>
                <w:b w:val="0"/>
                <w:bCs w:val="0"/>
                <w:color w:val="000000" w:themeColor="text1"/>
                <w:sz w:val="24"/>
                <w:highlight w:val="none"/>
                <w:lang w:val="en-US" w:eastAsia="zh-CN"/>
                <w14:textFill>
                  <w14:solidFill>
                    <w14:schemeClr w14:val="tx1"/>
                  </w14:solidFill>
                </w14:textFill>
              </w:rPr>
              <w:t>一片区</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生活用水量</w:t>
            </w:r>
            <w:r>
              <w:rPr>
                <w:rFonts w:hint="eastAsia" w:ascii="Times New Roman" w:hAnsi="Times New Roman" w:cs="Times New Roman"/>
                <w:b w:val="0"/>
                <w:bCs w:val="0"/>
                <w:color w:val="000000" w:themeColor="text1"/>
                <w:sz w:val="24"/>
                <w:highlight w:val="none"/>
                <w:lang w:val="en-US" w:eastAsia="zh-CN"/>
                <w14:textFill>
                  <w14:solidFill>
                    <w14:schemeClr w14:val="tx1"/>
                  </w14:solidFill>
                </w14:textFill>
              </w:rPr>
              <w:t>2.6</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m</w:t>
            </w:r>
            <w:r>
              <w:rPr>
                <w:rFonts w:hint="default" w:ascii="Times New Roman" w:hAnsi="Times New Roman" w:eastAsia="宋体" w:cs="Times New Roman"/>
                <w:b w:val="0"/>
                <w:bCs w:val="0"/>
                <w:color w:val="000000" w:themeColor="text1"/>
                <w:sz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/d，</w:t>
            </w:r>
            <w:r>
              <w:rPr>
                <w:rFonts w:hint="eastAsia" w:ascii="Times New Roman" w:hAnsi="Times New Roman" w:cs="Times New Roman"/>
                <w:b w:val="0"/>
                <w:bCs w:val="0"/>
                <w:color w:val="000000" w:themeColor="text1"/>
                <w:sz w:val="24"/>
                <w:highlight w:val="none"/>
                <w:lang w:val="en-US" w:eastAsia="zh-CN"/>
                <w14:textFill>
                  <w14:solidFill>
                    <w14:schemeClr w14:val="tx1"/>
                  </w14:solidFill>
                </w14:textFill>
              </w:rPr>
              <w:t>936</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m</w:t>
            </w:r>
            <w:r>
              <w:rPr>
                <w:rFonts w:hint="default" w:ascii="Times New Roman" w:hAnsi="Times New Roman" w:eastAsia="宋体" w:cs="Times New Roman"/>
                <w:b w:val="0"/>
                <w:bCs w:val="0"/>
                <w:color w:val="000000" w:themeColor="text1"/>
                <w:sz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/a</w:t>
            </w:r>
            <w:r>
              <w:rPr>
                <w:rFonts w:hint="eastAsia" w:ascii="Times New Roman" w:hAnsi="Times New Roman" w:cs="Times New Roman"/>
                <w:b w:val="0"/>
                <w:bCs w:val="0"/>
                <w:color w:val="000000" w:themeColor="text1"/>
                <w:sz w:val="24"/>
                <w:highlight w:val="none"/>
                <w:lang w:val="en-US" w:eastAsia="zh-CN"/>
                <w14:textFill>
                  <w14:solidFill>
                    <w14:schemeClr w14:val="tx1"/>
                  </w14:solidFill>
                </w14:textFill>
              </w:rPr>
              <w:t>；二片区</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生活用水量</w:t>
            </w:r>
            <w:r>
              <w:rPr>
                <w:rFonts w:hint="eastAsia" w:ascii="Times New Roman" w:hAnsi="Times New Roman" w:cs="Times New Roman"/>
                <w:b w:val="0"/>
                <w:bCs w:val="0"/>
                <w:color w:val="000000" w:themeColor="text1"/>
                <w:sz w:val="24"/>
                <w:highlight w:val="none"/>
                <w:lang w:val="en-US" w:eastAsia="zh-CN"/>
                <w14:textFill>
                  <w14:solidFill>
                    <w14:schemeClr w14:val="tx1"/>
                  </w14:solidFill>
                </w14:textFill>
              </w:rPr>
              <w:t>3.9</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m</w:t>
            </w:r>
            <w:r>
              <w:rPr>
                <w:rFonts w:hint="default" w:ascii="Times New Roman" w:hAnsi="Times New Roman" w:eastAsia="宋体" w:cs="Times New Roman"/>
                <w:b w:val="0"/>
                <w:bCs w:val="0"/>
                <w:color w:val="000000" w:themeColor="text1"/>
                <w:sz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/d，</w:t>
            </w:r>
            <w:r>
              <w:rPr>
                <w:rFonts w:hint="eastAsia" w:ascii="Times New Roman" w:hAnsi="Times New Roman" w:cs="Times New Roman"/>
                <w:b w:val="0"/>
                <w:bCs w:val="0"/>
                <w:color w:val="000000" w:themeColor="text1"/>
                <w:sz w:val="24"/>
                <w:highlight w:val="none"/>
                <w:lang w:val="en-US" w:eastAsia="zh-CN"/>
                <w14:textFill>
                  <w14:solidFill>
                    <w14:schemeClr w14:val="tx1"/>
                  </w14:solidFill>
                </w14:textFill>
              </w:rPr>
              <w:t>1404</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m</w:t>
            </w:r>
            <w:r>
              <w:rPr>
                <w:rFonts w:hint="default" w:ascii="Times New Roman" w:hAnsi="Times New Roman" w:eastAsia="宋体" w:cs="Times New Roman"/>
                <w:b w:val="0"/>
                <w:bCs w:val="0"/>
                <w:color w:val="000000" w:themeColor="text1"/>
                <w:sz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/a</w:t>
            </w:r>
            <w:r>
              <w:rPr>
                <w:rFonts w:hint="eastAsia" w:ascii="Times New Roman" w:hAnsi="Times New Roman" w:cs="Times New Roman"/>
                <w:b w:val="0"/>
                <w:bCs w:val="0"/>
                <w:color w:val="000000" w:themeColor="text1"/>
                <w:sz w:val="24"/>
                <w:highlight w:val="none"/>
                <w:lang w:val="en-US" w:eastAsia="zh-CN"/>
                <w14:textFill>
                  <w14:solidFill>
                    <w14:schemeClr w14:val="tx1"/>
                  </w14:solidFill>
                </w14:textFill>
              </w:rPr>
              <w:t>；综上，项目区生活用水量为6.5</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m</w:t>
            </w:r>
            <w:r>
              <w:rPr>
                <w:rFonts w:hint="default" w:ascii="Times New Roman" w:hAnsi="Times New Roman" w:eastAsia="宋体" w:cs="Times New Roman"/>
                <w:b w:val="0"/>
                <w:bCs w:val="0"/>
                <w:color w:val="000000" w:themeColor="text1"/>
                <w:sz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/d，</w:t>
            </w:r>
            <w:r>
              <w:rPr>
                <w:rFonts w:hint="eastAsia" w:ascii="Times New Roman" w:hAnsi="Times New Roman" w:cs="Times New Roman"/>
                <w:b w:val="0"/>
                <w:bCs w:val="0"/>
                <w:color w:val="000000" w:themeColor="text1"/>
                <w:sz w:val="24"/>
                <w:highlight w:val="none"/>
                <w:lang w:val="en-US" w:eastAsia="zh-CN"/>
                <w14:textFill>
                  <w14:solidFill>
                    <w14:schemeClr w14:val="tx1"/>
                  </w14:solidFill>
                </w14:textFill>
              </w:rPr>
              <w:t>2340</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m</w:t>
            </w:r>
            <w:r>
              <w:rPr>
                <w:rFonts w:hint="default" w:ascii="Times New Roman" w:hAnsi="Times New Roman" w:eastAsia="宋体" w:cs="Times New Roman"/>
                <w:b w:val="0"/>
                <w:bCs w:val="0"/>
                <w:color w:val="000000" w:themeColor="text1"/>
                <w:sz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/a</w:t>
            </w:r>
            <w:r>
              <w:rPr>
                <w:rFonts w:hint="eastAsia" w:ascii="Times New Roman" w:hAnsi="Times New Roman" w:cs="Times New Roman"/>
                <w:b w:val="0"/>
                <w:bCs w:val="0"/>
                <w:color w:val="000000" w:themeColor="text1"/>
                <w:sz w:val="24"/>
                <w:highlight w:val="none"/>
                <w:lang w:val="en-US" w:eastAsia="zh-CN"/>
                <w14:textFill>
                  <w14:solidFill>
                    <w14:schemeClr w14:val="tx1"/>
                  </w14:solidFill>
                </w14:textFill>
              </w:rPr>
              <w:t>；</w:t>
            </w:r>
          </w:p>
          <w:p w14:paraId="1A4AA979">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生活污水按用水量的80%计，则项目生活</w:t>
            </w:r>
            <w:r>
              <w:rPr>
                <w:rFonts w:hint="eastAsia" w:ascii="Times New Roman" w:hAnsi="Times New Roman" w:cs="Times New Roman"/>
                <w:b w:val="0"/>
                <w:bCs w:val="0"/>
                <w:color w:val="000000" w:themeColor="text1"/>
                <w:sz w:val="24"/>
                <w:highlight w:val="none"/>
                <w:lang w:val="en-US" w:eastAsia="zh-CN"/>
                <w14:textFill>
                  <w14:solidFill>
                    <w14:schemeClr w14:val="tx1"/>
                  </w14:solidFill>
                </w14:textFill>
              </w:rPr>
              <w:t>一片区</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污水</w:t>
            </w:r>
            <w:r>
              <w:rPr>
                <w:rFonts w:hint="eastAsia" w:ascii="Times New Roman" w:hAnsi="Times New Roman" w:cs="Times New Roman"/>
                <w:b w:val="0"/>
                <w:bCs w:val="0"/>
                <w:color w:val="000000" w:themeColor="text1"/>
                <w:sz w:val="24"/>
                <w:highlight w:val="none"/>
                <w:lang w:val="en-US" w:eastAsia="zh-CN"/>
                <w14:textFill>
                  <w14:solidFill>
                    <w14:schemeClr w14:val="tx1"/>
                  </w14:solidFill>
                </w14:textFill>
              </w:rPr>
              <w:t>产生量为2.08</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m</w:t>
            </w:r>
            <w:r>
              <w:rPr>
                <w:rFonts w:hint="default" w:ascii="Times New Roman" w:hAnsi="Times New Roman" w:eastAsia="宋体" w:cs="Times New Roman"/>
                <w:b w:val="0"/>
                <w:bCs w:val="0"/>
                <w:color w:val="000000" w:themeColor="text1"/>
                <w:sz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/d，</w:t>
            </w:r>
            <w:r>
              <w:rPr>
                <w:rFonts w:hint="eastAsia" w:ascii="Times New Roman" w:hAnsi="Times New Roman" w:cs="Times New Roman"/>
                <w:b w:val="0"/>
                <w:bCs w:val="0"/>
                <w:color w:val="000000" w:themeColor="text1"/>
                <w:sz w:val="24"/>
                <w:highlight w:val="none"/>
                <w:lang w:val="en-US" w:eastAsia="zh-CN"/>
                <w14:textFill>
                  <w14:solidFill>
                    <w14:schemeClr w14:val="tx1"/>
                  </w14:solidFill>
                </w14:textFill>
              </w:rPr>
              <w:t>748.8</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m</w:t>
            </w:r>
            <w:r>
              <w:rPr>
                <w:rFonts w:hint="default" w:ascii="Times New Roman" w:hAnsi="Times New Roman" w:eastAsia="宋体" w:cs="Times New Roman"/>
                <w:b w:val="0"/>
                <w:bCs w:val="0"/>
                <w:color w:val="000000" w:themeColor="text1"/>
                <w:sz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/a</w:t>
            </w:r>
            <w:r>
              <w:rPr>
                <w:rFonts w:hint="eastAsia" w:ascii="Times New Roman" w:hAnsi="Times New Roman" w:cs="Times New Roman"/>
                <w:b w:val="0"/>
                <w:bCs w:val="0"/>
                <w:color w:val="000000" w:themeColor="text1"/>
                <w:sz w:val="24"/>
                <w:highlight w:val="none"/>
                <w:lang w:val="en-US" w:eastAsia="zh-CN"/>
                <w14:textFill>
                  <w14:solidFill>
                    <w14:schemeClr w14:val="tx1"/>
                  </w14:solidFill>
                </w14:textFill>
              </w:rPr>
              <w:t>，项目依托一</w:t>
            </w:r>
            <w:r>
              <w:rPr>
                <w:rFonts w:hint="eastAsia" w:ascii="Times New Roman" w:hAnsi="Times New Roman" w:cs="Times New Roman"/>
                <w:color w:val="000000" w:themeColor="text1"/>
                <w:highlight w:val="none"/>
                <w:lang w:val="en-US" w:eastAsia="zh-CN"/>
                <w14:textFill>
                  <w14:solidFill>
                    <w14:schemeClr w14:val="tx1"/>
                  </w14:solidFill>
                </w14:textFill>
              </w:rPr>
              <w:t>片区西侧25m处大杉农林科技发展（云南）有限公司设置的办公生活区，产生的</w:t>
            </w:r>
            <w:r>
              <w:rPr>
                <w:rFonts w:hint="default" w:ascii="Times New Roman" w:hAnsi="Times New Roman" w:eastAsia="宋体" w:cs="Times New Roman"/>
                <w:color w:val="000000" w:themeColor="text1"/>
                <w:highlight w:val="none"/>
                <w:lang w:val="en-US" w:eastAsia="zh-CN"/>
                <w14:textFill>
                  <w14:solidFill>
                    <w14:schemeClr w14:val="tx1"/>
                  </w14:solidFill>
                </w14:textFill>
              </w:rPr>
              <w:t>生活污水</w:t>
            </w:r>
            <w:r>
              <w:rPr>
                <w:rFonts w:hint="eastAsia" w:ascii="Times New Roman" w:hAnsi="Times New Roman" w:cs="Times New Roman"/>
                <w:color w:val="000000" w:themeColor="text1"/>
                <w:highlight w:val="none"/>
                <w:lang w:val="en-US" w:eastAsia="zh-CN"/>
                <w14:textFill>
                  <w14:solidFill>
                    <w14:schemeClr w14:val="tx1"/>
                  </w14:solidFill>
                </w14:textFill>
              </w:rPr>
              <w:t>依托该公司食堂设置的隔油池（1个，已建，容积2.0m</w:t>
            </w:r>
            <w:r>
              <w:rPr>
                <w:rFonts w:hint="eastAsia" w:ascii="Times New Roman" w:hAnsi="Times New Roman" w:cs="Times New Roman"/>
                <w:color w:val="000000" w:themeColor="text1"/>
                <w:highlight w:val="none"/>
                <w:vertAlign w:val="superscript"/>
                <w:lang w:val="en-US" w:eastAsia="zh-CN"/>
                <w14:textFill>
                  <w14:solidFill>
                    <w14:schemeClr w14:val="tx1"/>
                  </w14:solidFill>
                </w14:textFill>
              </w:rPr>
              <w:t>3</w:t>
            </w:r>
            <w:r>
              <w:rPr>
                <w:rFonts w:hint="eastAsia" w:ascii="Times New Roman" w:hAnsi="Times New Roman" w:cs="Times New Roman"/>
                <w:color w:val="000000" w:themeColor="text1"/>
                <w:highlight w:val="none"/>
                <w:lang w:val="en-US" w:eastAsia="zh-CN"/>
                <w14:textFill>
                  <w14:solidFill>
                    <w14:schemeClr w14:val="tx1"/>
                  </w14:solidFill>
                </w14:textFill>
              </w:rPr>
              <w:t>）、厕所配套设置化粪池（1个，已建，容积约5.0m</w:t>
            </w:r>
            <w:r>
              <w:rPr>
                <w:rFonts w:hint="eastAsia" w:ascii="Times New Roman" w:hAnsi="Times New Roman" w:cs="Times New Roman"/>
                <w:color w:val="000000" w:themeColor="text1"/>
                <w:highlight w:val="none"/>
                <w:vertAlign w:val="superscript"/>
                <w:lang w:val="en-US" w:eastAsia="zh-CN"/>
                <w14:textFill>
                  <w14:solidFill>
                    <w14:schemeClr w14:val="tx1"/>
                  </w14:solidFill>
                </w14:textFill>
              </w:rPr>
              <w:t>3</w:t>
            </w:r>
            <w:r>
              <w:rPr>
                <w:rFonts w:hint="eastAsia" w:ascii="Times New Roman" w:hAnsi="Times New Roman" w:cs="Times New Roman"/>
                <w:color w:val="000000" w:themeColor="text1"/>
                <w:highlight w:val="none"/>
                <w:lang w:val="en-US" w:eastAsia="zh-CN"/>
                <w14:textFill>
                  <w14:solidFill>
                    <w14:schemeClr w14:val="tx1"/>
                  </w14:solidFill>
                </w14:textFill>
              </w:rPr>
              <w:t>）及一体化污水处理设备（1套，处理规模5.0m</w:t>
            </w:r>
            <w:r>
              <w:rPr>
                <w:rFonts w:hint="eastAsia" w:ascii="Times New Roman" w:hAnsi="Times New Roman" w:cs="Times New Roman"/>
                <w:color w:val="000000" w:themeColor="text1"/>
                <w:highlight w:val="none"/>
                <w:vertAlign w:val="superscript"/>
                <w:lang w:val="en-US" w:eastAsia="zh-CN"/>
                <w14:textFill>
                  <w14:solidFill>
                    <w14:schemeClr w14:val="tx1"/>
                  </w14:solidFill>
                </w14:textFill>
              </w:rPr>
              <w:t>3</w:t>
            </w:r>
            <w:r>
              <w:rPr>
                <w:rFonts w:hint="eastAsia" w:ascii="Times New Roman" w:hAnsi="Times New Roman" w:cs="Times New Roman"/>
                <w:color w:val="000000" w:themeColor="text1"/>
                <w:highlight w:val="none"/>
                <w:lang w:val="en-US" w:eastAsia="zh-CN"/>
                <w14:textFill>
                  <w14:solidFill>
                    <w14:schemeClr w14:val="tx1"/>
                  </w14:solidFill>
                </w14:textFill>
              </w:rPr>
              <w:t>/d，大杉农林科技发展（云南）有限公司正在建设）处理达到《农田灌溉水质标准》（GB 5084—2021）中的“旱地作物”标准后排入水池1#回用于项目区内灌溉；</w:t>
            </w:r>
          </w:p>
          <w:p w14:paraId="062A8223">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Times New Roman" w:hAnsi="Times New Roman" w:cs="Times New Roman"/>
                <w:color w:val="000000" w:themeColor="text1"/>
                <w:highlight w:val="none"/>
                <w:lang w:val="en-US" w:eastAsia="zh-CN"/>
                <w14:textFill>
                  <w14:solidFill>
                    <w14:schemeClr w14:val="tx1"/>
                  </w14:solidFill>
                </w14:textFill>
              </w:rPr>
            </w:pPr>
            <w:r>
              <w:rPr>
                <w:rFonts w:hint="eastAsia" w:ascii="Times New Roman" w:hAnsi="Times New Roman" w:cs="Times New Roman"/>
                <w:color w:val="000000" w:themeColor="text1"/>
                <w:highlight w:val="none"/>
                <w:lang w:val="en-US" w:eastAsia="zh-CN"/>
                <w14:textFill>
                  <w14:solidFill>
                    <w14:schemeClr w14:val="tx1"/>
                  </w14:solidFill>
                </w14:textFill>
              </w:rPr>
              <w:t>二片区</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污水</w:t>
            </w:r>
            <w:r>
              <w:rPr>
                <w:rFonts w:hint="eastAsia" w:ascii="Times New Roman" w:hAnsi="Times New Roman" w:cs="Times New Roman"/>
                <w:b w:val="0"/>
                <w:bCs w:val="0"/>
                <w:color w:val="000000" w:themeColor="text1"/>
                <w:sz w:val="24"/>
                <w:highlight w:val="none"/>
                <w:lang w:val="en-US" w:eastAsia="zh-CN"/>
                <w14:textFill>
                  <w14:solidFill>
                    <w14:schemeClr w14:val="tx1"/>
                  </w14:solidFill>
                </w14:textFill>
              </w:rPr>
              <w:t>产生量为3.12</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m</w:t>
            </w:r>
            <w:r>
              <w:rPr>
                <w:rFonts w:hint="default" w:ascii="Times New Roman" w:hAnsi="Times New Roman" w:eastAsia="宋体" w:cs="Times New Roman"/>
                <w:b w:val="0"/>
                <w:bCs w:val="0"/>
                <w:color w:val="000000" w:themeColor="text1"/>
                <w:sz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/d，</w:t>
            </w:r>
            <w:r>
              <w:rPr>
                <w:rFonts w:hint="eastAsia" w:ascii="Times New Roman" w:hAnsi="Times New Roman" w:cs="Times New Roman"/>
                <w:b w:val="0"/>
                <w:bCs w:val="0"/>
                <w:color w:val="000000" w:themeColor="text1"/>
                <w:sz w:val="24"/>
                <w:highlight w:val="none"/>
                <w:lang w:val="en-US" w:eastAsia="zh-CN"/>
                <w14:textFill>
                  <w14:solidFill>
                    <w14:schemeClr w14:val="tx1"/>
                  </w14:solidFill>
                </w14:textFill>
              </w:rPr>
              <w:t>1123.2</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m</w:t>
            </w:r>
            <w:r>
              <w:rPr>
                <w:rFonts w:hint="default" w:ascii="Times New Roman" w:hAnsi="Times New Roman" w:eastAsia="宋体" w:cs="Times New Roman"/>
                <w:b w:val="0"/>
                <w:bCs w:val="0"/>
                <w:color w:val="000000" w:themeColor="text1"/>
                <w:sz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/a</w:t>
            </w:r>
            <w:r>
              <w:rPr>
                <w:rFonts w:hint="eastAsia" w:ascii="Times New Roman" w:hAnsi="Times New Roman" w:cs="Times New Roman"/>
                <w:b w:val="0"/>
                <w:bCs w:val="0"/>
                <w:color w:val="000000" w:themeColor="text1"/>
                <w:sz w:val="24"/>
                <w:highlight w:val="none"/>
                <w:lang w:val="en-US" w:eastAsia="zh-CN"/>
                <w14:textFill>
                  <w14:solidFill>
                    <w14:schemeClr w14:val="tx1"/>
                  </w14:solidFill>
                </w14:textFill>
              </w:rPr>
              <w:t>，</w:t>
            </w:r>
            <w:r>
              <w:rPr>
                <w:rFonts w:hint="eastAsia" w:ascii="Times New Roman" w:hAnsi="Times New Roman" w:cs="Times New Roman"/>
                <w:color w:val="000000" w:themeColor="text1"/>
                <w:highlight w:val="none"/>
                <w:lang w:val="en-US" w:eastAsia="zh-CN"/>
                <w14:textFill>
                  <w14:solidFill>
                    <w14:schemeClr w14:val="tx1"/>
                  </w14:solidFill>
                </w14:textFill>
              </w:rPr>
              <w:t>二片区内在管护用房1#、4#和6#设置厕所，配套设置化粪池（3个，容积均为5.0m</w:t>
            </w:r>
            <w:r>
              <w:rPr>
                <w:rFonts w:hint="eastAsia" w:ascii="Times New Roman" w:hAnsi="Times New Roman" w:cs="Times New Roman"/>
                <w:color w:val="000000" w:themeColor="text1"/>
                <w:highlight w:val="none"/>
                <w:vertAlign w:val="superscript"/>
                <w:lang w:val="en-US" w:eastAsia="zh-CN"/>
                <w14:textFill>
                  <w14:solidFill>
                    <w14:schemeClr w14:val="tx1"/>
                  </w14:solidFill>
                </w14:textFill>
              </w:rPr>
              <w:t>3</w:t>
            </w:r>
            <w:r>
              <w:rPr>
                <w:rFonts w:hint="eastAsia" w:ascii="Times New Roman" w:hAnsi="Times New Roman" w:cs="Times New Roman"/>
                <w:color w:val="000000" w:themeColor="text1"/>
                <w:highlight w:val="none"/>
                <w:lang w:val="en-US" w:eastAsia="zh-CN"/>
                <w14:textFill>
                  <w14:solidFill>
                    <w14:schemeClr w14:val="tx1"/>
                  </w14:solidFill>
                </w14:textFill>
              </w:rPr>
              <w:t>），管护用房3#内设置食堂，配套设置隔油池（1个，容积2.0m</w:t>
            </w:r>
            <w:r>
              <w:rPr>
                <w:rFonts w:hint="eastAsia" w:ascii="Times New Roman" w:hAnsi="Times New Roman" w:cs="Times New Roman"/>
                <w:color w:val="000000" w:themeColor="text1"/>
                <w:highlight w:val="none"/>
                <w:vertAlign w:val="superscript"/>
                <w:lang w:val="en-US" w:eastAsia="zh-CN"/>
                <w14:textFill>
                  <w14:solidFill>
                    <w14:schemeClr w14:val="tx1"/>
                  </w14:solidFill>
                </w14:textFill>
              </w:rPr>
              <w:t>3</w:t>
            </w:r>
            <w:r>
              <w:rPr>
                <w:rFonts w:hint="eastAsia" w:ascii="Times New Roman" w:hAnsi="Times New Roman" w:cs="Times New Roman"/>
                <w:color w:val="000000" w:themeColor="text1"/>
                <w:highlight w:val="none"/>
                <w:lang w:val="en-US" w:eastAsia="zh-CN"/>
                <w14:textFill>
                  <w14:solidFill>
                    <w14:schemeClr w14:val="tx1"/>
                  </w14:solidFill>
                </w14:textFill>
              </w:rPr>
              <w:t>），经预处理后的生活污水及食堂废水进入设置于管护用房4#旁边的一体化污水处理设备（处理规模为5.0m</w:t>
            </w:r>
            <w:r>
              <w:rPr>
                <w:rFonts w:hint="eastAsia" w:ascii="Times New Roman" w:hAnsi="Times New Roman" w:cs="Times New Roman"/>
                <w:color w:val="000000" w:themeColor="text1"/>
                <w:highlight w:val="none"/>
                <w:vertAlign w:val="superscript"/>
                <w:lang w:val="en-US" w:eastAsia="zh-CN"/>
                <w14:textFill>
                  <w14:solidFill>
                    <w14:schemeClr w14:val="tx1"/>
                  </w14:solidFill>
                </w14:textFill>
              </w:rPr>
              <w:t>3</w:t>
            </w:r>
            <w:r>
              <w:rPr>
                <w:rFonts w:hint="eastAsia" w:ascii="Times New Roman" w:hAnsi="Times New Roman" w:cs="Times New Roman"/>
                <w:color w:val="000000" w:themeColor="text1"/>
                <w:highlight w:val="none"/>
                <w:lang w:val="en-US" w:eastAsia="zh-CN"/>
                <w14:textFill>
                  <w14:solidFill>
                    <w14:schemeClr w14:val="tx1"/>
                  </w14:solidFill>
                </w14:textFill>
              </w:rPr>
              <w:t>/d），处理达到《农田灌溉水质标准》（GB 5084—2021）中的“旱地作物”标准后的废水排入水池6#，回用于项目区内灌溉。</w:t>
            </w:r>
          </w:p>
          <w:p w14:paraId="2C84D9EF">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cs="Times New Roman"/>
                <w:color w:val="000000" w:themeColor="text1"/>
                <w:highlight w:val="none"/>
                <w:lang w:val="en-US" w:eastAsia="zh-CN"/>
                <w14:textFill>
                  <w14:solidFill>
                    <w14:schemeClr w14:val="tx1"/>
                  </w14:solidFill>
                </w14:textFill>
              </w:rPr>
            </w:pPr>
            <w:r>
              <w:rPr>
                <w:rFonts w:hint="eastAsia" w:ascii="Times New Roman" w:hAnsi="Times New Roman" w:cs="Times New Roman"/>
                <w:color w:val="000000" w:themeColor="text1"/>
                <w:highlight w:val="none"/>
                <w:lang w:val="en-US" w:eastAsia="zh-CN"/>
                <w14:textFill>
                  <w14:solidFill>
                    <w14:schemeClr w14:val="tx1"/>
                  </w14:solidFill>
                </w14:textFill>
              </w:rPr>
              <w:t>综上项目生活污水产生量为5.2</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m</w:t>
            </w:r>
            <w:r>
              <w:rPr>
                <w:rFonts w:hint="default" w:ascii="Times New Roman" w:hAnsi="Times New Roman" w:eastAsia="宋体" w:cs="Times New Roman"/>
                <w:b w:val="0"/>
                <w:bCs w:val="0"/>
                <w:color w:val="000000" w:themeColor="text1"/>
                <w:sz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/d，</w:t>
            </w:r>
            <w:r>
              <w:rPr>
                <w:rFonts w:hint="eastAsia" w:ascii="Times New Roman" w:hAnsi="Times New Roman" w:cs="Times New Roman"/>
                <w:b w:val="0"/>
                <w:bCs w:val="0"/>
                <w:color w:val="000000" w:themeColor="text1"/>
                <w:sz w:val="24"/>
                <w:highlight w:val="none"/>
                <w:lang w:val="en-US" w:eastAsia="zh-CN"/>
                <w14:textFill>
                  <w14:solidFill>
                    <w14:schemeClr w14:val="tx1"/>
                  </w14:solidFill>
                </w14:textFill>
              </w:rPr>
              <w:t>1872</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m</w:t>
            </w:r>
            <w:r>
              <w:rPr>
                <w:rFonts w:hint="default" w:ascii="Times New Roman" w:hAnsi="Times New Roman" w:eastAsia="宋体" w:cs="Times New Roman"/>
                <w:b w:val="0"/>
                <w:bCs w:val="0"/>
                <w:color w:val="000000" w:themeColor="text1"/>
                <w:sz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/a</w:t>
            </w:r>
            <w:r>
              <w:rPr>
                <w:rFonts w:hint="eastAsia" w:ascii="Times New Roman" w:hAnsi="Times New Roman" w:cs="Times New Roman"/>
                <w:b w:val="0"/>
                <w:bCs w:val="0"/>
                <w:color w:val="000000" w:themeColor="text1"/>
                <w:sz w:val="24"/>
                <w:highlight w:val="none"/>
                <w:lang w:val="en-US" w:eastAsia="zh-CN"/>
                <w14:textFill>
                  <w14:solidFill>
                    <w14:schemeClr w14:val="tx1"/>
                  </w14:solidFill>
                </w14:textFill>
              </w:rPr>
              <w:t>。</w:t>
            </w:r>
          </w:p>
          <w:p w14:paraId="30FAA0A5">
            <w:pPr>
              <w:keepNext w:val="0"/>
              <w:keepLines w:val="0"/>
              <w:pageBreakBefore w:val="0"/>
              <w:widowControl w:val="0"/>
              <w:numPr>
                <w:ilvl w:val="0"/>
                <w:numId w:val="0"/>
              </w:numPr>
              <w:kinsoku/>
              <w:wordWrap/>
              <w:overflowPunct/>
              <w:topLinePunct w:val="0"/>
              <w:bidi w:val="0"/>
              <w:snapToGrid/>
              <w:ind w:firstLine="480" w:firstLineChars="200"/>
              <w:jc w:val="both"/>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②灌溉用水</w:t>
            </w:r>
          </w:p>
          <w:p w14:paraId="0C7DC106">
            <w:pPr>
              <w:keepNext w:val="0"/>
              <w:keepLines w:val="0"/>
              <w:pageBreakBefore w:val="0"/>
              <w:widowControl w:val="0"/>
              <w:numPr>
                <w:ilvl w:val="0"/>
                <w:numId w:val="0"/>
              </w:numPr>
              <w:kinsoku/>
              <w:wordWrap/>
              <w:overflowPunct/>
              <w:topLinePunct w:val="0"/>
              <w:autoSpaceDE/>
              <w:autoSpaceDN/>
              <w:bidi w:val="0"/>
              <w:adjustRightInd/>
              <w:snapToGrid/>
              <w:ind w:left="0" w:leftChars="0" w:firstLine="480" w:firstLineChars="200"/>
              <w:jc w:val="both"/>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项目营造林工程中桃树、苹果树种植是通过自然降雨浇灌，一般情况不涉及人工浇灌，只有在苗木移栽的时候涉及小面积的浇灌。灌溉用水主要用于蓝莓、三七、羊肚菌的种植。</w:t>
            </w:r>
            <w:r>
              <w:rPr>
                <w:rFonts w:hint="default" w:ascii="Times New Roman" w:hAnsi="Times New Roman" w:eastAsia="宋体" w:cs="Times New Roman"/>
                <w:color w:val="000000" w:themeColor="text1"/>
                <w:kern w:val="24"/>
                <w:sz w:val="24"/>
                <w:szCs w:val="24"/>
                <w:highlight w:val="none"/>
                <w14:textFill>
                  <w14:solidFill>
                    <w14:schemeClr w14:val="tx1"/>
                  </w14:solidFill>
                </w14:textFill>
              </w:rPr>
              <w:t>根据《</w:t>
            </w:r>
            <w:r>
              <w:rPr>
                <w:rFonts w:hint="default" w:ascii="Times New Roman" w:hAnsi="Times New Roman" w:eastAsia="宋体" w:cs="Times New Roman"/>
                <w:color w:val="000000" w:themeColor="text1"/>
                <w:kern w:val="24"/>
                <w:sz w:val="24"/>
                <w:szCs w:val="24"/>
                <w:highlight w:val="none"/>
                <w:lang w:val="en-US" w:eastAsia="zh-CN"/>
                <w14:textFill>
                  <w14:solidFill>
                    <w14:schemeClr w14:val="tx1"/>
                  </w14:solidFill>
                </w14:textFill>
              </w:rPr>
              <w:t>云南</w:t>
            </w:r>
            <w:r>
              <w:rPr>
                <w:rFonts w:hint="default" w:ascii="Times New Roman" w:hAnsi="Times New Roman" w:eastAsia="宋体" w:cs="Times New Roman"/>
                <w:color w:val="000000" w:themeColor="text1"/>
                <w:kern w:val="24"/>
                <w:sz w:val="24"/>
                <w:szCs w:val="24"/>
                <w:highlight w:val="none"/>
                <w14:textFill>
                  <w14:solidFill>
                    <w14:schemeClr w14:val="tx1"/>
                  </w14:solidFill>
                </w14:textFill>
              </w:rPr>
              <w:t>省</w:t>
            </w:r>
            <w:r>
              <w:rPr>
                <w:rFonts w:hint="eastAsia" w:ascii="Times New Roman" w:hAnsi="Times New Roman" w:cs="Times New Roman"/>
                <w:color w:val="000000" w:themeColor="text1"/>
                <w:kern w:val="24"/>
                <w:sz w:val="24"/>
                <w:szCs w:val="24"/>
                <w:highlight w:val="none"/>
                <w:lang w:val="en-US" w:eastAsia="zh-CN"/>
                <w14:textFill>
                  <w14:solidFill>
                    <w14:schemeClr w14:val="tx1"/>
                  </w14:solidFill>
                </w14:textFill>
              </w:rPr>
              <w:t>地方</w:t>
            </w:r>
            <w:r>
              <w:rPr>
                <w:rFonts w:hint="default" w:ascii="Times New Roman" w:hAnsi="Times New Roman" w:eastAsia="宋体" w:cs="Times New Roman"/>
                <w:color w:val="000000" w:themeColor="text1"/>
                <w:kern w:val="24"/>
                <w:sz w:val="24"/>
                <w:szCs w:val="24"/>
                <w:highlight w:val="none"/>
                <w14:textFill>
                  <w14:solidFill>
                    <w14:schemeClr w14:val="tx1"/>
                  </w14:solidFill>
                </w14:textFill>
              </w:rPr>
              <w:t>标准</w:t>
            </w:r>
            <w:r>
              <w:rPr>
                <w:rFonts w:hint="eastAsia" w:ascii="Times New Roman" w:hAnsi="Times New Roman" w:eastAsia="宋体" w:cs="Times New Roman"/>
                <w:color w:val="000000" w:themeColor="text1"/>
                <w:kern w:val="24"/>
                <w:sz w:val="24"/>
                <w:szCs w:val="24"/>
                <w:highlight w:val="none"/>
                <w:lang w:val="en-US" w:eastAsia="zh-CN"/>
                <w14:textFill>
                  <w14:solidFill>
                    <w14:schemeClr w14:val="tx1"/>
                  </w14:solidFill>
                </w14:textFill>
              </w:rPr>
              <w:t xml:space="preserve"> </w:t>
            </w:r>
            <w:r>
              <w:rPr>
                <w:rFonts w:hint="default" w:ascii="Times New Roman" w:hAnsi="Times New Roman" w:eastAsia="宋体" w:cs="Times New Roman"/>
                <w:color w:val="000000" w:themeColor="text1"/>
                <w:kern w:val="24"/>
                <w:sz w:val="24"/>
                <w:szCs w:val="24"/>
                <w:highlight w:val="none"/>
                <w14:textFill>
                  <w14:solidFill>
                    <w14:schemeClr w14:val="tx1"/>
                  </w14:solidFill>
                </w14:textFill>
              </w:rPr>
              <w:t>用水定额》</w:t>
            </w:r>
            <w:r>
              <w:rPr>
                <w:rFonts w:hint="eastAsia" w:ascii="Times New Roman" w:hAnsi="Times New Roman" w:cs="Times New Roman"/>
                <w:color w:val="000000" w:themeColor="text1"/>
                <w:kern w:val="24"/>
                <w:sz w:val="24"/>
                <w:szCs w:val="24"/>
                <w:highlight w:val="none"/>
                <w:lang w:eastAsia="zh-CN"/>
                <w14:textFill>
                  <w14:solidFill>
                    <w14:schemeClr w14:val="tx1"/>
                  </w14:solidFill>
                </w14:textFill>
              </w:rPr>
              <w:t>（DB53/T168—2026）</w:t>
            </w:r>
            <w:r>
              <w:rPr>
                <w:rFonts w:hint="eastAsia" w:ascii="Times New Roman" w:hAnsi="Times New Roman" w:cs="Times New Roman"/>
                <w:color w:val="000000" w:themeColor="text1"/>
                <w:kern w:val="24"/>
                <w:sz w:val="24"/>
                <w:szCs w:val="24"/>
                <w:highlight w:val="none"/>
                <w:lang w:val="en-US" w:eastAsia="zh-CN"/>
                <w14:textFill>
                  <w14:solidFill>
                    <w14:schemeClr w14:val="tx1"/>
                  </w14:solidFill>
                </w14:textFill>
              </w:rPr>
              <w:t>中“表 1 农业灌溉用水分区表”，项目区所在地峨山属于“滇西南区”中的“Ⅲ-3区”。</w:t>
            </w:r>
          </w:p>
          <w:p w14:paraId="4E235079">
            <w:pPr>
              <w:keepNext w:val="0"/>
              <w:keepLines w:val="0"/>
              <w:widowControl/>
              <w:suppressLineNumbers w:val="0"/>
              <w:spacing w:line="360" w:lineRule="auto"/>
              <w:ind w:left="0" w:firstLine="0"/>
              <w:jc w:val="both"/>
              <w:rPr>
                <w:rFonts w:hint="default" w:ascii="Times New Roman" w:hAnsi="Times New Roman" w:eastAsia="宋体" w:cs="Times New Roman"/>
                <w:b/>
                <w:bCs/>
                <w:color w:val="000000" w:themeColor="text1"/>
                <w:kern w:val="0"/>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24"/>
                <w:sz w:val="24"/>
                <w:szCs w:val="24"/>
                <w:highlight w:val="none"/>
                <w14:textFill>
                  <w14:solidFill>
                    <w14:schemeClr w14:val="tx1"/>
                  </w14:solidFill>
                </w14:textFill>
              </w:rPr>
              <w:t>根据《</w:t>
            </w:r>
            <w:r>
              <w:rPr>
                <w:rFonts w:hint="default" w:ascii="Times New Roman" w:hAnsi="Times New Roman" w:eastAsia="宋体" w:cs="Times New Roman"/>
                <w:color w:val="000000" w:themeColor="text1"/>
                <w:kern w:val="24"/>
                <w:sz w:val="24"/>
                <w:szCs w:val="24"/>
                <w:highlight w:val="none"/>
                <w:lang w:val="en-US" w:eastAsia="zh-CN"/>
                <w14:textFill>
                  <w14:solidFill>
                    <w14:schemeClr w14:val="tx1"/>
                  </w14:solidFill>
                </w14:textFill>
              </w:rPr>
              <w:t>云南</w:t>
            </w:r>
            <w:r>
              <w:rPr>
                <w:rFonts w:hint="default" w:ascii="Times New Roman" w:hAnsi="Times New Roman" w:eastAsia="宋体" w:cs="Times New Roman"/>
                <w:color w:val="000000" w:themeColor="text1"/>
                <w:kern w:val="24"/>
                <w:sz w:val="24"/>
                <w:szCs w:val="24"/>
                <w:highlight w:val="none"/>
                <w14:textFill>
                  <w14:solidFill>
                    <w14:schemeClr w14:val="tx1"/>
                  </w14:solidFill>
                </w14:textFill>
              </w:rPr>
              <w:t>省</w:t>
            </w:r>
            <w:r>
              <w:rPr>
                <w:rFonts w:hint="eastAsia" w:ascii="Times New Roman" w:hAnsi="Times New Roman" w:cs="Times New Roman"/>
                <w:color w:val="000000" w:themeColor="text1"/>
                <w:kern w:val="24"/>
                <w:sz w:val="24"/>
                <w:szCs w:val="24"/>
                <w:highlight w:val="none"/>
                <w:lang w:val="en-US" w:eastAsia="zh-CN"/>
                <w14:textFill>
                  <w14:solidFill>
                    <w14:schemeClr w14:val="tx1"/>
                  </w14:solidFill>
                </w14:textFill>
              </w:rPr>
              <w:t>地方</w:t>
            </w:r>
            <w:r>
              <w:rPr>
                <w:rFonts w:hint="default" w:ascii="Times New Roman" w:hAnsi="Times New Roman" w:eastAsia="宋体" w:cs="Times New Roman"/>
                <w:color w:val="000000" w:themeColor="text1"/>
                <w:kern w:val="24"/>
                <w:sz w:val="24"/>
                <w:szCs w:val="24"/>
                <w:highlight w:val="none"/>
                <w14:textFill>
                  <w14:solidFill>
                    <w14:schemeClr w14:val="tx1"/>
                  </w14:solidFill>
                </w14:textFill>
              </w:rPr>
              <w:t>标准</w:t>
            </w:r>
            <w:r>
              <w:rPr>
                <w:rFonts w:hint="eastAsia" w:ascii="Times New Roman" w:hAnsi="Times New Roman" w:eastAsia="宋体" w:cs="Times New Roman"/>
                <w:color w:val="000000" w:themeColor="text1"/>
                <w:kern w:val="24"/>
                <w:sz w:val="24"/>
                <w:szCs w:val="24"/>
                <w:highlight w:val="none"/>
                <w:lang w:val="en-US" w:eastAsia="zh-CN"/>
                <w14:textFill>
                  <w14:solidFill>
                    <w14:schemeClr w14:val="tx1"/>
                  </w14:solidFill>
                </w14:textFill>
              </w:rPr>
              <w:t xml:space="preserve"> </w:t>
            </w:r>
            <w:r>
              <w:rPr>
                <w:rFonts w:hint="default" w:ascii="Times New Roman" w:hAnsi="Times New Roman" w:eastAsia="宋体" w:cs="Times New Roman"/>
                <w:color w:val="000000" w:themeColor="text1"/>
                <w:kern w:val="24"/>
                <w:sz w:val="24"/>
                <w:szCs w:val="24"/>
                <w:highlight w:val="none"/>
                <w14:textFill>
                  <w14:solidFill>
                    <w14:schemeClr w14:val="tx1"/>
                  </w14:solidFill>
                </w14:textFill>
              </w:rPr>
              <w:t>用水定额》</w:t>
            </w:r>
            <w:r>
              <w:rPr>
                <w:rFonts w:hint="eastAsia" w:ascii="Times New Roman" w:hAnsi="Times New Roman" w:cs="Times New Roman"/>
                <w:color w:val="000000" w:themeColor="text1"/>
                <w:kern w:val="24"/>
                <w:sz w:val="24"/>
                <w:szCs w:val="24"/>
                <w:highlight w:val="none"/>
                <w:lang w:eastAsia="zh-CN"/>
                <w14:textFill>
                  <w14:solidFill>
                    <w14:schemeClr w14:val="tx1"/>
                  </w14:solidFill>
                </w14:textFill>
              </w:rPr>
              <w:t>（DB53/T168—2026）</w:t>
            </w:r>
            <w:r>
              <w:rPr>
                <w:rFonts w:hint="eastAsia" w:ascii="Times New Roman" w:hAnsi="Times New Roman" w:cs="Times New Roman"/>
                <w:color w:val="000000" w:themeColor="text1"/>
                <w:kern w:val="24"/>
                <w:sz w:val="24"/>
                <w:szCs w:val="24"/>
                <w:highlight w:val="none"/>
                <w:lang w:val="en-US" w:eastAsia="zh-CN"/>
                <w14:textFill>
                  <w14:solidFill>
                    <w14:schemeClr w14:val="tx1"/>
                  </w14:solidFill>
                </w14:textFill>
              </w:rPr>
              <w:t>中“表 5 云南省主要旱作灌溉用水定额表”中的种植作物为“蓝莓”，灌溉方式为“滴灌、微喷灌”的用水定额为150</w:t>
            </w:r>
            <w:r>
              <w:rPr>
                <w:rFonts w:hint="default" w:ascii="Times New Roman" w:hAnsi="Times New Roman" w:eastAsia="宋体" w:cs="Times New Roman"/>
                <w:color w:val="000000" w:themeColor="text1"/>
                <w:kern w:val="24"/>
                <w:sz w:val="24"/>
                <w:szCs w:val="24"/>
                <w:highlight w:val="none"/>
                <w:lang w:val="en-US" w:eastAsia="zh-CN"/>
                <w14:textFill>
                  <w14:solidFill>
                    <w14:schemeClr w14:val="tx1"/>
                  </w14:solidFill>
                </w14:textFill>
              </w:rPr>
              <w:t>0-</w:t>
            </w:r>
            <w:r>
              <w:rPr>
                <w:rFonts w:hint="eastAsia" w:ascii="Times New Roman" w:hAnsi="Times New Roman" w:cs="Times New Roman"/>
                <w:color w:val="000000" w:themeColor="text1"/>
                <w:kern w:val="24"/>
                <w:sz w:val="24"/>
                <w:szCs w:val="24"/>
                <w:highlight w:val="none"/>
                <w:lang w:val="en-US" w:eastAsia="zh-CN"/>
                <w14:textFill>
                  <w14:solidFill>
                    <w14:schemeClr w14:val="tx1"/>
                  </w14:solidFill>
                </w14:textFill>
              </w:rPr>
              <w:t>1650</w:t>
            </w:r>
            <w:r>
              <w:rPr>
                <w:rFonts w:hint="default" w:ascii="Times New Roman" w:hAnsi="Times New Roman" w:eastAsia="宋体" w:cs="Times New Roman"/>
                <w:color w:val="000000" w:themeColor="text1"/>
                <w:kern w:val="24"/>
                <w:sz w:val="24"/>
                <w:szCs w:val="24"/>
                <w:highlight w:val="none"/>
                <w14:textFill>
                  <w14:solidFill>
                    <w14:schemeClr w14:val="tx1"/>
                  </w14:solidFill>
                </w14:textFill>
              </w:rPr>
              <w:t>m</w:t>
            </w:r>
            <w:r>
              <w:rPr>
                <w:rFonts w:hint="default" w:ascii="Times New Roman" w:hAnsi="Times New Roman" w:eastAsia="宋体" w:cs="Times New Roman"/>
                <w:color w:val="000000" w:themeColor="text1"/>
                <w:kern w:val="24"/>
                <w:sz w:val="24"/>
                <w:szCs w:val="24"/>
                <w:highlight w:val="none"/>
                <w:vertAlign w:val="superscript"/>
                <w14:textFill>
                  <w14:solidFill>
                    <w14:schemeClr w14:val="tx1"/>
                  </w14:solidFill>
                </w14:textFill>
              </w:rPr>
              <w:t>3</w:t>
            </w:r>
            <w:r>
              <w:rPr>
                <w:rFonts w:hint="default" w:ascii="Times New Roman" w:hAnsi="Times New Roman" w:eastAsia="宋体" w:cs="Times New Roman"/>
                <w:color w:val="000000" w:themeColor="text1"/>
                <w:kern w:val="24"/>
                <w:sz w:val="24"/>
                <w:szCs w:val="24"/>
                <w:highlight w:val="none"/>
                <w14:textFill>
                  <w14:solidFill>
                    <w14:schemeClr w14:val="tx1"/>
                  </w14:solidFill>
                </w14:textFill>
              </w:rPr>
              <w:t>/hm</w:t>
            </w:r>
            <w:r>
              <w:rPr>
                <w:rFonts w:hint="default" w:ascii="Times New Roman" w:hAnsi="Times New Roman" w:eastAsia="宋体" w:cs="Times New Roman"/>
                <w:color w:val="000000" w:themeColor="text1"/>
                <w:kern w:val="24"/>
                <w:sz w:val="24"/>
                <w:szCs w:val="24"/>
                <w:highlight w:val="none"/>
                <w:vertAlign w:val="superscript"/>
                <w14:textFill>
                  <w14:solidFill>
                    <w14:schemeClr w14:val="tx1"/>
                  </w14:solidFill>
                </w14:textFill>
              </w:rPr>
              <w:t>2</w:t>
            </w:r>
            <w:r>
              <w:rPr>
                <w:rFonts w:hint="eastAsia" w:ascii="Times New Roman" w:hAnsi="Times New Roman" w:cs="Times New Roman"/>
                <w:color w:val="000000" w:themeColor="text1"/>
                <w:kern w:val="24"/>
                <w:sz w:val="24"/>
                <w:szCs w:val="24"/>
                <w:highlight w:val="none"/>
                <w:vertAlign w:val="baseline"/>
                <w:lang w:eastAsia="zh-CN"/>
                <w14:textFill>
                  <w14:solidFill>
                    <w14:schemeClr w14:val="tx1"/>
                  </w14:solidFill>
                </w14:textFill>
              </w:rPr>
              <w:t>（</w:t>
            </w:r>
            <w:r>
              <w:rPr>
                <w:rFonts w:hint="eastAsia" w:ascii="Times New Roman" w:hAnsi="Times New Roman" w:cs="Times New Roman"/>
                <w:color w:val="000000" w:themeColor="text1"/>
                <w:kern w:val="24"/>
                <w:sz w:val="24"/>
                <w:szCs w:val="24"/>
                <w:highlight w:val="none"/>
                <w:vertAlign w:val="baseline"/>
                <w:lang w:val="en-US" w:eastAsia="zh-CN"/>
                <w14:textFill>
                  <w14:solidFill>
                    <w14:schemeClr w14:val="tx1"/>
                  </w14:solidFill>
                </w14:textFill>
              </w:rPr>
              <w:t>P=90%（特枯年）</w:t>
            </w:r>
            <w:r>
              <w:rPr>
                <w:rFonts w:hint="eastAsia" w:ascii="Times New Roman" w:hAnsi="Times New Roman" w:cs="Times New Roman"/>
                <w:color w:val="000000" w:themeColor="text1"/>
                <w:kern w:val="24"/>
                <w:sz w:val="24"/>
                <w:szCs w:val="24"/>
                <w:highlight w:val="none"/>
                <w:vertAlign w:val="baseline"/>
                <w:lang w:eastAsia="zh-CN"/>
                <w14:textFill>
                  <w14:solidFill>
                    <w14:schemeClr w14:val="tx1"/>
                  </w14:solidFill>
                </w14:textFill>
              </w:rPr>
              <w:t>）</w:t>
            </w:r>
            <w:r>
              <w:rPr>
                <w:rFonts w:hint="eastAsia" w:ascii="Times New Roman" w:hAnsi="Times New Roman" w:cs="Times New Roman"/>
                <w:color w:val="000000" w:themeColor="text1"/>
                <w:spacing w:val="-8"/>
                <w:kern w:val="24"/>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8"/>
                <w:kern w:val="24"/>
                <w:sz w:val="24"/>
                <w:szCs w:val="24"/>
                <w:highlight w:val="none"/>
                <w14:textFill>
                  <w14:solidFill>
                    <w14:schemeClr w14:val="tx1"/>
                  </w14:solidFill>
                </w14:textFill>
              </w:rPr>
              <w:t>本次核算按每年</w:t>
            </w:r>
            <w:r>
              <w:rPr>
                <w:rFonts w:hint="eastAsia" w:ascii="Times New Roman" w:hAnsi="Times New Roman" w:cs="Times New Roman"/>
                <w:color w:val="000000" w:themeColor="text1"/>
                <w:spacing w:val="-8"/>
                <w:kern w:val="24"/>
                <w:sz w:val="24"/>
                <w:szCs w:val="24"/>
                <w:highlight w:val="none"/>
                <w:lang w:val="en-US" w:eastAsia="zh-CN"/>
                <w14:textFill>
                  <w14:solidFill>
                    <w14:schemeClr w14:val="tx1"/>
                  </w14:solidFill>
                </w14:textFill>
              </w:rPr>
              <w:t>1650</w:t>
            </w:r>
            <w:r>
              <w:rPr>
                <w:rFonts w:hint="default" w:ascii="Times New Roman" w:hAnsi="Times New Roman" w:eastAsia="宋体" w:cs="Times New Roman"/>
                <w:color w:val="000000" w:themeColor="text1"/>
                <w:kern w:val="24"/>
                <w:sz w:val="24"/>
                <w:szCs w:val="24"/>
                <w:highlight w:val="none"/>
                <w14:textFill>
                  <w14:solidFill>
                    <w14:schemeClr w14:val="tx1"/>
                  </w14:solidFill>
                </w14:textFill>
              </w:rPr>
              <w:t>m</w:t>
            </w:r>
            <w:r>
              <w:rPr>
                <w:rFonts w:hint="default" w:ascii="Times New Roman" w:hAnsi="Times New Roman" w:eastAsia="宋体" w:cs="Times New Roman"/>
                <w:color w:val="000000" w:themeColor="text1"/>
                <w:kern w:val="24"/>
                <w:sz w:val="24"/>
                <w:szCs w:val="24"/>
                <w:highlight w:val="none"/>
                <w:vertAlign w:val="superscript"/>
                <w14:textFill>
                  <w14:solidFill>
                    <w14:schemeClr w14:val="tx1"/>
                  </w14:solidFill>
                </w14:textFill>
              </w:rPr>
              <w:t>3</w:t>
            </w:r>
            <w:r>
              <w:rPr>
                <w:rFonts w:hint="default" w:ascii="Times New Roman" w:hAnsi="Times New Roman" w:eastAsia="宋体" w:cs="Times New Roman"/>
                <w:color w:val="000000" w:themeColor="text1"/>
                <w:kern w:val="24"/>
                <w:sz w:val="24"/>
                <w:szCs w:val="24"/>
                <w:highlight w:val="none"/>
                <w14:textFill>
                  <w14:solidFill>
                    <w14:schemeClr w14:val="tx1"/>
                  </w14:solidFill>
                </w14:textFill>
              </w:rPr>
              <w:t>/hm</w:t>
            </w:r>
            <w:r>
              <w:rPr>
                <w:rFonts w:hint="default" w:ascii="Times New Roman" w:hAnsi="Times New Roman" w:eastAsia="宋体" w:cs="Times New Roman"/>
                <w:color w:val="000000" w:themeColor="text1"/>
                <w:kern w:val="24"/>
                <w:sz w:val="24"/>
                <w:szCs w:val="24"/>
                <w:highlight w:val="none"/>
                <w:vertAlign w:val="superscript"/>
                <w14:textFill>
                  <w14:solidFill>
                    <w14:schemeClr w14:val="tx1"/>
                  </w14:solidFill>
                </w14:textFill>
              </w:rPr>
              <w:t>2</w:t>
            </w:r>
            <w:r>
              <w:rPr>
                <w:rFonts w:hint="default" w:ascii="Times New Roman" w:hAnsi="Times New Roman" w:eastAsia="宋体" w:cs="Times New Roman"/>
                <w:color w:val="000000" w:themeColor="text1"/>
                <w:spacing w:val="-8"/>
                <w:kern w:val="24"/>
                <w:sz w:val="24"/>
                <w:szCs w:val="24"/>
                <w:highlight w:val="none"/>
                <w14:textFill>
                  <w14:solidFill>
                    <w14:schemeClr w14:val="tx1"/>
                  </w14:solidFill>
                </w14:textFill>
              </w:rPr>
              <w:t>计，项目种植面积</w:t>
            </w:r>
            <w:r>
              <w:rPr>
                <w:rFonts w:hint="default" w:ascii="Times New Roman" w:hAnsi="Times New Roman" w:eastAsia="宋体" w:cs="Times New Roman"/>
                <w:color w:val="000000" w:themeColor="text1"/>
                <w:spacing w:val="-8"/>
                <w:kern w:val="24"/>
                <w:sz w:val="24"/>
                <w:szCs w:val="24"/>
                <w:highlight w:val="none"/>
                <w:lang w:val="en-US" w:eastAsia="zh-CN"/>
                <w14:textFill>
                  <w14:solidFill>
                    <w14:schemeClr w14:val="tx1"/>
                  </w14:solidFill>
                </w14:textFill>
              </w:rPr>
              <w:t>380.28</w:t>
            </w:r>
            <w:r>
              <w:rPr>
                <w:rFonts w:hint="default" w:ascii="Times New Roman" w:hAnsi="Times New Roman" w:eastAsia="宋体" w:cs="Times New Roman"/>
                <w:color w:val="000000" w:themeColor="text1"/>
                <w:spacing w:val="-8"/>
                <w:kern w:val="24"/>
                <w:sz w:val="24"/>
                <w:szCs w:val="24"/>
                <w:highlight w:val="none"/>
                <w14:textFill>
                  <w14:solidFill>
                    <w14:schemeClr w14:val="tx1"/>
                  </w14:solidFill>
                </w14:textFill>
              </w:rPr>
              <w:t>亩，约为</w:t>
            </w:r>
            <w:r>
              <w:rPr>
                <w:rFonts w:hint="default" w:ascii="Times New Roman" w:hAnsi="Times New Roman" w:eastAsia="宋体" w:cs="Times New Roman"/>
                <w:color w:val="000000" w:themeColor="text1"/>
                <w:spacing w:val="-8"/>
                <w:kern w:val="24"/>
                <w:sz w:val="24"/>
                <w:szCs w:val="24"/>
                <w:highlight w:val="none"/>
                <w:lang w:val="en-US" w:eastAsia="zh-CN"/>
                <w14:textFill>
                  <w14:solidFill>
                    <w14:schemeClr w14:val="tx1"/>
                  </w14:solidFill>
                </w14:textFill>
              </w:rPr>
              <w:t>25.35</w:t>
            </w:r>
            <w:r>
              <w:rPr>
                <w:rFonts w:hint="eastAsia" w:ascii="Times New Roman" w:hAnsi="Times New Roman" w:cs="Times New Roman"/>
                <w:color w:val="000000" w:themeColor="text1"/>
                <w:spacing w:val="-8"/>
                <w:kern w:val="24"/>
                <w:sz w:val="24"/>
                <w:szCs w:val="24"/>
                <w:highlight w:val="none"/>
                <w:lang w:val="en-US" w:eastAsia="zh-CN"/>
                <w14:textFill>
                  <w14:solidFill>
                    <w14:schemeClr w14:val="tx1"/>
                  </w14:solidFill>
                </w14:textFill>
              </w:rPr>
              <w:t>2</w:t>
            </w:r>
            <w:r>
              <w:rPr>
                <w:rFonts w:hint="default" w:ascii="Times New Roman" w:hAnsi="Times New Roman" w:eastAsia="宋体" w:cs="Times New Roman"/>
                <w:color w:val="000000" w:themeColor="text1"/>
                <w:kern w:val="24"/>
                <w:sz w:val="24"/>
                <w:szCs w:val="24"/>
                <w:highlight w:val="none"/>
                <w14:textFill>
                  <w14:solidFill>
                    <w14:schemeClr w14:val="tx1"/>
                  </w14:solidFill>
                </w14:textFill>
              </w:rPr>
              <w:t>hm</w:t>
            </w:r>
            <w:r>
              <w:rPr>
                <w:rFonts w:hint="default" w:ascii="Times New Roman" w:hAnsi="Times New Roman" w:eastAsia="宋体" w:cs="Times New Roman"/>
                <w:color w:val="000000" w:themeColor="text1"/>
                <w:kern w:val="24"/>
                <w:sz w:val="24"/>
                <w:szCs w:val="24"/>
                <w:highlight w:val="none"/>
                <w:vertAlign w:val="superscript"/>
                <w14:textFill>
                  <w14:solidFill>
                    <w14:schemeClr w14:val="tx1"/>
                  </w14:solidFill>
                </w14:textFill>
              </w:rPr>
              <w:t>2</w:t>
            </w:r>
            <w:r>
              <w:rPr>
                <w:rFonts w:hint="default" w:ascii="Times New Roman" w:hAnsi="Times New Roman" w:eastAsia="宋体" w:cs="Times New Roman"/>
                <w:color w:val="000000" w:themeColor="text1"/>
                <w:spacing w:val="-8"/>
                <w:kern w:val="24"/>
                <w:sz w:val="24"/>
                <w:szCs w:val="24"/>
                <w:highlight w:val="none"/>
                <w14:textFill>
                  <w14:solidFill>
                    <w14:schemeClr w14:val="tx1"/>
                  </w14:solidFill>
                </w14:textFill>
              </w:rPr>
              <w:t>，则灌溉用水为</w:t>
            </w:r>
            <w:r>
              <w:rPr>
                <w:rFonts w:hint="eastAsia" w:ascii="Times New Roman" w:hAnsi="Times New Roman" w:cs="Times New Roman"/>
                <w:color w:val="000000" w:themeColor="text1"/>
                <w:spacing w:val="-8"/>
                <w:kern w:val="24"/>
                <w:sz w:val="24"/>
                <w:szCs w:val="24"/>
                <w:highlight w:val="none"/>
                <w:lang w:val="en-US" w:eastAsia="zh-CN"/>
                <w14:textFill>
                  <w14:solidFill>
                    <w14:schemeClr w14:val="tx1"/>
                  </w14:solidFill>
                </w14:textFill>
              </w:rPr>
              <w:t>41830.8</w:t>
            </w:r>
            <w:r>
              <w:rPr>
                <w:rFonts w:hint="default" w:ascii="Times New Roman" w:hAnsi="Times New Roman" w:eastAsia="宋体" w:cs="Times New Roman"/>
                <w:color w:val="000000" w:themeColor="text1"/>
                <w:spacing w:val="-8"/>
                <w:kern w:val="24"/>
                <w:sz w:val="24"/>
                <w:szCs w:val="24"/>
                <w:highlight w:val="none"/>
                <w14:textFill>
                  <w14:solidFill>
                    <w14:schemeClr w14:val="tx1"/>
                  </w14:solidFill>
                </w14:textFill>
              </w:rPr>
              <w:t>m</w:t>
            </w:r>
            <w:r>
              <w:rPr>
                <w:rFonts w:hint="default" w:ascii="Times New Roman" w:hAnsi="Times New Roman" w:eastAsia="宋体" w:cs="Times New Roman"/>
                <w:color w:val="000000" w:themeColor="text1"/>
                <w:spacing w:val="-8"/>
                <w:kern w:val="24"/>
                <w:sz w:val="24"/>
                <w:szCs w:val="24"/>
                <w:highlight w:val="none"/>
                <w:vertAlign w:val="superscript"/>
                <w14:textFill>
                  <w14:solidFill>
                    <w14:schemeClr w14:val="tx1"/>
                  </w14:solidFill>
                </w14:textFill>
              </w:rPr>
              <w:t>3</w:t>
            </w:r>
            <w:r>
              <w:rPr>
                <w:rFonts w:hint="default" w:ascii="Times New Roman" w:hAnsi="Times New Roman" w:eastAsia="宋体" w:cs="Times New Roman"/>
                <w:color w:val="000000" w:themeColor="text1"/>
                <w:spacing w:val="-8"/>
                <w:kern w:val="24"/>
                <w:sz w:val="24"/>
                <w:szCs w:val="24"/>
                <w:highlight w:val="none"/>
                <w14:textFill>
                  <w14:solidFill>
                    <w14:schemeClr w14:val="tx1"/>
                  </w14:solidFill>
                </w14:textFill>
              </w:rPr>
              <w:t>/a，</w:t>
            </w:r>
            <w:r>
              <w:rPr>
                <w:rFonts w:hint="eastAsia" w:ascii="Times New Roman" w:hAnsi="Times New Roman" w:cs="Times New Roman"/>
                <w:color w:val="000000" w:themeColor="text1"/>
                <w:spacing w:val="-8"/>
                <w:kern w:val="24"/>
                <w:sz w:val="24"/>
                <w:szCs w:val="24"/>
                <w:highlight w:val="none"/>
                <w:lang w:val="en-US" w:eastAsia="zh-CN"/>
                <w14:textFill>
                  <w14:solidFill>
                    <w14:schemeClr w14:val="tx1"/>
                  </w14:solidFill>
                </w14:textFill>
              </w:rPr>
              <w:t>雨天不灌溉</w:t>
            </w:r>
            <w:r>
              <w:rPr>
                <w:rFonts w:hint="eastAsia" w:ascii="Times New Roman" w:hAnsi="Times New Roman" w:cs="Times New Roman"/>
                <w:color w:val="000000" w:themeColor="text1"/>
                <w:sz w:val="24"/>
                <w:szCs w:val="32"/>
                <w:highlight w:val="none"/>
                <w:vertAlign w:val="baseline"/>
                <w:lang w:val="en-US" w:eastAsia="zh-CN"/>
                <w14:textFill>
                  <w14:solidFill>
                    <w14:schemeClr w14:val="tx1"/>
                  </w14:solidFill>
                </w14:textFill>
              </w:rPr>
              <w:t>，根据《玉溪市志（1978-2005）》及近年气象监测资料，每年旱季时间为180天，则</w:t>
            </w:r>
            <w:r>
              <w:rPr>
                <w:rFonts w:hint="default" w:ascii="Times New Roman" w:hAnsi="Times New Roman" w:eastAsia="宋体" w:cs="Times New Roman"/>
                <w:color w:val="000000" w:themeColor="text1"/>
                <w:spacing w:val="-8"/>
                <w:kern w:val="24"/>
                <w:sz w:val="24"/>
                <w:szCs w:val="24"/>
                <w:highlight w:val="none"/>
                <w14:textFill>
                  <w14:solidFill>
                    <w14:schemeClr w14:val="tx1"/>
                  </w14:solidFill>
                </w14:textFill>
              </w:rPr>
              <w:t>平均</w:t>
            </w:r>
            <w:r>
              <w:rPr>
                <w:rFonts w:hint="eastAsia" w:ascii="Times New Roman" w:hAnsi="Times New Roman" w:cs="Times New Roman"/>
                <w:color w:val="000000" w:themeColor="text1"/>
                <w:spacing w:val="-8"/>
                <w:kern w:val="24"/>
                <w:sz w:val="24"/>
                <w:szCs w:val="24"/>
                <w:highlight w:val="none"/>
                <w:lang w:val="en-US" w:eastAsia="zh-CN"/>
                <w14:textFill>
                  <w14:solidFill>
                    <w14:schemeClr w14:val="tx1"/>
                  </w14:solidFill>
                </w14:textFill>
              </w:rPr>
              <w:t>用水量为232.39</w:t>
            </w:r>
            <w:r>
              <w:rPr>
                <w:rFonts w:hint="default" w:ascii="Times New Roman" w:hAnsi="Times New Roman" w:eastAsia="宋体" w:cs="Times New Roman"/>
                <w:color w:val="000000" w:themeColor="text1"/>
                <w:spacing w:val="-8"/>
                <w:kern w:val="24"/>
                <w:sz w:val="24"/>
                <w:szCs w:val="24"/>
                <w:highlight w:val="none"/>
                <w14:textFill>
                  <w14:solidFill>
                    <w14:schemeClr w14:val="tx1"/>
                  </w14:solidFill>
                </w14:textFill>
              </w:rPr>
              <w:t xml:space="preserve"> m</w:t>
            </w:r>
            <w:r>
              <w:rPr>
                <w:rFonts w:hint="default" w:ascii="Times New Roman" w:hAnsi="Times New Roman" w:eastAsia="宋体" w:cs="Times New Roman"/>
                <w:color w:val="000000" w:themeColor="text1"/>
                <w:spacing w:val="-8"/>
                <w:kern w:val="24"/>
                <w:sz w:val="24"/>
                <w:szCs w:val="24"/>
                <w:highlight w:val="none"/>
                <w:vertAlign w:val="superscript"/>
                <w14:textFill>
                  <w14:solidFill>
                    <w14:schemeClr w14:val="tx1"/>
                  </w14:solidFill>
                </w14:textFill>
              </w:rPr>
              <w:t>3</w:t>
            </w:r>
            <w:r>
              <w:rPr>
                <w:rFonts w:hint="default" w:ascii="Times New Roman" w:hAnsi="Times New Roman" w:eastAsia="宋体" w:cs="Times New Roman"/>
                <w:color w:val="000000" w:themeColor="text1"/>
                <w:spacing w:val="-8"/>
                <w:kern w:val="24"/>
                <w:sz w:val="24"/>
                <w:szCs w:val="24"/>
                <w:highlight w:val="none"/>
                <w14:textFill>
                  <w14:solidFill>
                    <w14:schemeClr w14:val="tx1"/>
                  </w14:solidFill>
                </w14:textFill>
              </w:rPr>
              <w:t>/d</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w:t>
            </w:r>
          </w:p>
          <w:p w14:paraId="5852BF9A">
            <w:pPr>
              <w:keepNext w:val="0"/>
              <w:keepLines w:val="0"/>
              <w:widowControl/>
              <w:suppressLineNumbers w:val="0"/>
              <w:spacing w:line="360" w:lineRule="auto"/>
              <w:ind w:left="0" w:firstLine="0"/>
              <w:jc w:val="both"/>
              <w:rPr>
                <w:rFonts w:hint="default" w:ascii="Times New Roman" w:hAnsi="Times New Roman" w:eastAsia="宋体" w:cs="Times New Roman"/>
                <w:b/>
                <w:bCs/>
                <w:color w:val="000000" w:themeColor="text1"/>
                <w:kern w:val="0"/>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kern w:val="24"/>
                <w:sz w:val="24"/>
                <w:szCs w:val="24"/>
                <w:highlight w:val="none"/>
                <w14:textFill>
                  <w14:solidFill>
                    <w14:schemeClr w14:val="tx1"/>
                  </w14:solidFill>
                </w14:textFill>
              </w:rPr>
              <w:t>三七属于草本类植物根据《</w:t>
            </w:r>
            <w:r>
              <w:rPr>
                <w:rFonts w:hint="default" w:ascii="Times New Roman" w:hAnsi="Times New Roman" w:eastAsia="宋体" w:cs="Times New Roman"/>
                <w:color w:val="000000" w:themeColor="text1"/>
                <w:kern w:val="24"/>
                <w:sz w:val="24"/>
                <w:szCs w:val="24"/>
                <w:highlight w:val="none"/>
                <w:lang w:val="en-US" w:eastAsia="zh-CN"/>
                <w14:textFill>
                  <w14:solidFill>
                    <w14:schemeClr w14:val="tx1"/>
                  </w14:solidFill>
                </w14:textFill>
              </w:rPr>
              <w:t>云南</w:t>
            </w:r>
            <w:r>
              <w:rPr>
                <w:rFonts w:hint="default" w:ascii="Times New Roman" w:hAnsi="Times New Roman" w:eastAsia="宋体" w:cs="Times New Roman"/>
                <w:color w:val="000000" w:themeColor="text1"/>
                <w:kern w:val="24"/>
                <w:sz w:val="24"/>
                <w:szCs w:val="24"/>
                <w:highlight w:val="none"/>
                <w14:textFill>
                  <w14:solidFill>
                    <w14:schemeClr w14:val="tx1"/>
                  </w14:solidFill>
                </w14:textFill>
              </w:rPr>
              <w:t>省</w:t>
            </w:r>
            <w:r>
              <w:rPr>
                <w:rFonts w:hint="eastAsia" w:ascii="Times New Roman" w:hAnsi="Times New Roman" w:cs="Times New Roman"/>
                <w:color w:val="000000" w:themeColor="text1"/>
                <w:kern w:val="24"/>
                <w:sz w:val="24"/>
                <w:szCs w:val="24"/>
                <w:highlight w:val="none"/>
                <w:lang w:val="en-US" w:eastAsia="zh-CN"/>
                <w14:textFill>
                  <w14:solidFill>
                    <w14:schemeClr w14:val="tx1"/>
                  </w14:solidFill>
                </w14:textFill>
              </w:rPr>
              <w:t>地方</w:t>
            </w:r>
            <w:r>
              <w:rPr>
                <w:rFonts w:hint="default" w:ascii="Times New Roman" w:hAnsi="Times New Roman" w:eastAsia="宋体" w:cs="Times New Roman"/>
                <w:color w:val="000000" w:themeColor="text1"/>
                <w:kern w:val="24"/>
                <w:sz w:val="24"/>
                <w:szCs w:val="24"/>
                <w:highlight w:val="none"/>
                <w14:textFill>
                  <w14:solidFill>
                    <w14:schemeClr w14:val="tx1"/>
                  </w14:solidFill>
                </w14:textFill>
              </w:rPr>
              <w:t>标准</w:t>
            </w:r>
            <w:r>
              <w:rPr>
                <w:rFonts w:hint="eastAsia" w:ascii="Times New Roman" w:hAnsi="Times New Roman" w:eastAsia="宋体" w:cs="Times New Roman"/>
                <w:color w:val="000000" w:themeColor="text1"/>
                <w:kern w:val="24"/>
                <w:sz w:val="24"/>
                <w:szCs w:val="24"/>
                <w:highlight w:val="none"/>
                <w:lang w:val="en-US" w:eastAsia="zh-CN"/>
                <w14:textFill>
                  <w14:solidFill>
                    <w14:schemeClr w14:val="tx1"/>
                  </w14:solidFill>
                </w14:textFill>
              </w:rPr>
              <w:t xml:space="preserve"> </w:t>
            </w:r>
            <w:r>
              <w:rPr>
                <w:rFonts w:hint="default" w:ascii="Times New Roman" w:hAnsi="Times New Roman" w:eastAsia="宋体" w:cs="Times New Roman"/>
                <w:color w:val="000000" w:themeColor="text1"/>
                <w:kern w:val="24"/>
                <w:sz w:val="24"/>
                <w:szCs w:val="24"/>
                <w:highlight w:val="none"/>
                <w14:textFill>
                  <w14:solidFill>
                    <w14:schemeClr w14:val="tx1"/>
                  </w14:solidFill>
                </w14:textFill>
              </w:rPr>
              <w:t>用水定额》</w:t>
            </w:r>
            <w:r>
              <w:rPr>
                <w:rFonts w:hint="eastAsia" w:ascii="Times New Roman" w:hAnsi="Times New Roman" w:cs="Times New Roman"/>
                <w:color w:val="000000" w:themeColor="text1"/>
                <w:kern w:val="24"/>
                <w:sz w:val="24"/>
                <w:szCs w:val="24"/>
                <w:highlight w:val="none"/>
                <w:lang w:eastAsia="zh-CN"/>
                <w14:textFill>
                  <w14:solidFill>
                    <w14:schemeClr w14:val="tx1"/>
                  </w14:solidFill>
                </w14:textFill>
              </w:rPr>
              <w:t>（DB53/T168—2026）</w:t>
            </w:r>
            <w:r>
              <w:rPr>
                <w:rFonts w:hint="eastAsia" w:ascii="Times New Roman" w:hAnsi="Times New Roman" w:cs="Times New Roman"/>
                <w:color w:val="000000" w:themeColor="text1"/>
                <w:kern w:val="24"/>
                <w:sz w:val="24"/>
                <w:szCs w:val="24"/>
                <w:highlight w:val="none"/>
                <w:lang w:val="en-US" w:eastAsia="zh-CN"/>
                <w14:textFill>
                  <w14:solidFill>
                    <w14:schemeClr w14:val="tx1"/>
                  </w14:solidFill>
                </w14:textFill>
              </w:rPr>
              <w:t>中“表 5 云南省主要旱作灌溉用水定额表”中的种植作物为“果类（草本类）”，灌溉方式为“滴灌、微喷灌”的用水定额为1350～1425</w:t>
            </w:r>
            <w:r>
              <w:rPr>
                <w:rFonts w:hint="default" w:ascii="Times New Roman" w:hAnsi="Times New Roman" w:eastAsia="宋体" w:cs="Times New Roman"/>
                <w:color w:val="000000" w:themeColor="text1"/>
                <w:kern w:val="24"/>
                <w:sz w:val="24"/>
                <w:szCs w:val="24"/>
                <w:highlight w:val="none"/>
                <w14:textFill>
                  <w14:solidFill>
                    <w14:schemeClr w14:val="tx1"/>
                  </w14:solidFill>
                </w14:textFill>
              </w:rPr>
              <w:t>m</w:t>
            </w:r>
            <w:r>
              <w:rPr>
                <w:rFonts w:hint="default" w:ascii="Times New Roman" w:hAnsi="Times New Roman" w:eastAsia="宋体" w:cs="Times New Roman"/>
                <w:color w:val="000000" w:themeColor="text1"/>
                <w:kern w:val="24"/>
                <w:sz w:val="24"/>
                <w:szCs w:val="24"/>
                <w:highlight w:val="none"/>
                <w:vertAlign w:val="superscript"/>
                <w14:textFill>
                  <w14:solidFill>
                    <w14:schemeClr w14:val="tx1"/>
                  </w14:solidFill>
                </w14:textFill>
              </w:rPr>
              <w:t>3</w:t>
            </w:r>
            <w:r>
              <w:rPr>
                <w:rFonts w:hint="default" w:ascii="Times New Roman" w:hAnsi="Times New Roman" w:eastAsia="宋体" w:cs="Times New Roman"/>
                <w:color w:val="000000" w:themeColor="text1"/>
                <w:kern w:val="24"/>
                <w:sz w:val="24"/>
                <w:szCs w:val="24"/>
                <w:highlight w:val="none"/>
                <w14:textFill>
                  <w14:solidFill>
                    <w14:schemeClr w14:val="tx1"/>
                  </w14:solidFill>
                </w14:textFill>
              </w:rPr>
              <w:t>/hm</w:t>
            </w:r>
            <w:r>
              <w:rPr>
                <w:rFonts w:hint="default" w:ascii="Times New Roman" w:hAnsi="Times New Roman" w:eastAsia="宋体" w:cs="Times New Roman"/>
                <w:color w:val="000000" w:themeColor="text1"/>
                <w:kern w:val="24"/>
                <w:sz w:val="24"/>
                <w:szCs w:val="24"/>
                <w:highlight w:val="none"/>
                <w:vertAlign w:val="superscript"/>
                <w14:textFill>
                  <w14:solidFill>
                    <w14:schemeClr w14:val="tx1"/>
                  </w14:solidFill>
                </w14:textFill>
              </w:rPr>
              <w:t>2</w:t>
            </w:r>
            <w:r>
              <w:rPr>
                <w:rFonts w:hint="eastAsia" w:ascii="Times New Roman" w:hAnsi="Times New Roman" w:cs="Times New Roman"/>
                <w:color w:val="000000" w:themeColor="text1"/>
                <w:kern w:val="24"/>
                <w:sz w:val="24"/>
                <w:szCs w:val="24"/>
                <w:highlight w:val="none"/>
                <w:vertAlign w:val="baseline"/>
                <w:lang w:eastAsia="zh-CN"/>
                <w14:textFill>
                  <w14:solidFill>
                    <w14:schemeClr w14:val="tx1"/>
                  </w14:solidFill>
                </w14:textFill>
              </w:rPr>
              <w:t>（</w:t>
            </w:r>
            <w:r>
              <w:rPr>
                <w:rFonts w:hint="eastAsia" w:ascii="Times New Roman" w:hAnsi="Times New Roman" w:cs="Times New Roman"/>
                <w:color w:val="000000" w:themeColor="text1"/>
                <w:kern w:val="24"/>
                <w:sz w:val="24"/>
                <w:szCs w:val="24"/>
                <w:highlight w:val="none"/>
                <w:vertAlign w:val="baseline"/>
                <w:lang w:val="en-US" w:eastAsia="zh-CN"/>
                <w14:textFill>
                  <w14:solidFill>
                    <w14:schemeClr w14:val="tx1"/>
                  </w14:solidFill>
                </w14:textFill>
              </w:rPr>
              <w:t>P=90%（特枯年）</w:t>
            </w:r>
            <w:r>
              <w:rPr>
                <w:rFonts w:hint="eastAsia" w:ascii="Times New Roman" w:hAnsi="Times New Roman" w:cs="Times New Roman"/>
                <w:color w:val="000000" w:themeColor="text1"/>
                <w:kern w:val="24"/>
                <w:sz w:val="24"/>
                <w:szCs w:val="24"/>
                <w:highlight w:val="none"/>
                <w:vertAlign w:val="baseline"/>
                <w:lang w:eastAsia="zh-CN"/>
                <w14:textFill>
                  <w14:solidFill>
                    <w14:schemeClr w14:val="tx1"/>
                  </w14:solidFill>
                </w14:textFill>
              </w:rPr>
              <w:t>）</w:t>
            </w:r>
            <w:r>
              <w:rPr>
                <w:rFonts w:hint="eastAsia" w:ascii="Times New Roman" w:hAnsi="Times New Roman" w:cs="Times New Roman"/>
                <w:color w:val="000000" w:themeColor="text1"/>
                <w:spacing w:val="-8"/>
                <w:kern w:val="24"/>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pacing w:val="-8"/>
                <w:kern w:val="24"/>
                <w:sz w:val="24"/>
                <w:szCs w:val="24"/>
                <w:highlight w:val="none"/>
                <w14:textFill>
                  <w14:solidFill>
                    <w14:schemeClr w14:val="tx1"/>
                  </w14:solidFill>
                </w14:textFill>
              </w:rPr>
              <w:t>本次核算按每年</w:t>
            </w:r>
            <w:r>
              <w:rPr>
                <w:rFonts w:hint="eastAsia" w:ascii="Times New Roman" w:hAnsi="Times New Roman" w:cs="Times New Roman"/>
                <w:color w:val="000000" w:themeColor="text1"/>
                <w:spacing w:val="-8"/>
                <w:kern w:val="24"/>
                <w:sz w:val="24"/>
                <w:szCs w:val="24"/>
                <w:highlight w:val="none"/>
                <w:lang w:val="en-US" w:eastAsia="zh-CN"/>
                <w14:textFill>
                  <w14:solidFill>
                    <w14:schemeClr w14:val="tx1"/>
                  </w14:solidFill>
                </w14:textFill>
              </w:rPr>
              <w:t>1425</w:t>
            </w:r>
            <w:r>
              <w:rPr>
                <w:rFonts w:hint="default" w:ascii="Times New Roman" w:hAnsi="Times New Roman" w:eastAsia="宋体" w:cs="Times New Roman"/>
                <w:color w:val="000000" w:themeColor="text1"/>
                <w:kern w:val="24"/>
                <w:sz w:val="24"/>
                <w:szCs w:val="24"/>
                <w:highlight w:val="none"/>
                <w14:textFill>
                  <w14:solidFill>
                    <w14:schemeClr w14:val="tx1"/>
                  </w14:solidFill>
                </w14:textFill>
              </w:rPr>
              <w:t>m</w:t>
            </w:r>
            <w:r>
              <w:rPr>
                <w:rFonts w:hint="default" w:ascii="Times New Roman" w:hAnsi="Times New Roman" w:eastAsia="宋体" w:cs="Times New Roman"/>
                <w:color w:val="000000" w:themeColor="text1"/>
                <w:kern w:val="24"/>
                <w:sz w:val="24"/>
                <w:szCs w:val="24"/>
                <w:highlight w:val="none"/>
                <w:vertAlign w:val="superscript"/>
                <w14:textFill>
                  <w14:solidFill>
                    <w14:schemeClr w14:val="tx1"/>
                  </w14:solidFill>
                </w14:textFill>
              </w:rPr>
              <w:t>3</w:t>
            </w:r>
            <w:r>
              <w:rPr>
                <w:rFonts w:hint="default" w:ascii="Times New Roman" w:hAnsi="Times New Roman" w:eastAsia="宋体" w:cs="Times New Roman"/>
                <w:color w:val="000000" w:themeColor="text1"/>
                <w:kern w:val="24"/>
                <w:sz w:val="24"/>
                <w:szCs w:val="24"/>
                <w:highlight w:val="none"/>
                <w14:textFill>
                  <w14:solidFill>
                    <w14:schemeClr w14:val="tx1"/>
                  </w14:solidFill>
                </w14:textFill>
              </w:rPr>
              <w:t>/hm</w:t>
            </w:r>
            <w:r>
              <w:rPr>
                <w:rFonts w:hint="default" w:ascii="Times New Roman" w:hAnsi="Times New Roman" w:eastAsia="宋体" w:cs="Times New Roman"/>
                <w:color w:val="000000" w:themeColor="text1"/>
                <w:kern w:val="24"/>
                <w:sz w:val="24"/>
                <w:szCs w:val="24"/>
                <w:highlight w:val="none"/>
                <w:vertAlign w:val="superscript"/>
                <w14:textFill>
                  <w14:solidFill>
                    <w14:schemeClr w14:val="tx1"/>
                  </w14:solidFill>
                </w14:textFill>
              </w:rPr>
              <w:t>2</w:t>
            </w:r>
            <w:r>
              <w:rPr>
                <w:rFonts w:hint="default" w:ascii="Times New Roman" w:hAnsi="Times New Roman" w:eastAsia="宋体" w:cs="Times New Roman"/>
                <w:color w:val="000000" w:themeColor="text1"/>
                <w:spacing w:val="-8"/>
                <w:kern w:val="24"/>
                <w:sz w:val="24"/>
                <w:szCs w:val="24"/>
                <w:highlight w:val="none"/>
                <w14:textFill>
                  <w14:solidFill>
                    <w14:schemeClr w14:val="tx1"/>
                  </w14:solidFill>
                </w14:textFill>
              </w:rPr>
              <w:t>计，项目种植面积</w:t>
            </w:r>
            <w:r>
              <w:rPr>
                <w:rFonts w:hint="default" w:ascii="Times New Roman" w:hAnsi="Times New Roman" w:eastAsia="宋体" w:cs="Times New Roman"/>
                <w:color w:val="000000" w:themeColor="text1"/>
                <w:spacing w:val="-8"/>
                <w:kern w:val="24"/>
                <w:sz w:val="24"/>
                <w:szCs w:val="24"/>
                <w:highlight w:val="none"/>
                <w:lang w:val="en-US" w:eastAsia="zh-CN"/>
                <w14:textFill>
                  <w14:solidFill>
                    <w14:schemeClr w14:val="tx1"/>
                  </w14:solidFill>
                </w14:textFill>
              </w:rPr>
              <w:t>385.59</w:t>
            </w:r>
            <w:r>
              <w:rPr>
                <w:rFonts w:hint="default" w:ascii="Times New Roman" w:hAnsi="Times New Roman" w:eastAsia="宋体" w:cs="Times New Roman"/>
                <w:color w:val="000000" w:themeColor="text1"/>
                <w:spacing w:val="-8"/>
                <w:kern w:val="24"/>
                <w:sz w:val="24"/>
                <w:szCs w:val="24"/>
                <w:highlight w:val="none"/>
                <w14:textFill>
                  <w14:solidFill>
                    <w14:schemeClr w14:val="tx1"/>
                  </w14:solidFill>
                </w14:textFill>
              </w:rPr>
              <w:t>亩，约为</w:t>
            </w:r>
            <w:r>
              <w:rPr>
                <w:rFonts w:hint="default" w:ascii="Times New Roman" w:hAnsi="Times New Roman" w:eastAsia="宋体" w:cs="Times New Roman"/>
                <w:color w:val="000000" w:themeColor="text1"/>
                <w:spacing w:val="-8"/>
                <w:kern w:val="24"/>
                <w:sz w:val="24"/>
                <w:szCs w:val="24"/>
                <w:highlight w:val="none"/>
                <w:lang w:val="en-US" w:eastAsia="zh-CN"/>
                <w14:textFill>
                  <w14:solidFill>
                    <w14:schemeClr w14:val="tx1"/>
                  </w14:solidFill>
                </w14:textFill>
              </w:rPr>
              <w:t>25.7</w:t>
            </w:r>
            <w:r>
              <w:rPr>
                <w:rFonts w:hint="eastAsia" w:ascii="Times New Roman" w:hAnsi="Times New Roman" w:cs="Times New Roman"/>
                <w:color w:val="000000" w:themeColor="text1"/>
                <w:spacing w:val="-8"/>
                <w:kern w:val="24"/>
                <w:sz w:val="24"/>
                <w:szCs w:val="24"/>
                <w:highlight w:val="none"/>
                <w:lang w:val="en-US" w:eastAsia="zh-CN"/>
                <w14:textFill>
                  <w14:solidFill>
                    <w14:schemeClr w14:val="tx1"/>
                  </w14:solidFill>
                </w14:textFill>
              </w:rPr>
              <w:t>06</w:t>
            </w:r>
            <w:r>
              <w:rPr>
                <w:rFonts w:hint="default" w:ascii="Times New Roman" w:hAnsi="Times New Roman" w:eastAsia="宋体" w:cs="Times New Roman"/>
                <w:color w:val="000000" w:themeColor="text1"/>
                <w:kern w:val="24"/>
                <w:sz w:val="24"/>
                <w:szCs w:val="24"/>
                <w:highlight w:val="none"/>
                <w14:textFill>
                  <w14:solidFill>
                    <w14:schemeClr w14:val="tx1"/>
                  </w14:solidFill>
                </w14:textFill>
              </w:rPr>
              <w:t>hm</w:t>
            </w:r>
            <w:r>
              <w:rPr>
                <w:rFonts w:hint="default" w:ascii="Times New Roman" w:hAnsi="Times New Roman" w:eastAsia="宋体" w:cs="Times New Roman"/>
                <w:color w:val="000000" w:themeColor="text1"/>
                <w:kern w:val="24"/>
                <w:sz w:val="24"/>
                <w:szCs w:val="24"/>
                <w:highlight w:val="none"/>
                <w:vertAlign w:val="superscript"/>
                <w14:textFill>
                  <w14:solidFill>
                    <w14:schemeClr w14:val="tx1"/>
                  </w14:solidFill>
                </w14:textFill>
              </w:rPr>
              <w:t>2</w:t>
            </w:r>
            <w:r>
              <w:rPr>
                <w:rFonts w:hint="default" w:ascii="Times New Roman" w:hAnsi="Times New Roman" w:eastAsia="宋体" w:cs="Times New Roman"/>
                <w:color w:val="000000" w:themeColor="text1"/>
                <w:spacing w:val="-8"/>
                <w:kern w:val="24"/>
                <w:sz w:val="24"/>
                <w:szCs w:val="24"/>
                <w:highlight w:val="none"/>
                <w14:textFill>
                  <w14:solidFill>
                    <w14:schemeClr w14:val="tx1"/>
                  </w14:solidFill>
                </w14:textFill>
              </w:rPr>
              <w:t>，则灌溉用水为</w:t>
            </w:r>
            <w:r>
              <w:rPr>
                <w:rFonts w:hint="eastAsia" w:ascii="Times New Roman" w:hAnsi="Times New Roman" w:cs="Times New Roman"/>
                <w:color w:val="000000" w:themeColor="text1"/>
                <w:spacing w:val="-8"/>
                <w:kern w:val="24"/>
                <w:sz w:val="24"/>
                <w:szCs w:val="24"/>
                <w:highlight w:val="none"/>
                <w:lang w:val="en-US" w:eastAsia="zh-CN"/>
                <w14:textFill>
                  <w14:solidFill>
                    <w14:schemeClr w14:val="tx1"/>
                  </w14:solidFill>
                </w14:textFill>
              </w:rPr>
              <w:t>36631.05</w:t>
            </w:r>
            <w:r>
              <w:rPr>
                <w:rFonts w:hint="default" w:ascii="Times New Roman" w:hAnsi="Times New Roman" w:eastAsia="宋体" w:cs="Times New Roman"/>
                <w:color w:val="000000" w:themeColor="text1"/>
                <w:spacing w:val="-8"/>
                <w:kern w:val="24"/>
                <w:sz w:val="24"/>
                <w:szCs w:val="24"/>
                <w:highlight w:val="none"/>
                <w14:textFill>
                  <w14:solidFill>
                    <w14:schemeClr w14:val="tx1"/>
                  </w14:solidFill>
                </w14:textFill>
              </w:rPr>
              <w:t>m</w:t>
            </w:r>
            <w:r>
              <w:rPr>
                <w:rFonts w:hint="default" w:ascii="Times New Roman" w:hAnsi="Times New Roman" w:eastAsia="宋体" w:cs="Times New Roman"/>
                <w:color w:val="000000" w:themeColor="text1"/>
                <w:spacing w:val="-8"/>
                <w:kern w:val="24"/>
                <w:sz w:val="24"/>
                <w:szCs w:val="24"/>
                <w:highlight w:val="none"/>
                <w:vertAlign w:val="superscript"/>
                <w14:textFill>
                  <w14:solidFill>
                    <w14:schemeClr w14:val="tx1"/>
                  </w14:solidFill>
                </w14:textFill>
              </w:rPr>
              <w:t>3</w:t>
            </w:r>
            <w:r>
              <w:rPr>
                <w:rFonts w:hint="default" w:ascii="Times New Roman" w:hAnsi="Times New Roman" w:eastAsia="宋体" w:cs="Times New Roman"/>
                <w:color w:val="000000" w:themeColor="text1"/>
                <w:spacing w:val="-8"/>
                <w:kern w:val="24"/>
                <w:sz w:val="24"/>
                <w:szCs w:val="24"/>
                <w:highlight w:val="none"/>
                <w14:textFill>
                  <w14:solidFill>
                    <w14:schemeClr w14:val="tx1"/>
                  </w14:solidFill>
                </w14:textFill>
              </w:rPr>
              <w:t>/a，</w:t>
            </w:r>
            <w:r>
              <w:rPr>
                <w:rFonts w:hint="eastAsia" w:ascii="Times New Roman" w:hAnsi="Times New Roman" w:cs="Times New Roman"/>
                <w:color w:val="000000" w:themeColor="text1"/>
                <w:spacing w:val="-8"/>
                <w:kern w:val="24"/>
                <w:sz w:val="24"/>
                <w:szCs w:val="24"/>
                <w:highlight w:val="none"/>
                <w:lang w:val="en-US" w:eastAsia="zh-CN"/>
                <w14:textFill>
                  <w14:solidFill>
                    <w14:schemeClr w14:val="tx1"/>
                  </w14:solidFill>
                </w14:textFill>
              </w:rPr>
              <w:t>雨天不灌溉，</w:t>
            </w:r>
            <w:r>
              <w:rPr>
                <w:rFonts w:hint="eastAsia" w:ascii="Times New Roman" w:hAnsi="Times New Roman" w:cs="Times New Roman"/>
                <w:color w:val="000000" w:themeColor="text1"/>
                <w:sz w:val="24"/>
                <w:szCs w:val="32"/>
                <w:highlight w:val="none"/>
                <w:vertAlign w:val="baseline"/>
                <w:lang w:val="en-US" w:eastAsia="zh-CN"/>
                <w14:textFill>
                  <w14:solidFill>
                    <w14:schemeClr w14:val="tx1"/>
                  </w14:solidFill>
                </w14:textFill>
              </w:rPr>
              <w:t>根据《玉溪市志（1978-2005）》及近年气象监测资料，每年旱季时间为180天，则</w:t>
            </w:r>
            <w:r>
              <w:rPr>
                <w:rFonts w:hint="default" w:ascii="Times New Roman" w:hAnsi="Times New Roman" w:eastAsia="宋体" w:cs="Times New Roman"/>
                <w:color w:val="000000" w:themeColor="text1"/>
                <w:spacing w:val="-8"/>
                <w:kern w:val="24"/>
                <w:sz w:val="24"/>
                <w:szCs w:val="24"/>
                <w:highlight w:val="none"/>
                <w14:textFill>
                  <w14:solidFill>
                    <w14:schemeClr w14:val="tx1"/>
                  </w14:solidFill>
                </w14:textFill>
              </w:rPr>
              <w:t>平均</w:t>
            </w:r>
            <w:r>
              <w:rPr>
                <w:rFonts w:hint="eastAsia" w:ascii="Times New Roman" w:hAnsi="Times New Roman" w:cs="Times New Roman"/>
                <w:color w:val="000000" w:themeColor="text1"/>
                <w:spacing w:val="-8"/>
                <w:kern w:val="24"/>
                <w:sz w:val="24"/>
                <w:szCs w:val="24"/>
                <w:highlight w:val="none"/>
                <w:lang w:val="en-US" w:eastAsia="zh-CN"/>
                <w14:textFill>
                  <w14:solidFill>
                    <w14:schemeClr w14:val="tx1"/>
                  </w14:solidFill>
                </w14:textFill>
              </w:rPr>
              <w:t>用水量为203.5058</w:t>
            </w:r>
            <w:r>
              <w:rPr>
                <w:rFonts w:hint="default" w:ascii="Times New Roman" w:hAnsi="Times New Roman" w:eastAsia="宋体" w:cs="Times New Roman"/>
                <w:color w:val="000000" w:themeColor="text1"/>
                <w:spacing w:val="-8"/>
                <w:kern w:val="24"/>
                <w:sz w:val="24"/>
                <w:szCs w:val="24"/>
                <w:highlight w:val="none"/>
                <w14:textFill>
                  <w14:solidFill>
                    <w14:schemeClr w14:val="tx1"/>
                  </w14:solidFill>
                </w14:textFill>
              </w:rPr>
              <w:t>m</w:t>
            </w:r>
            <w:r>
              <w:rPr>
                <w:rFonts w:hint="default" w:ascii="Times New Roman" w:hAnsi="Times New Roman" w:eastAsia="宋体" w:cs="Times New Roman"/>
                <w:color w:val="000000" w:themeColor="text1"/>
                <w:spacing w:val="-8"/>
                <w:kern w:val="24"/>
                <w:sz w:val="24"/>
                <w:szCs w:val="24"/>
                <w:highlight w:val="none"/>
                <w:vertAlign w:val="superscript"/>
                <w14:textFill>
                  <w14:solidFill>
                    <w14:schemeClr w14:val="tx1"/>
                  </w14:solidFill>
                </w14:textFill>
              </w:rPr>
              <w:t>3</w:t>
            </w:r>
            <w:r>
              <w:rPr>
                <w:rFonts w:hint="default" w:ascii="Times New Roman" w:hAnsi="Times New Roman" w:eastAsia="宋体" w:cs="Times New Roman"/>
                <w:color w:val="000000" w:themeColor="text1"/>
                <w:spacing w:val="-8"/>
                <w:kern w:val="24"/>
                <w:sz w:val="24"/>
                <w:szCs w:val="24"/>
                <w:highlight w:val="none"/>
                <w14:textFill>
                  <w14:solidFill>
                    <w14:schemeClr w14:val="tx1"/>
                  </w14:solidFill>
                </w14:textFill>
              </w:rPr>
              <w:t>/d</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w:t>
            </w:r>
          </w:p>
          <w:p w14:paraId="6C6FCC70">
            <w:pPr>
              <w:pStyle w:val="19"/>
              <w:spacing w:after="0" w:line="360" w:lineRule="auto"/>
              <w:ind w:left="0" w:leftChars="0" w:firstLine="480" w:firstLineChars="200"/>
              <w:jc w:val="both"/>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4"/>
                <w:sz w:val="24"/>
                <w:szCs w:val="24"/>
                <w:highlight w:val="none"/>
                <w:lang w:val="en-US" w:eastAsia="zh-CN"/>
                <w14:textFill>
                  <w14:solidFill>
                    <w14:schemeClr w14:val="tx1"/>
                  </w14:solidFill>
                </w14:textFill>
              </w:rPr>
              <w:t>羊肚菌</w:t>
            </w:r>
            <w:r>
              <w:rPr>
                <w:rFonts w:hint="default" w:ascii="Times New Roman" w:hAnsi="Times New Roman" w:eastAsia="宋体" w:cs="Times New Roman"/>
                <w:color w:val="000000" w:themeColor="text1"/>
                <w:kern w:val="24"/>
                <w:sz w:val="24"/>
                <w:szCs w:val="24"/>
                <w:highlight w:val="none"/>
                <w14:textFill>
                  <w14:solidFill>
                    <w14:schemeClr w14:val="tx1"/>
                  </w14:solidFill>
                </w14:textFill>
              </w:rPr>
              <w:t>种植区</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种植羊肚菌约310208.84m</w:t>
            </w:r>
            <w:r>
              <w:rPr>
                <w:rFonts w:hint="default" w:ascii="Times New Roman" w:hAnsi="Times New Roman" w:eastAsia="宋体" w:cs="Times New Roman"/>
                <w:color w:val="000000" w:themeColor="text1"/>
                <w:kern w:val="2"/>
                <w:sz w:val="24"/>
                <w:szCs w:val="24"/>
                <w:vertAlign w:val="superscript"/>
                <w:lang w:val="en-US" w:eastAsia="zh-CN" w:bidi="ar-SA"/>
                <w14:textFill>
                  <w14:solidFill>
                    <w14:schemeClr w14:val="tx1"/>
                  </w14:solidFill>
                </w14:textFill>
              </w:rPr>
              <w:t>2</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4"/>
                <w:sz w:val="24"/>
                <w:szCs w:val="24"/>
                <w:highlight w:val="none"/>
                <w14:textFill>
                  <w14:solidFill>
                    <w14:schemeClr w14:val="tx1"/>
                  </w14:solidFill>
                </w14:textFill>
              </w:rPr>
              <w:t>生产用水主要为灌溉用水，</w:t>
            </w:r>
            <w:r>
              <w:rPr>
                <w:rFonts w:hint="default" w:ascii="Times New Roman" w:hAnsi="Times New Roman" w:eastAsia="宋体" w:cs="Times New Roman"/>
                <w:color w:val="000000" w:themeColor="text1"/>
                <w:kern w:val="24"/>
                <w:sz w:val="24"/>
                <w:szCs w:val="24"/>
                <w:highlight w:val="none"/>
                <w:lang w:val="en-US" w:eastAsia="zh-CN"/>
                <w14:textFill>
                  <w14:solidFill>
                    <w14:schemeClr w14:val="tx1"/>
                  </w14:solidFill>
                </w14:textFill>
              </w:rPr>
              <w:t>羊肚菌</w:t>
            </w:r>
            <w:r>
              <w:rPr>
                <w:rFonts w:hint="default" w:ascii="Times New Roman" w:hAnsi="Times New Roman" w:eastAsia="宋体" w:cs="Times New Roman"/>
                <w:color w:val="000000" w:themeColor="text1"/>
                <w:kern w:val="24"/>
                <w:sz w:val="24"/>
                <w:szCs w:val="24"/>
                <w:highlight w:val="none"/>
                <w14:textFill>
                  <w14:solidFill>
                    <w14:schemeClr w14:val="tx1"/>
                  </w14:solidFill>
                </w14:textFill>
              </w:rPr>
              <w:t>属于</w:t>
            </w:r>
            <w:r>
              <w:rPr>
                <w:rFonts w:hint="default" w:ascii="Times New Roman" w:hAnsi="Times New Roman" w:eastAsia="宋体" w:cs="Times New Roman"/>
                <w:color w:val="000000" w:themeColor="text1"/>
                <w:kern w:val="24"/>
                <w:sz w:val="24"/>
                <w:szCs w:val="24"/>
                <w:highlight w:val="none"/>
                <w:lang w:val="en-US" w:eastAsia="zh-CN"/>
                <w14:textFill>
                  <w14:solidFill>
                    <w14:schemeClr w14:val="tx1"/>
                  </w14:solidFill>
                </w14:textFill>
              </w:rPr>
              <w:t>菌类</w:t>
            </w:r>
            <w:r>
              <w:rPr>
                <w:rFonts w:hint="default" w:ascii="Times New Roman" w:hAnsi="Times New Roman" w:eastAsia="宋体" w:cs="Times New Roman"/>
                <w:color w:val="000000" w:themeColor="text1"/>
                <w:kern w:val="24"/>
                <w:sz w:val="24"/>
                <w:szCs w:val="24"/>
                <w:highlight w:val="none"/>
                <w14:textFill>
                  <w14:solidFill>
                    <w14:schemeClr w14:val="tx1"/>
                  </w14:solidFill>
                </w14:textFill>
              </w:rPr>
              <w:t>，</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羊肚菌全生长周期约120</w:t>
            </w:r>
            <w:r>
              <w:rPr>
                <w:rFonts w:hint="eastAsia" w:ascii="Times New Roman" w:hAnsi="Times New Roman" w:cs="Times New Roman"/>
                <w:color w:val="000000" w:themeColor="text1"/>
                <w:kern w:val="2"/>
                <w:sz w:val="24"/>
                <w:szCs w:val="24"/>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150天（核心需水期集中在菌丝生长、原基形成和子实体发育阶段，非全年灌溉），此处取中间值135天作为实际灌溉天数。由于</w:t>
            </w:r>
            <w:r>
              <w:rPr>
                <w:rFonts w:hint="default" w:ascii="Times New Roman" w:hAnsi="Times New Roman" w:eastAsia="宋体" w:cs="Times New Roman"/>
                <w:color w:val="000000" w:themeColor="text1"/>
                <w:kern w:val="24"/>
                <w:sz w:val="24"/>
                <w:szCs w:val="24"/>
                <w:highlight w:val="none"/>
                <w14:textFill>
                  <w14:solidFill>
                    <w14:schemeClr w14:val="tx1"/>
                  </w14:solidFill>
                </w14:textFill>
              </w:rPr>
              <w:t>《</w:t>
            </w:r>
            <w:r>
              <w:rPr>
                <w:rFonts w:hint="default" w:ascii="Times New Roman" w:hAnsi="Times New Roman" w:eastAsia="宋体" w:cs="Times New Roman"/>
                <w:color w:val="000000" w:themeColor="text1"/>
                <w:kern w:val="24"/>
                <w:sz w:val="24"/>
                <w:szCs w:val="24"/>
                <w:highlight w:val="none"/>
                <w:lang w:val="en-US" w:eastAsia="zh-CN"/>
                <w14:textFill>
                  <w14:solidFill>
                    <w14:schemeClr w14:val="tx1"/>
                  </w14:solidFill>
                </w14:textFill>
              </w:rPr>
              <w:t>云南</w:t>
            </w:r>
            <w:r>
              <w:rPr>
                <w:rFonts w:hint="default" w:ascii="Times New Roman" w:hAnsi="Times New Roman" w:eastAsia="宋体" w:cs="Times New Roman"/>
                <w:color w:val="000000" w:themeColor="text1"/>
                <w:kern w:val="24"/>
                <w:sz w:val="24"/>
                <w:szCs w:val="24"/>
                <w:highlight w:val="none"/>
                <w14:textFill>
                  <w14:solidFill>
                    <w14:schemeClr w14:val="tx1"/>
                  </w14:solidFill>
                </w14:textFill>
              </w:rPr>
              <w:t>省</w:t>
            </w:r>
            <w:r>
              <w:rPr>
                <w:rFonts w:hint="eastAsia" w:ascii="Times New Roman" w:hAnsi="Times New Roman" w:cs="Times New Roman"/>
                <w:color w:val="000000" w:themeColor="text1"/>
                <w:kern w:val="24"/>
                <w:sz w:val="24"/>
                <w:szCs w:val="24"/>
                <w:highlight w:val="none"/>
                <w:lang w:val="en-US" w:eastAsia="zh-CN"/>
                <w14:textFill>
                  <w14:solidFill>
                    <w14:schemeClr w14:val="tx1"/>
                  </w14:solidFill>
                </w14:textFill>
              </w:rPr>
              <w:t>地方</w:t>
            </w:r>
            <w:r>
              <w:rPr>
                <w:rFonts w:hint="default" w:ascii="Times New Roman" w:hAnsi="Times New Roman" w:eastAsia="宋体" w:cs="Times New Roman"/>
                <w:color w:val="000000" w:themeColor="text1"/>
                <w:kern w:val="24"/>
                <w:sz w:val="24"/>
                <w:szCs w:val="24"/>
                <w:highlight w:val="none"/>
                <w14:textFill>
                  <w14:solidFill>
                    <w14:schemeClr w14:val="tx1"/>
                  </w14:solidFill>
                </w14:textFill>
              </w:rPr>
              <w:t>标准</w:t>
            </w:r>
            <w:r>
              <w:rPr>
                <w:rFonts w:hint="eastAsia" w:ascii="Times New Roman" w:hAnsi="Times New Roman" w:eastAsia="宋体" w:cs="Times New Roman"/>
                <w:color w:val="000000" w:themeColor="text1"/>
                <w:kern w:val="24"/>
                <w:sz w:val="24"/>
                <w:szCs w:val="24"/>
                <w:highlight w:val="none"/>
                <w:lang w:val="en-US" w:eastAsia="zh-CN"/>
                <w14:textFill>
                  <w14:solidFill>
                    <w14:schemeClr w14:val="tx1"/>
                  </w14:solidFill>
                </w14:textFill>
              </w:rPr>
              <w:t xml:space="preserve"> </w:t>
            </w:r>
            <w:r>
              <w:rPr>
                <w:rFonts w:hint="default" w:ascii="Times New Roman" w:hAnsi="Times New Roman" w:eastAsia="宋体" w:cs="Times New Roman"/>
                <w:color w:val="000000" w:themeColor="text1"/>
                <w:kern w:val="24"/>
                <w:sz w:val="24"/>
                <w:szCs w:val="24"/>
                <w:highlight w:val="none"/>
                <w14:textFill>
                  <w14:solidFill>
                    <w14:schemeClr w14:val="tx1"/>
                  </w14:solidFill>
                </w14:textFill>
              </w:rPr>
              <w:t>用水定额》</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中无菌类种植用水定额，本项目采用喷灌，根据</w:t>
            </w:r>
            <w:r>
              <w:rPr>
                <w:rFonts w:hint="eastAsia" w:ascii="Times New Roman" w:hAnsi="Times New Roman" w:cs="Times New Roman"/>
                <w:color w:val="000000" w:themeColor="text1"/>
                <w:kern w:val="2"/>
                <w:sz w:val="24"/>
                <w:szCs w:val="24"/>
                <w:lang w:val="en-US" w:eastAsia="zh-CN" w:bidi="ar-SA"/>
                <w14:textFill>
                  <w14:solidFill>
                    <w14:schemeClr w14:val="tx1"/>
                  </w14:solidFill>
                </w14:textFill>
              </w:rPr>
              <w:t>建设单位提供</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经验数据，羊肚菌种植用水按2L</w:t>
            </w:r>
            <w:r>
              <w:rPr>
                <w:rFonts w:hint="eastAsia" w:ascii="Times New Roman" w:hAnsi="Times New Roman" w:cs="Times New Roman"/>
                <w:color w:val="000000" w:themeColor="text1"/>
                <w:kern w:val="2"/>
                <w:sz w:val="24"/>
                <w:szCs w:val="24"/>
                <w:lang w:val="en-US" w:eastAsia="zh-CN" w:bidi="ar-SA"/>
                <w14:textFill>
                  <w14:solidFill>
                    <w14:schemeClr w14:val="tx1"/>
                  </w14:solidFill>
                </w14:textFill>
              </w:rPr>
              <w:t>/m</w:t>
            </w:r>
            <w:r>
              <w:rPr>
                <w:rFonts w:hint="eastAsia" w:ascii="Times New Roman" w:hAnsi="Times New Roman" w:cs="Times New Roman"/>
                <w:color w:val="000000" w:themeColor="text1"/>
                <w:kern w:val="2"/>
                <w:sz w:val="24"/>
                <w:szCs w:val="24"/>
                <w:vertAlign w:val="superscript"/>
                <w:lang w:val="en-US" w:eastAsia="zh-CN" w:bidi="ar-SA"/>
                <w14:textFill>
                  <w14:solidFill>
                    <w14:schemeClr w14:val="tx1"/>
                  </w14:solidFill>
                </w14:textFill>
              </w:rPr>
              <w:t>2</w:t>
            </w:r>
            <w:r>
              <w:rPr>
                <w:rFonts w:hint="eastAsia" w:ascii="Times New Roman" w:hAnsi="Times New Roman" w:cs="Times New Roman"/>
                <w:color w:val="000000" w:themeColor="text1"/>
                <w:kern w:val="2"/>
                <w:sz w:val="24"/>
                <w:szCs w:val="24"/>
                <w:vertAlign w:val="baseline"/>
                <w:lang w:val="en-US" w:eastAsia="zh-CN" w:bidi="ar-SA"/>
                <w14:textFill>
                  <w14:solidFill>
                    <w14:schemeClr w14:val="tx1"/>
                  </w14:solidFill>
                </w14:textFill>
              </w:rPr>
              <w:t>·d</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计，则羊肚菌种植用水量为620.42m</w:t>
            </w:r>
            <w:r>
              <w:rPr>
                <w:rFonts w:hint="default" w:ascii="Times New Roman" w:hAnsi="Times New Roman" w:eastAsia="宋体" w:cs="Times New Roman"/>
                <w:color w:val="000000" w:themeColor="text1"/>
                <w:kern w:val="2"/>
                <w:sz w:val="24"/>
                <w:szCs w:val="24"/>
                <w:vertAlign w:val="superscript"/>
                <w:lang w:val="en-US" w:eastAsia="zh-CN" w:bidi="ar-SA"/>
                <w14:textFill>
                  <w14:solidFill>
                    <w14:schemeClr w14:val="tx1"/>
                  </w14:solidFill>
                </w14:textFill>
              </w:rPr>
              <w:t>3</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/d，83756.39m</w:t>
            </w:r>
            <w:r>
              <w:rPr>
                <w:rFonts w:hint="default" w:ascii="Times New Roman" w:hAnsi="Times New Roman" w:eastAsia="宋体" w:cs="Times New Roman"/>
                <w:color w:val="000000" w:themeColor="text1"/>
                <w:kern w:val="2"/>
                <w:sz w:val="24"/>
                <w:szCs w:val="24"/>
                <w:vertAlign w:val="superscript"/>
                <w:lang w:val="en-US" w:eastAsia="zh-CN" w:bidi="ar-SA"/>
                <w14:textFill>
                  <w14:solidFill>
                    <w14:schemeClr w14:val="tx1"/>
                  </w14:solidFill>
                </w14:textFill>
              </w:rPr>
              <w:t>3</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/a。</w:t>
            </w:r>
          </w:p>
          <w:p w14:paraId="175EB20C">
            <w:pPr>
              <w:pStyle w:val="19"/>
              <w:spacing w:after="0" w:line="360" w:lineRule="auto"/>
              <w:ind w:left="0" w:leftChars="0" w:firstLine="448" w:firstLineChars="200"/>
              <w:jc w:val="both"/>
              <w:rPr>
                <w:rFonts w:hint="default" w:ascii="Times New Roman" w:hAnsi="Times New Roman" w:eastAsia="宋体" w:cs="Times New Roman"/>
                <w:color w:val="000000" w:themeColor="text1"/>
                <w:spacing w:val="-8"/>
                <w:kern w:val="24"/>
                <w:sz w:val="24"/>
                <w:szCs w:val="24"/>
                <w:highlight w:val="none"/>
                <w:lang w:val="en-US" w:eastAsia="zh-CN"/>
                <w14:textFill>
                  <w14:solidFill>
                    <w14:schemeClr w14:val="tx1"/>
                  </w14:solidFill>
                </w14:textFill>
              </w:rPr>
            </w:pPr>
            <w:r>
              <w:rPr>
                <w:rFonts w:hint="eastAsia" w:ascii="Times New Roman" w:hAnsi="Times New Roman" w:cs="Times New Roman"/>
                <w:color w:val="000000" w:themeColor="text1"/>
                <w:spacing w:val="-8"/>
                <w:kern w:val="24"/>
                <w:sz w:val="24"/>
                <w:szCs w:val="24"/>
                <w:highlight w:val="none"/>
                <w:lang w:val="en-US" w:eastAsia="zh-CN"/>
                <w14:textFill>
                  <w14:solidFill>
                    <w14:schemeClr w14:val="tx1"/>
                  </w14:solidFill>
                </w14:textFill>
              </w:rPr>
              <w:t>综上，项目灌溉用水量为1056.32m</w:t>
            </w:r>
            <w:r>
              <w:rPr>
                <w:rFonts w:hint="eastAsia" w:ascii="Times New Roman" w:hAnsi="Times New Roman" w:cs="Times New Roman"/>
                <w:color w:val="000000" w:themeColor="text1"/>
                <w:spacing w:val="-8"/>
                <w:kern w:val="24"/>
                <w:sz w:val="24"/>
                <w:szCs w:val="24"/>
                <w:highlight w:val="none"/>
                <w:vertAlign w:val="superscript"/>
                <w:lang w:val="en-US" w:eastAsia="zh-CN"/>
                <w14:textFill>
                  <w14:solidFill>
                    <w14:schemeClr w14:val="tx1"/>
                  </w14:solidFill>
                </w14:textFill>
              </w:rPr>
              <w:t>3</w:t>
            </w:r>
            <w:r>
              <w:rPr>
                <w:rFonts w:hint="eastAsia" w:ascii="Times New Roman" w:hAnsi="Times New Roman" w:cs="Times New Roman"/>
                <w:color w:val="000000" w:themeColor="text1"/>
                <w:spacing w:val="-8"/>
                <w:kern w:val="24"/>
                <w:sz w:val="24"/>
                <w:szCs w:val="24"/>
                <w:highlight w:val="none"/>
                <w:lang w:val="en-US" w:eastAsia="zh-CN"/>
                <w14:textFill>
                  <w14:solidFill>
                    <w14:schemeClr w14:val="tx1"/>
                  </w14:solidFill>
                </w14:textFill>
              </w:rPr>
              <w:t>/d，162218.24m</w:t>
            </w:r>
            <w:r>
              <w:rPr>
                <w:rFonts w:hint="eastAsia" w:ascii="Times New Roman" w:hAnsi="Times New Roman" w:cs="Times New Roman"/>
                <w:color w:val="000000" w:themeColor="text1"/>
                <w:spacing w:val="-8"/>
                <w:kern w:val="24"/>
                <w:sz w:val="24"/>
                <w:szCs w:val="24"/>
                <w:highlight w:val="none"/>
                <w:vertAlign w:val="superscript"/>
                <w:lang w:val="en-US" w:eastAsia="zh-CN"/>
                <w14:textFill>
                  <w14:solidFill>
                    <w14:schemeClr w14:val="tx1"/>
                  </w14:solidFill>
                </w14:textFill>
              </w:rPr>
              <w:t>3</w:t>
            </w:r>
            <w:r>
              <w:rPr>
                <w:rFonts w:hint="eastAsia" w:ascii="Times New Roman" w:hAnsi="Times New Roman" w:cs="Times New Roman"/>
                <w:color w:val="000000" w:themeColor="text1"/>
                <w:spacing w:val="-8"/>
                <w:kern w:val="24"/>
                <w:sz w:val="24"/>
                <w:szCs w:val="24"/>
                <w:highlight w:val="none"/>
                <w:lang w:val="en-US" w:eastAsia="zh-CN"/>
                <w14:textFill>
                  <w14:solidFill>
                    <w14:schemeClr w14:val="tx1"/>
                  </w14:solidFill>
                </w14:textFill>
              </w:rPr>
              <w:t>/a。</w:t>
            </w:r>
          </w:p>
          <w:p w14:paraId="1E04E67C">
            <w:pPr>
              <w:pStyle w:val="19"/>
              <w:spacing w:after="0" w:line="360" w:lineRule="auto"/>
              <w:ind w:left="0" w:leftChars="0" w:firstLine="448" w:firstLineChars="200"/>
              <w:jc w:val="both"/>
              <w:rPr>
                <w:rFonts w:hint="eastAsia" w:ascii="Times New Roman" w:hAnsi="Times New Roman" w:cs="Times New Roman"/>
                <w:b w:val="0"/>
                <w:bCs/>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8"/>
                <w:kern w:val="24"/>
                <w:sz w:val="24"/>
                <w:szCs w:val="24"/>
                <w:highlight w:val="none"/>
                <w:lang w:val="en-US" w:eastAsia="zh-CN"/>
                <w14:textFill>
                  <w14:solidFill>
                    <w14:schemeClr w14:val="tx1"/>
                  </w14:solidFill>
                </w14:textFill>
              </w:rPr>
              <w:t>项目一片区</w:t>
            </w:r>
            <w:r>
              <w:rPr>
                <w:rFonts w:hint="default" w:ascii="Times New Roman" w:hAnsi="Times New Roman" w:eastAsia="宋体" w:cs="Times New Roman"/>
                <w:color w:val="000000" w:themeColor="text1"/>
                <w:spacing w:val="-8"/>
                <w:kern w:val="24"/>
                <w:sz w:val="24"/>
                <w:szCs w:val="24"/>
                <w:highlight w:val="none"/>
                <w14:textFill>
                  <w14:solidFill>
                    <w14:schemeClr w14:val="tx1"/>
                  </w14:solidFill>
                </w14:textFill>
              </w:rPr>
              <w:t>用水</w:t>
            </w:r>
            <w:r>
              <w:rPr>
                <w:rFonts w:hint="eastAsia" w:ascii="Times New Roman" w:hAnsi="Times New Roman" w:cs="Times New Roman"/>
                <w:color w:val="000000" w:themeColor="text1"/>
                <w:spacing w:val="-8"/>
                <w:kern w:val="24"/>
                <w:sz w:val="24"/>
                <w:szCs w:val="24"/>
                <w:highlight w:val="none"/>
                <w:lang w:val="en-US" w:eastAsia="zh-CN"/>
                <w14:textFill>
                  <w14:solidFill>
                    <w14:schemeClr w14:val="tx1"/>
                  </w14:solidFill>
                </w14:textFill>
              </w:rPr>
              <w:t>主要从项目区周边大西村已建灌溉管网接入</w:t>
            </w:r>
            <w:r>
              <w:rPr>
                <w:rFonts w:hint="default" w:ascii="Times New Roman" w:hAnsi="Times New Roman" w:eastAsia="宋体" w:cs="Times New Roman"/>
                <w:color w:val="000000" w:themeColor="text1"/>
                <w:spacing w:val="-8"/>
                <w:kern w:val="24"/>
                <w:sz w:val="24"/>
                <w:szCs w:val="24"/>
                <w:highlight w:val="none"/>
                <w14:textFill>
                  <w14:solidFill>
                    <w14:schemeClr w14:val="tx1"/>
                  </w14:solidFill>
                </w14:textFill>
              </w:rPr>
              <w:t>、</w:t>
            </w:r>
            <w:r>
              <w:rPr>
                <w:rFonts w:hint="default" w:ascii="Times New Roman" w:hAnsi="Times New Roman" w:eastAsia="宋体" w:cs="Times New Roman"/>
                <w:color w:val="000000" w:themeColor="text1"/>
                <w:spacing w:val="-8"/>
                <w:kern w:val="24"/>
                <w:sz w:val="24"/>
                <w:szCs w:val="24"/>
                <w:highlight w:val="none"/>
                <w:lang w:val="en-US" w:eastAsia="zh-CN"/>
                <w14:textFill>
                  <w14:solidFill>
                    <w14:schemeClr w14:val="tx1"/>
                  </w14:solidFill>
                </w14:textFill>
              </w:rPr>
              <w:t>二片区来源于项目基地范围内</w:t>
            </w:r>
            <w:r>
              <w:rPr>
                <w:rFonts w:hint="eastAsia" w:ascii="Times New Roman" w:hAnsi="Times New Roman" w:cs="Times New Roman"/>
                <w:color w:val="000000" w:themeColor="text1"/>
                <w:spacing w:val="-8"/>
                <w:kern w:val="24"/>
                <w:sz w:val="24"/>
                <w:szCs w:val="24"/>
                <w:highlight w:val="none"/>
                <w:lang w:val="en-US" w:eastAsia="zh-CN"/>
                <w14:textFill>
                  <w14:solidFill>
                    <w14:schemeClr w14:val="tx1"/>
                  </w14:solidFill>
                </w14:textFill>
              </w:rPr>
              <w:t>水</w:t>
            </w:r>
            <w:r>
              <w:rPr>
                <w:rFonts w:hint="default" w:ascii="Times New Roman" w:hAnsi="Times New Roman" w:eastAsia="宋体" w:cs="Times New Roman"/>
                <w:color w:val="000000" w:themeColor="text1"/>
                <w:spacing w:val="-8"/>
                <w:kern w:val="24"/>
                <w:sz w:val="24"/>
                <w:szCs w:val="24"/>
                <w:highlight w:val="none"/>
                <w:lang w:val="en-US" w:eastAsia="zh-CN"/>
                <w14:textFill>
                  <w14:solidFill>
                    <w14:schemeClr w14:val="tx1"/>
                  </w14:solidFill>
                </w14:textFill>
              </w:rPr>
              <w:t>池</w:t>
            </w:r>
            <w:r>
              <w:rPr>
                <w:rFonts w:hint="eastAsia" w:ascii="Times New Roman" w:hAnsi="Times New Roman" w:cs="Times New Roman"/>
                <w:color w:val="000000" w:themeColor="text1"/>
                <w:spacing w:val="-8"/>
                <w:kern w:val="24"/>
                <w:sz w:val="24"/>
                <w:szCs w:val="24"/>
                <w:highlight w:val="none"/>
                <w:lang w:val="en-US" w:eastAsia="zh-CN"/>
                <w14:textFill>
                  <w14:solidFill>
                    <w14:schemeClr w14:val="tx1"/>
                  </w14:solidFill>
                </w14:textFill>
              </w:rPr>
              <w:t>（12个水池）内收集的初期雨水</w:t>
            </w:r>
            <w:r>
              <w:rPr>
                <w:rFonts w:hint="default" w:ascii="Times New Roman" w:hAnsi="Times New Roman" w:eastAsia="宋体" w:cs="Times New Roman"/>
                <w:color w:val="000000" w:themeColor="text1"/>
                <w:spacing w:val="-8"/>
                <w:kern w:val="24"/>
                <w:sz w:val="24"/>
                <w:szCs w:val="24"/>
                <w:highlight w:val="none"/>
                <w14:textFill>
                  <w14:solidFill>
                    <w14:schemeClr w14:val="tx1"/>
                  </w14:solidFill>
                </w14:textFill>
              </w:rPr>
              <w:t>，</w:t>
            </w:r>
            <w:r>
              <w:rPr>
                <w:rFonts w:hint="eastAsia" w:ascii="Times New Roman" w:hAnsi="Times New Roman" w:cs="Times New Roman"/>
                <w:color w:val="000000" w:themeColor="text1"/>
                <w:spacing w:val="-8"/>
                <w:kern w:val="24"/>
                <w:sz w:val="24"/>
                <w:szCs w:val="24"/>
                <w:highlight w:val="none"/>
                <w:lang w:val="en-US" w:eastAsia="zh-CN"/>
                <w14:textFill>
                  <w14:solidFill>
                    <w14:schemeClr w14:val="tx1"/>
                  </w14:solidFill>
                </w14:textFill>
              </w:rPr>
              <w:t>项目灌溉采用的是滴灌或者喷灌的节水灌溉技术，用水</w:t>
            </w:r>
            <w:r>
              <w:rPr>
                <w:rFonts w:hint="default" w:ascii="Times New Roman" w:hAnsi="Times New Roman" w:eastAsia="宋体" w:cs="Times New Roman"/>
                <w:color w:val="000000" w:themeColor="text1"/>
                <w:spacing w:val="-8"/>
                <w:kern w:val="24"/>
                <w:sz w:val="24"/>
                <w:szCs w:val="24"/>
                <w:highlight w:val="none"/>
                <w14:textFill>
                  <w14:solidFill>
                    <w14:schemeClr w14:val="tx1"/>
                  </w14:solidFill>
                </w14:textFill>
              </w:rPr>
              <w:t>均被种植区作物及土壤吸收</w:t>
            </w:r>
            <w:r>
              <w:rPr>
                <w:rFonts w:hint="default" w:ascii="Times New Roman" w:hAnsi="Times New Roman" w:eastAsia="宋体" w:cs="Times New Roman"/>
                <w:color w:val="000000" w:themeColor="text1"/>
                <w:spacing w:val="-8"/>
                <w:kern w:val="24"/>
                <w:sz w:val="24"/>
                <w:szCs w:val="24"/>
                <w:highlight w:val="none"/>
                <w:lang w:val="en-US" w:eastAsia="zh-CN"/>
                <w14:textFill>
                  <w14:solidFill>
                    <w14:schemeClr w14:val="tx1"/>
                  </w14:solidFill>
                </w14:textFill>
              </w:rPr>
              <w:t>和蒸发，</w:t>
            </w:r>
            <w:r>
              <w:rPr>
                <w:rFonts w:hint="default" w:ascii="Times New Roman" w:hAnsi="Times New Roman" w:eastAsia="宋体" w:cs="Times New Roman"/>
                <w:color w:val="000000" w:themeColor="text1"/>
                <w:spacing w:val="-8"/>
                <w:kern w:val="24"/>
                <w:sz w:val="24"/>
                <w:szCs w:val="24"/>
                <w:highlight w:val="none"/>
                <w14:textFill>
                  <w14:solidFill>
                    <w14:schemeClr w14:val="tx1"/>
                  </w14:solidFill>
                </w14:textFill>
              </w:rPr>
              <w:t>无废水产生</w:t>
            </w:r>
            <w:r>
              <w:rPr>
                <w:rFonts w:hint="default" w:ascii="Times New Roman" w:hAnsi="Times New Roman" w:eastAsia="宋体" w:cs="Times New Roman"/>
                <w:color w:val="000000" w:themeColor="text1"/>
                <w:kern w:val="0"/>
                <w:sz w:val="24"/>
                <w:szCs w:val="24"/>
                <w:highlight w:val="none"/>
                <w:lang w:val="en-US" w:eastAsia="zh-CN"/>
                <w14:textFill>
                  <w14:solidFill>
                    <w14:schemeClr w14:val="tx1"/>
                  </w14:solidFill>
                </w14:textFill>
              </w:rPr>
              <w:t>。</w:t>
            </w:r>
            <w:r>
              <w:rPr>
                <w:rFonts w:hint="eastAsia" w:ascii="Times New Roman" w:hAnsi="Times New Roman" w:cs="Times New Roman"/>
                <w:b w:val="0"/>
                <w:bCs/>
                <w:color w:val="000000" w:themeColor="text1"/>
                <w:sz w:val="24"/>
                <w:szCs w:val="24"/>
                <w:highlight w:val="none"/>
                <w:lang w:val="en-US" w:eastAsia="zh-CN"/>
                <w14:textFill>
                  <w14:solidFill>
                    <w14:schemeClr w14:val="tx1"/>
                  </w14:solidFill>
                </w14:textFill>
              </w:rPr>
              <w:t>在种植区和道路区在地势低处设置截排水沟，雨水收集进入水池，沉淀后回用于项目区灌溉。</w:t>
            </w:r>
          </w:p>
          <w:p w14:paraId="7DFA6B71">
            <w:pPr>
              <w:keepNext w:val="0"/>
              <w:keepLines w:val="0"/>
              <w:pageBreakBefore w:val="0"/>
              <w:widowControl w:val="0"/>
              <w:kinsoku/>
              <w:wordWrap/>
              <w:overflowPunct/>
              <w:topLinePunct w:val="0"/>
              <w:bidi w:val="0"/>
              <w:snapToGrid/>
              <w:ind w:firstLine="480"/>
              <w:jc w:val="both"/>
              <w:textAlignment w:val="auto"/>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lang w:val="en-US" w:eastAsia="zh-CN"/>
                <w14:textFill>
                  <w14:solidFill>
                    <w14:schemeClr w14:val="tx1"/>
                  </w14:solidFill>
                </w14:textFill>
              </w:rPr>
              <w:t>3、噪声</w:t>
            </w:r>
          </w:p>
          <w:p w14:paraId="0B9871FE">
            <w:pPr>
              <w:keepNext w:val="0"/>
              <w:keepLines w:val="0"/>
              <w:pageBreakBefore w:val="0"/>
              <w:widowControl w:val="0"/>
              <w:kinsoku/>
              <w:wordWrap/>
              <w:overflowPunct/>
              <w:topLinePunct w:val="0"/>
              <w:bidi w:val="0"/>
              <w:snapToGrid/>
              <w:ind w:firstLine="480"/>
              <w:jc w:val="both"/>
              <w:textAlignment w:val="auto"/>
              <w:rPr>
                <w:rFonts w:hint="eastAsia"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本项目区都是采用人工种植，种植区管理中不进行大面积耕地，不使用大功率农机具</w:t>
            </w:r>
            <w:r>
              <w:rPr>
                <w:rFonts w:hint="eastAsia" w:ascii="Times New Roman" w:hAnsi="Times New Roman" w:cs="Times New Roman"/>
                <w:color w:val="000000" w:themeColor="text1"/>
                <w:sz w:val="24"/>
                <w:szCs w:val="24"/>
                <w:lang w:val="en-US" w:eastAsia="zh-CN"/>
                <w14:textFill>
                  <w14:solidFill>
                    <w14:schemeClr w14:val="tx1"/>
                  </w14:solidFill>
                </w14:textFill>
              </w:rPr>
              <w:t>，水肥中心配置肥料及灌溉系统运行会产生少量噪声，但水肥中心配置肥料及灌溉系统均为间歇式运行，二片区水肥中心设置于项目区内相对中心位置，通过设置基础减震、距离衰减后对周边环境影响较小，一片区设置位置靠近大西路，通过设置基础减震、距离衰减后对周边环境影响较小；苗木修剪为间歇运行，修剪设备产生的噪声经过距离衰减后对周边环境影响较小；</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对于机动车交通噪声，采取限速、限鸣等措施。</w:t>
            </w:r>
          </w:p>
          <w:p w14:paraId="60D54221">
            <w:pPr>
              <w:keepNext w:val="0"/>
              <w:keepLines w:val="0"/>
              <w:pageBreakBefore w:val="0"/>
              <w:widowControl w:val="0"/>
              <w:kinsoku/>
              <w:wordWrap/>
              <w:overflowPunct/>
              <w:topLinePunct w:val="0"/>
              <w:bidi w:val="0"/>
              <w:snapToGrid/>
              <w:ind w:firstLine="480"/>
              <w:jc w:val="both"/>
              <w:textAlignment w:val="auto"/>
              <w:rPr>
                <w:rFonts w:hint="default" w:ascii="Times New Roman" w:hAnsi="Times New Roman" w:eastAsia="宋体" w:cs="Times New Roman"/>
                <w:color w:val="000000" w:themeColor="text1"/>
                <w:sz w:val="24"/>
                <w:szCs w:val="24"/>
                <w:lang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采取以上措施以后，项目运营期噪声不会对周边产生太大的影响。</w:t>
            </w:r>
          </w:p>
          <w:p w14:paraId="72307AE3">
            <w:pPr>
              <w:ind w:firstLine="480"/>
              <w:jc w:val="both"/>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4、固体废弃物</w:t>
            </w:r>
          </w:p>
          <w:p w14:paraId="673A2B0F">
            <w:pPr>
              <w:pStyle w:val="75"/>
              <w:jc w:val="both"/>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运营阶段产生的固体废物包括种植区、苗木补植前拆除的废包装材料、补植区挖除的未成活苗木、大棚主体及薄膜废弃物、水肥原料包装袋</w:t>
            </w:r>
            <w:r>
              <w:rPr>
                <w:rFonts w:hint="eastAsia"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农药废包装容器、</w:t>
            </w:r>
            <w:r>
              <w:rPr>
                <w:rFonts w:hint="eastAsia" w:ascii="Times New Roman" w:hAnsi="Times New Roman" w:cs="Times New Roman"/>
                <w:color w:val="000000" w:themeColor="text1"/>
                <w:lang w:val="en-US" w:eastAsia="zh-CN"/>
                <w14:textFill>
                  <w14:solidFill>
                    <w14:schemeClr w14:val="tx1"/>
                  </w14:solidFill>
                </w14:textFill>
              </w:rPr>
              <w:t>生产作业</w:t>
            </w:r>
            <w:r>
              <w:rPr>
                <w:rFonts w:hint="default" w:ascii="Times New Roman" w:hAnsi="Times New Roman" w:eastAsia="宋体" w:cs="Times New Roman"/>
                <w:color w:val="000000" w:themeColor="text1"/>
                <w:lang w:val="en-US" w:eastAsia="zh-CN"/>
                <w14:textFill>
                  <w14:solidFill>
                    <w14:schemeClr w14:val="tx1"/>
                  </w14:solidFill>
                </w14:textFill>
              </w:rPr>
              <w:t>人员生活垃圾。</w:t>
            </w:r>
          </w:p>
          <w:p w14:paraId="2AF677EA">
            <w:pPr>
              <w:bidi w:val="0"/>
              <w:jc w:val="both"/>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（1）果木林修剪产生的残枝败叶</w:t>
            </w:r>
          </w:p>
          <w:p w14:paraId="3C4FD758">
            <w:pPr>
              <w:bidi w:val="0"/>
              <w:jc w:val="both"/>
              <w:rPr>
                <w:rFonts w:hint="default"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4"/>
                <w:szCs w:val="24"/>
                <w:highlight w:val="none"/>
                <w:lang w:val="en-US" w:eastAsia="zh-CN"/>
                <w14:textFill>
                  <w14:solidFill>
                    <w14:schemeClr w14:val="tx1"/>
                  </w14:solidFill>
                </w14:textFill>
              </w:rPr>
              <w:t>运营期内，果树种植区域需及时对果树进行修剪，直径≥5cm的外售给木炭加工和生物质燃料企业；直径＜5cm的就地切碎埋入土壤做肥料。</w:t>
            </w:r>
          </w:p>
          <w:p w14:paraId="4D11FB77">
            <w:pPr>
              <w:bidi w:val="0"/>
              <w:jc w:val="both"/>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kern w:val="0"/>
                <w:sz w:val="24"/>
                <w:szCs w:val="24"/>
                <w:highlight w:val="none"/>
                <w:lang w:val="en-US" w:eastAsia="zh-CN"/>
                <w14:textFill>
                  <w14:solidFill>
                    <w14:schemeClr w14:val="tx1"/>
                  </w14:solidFill>
                </w14:textFill>
              </w:rPr>
              <w:t>（</w:t>
            </w:r>
            <w:r>
              <w:rPr>
                <w:rFonts w:hint="default" w:ascii="Times New Roman" w:hAnsi="Times New Roman" w:eastAsia="宋体" w:cs="Times New Roman"/>
                <w:b/>
                <w:bCs/>
                <w:color w:val="000000" w:themeColor="text1"/>
                <w:lang w:val="en-US" w:eastAsia="zh-CN"/>
                <w14:textFill>
                  <w14:solidFill>
                    <w14:schemeClr w14:val="tx1"/>
                  </w14:solidFill>
                </w14:textFill>
              </w:rPr>
              <w:t>2）苗木栽植前拆除的废包装材料</w:t>
            </w:r>
          </w:p>
          <w:p w14:paraId="57FCBADA">
            <w:pPr>
              <w:bidi w:val="0"/>
              <w:jc w:val="both"/>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苹果树、桃树、蓝莓的苗木均为外购，运输过程中为确保苗木根茎保湿及苗木存活，需采用营养杯或无纺布等材料对苗木根茎进行盛装或外包装，由于该类包装材质在土壤中不易降解，因此在苗木栽植前需对其进行拆除，</w:t>
            </w:r>
            <w:r>
              <w:rPr>
                <w:rFonts w:hint="eastAsia" w:ascii="Times New Roman" w:hAnsi="Times New Roman" w:cs="Times New Roman"/>
                <w:color w:val="000000" w:themeColor="text1"/>
                <w:lang w:val="en-US" w:eastAsia="zh-CN"/>
                <w14:textFill>
                  <w14:solidFill>
                    <w14:schemeClr w14:val="tx1"/>
                  </w14:solidFill>
                </w14:textFill>
              </w:rPr>
              <w:t>根据建设单位提供资料，该类固废产生量约为2.0t/a，</w:t>
            </w:r>
            <w:r>
              <w:rPr>
                <w:rFonts w:hint="default" w:ascii="Times New Roman" w:hAnsi="Times New Roman" w:eastAsia="宋体" w:cs="Times New Roman"/>
                <w:color w:val="000000" w:themeColor="text1"/>
                <w:lang w:val="en-US" w:eastAsia="zh-CN"/>
                <w14:textFill>
                  <w14:solidFill>
                    <w14:schemeClr w14:val="tx1"/>
                  </w14:solidFill>
                </w14:textFill>
              </w:rPr>
              <w:t>该类固废拆除后需在施工区域内集中收集，运至就近的生活垃圾中转站，委托当地环卫部门处置。</w:t>
            </w:r>
          </w:p>
          <w:p w14:paraId="42CAC649">
            <w:pPr>
              <w:bidi w:val="0"/>
              <w:jc w:val="both"/>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（3）补植区挖除的未成活苗木和杂草</w:t>
            </w:r>
          </w:p>
          <w:p w14:paraId="30FF4845">
            <w:pPr>
              <w:bidi w:val="0"/>
              <w:jc w:val="both"/>
              <w:rPr>
                <w:rFonts w:hint="default" w:ascii="Times New Roman" w:hAnsi="Times New Roman" w:eastAsia="宋体" w:cs="Times New Roman"/>
                <w:b w:val="0"/>
                <w:bCs w:val="0"/>
                <w:color w:val="000000" w:themeColor="text1"/>
                <w:lang w:val="en-US" w:eastAsia="zh-CN"/>
                <w14:textFill>
                  <w14:solidFill>
                    <w14:schemeClr w14:val="tx1"/>
                  </w14:solidFill>
                </w14:textFill>
              </w:rPr>
            </w:pPr>
            <w:r>
              <w:rPr>
                <w:rFonts w:hint="default" w:ascii="Times New Roman" w:hAnsi="Times New Roman" w:eastAsia="宋体" w:cs="Times New Roman"/>
                <w:b w:val="0"/>
                <w:bCs w:val="0"/>
                <w:color w:val="000000" w:themeColor="text1"/>
                <w:lang w:val="en-US" w:eastAsia="zh-CN"/>
                <w14:textFill>
                  <w14:solidFill>
                    <w14:schemeClr w14:val="tx1"/>
                  </w14:solidFill>
                </w14:textFill>
              </w:rPr>
              <w:t>项目区种植的果树苗木在定植后需对未成活苗木进行补植，补植前需挖除原有坑穴内未成活苗木，该类固废产生量与抚育养护水平、植株的原有健康状况等密切相关，</w:t>
            </w:r>
            <w:r>
              <w:rPr>
                <w:rFonts w:hint="eastAsia" w:ascii="Times New Roman" w:hAnsi="Times New Roman" w:cs="Times New Roman"/>
                <w:b w:val="0"/>
                <w:bCs w:val="0"/>
                <w:color w:val="000000" w:themeColor="text1"/>
                <w:lang w:val="en-US" w:eastAsia="zh-CN"/>
                <w14:textFill>
                  <w14:solidFill>
                    <w14:schemeClr w14:val="tx1"/>
                  </w14:solidFill>
                </w14:textFill>
              </w:rPr>
              <w:t>根据建设单位提供资料，该类固废产生量约8.0t/a，</w:t>
            </w:r>
            <w:r>
              <w:rPr>
                <w:rFonts w:hint="default" w:ascii="Times New Roman" w:hAnsi="Times New Roman" w:eastAsia="宋体" w:cs="Times New Roman"/>
                <w:b w:val="0"/>
                <w:bCs w:val="0"/>
                <w:color w:val="000000" w:themeColor="text1"/>
                <w:lang w:val="en-US" w:eastAsia="zh-CN"/>
                <w14:textFill>
                  <w14:solidFill>
                    <w14:schemeClr w14:val="tx1"/>
                  </w14:solidFill>
                </w14:textFill>
              </w:rPr>
              <w:t>挖除后可就地切碎埋入土壤中发酵成肥料，提高土壤中养分含量。</w:t>
            </w:r>
          </w:p>
          <w:p w14:paraId="59007621">
            <w:pPr>
              <w:bidi w:val="0"/>
              <w:jc w:val="both"/>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（4）大棚主体及薄膜废弃物</w:t>
            </w:r>
          </w:p>
          <w:p w14:paraId="1A978A09">
            <w:pPr>
              <w:bidi w:val="0"/>
              <w:jc w:val="both"/>
              <w:rPr>
                <w:rFonts w:hint="default" w:ascii="Times New Roman" w:hAnsi="Times New Roman" w:eastAsia="宋体" w:cs="Times New Roman"/>
                <w:b w:val="0"/>
                <w:bCs w:val="0"/>
                <w:color w:val="000000" w:themeColor="text1"/>
                <w:lang w:val="en-US" w:eastAsia="zh-CN"/>
                <w14:textFill>
                  <w14:solidFill>
                    <w14:schemeClr w14:val="tx1"/>
                  </w14:solidFill>
                </w14:textFill>
              </w:rPr>
            </w:pPr>
            <w:r>
              <w:rPr>
                <w:rFonts w:hint="default" w:ascii="Times New Roman" w:hAnsi="Times New Roman" w:eastAsia="宋体" w:cs="Times New Roman"/>
                <w:b w:val="0"/>
                <w:bCs w:val="0"/>
                <w:color w:val="000000" w:themeColor="text1"/>
                <w:lang w:val="en-US" w:eastAsia="zh-CN"/>
                <w14:textFill>
                  <w14:solidFill>
                    <w14:schemeClr w14:val="tx1"/>
                  </w14:solidFill>
                </w14:textFill>
              </w:rPr>
              <w:t>项目种植过程中使用大棚技术，因雨淋、日晒等自然因素和人为因素操作不当会造成大棚损坏，且大棚使用中容易老化，根据建设方提供资料，平均每年因老化更新和损坏换新而产生的大棚、薄膜等废弃物大约为1.25t，在这部分废弃物中，钢架等材料售卖给废旧资源回收单位；薄膜等塑料废弃物集中能回收利用的回收利用，不能回收利用的暂存于垃圾收集点，定期清运至大西小组垃圾堆放点堆放处置。</w:t>
            </w:r>
          </w:p>
          <w:p w14:paraId="0A2FF3E3">
            <w:pPr>
              <w:bidi w:val="0"/>
              <w:jc w:val="both"/>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（5）水肥原料包装袋</w:t>
            </w:r>
          </w:p>
          <w:p w14:paraId="661C212A">
            <w:pPr>
              <w:bidi w:val="0"/>
              <w:jc w:val="both"/>
              <w:rPr>
                <w:rFonts w:hint="default" w:ascii="Times New Roman" w:hAnsi="Times New Roman" w:eastAsia="宋体" w:cs="Times New Roman"/>
                <w:b w:val="0"/>
                <w:bCs w:val="0"/>
                <w:color w:val="000000" w:themeColor="text1"/>
                <w:lang w:val="en-US" w:eastAsia="zh-CN"/>
                <w14:textFill>
                  <w14:solidFill>
                    <w14:schemeClr w14:val="tx1"/>
                  </w14:solidFill>
                </w14:textFill>
              </w:rPr>
            </w:pPr>
            <w:r>
              <w:rPr>
                <w:rFonts w:hint="default" w:ascii="Times New Roman" w:hAnsi="Times New Roman" w:eastAsia="宋体" w:cs="Times New Roman"/>
                <w:b w:val="0"/>
                <w:bCs w:val="0"/>
                <w:color w:val="000000" w:themeColor="text1"/>
                <w:lang w:val="en-US" w:eastAsia="zh-CN"/>
                <w14:textFill>
                  <w14:solidFill>
                    <w14:schemeClr w14:val="tx1"/>
                  </w14:solidFill>
                </w14:textFill>
              </w:rPr>
              <w:t>项目施肥购买袋装肥料，进入水肥中心配置后通过灌溉系统灌溉，该过程中会产生水肥废弃包装袋，根据建设单位提供资料，该部分废弃物产生量约为0.7t/a，收集后暂存于水肥中心，定期外售给废品回收站。</w:t>
            </w:r>
          </w:p>
          <w:p w14:paraId="7B8091D3">
            <w:pPr>
              <w:bidi w:val="0"/>
              <w:jc w:val="both"/>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（6）农药包装袋</w:t>
            </w:r>
          </w:p>
          <w:p w14:paraId="4277139B">
            <w:pPr>
              <w:bidi w:val="0"/>
              <w:jc w:val="both"/>
              <w:rPr>
                <w:rFonts w:hint="eastAsia"/>
                <w:b w:val="0"/>
                <w:bCs w:val="0"/>
                <w:color w:val="000000" w:themeColor="text1"/>
                <w:lang w:val="en-US" w:eastAsia="zh-CN"/>
                <w14:textFill>
                  <w14:solidFill>
                    <w14:schemeClr w14:val="tx1"/>
                  </w14:solidFill>
                </w14:textFill>
              </w:rPr>
            </w:pPr>
            <w:r>
              <w:rPr>
                <w:rFonts w:hint="default" w:ascii="Times New Roman" w:hAnsi="Times New Roman" w:eastAsia="宋体" w:cs="Times New Roman"/>
                <w:b w:val="0"/>
                <w:bCs w:val="0"/>
                <w:color w:val="000000" w:themeColor="text1"/>
                <w:highlight w:val="none"/>
                <w:lang w:val="en-US" w:eastAsia="zh-CN"/>
                <w14:textFill>
                  <w14:solidFill>
                    <w14:schemeClr w14:val="tx1"/>
                  </w14:solidFill>
                </w14:textFill>
              </w:rPr>
              <w:t>废弃农药瓶（袋）规格不一，基本为塑料制品。根据《国家危险废物名录》（202</w:t>
            </w:r>
            <w:r>
              <w:rPr>
                <w:rFonts w:hint="eastAsia" w:ascii="Times New Roman" w:hAnsi="Times New Roman" w:cs="Times New Roman"/>
                <w:b w:val="0"/>
                <w:bCs w:val="0"/>
                <w:color w:val="000000" w:themeColor="text1"/>
                <w:highlight w:val="none"/>
                <w:lang w:val="en-US" w:eastAsia="zh-CN"/>
                <w14:textFill>
                  <w14:solidFill>
                    <w14:schemeClr w14:val="tx1"/>
                  </w14:solidFill>
                </w14:textFill>
              </w:rPr>
              <w:t>5</w:t>
            </w:r>
            <w:r>
              <w:rPr>
                <w:rFonts w:hint="default" w:ascii="Times New Roman" w:hAnsi="Times New Roman" w:eastAsia="宋体" w:cs="Times New Roman"/>
                <w:b w:val="0"/>
                <w:bCs w:val="0"/>
                <w:color w:val="000000" w:themeColor="text1"/>
                <w:highlight w:val="none"/>
                <w:lang w:val="en-US" w:eastAsia="zh-CN"/>
                <w14:textFill>
                  <w14:solidFill>
                    <w14:schemeClr w14:val="tx1"/>
                  </w14:solidFill>
                </w14:textFill>
              </w:rPr>
              <w:t>版），废弃的与农药直接接触或含有农药残余物的包装物，废物类别为HW04农药废物，废物代码为900-003-04，危险特性为T，该废物的收集、运输严格按照《农药包装废弃物回收处理管理办法》中</w:t>
            </w:r>
            <w:r>
              <w:rPr>
                <w:rFonts w:hint="eastAsia" w:ascii="Times New Roman" w:hAnsi="Times New Roman" w:cs="Times New Roman"/>
                <w:b w:val="0"/>
                <w:bCs w:val="0"/>
                <w:color w:val="000000" w:themeColor="text1"/>
                <w:highlight w:val="none"/>
                <w:lang w:val="en-US" w:eastAsia="zh-CN"/>
                <w14:textFill>
                  <w14:solidFill>
                    <w14:schemeClr w14:val="tx1"/>
                  </w14:solidFill>
                </w14:textFill>
              </w:rPr>
              <w:t>的</w:t>
            </w:r>
            <w:r>
              <w:rPr>
                <w:rFonts w:hint="default" w:ascii="Times New Roman" w:hAnsi="Times New Roman" w:eastAsia="宋体" w:cs="Times New Roman"/>
                <w:b w:val="0"/>
                <w:bCs w:val="0"/>
                <w:color w:val="000000" w:themeColor="text1"/>
                <w:highlight w:val="none"/>
                <w:lang w:val="en-US" w:eastAsia="zh-CN"/>
                <w14:textFill>
                  <w14:solidFill>
                    <w14:schemeClr w14:val="tx1"/>
                  </w14:solidFill>
                </w14:textFill>
              </w:rPr>
              <w:t>第十一条：农药使用者应当及时收集农药包装废弃物并交回农药经营者或农药包装废弃物回收站（点），不得随意丢弃。农药使用者在施用过程中，配药时应当通过清洗等方式充分利用包装物中的农药，减少残留农药。</w:t>
            </w:r>
            <w:r>
              <w:rPr>
                <w:rFonts w:hint="eastAsia" w:ascii="Times New Roman" w:hAnsi="Times New Roman" w:cs="Times New Roman"/>
                <w:b w:val="0"/>
                <w:bCs w:val="0"/>
                <w:color w:val="000000" w:themeColor="text1"/>
                <w:highlight w:val="none"/>
                <w:lang w:val="en-US" w:eastAsia="zh-CN"/>
                <w14:textFill>
                  <w14:solidFill>
                    <w14:schemeClr w14:val="tx1"/>
                  </w14:solidFill>
                </w14:textFill>
              </w:rPr>
              <w:t>按照</w:t>
            </w:r>
            <w:r>
              <w:rPr>
                <w:rFonts w:hint="default" w:ascii="Times New Roman" w:hAnsi="Times New Roman" w:eastAsia="宋体" w:cs="Times New Roman"/>
                <w:b w:val="0"/>
                <w:bCs w:val="0"/>
                <w:color w:val="000000" w:themeColor="text1"/>
                <w:highlight w:val="none"/>
                <w:lang w:val="en-US" w:eastAsia="zh-CN"/>
                <w14:textFill>
                  <w14:solidFill>
                    <w14:schemeClr w14:val="tx1"/>
                  </w14:solidFill>
                </w14:textFill>
              </w:rPr>
              <w:t>规定内容执行后就能达到豁免条件，可不按照危险废物管理</w:t>
            </w:r>
            <w:r>
              <w:rPr>
                <w:rFonts w:hint="eastAsia" w:ascii="Times New Roman" w:hAnsi="Times New Roman" w:cs="Times New Roman"/>
                <w:b w:val="0"/>
                <w:bCs w:val="0"/>
                <w:color w:val="000000" w:themeColor="text1"/>
                <w:highlight w:val="none"/>
                <w:lang w:val="en-US" w:eastAsia="zh-CN"/>
                <w14:textFill>
                  <w14:solidFill>
                    <w14:schemeClr w14:val="tx1"/>
                  </w14:solidFill>
                </w14:textFill>
              </w:rPr>
              <w:t>，</w:t>
            </w:r>
            <w:r>
              <w:rPr>
                <w:rFonts w:hint="eastAsia"/>
                <w:b w:val="0"/>
                <w:bCs w:val="0"/>
                <w:color w:val="000000" w:themeColor="text1"/>
                <w:lang w:val="en-US" w:eastAsia="zh-CN"/>
                <w14:textFill>
                  <w14:solidFill>
                    <w14:schemeClr w14:val="tx1"/>
                  </w14:solidFill>
                </w14:textFill>
              </w:rPr>
              <w:t>而处置过程按照</w:t>
            </w:r>
            <w:r>
              <w:rPr>
                <w:rFonts w:hint="default"/>
                <w:b w:val="0"/>
                <w:bCs w:val="0"/>
                <w:color w:val="000000" w:themeColor="text1"/>
                <w:lang w:val="en-US" w:eastAsia="zh-CN"/>
                <w14:textFill>
                  <w14:solidFill>
                    <w14:schemeClr w14:val="tx1"/>
                  </w14:solidFill>
                </w14:textFill>
              </w:rPr>
              <w:t>进入生活垃圾填埋场填埋或进入生活垃圾焚烧厂焚烧，</w:t>
            </w:r>
            <w:r>
              <w:rPr>
                <w:rFonts w:hint="eastAsia"/>
                <w:b w:val="0"/>
                <w:bCs w:val="0"/>
                <w:color w:val="000000" w:themeColor="text1"/>
                <w:lang w:val="en-US" w:eastAsia="zh-CN"/>
                <w14:textFill>
                  <w14:solidFill>
                    <w14:schemeClr w14:val="tx1"/>
                  </w14:solidFill>
                </w14:textFill>
              </w:rPr>
              <w:t>就可达到豁免范围，处置过程不按照危险废物管理。</w:t>
            </w:r>
          </w:p>
          <w:p w14:paraId="58647F1A">
            <w:pPr>
              <w:bidi w:val="0"/>
              <w:jc w:val="both"/>
              <w:rPr>
                <w:rFonts w:hint="default" w:ascii="Times New Roman" w:hAnsi="Times New Roman" w:eastAsia="宋体" w:cs="Times New Roman"/>
                <w:b w:val="0"/>
                <w:bCs w:val="0"/>
                <w:color w:val="000000" w:themeColor="text1"/>
                <w:highlight w:val="none"/>
                <w:lang w:val="en-US" w:eastAsia="zh-CN"/>
                <w14:textFill>
                  <w14:solidFill>
                    <w14:schemeClr w14:val="tx1"/>
                  </w14:solidFill>
                </w14:textFill>
              </w:rPr>
            </w:pPr>
            <w:r>
              <w:rPr>
                <w:rFonts w:hint="eastAsia"/>
                <w:b w:val="0"/>
                <w:bCs w:val="0"/>
                <w:color w:val="000000" w:themeColor="text1"/>
                <w:lang w:val="en-US" w:eastAsia="zh-CN"/>
                <w14:textFill>
                  <w14:solidFill>
                    <w14:schemeClr w14:val="tx1"/>
                  </w14:solidFill>
                </w14:textFill>
              </w:rPr>
              <w:t>根据建设单位提供资料，</w:t>
            </w:r>
            <w:r>
              <w:rPr>
                <w:rFonts w:hint="default" w:ascii="Times New Roman" w:hAnsi="Times New Roman" w:cs="Times New Roman"/>
                <w:b w:val="0"/>
                <w:bCs w:val="0"/>
                <w:color w:val="000000" w:themeColor="text1"/>
                <w:lang w:val="en-US" w:eastAsia="zh-CN"/>
                <w14:textFill>
                  <w14:solidFill>
                    <w14:schemeClr w14:val="tx1"/>
                  </w14:solidFill>
                </w14:textFill>
              </w:rPr>
              <w:t>项目每年产生0.3t，</w:t>
            </w:r>
            <w:r>
              <w:rPr>
                <w:rFonts w:hint="default" w:ascii="Times New Roman" w:hAnsi="Times New Roman" w:eastAsia="宋体" w:cs="Times New Roman"/>
                <w:b w:val="0"/>
                <w:bCs w:val="0"/>
                <w:color w:val="000000" w:themeColor="text1"/>
                <w:highlight w:val="none"/>
                <w:lang w:val="en-US" w:eastAsia="zh-CN"/>
                <w14:textFill>
                  <w14:solidFill>
                    <w14:schemeClr w14:val="tx1"/>
                  </w14:solidFill>
                </w14:textFill>
              </w:rPr>
              <w:t>项目的农药包装瓶或者袋子均在配制农药过程中使用水重复清洗几次，清洗产生的废水主要含有农药，作为农药配制液浇灌，无废水产生。废弃农药瓶</w:t>
            </w:r>
            <w:r>
              <w:rPr>
                <w:rFonts w:hint="eastAsia" w:ascii="Times New Roman" w:hAnsi="Times New Roman" w:cs="Times New Roman"/>
                <w:b w:val="0"/>
                <w:bCs w:val="0"/>
                <w:color w:val="000000" w:themeColor="text1"/>
                <w:highlight w:val="no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highlight w:val="none"/>
                <w:lang w:val="en-US" w:eastAsia="zh-CN"/>
                <w14:textFill>
                  <w14:solidFill>
                    <w14:schemeClr w14:val="tx1"/>
                  </w14:solidFill>
                </w14:textFill>
              </w:rPr>
              <w:t>包装物</w:t>
            </w:r>
            <w:r>
              <w:rPr>
                <w:rFonts w:hint="eastAsia" w:ascii="Times New Roman" w:hAnsi="Times New Roman" w:cs="Times New Roman"/>
                <w:b w:val="0"/>
                <w:bCs w:val="0"/>
                <w:color w:val="000000" w:themeColor="text1"/>
                <w:highlight w:val="none"/>
                <w:lang w:val="en-US" w:eastAsia="zh-CN"/>
                <w14:textFill>
                  <w14:solidFill>
                    <w14:schemeClr w14:val="tx1"/>
                  </w14:solidFill>
                </w14:textFill>
              </w:rPr>
              <w:t>）收集装入防渗密闭的塑料桶内后定期委托农药经营部回收，并将其送至生活垃圾填埋场填埋处置，故本项目产生的农药废包装物可不按照危险废物管理。</w:t>
            </w:r>
          </w:p>
          <w:p w14:paraId="6FD58BEE">
            <w:pPr>
              <w:bidi w:val="0"/>
              <w:jc w:val="both"/>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（7）生活垃圾</w:t>
            </w:r>
          </w:p>
          <w:p w14:paraId="5A5E570B">
            <w:pPr>
              <w:bidi w:val="0"/>
              <w:jc w:val="both"/>
              <w:rPr>
                <w:rFonts w:hint="default" w:ascii="Times New Roman" w:hAnsi="Times New Roman" w:eastAsia="宋体" w:cs="Times New Roman"/>
                <w:b w:val="0"/>
                <w:bCs w:val="0"/>
                <w:color w:val="000000" w:themeColor="text1"/>
                <w:lang w:val="en-US" w:eastAsia="zh-CN"/>
                <w14:textFill>
                  <w14:solidFill>
                    <w14:schemeClr w14:val="tx1"/>
                  </w14:solidFill>
                </w14:textFill>
              </w:rPr>
            </w:pPr>
            <w:r>
              <w:rPr>
                <w:rFonts w:hint="default" w:ascii="Times New Roman" w:hAnsi="Times New Roman" w:eastAsia="宋体" w:cs="Times New Roman"/>
                <w:b w:val="0"/>
                <w:bCs w:val="0"/>
                <w:color w:val="000000" w:themeColor="text1"/>
                <w:lang w:val="en-US" w:eastAsia="zh-CN"/>
                <w14:textFill>
                  <w14:solidFill>
                    <w14:schemeClr w14:val="tx1"/>
                  </w14:solidFill>
                </w14:textFill>
              </w:rPr>
              <w:t>根据环保统计参数测算：生活垃圾按G=K·N计算，式中：G-生活垃圾产量（kg/d）；K-人均排放系数（kg/人·天）；N-人口数（人）。本项目运营期共有工作人员及管理人员100人，按每人0.1kg/d计算，则本项目生活垃圾产生量为10kg/d，年产生量为3t，分类收集后暂存于垃圾收集点，并入附近村庄生活垃圾收集点统一处置。</w:t>
            </w:r>
          </w:p>
          <w:p w14:paraId="294AC39C">
            <w:pPr>
              <w:bidi w:val="0"/>
              <w:jc w:val="both"/>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5、对大西水库饮用水水源和尼去本水库饮用水水源影响分析</w:t>
            </w:r>
          </w:p>
          <w:p w14:paraId="36B9030D">
            <w:pPr>
              <w:bidi w:val="0"/>
              <w:jc w:val="both"/>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（1）影响分析</w:t>
            </w:r>
          </w:p>
          <w:p w14:paraId="5194958C">
            <w:pPr>
              <w:bidi w:val="0"/>
              <w:jc w:val="both"/>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根据上文分析</w:t>
            </w:r>
            <w:r>
              <w:rPr>
                <w:rFonts w:hint="default" w:ascii="Times New Roman" w:hAnsi="Times New Roman" w:eastAsia="宋体" w:cs="Times New Roman"/>
                <w:color w:val="000000" w:themeColor="text1"/>
                <w:sz w:val="24"/>
                <w:szCs w:val="24"/>
                <w:highlight w:val="none"/>
                <w14:textFill>
                  <w14:solidFill>
                    <w14:schemeClr w14:val="tx1"/>
                  </w14:solidFill>
                </w14:textFill>
              </w:rPr>
              <w:t>本项目</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为农产品、药材种植项目，主要种植蓝莓、三七、羊肚菌和桃树、苹果树</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r>
              <w:rPr>
                <w:rFonts w:hint="eastAsia" w:ascii="Times New Roman" w:hAnsi="Times New Roman" w:cs="Times New Roman"/>
                <w:color w:val="000000" w:themeColor="text1"/>
                <w:sz w:val="24"/>
                <w:lang w:val="en-US" w:eastAsia="zh-CN"/>
                <w14:textFill>
                  <w14:solidFill>
                    <w14:schemeClr w14:val="tx1"/>
                  </w14:solidFill>
                </w14:textFill>
              </w:rPr>
              <w:t>项目种植</w:t>
            </w:r>
            <w:r>
              <w:rPr>
                <w:rFonts w:hint="default" w:ascii="Times New Roman" w:hAnsi="Times New Roman" w:eastAsia="宋体" w:cs="Times New Roman"/>
                <w:color w:val="000000" w:themeColor="text1"/>
                <w:sz w:val="24"/>
                <w:lang w:val="en-US" w:eastAsia="zh-CN"/>
                <w14:textFill>
                  <w14:solidFill>
                    <w14:schemeClr w14:val="tx1"/>
                  </w14:solidFill>
                </w14:textFill>
              </w:rPr>
              <w:t>期仅对该区域的作物进行日常的抚育工作，具体为病虫害防治，肥料的施用和枝条的修剪，除灌溉以外用水量较小。项目运营期对</w:t>
            </w:r>
            <w:r>
              <w:rPr>
                <w:rFonts w:hint="default" w:ascii="Times New Roman" w:hAnsi="Times New Roman" w:eastAsia="宋体" w:cs="Times New Roman"/>
                <w:b w:val="0"/>
                <w:bCs w:val="0"/>
                <w:color w:val="000000" w:themeColor="text1"/>
                <w:lang w:val="en-US" w:eastAsia="zh-CN"/>
                <w14:textFill>
                  <w14:solidFill>
                    <w14:schemeClr w14:val="tx1"/>
                  </w14:solidFill>
                </w14:textFill>
              </w:rPr>
              <w:t>大西水库饮用水水源保护区和尼去本水库饮用水水源保护区</w:t>
            </w:r>
            <w:r>
              <w:rPr>
                <w:rFonts w:hint="default" w:ascii="Times New Roman" w:hAnsi="Times New Roman" w:eastAsia="宋体" w:cs="Times New Roman"/>
                <w:color w:val="000000" w:themeColor="text1"/>
                <w:sz w:val="24"/>
                <w:lang w:val="en-US" w:eastAsia="zh-CN"/>
                <w14:textFill>
                  <w14:solidFill>
                    <w14:schemeClr w14:val="tx1"/>
                  </w14:solidFill>
                </w14:textFill>
              </w:rPr>
              <w:t>影响不大。</w:t>
            </w:r>
          </w:p>
          <w:p w14:paraId="3FEAC566">
            <w:pPr>
              <w:bidi w:val="0"/>
              <w:ind w:left="0" w:leftChars="0" w:firstLine="480" w:firstLineChars="200"/>
              <w:jc w:val="both"/>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项目</w:t>
            </w:r>
            <w:r>
              <w:rPr>
                <w:rFonts w:hint="eastAsia" w:ascii="Times New Roman" w:hAnsi="Times New Roman" w:cs="Times New Roman"/>
                <w:color w:val="000000" w:themeColor="text1"/>
                <w:lang w:val="en-US" w:eastAsia="zh-CN"/>
                <w14:textFill>
                  <w14:solidFill>
                    <w14:schemeClr w14:val="tx1"/>
                  </w14:solidFill>
                </w14:textFill>
              </w:rPr>
              <w:t>运营</w:t>
            </w:r>
            <w:r>
              <w:rPr>
                <w:rFonts w:hint="default" w:ascii="Times New Roman" w:hAnsi="Times New Roman" w:eastAsia="宋体" w:cs="Times New Roman"/>
                <w:color w:val="000000" w:themeColor="text1"/>
                <w:lang w:val="en-US" w:eastAsia="zh-CN"/>
                <w14:textFill>
                  <w14:solidFill>
                    <w14:schemeClr w14:val="tx1"/>
                  </w14:solidFill>
                </w14:textFill>
              </w:rPr>
              <w:t>期对种植区的主要工作为日常抚育和采摘。作物的采摘并不会对</w:t>
            </w:r>
            <w:r>
              <w:rPr>
                <w:rFonts w:hint="default" w:ascii="Times New Roman" w:hAnsi="Times New Roman" w:eastAsia="宋体" w:cs="Times New Roman"/>
                <w:b w:val="0"/>
                <w:bCs w:val="0"/>
                <w:color w:val="000000" w:themeColor="text1"/>
                <w:lang w:val="en-US" w:eastAsia="zh-CN"/>
                <w14:textFill>
                  <w14:solidFill>
                    <w14:schemeClr w14:val="tx1"/>
                  </w14:solidFill>
                </w14:textFill>
              </w:rPr>
              <w:t>大西水库饮用水水源保护区和尼去本水库饮用水水源保护区</w:t>
            </w:r>
            <w:r>
              <w:rPr>
                <w:rFonts w:hint="default" w:ascii="Times New Roman" w:hAnsi="Times New Roman" w:eastAsia="宋体" w:cs="Times New Roman"/>
                <w:color w:val="000000" w:themeColor="text1"/>
                <w:lang w:val="en-US" w:eastAsia="zh-CN"/>
                <w14:textFill>
                  <w14:solidFill>
                    <w14:schemeClr w14:val="tx1"/>
                  </w14:solidFill>
                </w14:textFill>
              </w:rPr>
              <w:t>有影响。日常维护工作主要是病虫害防治和</w:t>
            </w:r>
            <w:r>
              <w:rPr>
                <w:rFonts w:hint="default" w:ascii="Times New Roman" w:hAnsi="Times New Roman" w:eastAsia="宋体" w:cs="Times New Roman"/>
                <w:color w:val="000000" w:themeColor="text1"/>
                <w:sz w:val="24"/>
                <w:lang w:val="en-US" w:eastAsia="zh-CN"/>
                <w14:textFill>
                  <w14:solidFill>
                    <w14:schemeClr w14:val="tx1"/>
                  </w14:solidFill>
                </w14:textFill>
              </w:rPr>
              <w:t>肥料的施用和枝条的修剪，从上分析，项目区与</w:t>
            </w:r>
            <w:r>
              <w:rPr>
                <w:rFonts w:hint="default" w:ascii="Times New Roman" w:hAnsi="Times New Roman" w:eastAsia="宋体" w:cs="Times New Roman"/>
                <w:b w:val="0"/>
                <w:bCs w:val="0"/>
                <w:color w:val="000000" w:themeColor="text1"/>
                <w:lang w:val="en-US" w:eastAsia="zh-CN"/>
                <w14:textFill>
                  <w14:solidFill>
                    <w14:schemeClr w14:val="tx1"/>
                  </w14:solidFill>
                </w14:textFill>
              </w:rPr>
              <w:t>大西水库饮用水水源保护区和尼去本水库饮用水水源保护区</w:t>
            </w:r>
            <w:r>
              <w:rPr>
                <w:rFonts w:hint="default" w:ascii="Times New Roman" w:hAnsi="Times New Roman" w:eastAsia="宋体" w:cs="Times New Roman"/>
                <w:color w:val="000000" w:themeColor="text1"/>
                <w:sz w:val="24"/>
                <w:lang w:val="en-US" w:eastAsia="zh-CN"/>
                <w14:textFill>
                  <w14:solidFill>
                    <w14:schemeClr w14:val="tx1"/>
                  </w14:solidFill>
                </w14:textFill>
              </w:rPr>
              <w:t>地表水不存在直接的联系，只要项目运营过程中，严格按照项目日常抚育方案和本项目提出的各项措施，也不会对</w:t>
            </w:r>
            <w:r>
              <w:rPr>
                <w:rFonts w:hint="default" w:ascii="Times New Roman" w:hAnsi="Times New Roman" w:eastAsia="宋体" w:cs="Times New Roman"/>
                <w:b w:val="0"/>
                <w:bCs w:val="0"/>
                <w:color w:val="000000" w:themeColor="text1"/>
                <w:lang w:val="en-US" w:eastAsia="zh-CN"/>
                <w14:textFill>
                  <w14:solidFill>
                    <w14:schemeClr w14:val="tx1"/>
                  </w14:solidFill>
                </w14:textFill>
              </w:rPr>
              <w:t>大西水库饮用水水源保护区和尼去本水库饮用水水源保护区</w:t>
            </w:r>
            <w:r>
              <w:rPr>
                <w:rFonts w:hint="default" w:ascii="Times New Roman" w:hAnsi="Times New Roman" w:eastAsia="宋体" w:cs="Times New Roman"/>
                <w:color w:val="000000" w:themeColor="text1"/>
                <w:sz w:val="24"/>
                <w:lang w:val="en-US" w:eastAsia="zh-CN"/>
                <w14:textFill>
                  <w14:solidFill>
                    <w14:schemeClr w14:val="tx1"/>
                  </w14:solidFill>
                </w14:textFill>
              </w:rPr>
              <w:t>产生影响。</w:t>
            </w:r>
          </w:p>
          <w:p w14:paraId="09C60025">
            <w:pPr>
              <w:bidi w:val="0"/>
              <w:ind w:left="0" w:leftChars="0" w:firstLine="480" w:firstLineChars="200"/>
              <w:jc w:val="both"/>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2</w:t>
            </w:r>
            <w:r>
              <w:rPr>
                <w:rFonts w:hint="default" w:ascii="Times New Roman" w:hAnsi="Times New Roman" w:eastAsia="宋体"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保护措施</w:t>
            </w:r>
          </w:p>
          <w:p w14:paraId="0803C386">
            <w:pPr>
              <w:bidi w:val="0"/>
              <w:jc w:val="both"/>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1）农资管理</w:t>
            </w:r>
          </w:p>
          <w:p w14:paraId="73BF9DB9">
            <w:pPr>
              <w:bidi w:val="0"/>
              <w:jc w:val="both"/>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①精准施用：利用无人机、智能施肥灌溉系统等，依据果树生长、病虫害和土壤肥力状况精确投放农药化肥，避免过量，如用传感器测土定肥量。</w:t>
            </w:r>
          </w:p>
          <w:p w14:paraId="3E993E9D">
            <w:pPr>
              <w:bidi w:val="0"/>
              <w:jc w:val="both"/>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②环保农资：推广生物农药和有机肥料（如腐熟农家肥）、新型绿色肥料，减少化学污染，提高土壤质量和养分利用率。</w:t>
            </w:r>
          </w:p>
          <w:p w14:paraId="3A9AF42A">
            <w:pPr>
              <w:bidi w:val="0"/>
              <w:jc w:val="both"/>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③优化时间：根据天气预报和果树生长时期合理安排农药化肥使用，雨季和灌溉前暂停施用易流失或挥发的农资。</w:t>
            </w:r>
          </w:p>
          <w:p w14:paraId="50F3381A">
            <w:pPr>
              <w:bidi w:val="0"/>
              <w:jc w:val="both"/>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2）灌溉排水优化</w:t>
            </w:r>
          </w:p>
          <w:p w14:paraId="204AFE87">
            <w:pPr>
              <w:bidi w:val="0"/>
              <w:jc w:val="both"/>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①改进灌溉：普及滴灌和微喷灌。滴灌将水精准滴至根部，微喷灌模拟自然降水，减少蒸发、径流，提高水利用效率，控制水量和频率，避免地下水位异常和盐碱化。</w:t>
            </w:r>
          </w:p>
          <w:p w14:paraId="58B19F6D">
            <w:pPr>
              <w:bidi w:val="0"/>
              <w:jc w:val="both"/>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②完善排水：依据果园地形建设排水沟、渠和泵站等排水设施，保证排水顺畅，及时排出积水，防止土壤有害物质向地下水迁移。</w:t>
            </w:r>
          </w:p>
          <w:p w14:paraId="616DFC5F">
            <w:pPr>
              <w:bidi w:val="0"/>
              <w:jc w:val="both"/>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3）管理措施</w:t>
            </w:r>
          </w:p>
          <w:p w14:paraId="0F7764CA">
            <w:pPr>
              <w:bidi w:val="0"/>
              <w:jc w:val="both"/>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培训作业工作人员，</w:t>
            </w:r>
            <w:r>
              <w:rPr>
                <w:rFonts w:hint="eastAsia" w:ascii="Times New Roman" w:hAnsi="Times New Roman" w:cs="Times New Roman"/>
                <w:color w:val="000000" w:themeColor="text1"/>
                <w:sz w:val="24"/>
                <w:lang w:val="en-US" w:eastAsia="zh-CN"/>
                <w14:textFill>
                  <w14:solidFill>
                    <w14:schemeClr w14:val="tx1"/>
                  </w14:solidFill>
                </w14:textFill>
              </w:rPr>
              <w:t>增强</w:t>
            </w:r>
            <w:r>
              <w:rPr>
                <w:rFonts w:hint="default" w:ascii="Times New Roman" w:hAnsi="Times New Roman" w:eastAsia="宋体" w:cs="Times New Roman"/>
                <w:color w:val="000000" w:themeColor="text1"/>
                <w:sz w:val="24"/>
                <w:lang w:val="en-US" w:eastAsia="zh-CN"/>
                <w14:textFill>
                  <w14:solidFill>
                    <w14:schemeClr w14:val="tx1"/>
                  </w14:solidFill>
                </w14:textFill>
              </w:rPr>
              <w:t>环保和地下水保护意识，传授科学种植管理知识，规范果园管理制度，对农资各环节严格管理和违规处罚。</w:t>
            </w:r>
          </w:p>
          <w:p w14:paraId="6B52BDEF">
            <w:pPr>
              <w:bidi w:val="0"/>
              <w:ind w:left="0" w:leftChars="0" w:firstLine="482" w:firstLineChars="200"/>
              <w:jc w:val="both"/>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eastAsia" w:ascii="Times New Roman" w:hAnsi="Times New Roman" w:cs="Times New Roman"/>
                <w:b/>
                <w:bCs/>
                <w:color w:val="000000" w:themeColor="text1"/>
                <w:lang w:val="en-US" w:eastAsia="zh-CN"/>
                <w14:textFill>
                  <w14:solidFill>
                    <w14:schemeClr w14:val="tx1"/>
                  </w14:solidFill>
                </w14:textFill>
              </w:rPr>
              <w:t>三</w:t>
            </w:r>
            <w:r>
              <w:rPr>
                <w:rFonts w:hint="default" w:ascii="Times New Roman" w:hAnsi="Times New Roman" w:eastAsia="宋体" w:cs="Times New Roman"/>
                <w:b/>
                <w:bCs/>
                <w:color w:val="000000" w:themeColor="text1"/>
                <w:lang w:val="en-US" w:eastAsia="zh-CN"/>
                <w14:textFill>
                  <w14:solidFill>
                    <w14:schemeClr w14:val="tx1"/>
                  </w14:solidFill>
                </w14:textFill>
              </w:rPr>
              <w:t>、服务期满后环境影响分析</w:t>
            </w:r>
          </w:p>
          <w:p w14:paraId="27FFFE21">
            <w:pPr>
              <w:bidi w:val="0"/>
              <w:jc w:val="both"/>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eastAsia="zh-CN"/>
                <w14:textFill>
                  <w14:solidFill>
                    <w14:schemeClr w14:val="tx1"/>
                  </w14:solidFill>
                </w14:textFill>
              </w:rPr>
              <w:t>种植区域</w:t>
            </w:r>
            <w:r>
              <w:rPr>
                <w:rFonts w:hint="default" w:ascii="Times New Roman" w:hAnsi="Times New Roman" w:eastAsia="宋体" w:cs="Times New Roman"/>
                <w:color w:val="000000" w:themeColor="text1"/>
                <w14:textFill>
                  <w14:solidFill>
                    <w14:schemeClr w14:val="tx1"/>
                  </w14:solidFill>
                </w14:textFill>
              </w:rPr>
              <w:t>使用寿命</w:t>
            </w:r>
            <w:r>
              <w:rPr>
                <w:rFonts w:hint="default" w:ascii="Times New Roman" w:hAnsi="Times New Roman" w:eastAsia="宋体" w:cs="Times New Roman"/>
                <w:color w:val="000000" w:themeColor="text1"/>
                <w:lang w:val="en-US" w:eastAsia="zh-CN"/>
                <w14:textFill>
                  <w14:solidFill>
                    <w14:schemeClr w14:val="tx1"/>
                  </w14:solidFill>
                </w14:textFill>
              </w:rPr>
              <w:t>20</w:t>
            </w:r>
            <w:r>
              <w:rPr>
                <w:rFonts w:hint="default" w:ascii="Times New Roman" w:hAnsi="Times New Roman" w:eastAsia="宋体" w:cs="Times New Roman"/>
                <w:color w:val="000000" w:themeColor="text1"/>
                <w14:textFill>
                  <w14:solidFill>
                    <w14:schemeClr w14:val="tx1"/>
                  </w14:solidFill>
                </w14:textFill>
              </w:rPr>
              <w:t>年，</w:t>
            </w:r>
            <w:r>
              <w:rPr>
                <w:rFonts w:hint="default" w:ascii="Times New Roman" w:hAnsi="Times New Roman" w:eastAsia="宋体" w:cs="Times New Roman"/>
                <w:color w:val="000000" w:themeColor="text1"/>
                <w:lang w:eastAsia="zh-CN"/>
                <w14:textFill>
                  <w14:solidFill>
                    <w14:schemeClr w14:val="tx1"/>
                  </w14:solidFill>
                </w14:textFill>
              </w:rPr>
              <w:t>待</w:t>
            </w:r>
            <w:r>
              <w:rPr>
                <w:rFonts w:hint="default" w:ascii="Times New Roman" w:hAnsi="Times New Roman" w:eastAsia="宋体" w:cs="Times New Roman"/>
                <w:color w:val="000000" w:themeColor="text1"/>
                <w14:textFill>
                  <w14:solidFill>
                    <w14:schemeClr w14:val="tx1"/>
                  </w14:solidFill>
                </w14:textFill>
              </w:rPr>
              <w:t>服务期满后，按国家相关要求，</w:t>
            </w:r>
            <w:r>
              <w:rPr>
                <w:rFonts w:hint="default" w:ascii="Times New Roman" w:hAnsi="Times New Roman" w:eastAsia="宋体" w:cs="Times New Roman"/>
                <w:color w:val="000000" w:themeColor="text1"/>
                <w:lang w:eastAsia="zh-CN"/>
                <w14:textFill>
                  <w14:solidFill>
                    <w14:schemeClr w14:val="tx1"/>
                  </w14:solidFill>
                </w14:textFill>
              </w:rPr>
              <w:t>应恢复水池、拆除搭建的管护用房</w:t>
            </w:r>
            <w:r>
              <w:rPr>
                <w:rFonts w:hint="default" w:ascii="Times New Roman" w:hAnsi="Times New Roman" w:eastAsia="宋体" w:cs="Times New Roman"/>
                <w:color w:val="000000" w:themeColor="text1"/>
                <w14:textFill>
                  <w14:solidFill>
                    <w14:schemeClr w14:val="tx1"/>
                  </w14:solidFill>
                </w14:textFill>
              </w:rPr>
              <w:t>。因此，服务期满后应进行生态恢复：①</w:t>
            </w:r>
            <w:bookmarkStart w:id="16" w:name="OLE_LINK20"/>
            <w:r>
              <w:rPr>
                <w:rFonts w:hint="default" w:ascii="Times New Roman" w:hAnsi="Times New Roman" w:eastAsia="宋体" w:cs="Times New Roman"/>
                <w:color w:val="000000" w:themeColor="text1"/>
                <w:lang w:eastAsia="zh-CN"/>
                <w14:textFill>
                  <w14:solidFill>
                    <w14:schemeClr w14:val="tx1"/>
                  </w14:solidFill>
                </w14:textFill>
              </w:rPr>
              <w:t>拆除管护用房区</w:t>
            </w:r>
            <w:bookmarkEnd w:id="16"/>
            <w:r>
              <w:rPr>
                <w:rFonts w:hint="default" w:ascii="Times New Roman" w:hAnsi="Times New Roman" w:eastAsia="宋体" w:cs="Times New Roman"/>
                <w:color w:val="000000" w:themeColor="text1"/>
                <w:lang w:eastAsia="zh-CN"/>
                <w14:textFill>
                  <w14:solidFill>
                    <w14:schemeClr w14:val="tx1"/>
                  </w14:solidFill>
                </w14:textFill>
              </w:rPr>
              <w:t>内的建筑</w:t>
            </w:r>
            <w:r>
              <w:rPr>
                <w:rFonts w:hint="default" w:ascii="Times New Roman" w:hAnsi="Times New Roman" w:eastAsia="宋体" w:cs="Times New Roman"/>
                <w:color w:val="000000" w:themeColor="text1"/>
                <w14:textFill>
                  <w14:solidFill>
                    <w14:schemeClr w14:val="tx1"/>
                  </w14:solidFill>
                </w14:textFill>
              </w:rPr>
              <w:t>，对</w:t>
            </w:r>
            <w:r>
              <w:rPr>
                <w:rFonts w:hint="default" w:ascii="Times New Roman" w:hAnsi="Times New Roman" w:eastAsia="宋体" w:cs="Times New Roman"/>
                <w:color w:val="000000" w:themeColor="text1"/>
                <w:lang w:eastAsia="zh-CN"/>
                <w14:textFill>
                  <w14:solidFill>
                    <w14:schemeClr w14:val="tx1"/>
                  </w14:solidFill>
                </w14:textFill>
              </w:rPr>
              <w:t>管护用房区</w:t>
            </w:r>
            <w:r>
              <w:rPr>
                <w:rFonts w:hint="default" w:ascii="Times New Roman" w:hAnsi="Times New Roman" w:eastAsia="宋体" w:cs="Times New Roman"/>
                <w:color w:val="000000" w:themeColor="text1"/>
                <w14:textFill>
                  <w14:solidFill>
                    <w14:schemeClr w14:val="tx1"/>
                  </w14:solidFill>
                </w14:textFill>
              </w:rPr>
              <w:t>进行恢复；②拆除过程中应尽量减小对土地的扰动，</w:t>
            </w:r>
            <w:r>
              <w:rPr>
                <w:rFonts w:hint="eastAsia" w:ascii="Times New Roman" w:hAnsi="Times New Roman" w:cs="Times New Roman"/>
                <w:color w:val="000000" w:themeColor="text1"/>
                <w:lang w:eastAsia="zh-CN"/>
                <w14:textFill>
                  <w14:solidFill>
                    <w14:schemeClr w14:val="tx1"/>
                  </w14:solidFill>
                </w14:textFill>
              </w:rPr>
              <w:t>对</w:t>
            </w:r>
            <w:r>
              <w:rPr>
                <w:rFonts w:hint="default" w:ascii="Times New Roman" w:hAnsi="Times New Roman" w:eastAsia="宋体" w:cs="Times New Roman"/>
                <w:color w:val="000000" w:themeColor="text1"/>
                <w14:textFill>
                  <w14:solidFill>
                    <w14:schemeClr w14:val="tx1"/>
                  </w14:solidFill>
                </w14:textFill>
              </w:rPr>
              <w:t>项目区原绿化土地应保留；③</w:t>
            </w:r>
            <w:r>
              <w:rPr>
                <w:rFonts w:hint="default" w:ascii="Times New Roman" w:hAnsi="Times New Roman" w:eastAsia="宋体" w:cs="Times New Roman"/>
                <w:color w:val="000000" w:themeColor="text1"/>
                <w:lang w:eastAsia="zh-CN"/>
                <w14:textFill>
                  <w14:solidFill>
                    <w14:schemeClr w14:val="tx1"/>
                  </w14:solidFill>
                </w14:textFill>
              </w:rPr>
              <w:t>拆除管护用房区内的建筑拆除后，</w:t>
            </w:r>
            <w:r>
              <w:rPr>
                <w:rFonts w:hint="default" w:ascii="Times New Roman" w:hAnsi="Times New Roman" w:eastAsia="宋体" w:cs="Times New Roman"/>
                <w:color w:val="000000" w:themeColor="text1"/>
                <w14:textFill>
                  <w14:solidFill>
                    <w14:schemeClr w14:val="tx1"/>
                  </w14:solidFill>
                </w14:textFill>
              </w:rPr>
              <w:t>应进行</w:t>
            </w:r>
            <w:r>
              <w:rPr>
                <w:rFonts w:hint="default" w:ascii="Times New Roman" w:hAnsi="Times New Roman" w:eastAsia="宋体" w:cs="Times New Roman"/>
                <w:color w:val="000000" w:themeColor="text1"/>
                <w:lang w:eastAsia="zh-CN"/>
                <w14:textFill>
                  <w14:solidFill>
                    <w14:schemeClr w14:val="tx1"/>
                  </w14:solidFill>
                </w14:textFill>
              </w:rPr>
              <w:t>植被</w:t>
            </w:r>
            <w:r>
              <w:rPr>
                <w:rFonts w:hint="default" w:ascii="Times New Roman" w:hAnsi="Times New Roman" w:eastAsia="宋体" w:cs="Times New Roman"/>
                <w:color w:val="000000" w:themeColor="text1"/>
                <w14:textFill>
                  <w14:solidFill>
                    <w14:schemeClr w14:val="tx1"/>
                  </w14:solidFill>
                </w14:textFill>
              </w:rPr>
              <w:t>恢复</w:t>
            </w:r>
            <w:r>
              <w:rPr>
                <w:rFonts w:hint="default" w:ascii="Times New Roman" w:hAnsi="Times New Roman" w:eastAsia="宋体" w:cs="Times New Roman"/>
                <w:color w:val="000000" w:themeColor="text1"/>
                <w:lang w:eastAsia="zh-CN"/>
                <w14:textFill>
                  <w14:solidFill>
                    <w14:schemeClr w14:val="tx1"/>
                  </w14:solidFill>
                </w14:textFill>
              </w:rPr>
              <w:t>，防止水土流失；</w:t>
            </w:r>
            <w:r>
              <w:rPr>
                <w:rFonts w:hint="default" w:ascii="Times New Roman" w:hAnsi="Times New Roman" w:eastAsia="宋体" w:cs="Times New Roman"/>
                <w:color w:val="000000" w:themeColor="text1"/>
                <w14:textFill>
                  <w14:solidFill>
                    <w14:schemeClr w14:val="tx1"/>
                  </w14:solidFill>
                </w14:textFill>
              </w:rPr>
              <w:t>④对</w:t>
            </w:r>
            <w:r>
              <w:rPr>
                <w:rFonts w:hint="default" w:ascii="Times New Roman" w:hAnsi="Times New Roman" w:eastAsia="宋体" w:cs="Times New Roman"/>
                <w:color w:val="000000" w:themeColor="text1"/>
                <w:lang w:eastAsia="zh-CN"/>
                <w14:textFill>
                  <w14:solidFill>
                    <w14:schemeClr w14:val="tx1"/>
                  </w14:solidFill>
                </w14:textFill>
              </w:rPr>
              <w:t>种植区内</w:t>
            </w:r>
            <w:r>
              <w:rPr>
                <w:rFonts w:hint="default" w:ascii="Times New Roman" w:hAnsi="Times New Roman" w:eastAsia="宋体" w:cs="Times New Roman"/>
                <w:color w:val="000000" w:themeColor="text1"/>
                <w14:textFill>
                  <w14:solidFill>
                    <w14:schemeClr w14:val="tx1"/>
                  </w14:solidFill>
                </w14:textFill>
              </w:rPr>
              <w:t>占用的林地和草地进行植被恢复</w:t>
            </w:r>
            <w:r>
              <w:rPr>
                <w:rFonts w:hint="default" w:ascii="Times New Roman" w:hAnsi="Times New Roman" w:eastAsia="宋体"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sz w:val="24"/>
                <w:szCs w:val="24"/>
                <w14:textFill>
                  <w14:solidFill>
                    <w14:schemeClr w14:val="tx1"/>
                  </w14:solidFill>
                </w14:textFill>
              </w:rPr>
              <w:t>根据新项目对地形地貌及景观的破坏程度，</w:t>
            </w:r>
            <w:r>
              <w:rPr>
                <w:rFonts w:hint="default" w:ascii="Times New Roman" w:hAnsi="Times New Roman" w:eastAsia="宋体" w:cs="Times New Roman"/>
                <w:color w:val="000000" w:themeColor="text1"/>
                <w:lang w:val="en-US" w:eastAsia="zh-CN"/>
                <w14:textFill>
                  <w14:solidFill>
                    <w14:schemeClr w14:val="tx1"/>
                  </w14:solidFill>
                </w14:textFill>
              </w:rPr>
              <w:t>项目服务期满后，应及时撒播当地乡土灌木和草种，避免被紫茎泽兰等外来有害生物侵入。</w:t>
            </w:r>
          </w:p>
          <w:p w14:paraId="684FB280">
            <w:pPr>
              <w:ind w:firstLine="480"/>
              <w:jc w:val="both"/>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综上所述，建设单位在严格落实上述环境保护措施后，</w:t>
            </w:r>
            <w:r>
              <w:rPr>
                <w:rFonts w:hint="default" w:ascii="Times New Roman" w:hAnsi="Times New Roman" w:eastAsia="宋体" w:cs="Times New Roman"/>
                <w:color w:val="000000" w:themeColor="text1"/>
                <w:sz w:val="24"/>
                <w:szCs w:val="24"/>
                <w:lang w:eastAsia="zh-CN"/>
                <w14:textFill>
                  <w14:solidFill>
                    <w14:schemeClr w14:val="tx1"/>
                  </w14:solidFill>
                </w14:textFill>
              </w:rPr>
              <w:t>项目</w:t>
            </w:r>
            <w:r>
              <w:rPr>
                <w:rFonts w:hint="default" w:ascii="Times New Roman" w:hAnsi="Times New Roman" w:eastAsia="宋体" w:cs="Times New Roman"/>
                <w:color w:val="000000" w:themeColor="text1"/>
                <w:sz w:val="24"/>
                <w:szCs w:val="24"/>
                <w14:textFill>
                  <w14:solidFill>
                    <w14:schemeClr w14:val="tx1"/>
                  </w14:solidFill>
                </w14:textFill>
              </w:rPr>
              <w:t>服务期满后对环境产生的影响较小。</w:t>
            </w:r>
          </w:p>
        </w:tc>
      </w:tr>
      <w:tr w14:paraId="71935B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31" w:hRule="atLeast"/>
          <w:jc w:val="center"/>
        </w:trPr>
        <w:tc>
          <w:tcPr>
            <w:tcW w:w="777" w:type="dxa"/>
            <w:vAlign w:val="center"/>
          </w:tcPr>
          <w:p w14:paraId="7CD9692B">
            <w:pPr>
              <w:pStyle w:val="21"/>
              <w:adjustRightInd w:val="0"/>
              <w:snapToGrid w:val="0"/>
              <w:spacing w:before="0" w:beforeAutospacing="0" w:after="0" w:afterAutospacing="0"/>
              <w:ind w:firstLine="0" w:firstLineChars="0"/>
              <w:jc w:val="both"/>
              <w:rPr>
                <w:rFonts w:hint="default" w:ascii="Times New Roman" w:hAnsi="Times New Roman" w:eastAsia="宋体" w:cs="Times New Roman"/>
                <w:bCs/>
                <w:color w:val="000000" w:themeColor="text1"/>
                <w:kern w:val="2"/>
                <w14:textFill>
                  <w14:solidFill>
                    <w14:schemeClr w14:val="tx1"/>
                  </w14:solidFill>
                </w14:textFill>
              </w:rPr>
            </w:pPr>
            <w:r>
              <w:rPr>
                <w:rFonts w:hint="default" w:ascii="Times New Roman" w:hAnsi="Times New Roman" w:eastAsia="宋体" w:cs="Times New Roman"/>
                <w:bCs/>
                <w:color w:val="000000" w:themeColor="text1"/>
                <w:kern w:val="2"/>
                <w14:textFill>
                  <w14:solidFill>
                    <w14:schemeClr w14:val="tx1"/>
                  </w14:solidFill>
                </w14:textFill>
              </w:rPr>
              <w:t>选址选线环境合理性分析</w:t>
            </w:r>
          </w:p>
        </w:tc>
        <w:tc>
          <w:tcPr>
            <w:tcW w:w="8189" w:type="dxa"/>
          </w:tcPr>
          <w:p w14:paraId="65CF0AD3">
            <w:pPr>
              <w:numPr>
                <w:ilvl w:val="0"/>
                <w:numId w:val="0"/>
              </w:numPr>
              <w:bidi w:val="0"/>
              <w:ind w:leftChars="0" w:firstLine="482" w:firstLineChars="200"/>
              <w:jc w:val="both"/>
              <w:rPr>
                <w:rFonts w:hint="default" w:ascii="Times New Roman" w:hAnsi="Times New Roman" w:eastAsia="宋体" w:cs="Times New Roman"/>
                <w:b/>
                <w:bCs/>
                <w:color w:val="000000" w:themeColor="text1"/>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1、</w:t>
            </w:r>
            <w:r>
              <w:rPr>
                <w:rFonts w:hint="default" w:ascii="Times New Roman" w:hAnsi="Times New Roman" w:eastAsia="宋体" w:cs="Times New Roman"/>
                <w:b/>
                <w:bCs/>
                <w:color w:val="000000" w:themeColor="text1"/>
                <w14:textFill>
                  <w14:solidFill>
                    <w14:schemeClr w14:val="tx1"/>
                  </w14:solidFill>
                </w14:textFill>
              </w:rPr>
              <w:t>工程选址合理性分析</w:t>
            </w:r>
          </w:p>
          <w:p w14:paraId="420FF3C2">
            <w:pPr>
              <w:ind w:firstLine="480"/>
              <w:jc w:val="both"/>
              <w:rPr>
                <w:rFonts w:hint="default" w:ascii="Times New Roman" w:hAnsi="Times New Roman" w:eastAsia="宋体" w:cs="Times New Roman"/>
                <w:color w:val="000000" w:themeColor="text1"/>
                <w:kern w:val="0"/>
                <w:lang w:eastAsia="zh-CN"/>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本工程未设置比选方案，</w:t>
            </w:r>
            <w:r>
              <w:rPr>
                <w:rFonts w:hint="default" w:ascii="Times New Roman" w:hAnsi="Times New Roman" w:eastAsia="宋体" w:cs="Times New Roman"/>
                <w:color w:val="000000" w:themeColor="text1"/>
                <w:kern w:val="0"/>
                <w14:textFill>
                  <w14:solidFill>
                    <w14:schemeClr w14:val="tx1"/>
                  </w14:solidFill>
                </w14:textFill>
              </w:rPr>
              <w:t>根据资料分析及现场踏勘，本项目</w:t>
            </w:r>
            <w:r>
              <w:rPr>
                <w:rFonts w:hint="default" w:ascii="Times New Roman" w:hAnsi="Times New Roman" w:eastAsia="宋体" w:cs="Times New Roman"/>
                <w:color w:val="000000" w:themeColor="text1"/>
                <w:kern w:val="0"/>
                <w:lang w:val="en-US" w:eastAsia="zh-CN"/>
                <w14:textFill>
                  <w14:solidFill>
                    <w14:schemeClr w14:val="tx1"/>
                  </w14:solidFill>
                </w14:textFill>
              </w:rPr>
              <w:t>500m范围内无敏感点</w:t>
            </w:r>
            <w:r>
              <w:rPr>
                <w:rFonts w:hint="default" w:ascii="Times New Roman" w:hAnsi="Times New Roman" w:eastAsia="宋体" w:cs="Times New Roman"/>
                <w:color w:val="000000" w:themeColor="text1"/>
                <w:kern w:val="0"/>
                <w14:textFill>
                  <w14:solidFill>
                    <w14:schemeClr w14:val="tx1"/>
                  </w14:solidFill>
                </w14:textFill>
              </w:rPr>
              <w:t>，</w:t>
            </w:r>
            <w:r>
              <w:rPr>
                <w:rFonts w:hint="default" w:ascii="Times New Roman" w:hAnsi="Times New Roman" w:eastAsia="宋体" w:cs="Times New Roman"/>
                <w:color w:val="000000" w:themeColor="text1"/>
                <w:spacing w:val="-2"/>
                <w14:textFill>
                  <w14:solidFill>
                    <w14:schemeClr w14:val="tx1"/>
                  </w14:solidFill>
                </w14:textFill>
              </w:rPr>
              <w:t>评价区未发现国家级和云南省级保护植物物种，以及地方狭域植物种类和古树名木分布，不涉及重点保护野生植物生长繁殖地；未发现国家级和云南省级野生保护动物，不涉及重点保护野生动物栖息地；不涉及重要水生生物产卵场、索饵场、越冬场和洄游通道，不涉及自然保护区、风景名胜区、</w:t>
            </w:r>
            <w:r>
              <w:rPr>
                <w:rFonts w:hint="default" w:ascii="Times New Roman" w:hAnsi="Times New Roman" w:eastAsia="宋体" w:cs="Times New Roman"/>
                <w:color w:val="000000" w:themeColor="text1"/>
                <w:kern w:val="0"/>
                <w14:textFill>
                  <w14:solidFill>
                    <w14:schemeClr w14:val="tx1"/>
                  </w14:solidFill>
                </w14:textFill>
              </w:rPr>
              <w:t>饮用水源取水口、</w:t>
            </w:r>
            <w:r>
              <w:rPr>
                <w:rFonts w:hint="default" w:ascii="Times New Roman" w:hAnsi="Times New Roman" w:eastAsia="宋体" w:cs="Times New Roman"/>
                <w:color w:val="000000" w:themeColor="text1"/>
                <w:spacing w:val="-2"/>
                <w14:textFill>
                  <w14:solidFill>
                    <w14:schemeClr w14:val="tx1"/>
                  </w14:solidFill>
                </w14:textFill>
              </w:rPr>
              <w:t>生态保护红线等水利工程的环境敏感区</w:t>
            </w:r>
            <w:r>
              <w:rPr>
                <w:rFonts w:hint="default" w:ascii="Times New Roman" w:hAnsi="Times New Roman" w:eastAsia="宋体" w:cs="Times New Roman"/>
                <w:color w:val="000000" w:themeColor="text1"/>
                <w:kern w:val="0"/>
                <w14:textFill>
                  <w14:solidFill>
                    <w14:schemeClr w14:val="tx1"/>
                  </w14:solidFill>
                </w14:textFill>
              </w:rPr>
              <w:t>，无明显的环境制约因素；</w:t>
            </w:r>
            <w:r>
              <w:rPr>
                <w:rFonts w:hint="default" w:ascii="Times New Roman" w:hAnsi="Times New Roman" w:eastAsia="宋体" w:cs="Times New Roman"/>
                <w:color w:val="000000" w:themeColor="text1"/>
                <w:kern w:val="0"/>
                <w:lang w:val="en-US" w:eastAsia="zh-CN"/>
                <w14:textFill>
                  <w14:solidFill>
                    <w14:schemeClr w14:val="tx1"/>
                  </w14:solidFill>
                </w14:textFill>
              </w:rPr>
              <w:t>涉及两个饮用水水源保护区，项目区建设严格遵守《中华人民共和国水污染防治法》中饮用水水体保护的相关要求。</w:t>
            </w:r>
            <w:r>
              <w:rPr>
                <w:rFonts w:hint="default" w:ascii="Times New Roman" w:hAnsi="Times New Roman" w:eastAsia="宋体" w:cs="Times New Roman"/>
                <w:color w:val="000000" w:themeColor="text1"/>
                <w:kern w:val="0"/>
                <w14:textFill>
                  <w14:solidFill>
                    <w14:schemeClr w14:val="tx1"/>
                  </w14:solidFill>
                </w14:textFill>
              </w:rPr>
              <w:t>项目周边供水、供电设施完善，周边道路通畅、交通便利</w:t>
            </w:r>
            <w:r>
              <w:rPr>
                <w:rFonts w:hint="default" w:ascii="Times New Roman" w:hAnsi="Times New Roman" w:eastAsia="宋体" w:cs="Times New Roman"/>
                <w:color w:val="000000" w:themeColor="text1"/>
                <w:kern w:val="0"/>
                <w:lang w:eastAsia="zh-CN"/>
                <w14:textFill>
                  <w14:solidFill>
                    <w14:schemeClr w14:val="tx1"/>
                  </w14:solidFill>
                </w14:textFill>
              </w:rPr>
              <w:t>。</w:t>
            </w:r>
          </w:p>
          <w:p w14:paraId="05543324">
            <w:pPr>
              <w:bidi w:val="0"/>
              <w:jc w:val="both"/>
              <w:rPr>
                <w:rFonts w:hint="default" w:ascii="Times New Roman" w:hAnsi="Times New Roman" w:eastAsia="宋体" w:cs="Times New Roman"/>
                <w:color w:val="000000" w:themeColor="text1"/>
                <w:sz w:val="24"/>
                <w14:textFill>
                  <w14:solidFill>
                    <w14:schemeClr w14:val="tx1"/>
                  </w14:solidFill>
                </w14:textFill>
              </w:rPr>
            </w:pPr>
            <w:r>
              <w:rPr>
                <w:rFonts w:hint="default" w:ascii="Times New Roman" w:hAnsi="Times New Roman" w:eastAsia="宋体" w:cs="Times New Roman"/>
                <w:color w:val="000000" w:themeColor="text1"/>
                <w:sz w:val="24"/>
                <w14:textFill>
                  <w14:solidFill>
                    <w14:schemeClr w14:val="tx1"/>
                  </w14:solidFill>
                </w14:textFill>
              </w:rPr>
              <w:t>项目选址充分考虑了国家和云南省相关用地政策、规划、环保要求，本项目积极响应党中央建设社会主义新农村的号召，旨在通过发展</w:t>
            </w:r>
            <w:r>
              <w:rPr>
                <w:rFonts w:hint="default" w:ascii="Times New Roman" w:hAnsi="Times New Roman" w:eastAsia="宋体" w:cs="Times New Roman"/>
                <w:color w:val="000000" w:themeColor="text1"/>
                <w:sz w:val="24"/>
                <w:lang w:eastAsia="zh-CN"/>
                <w14:textFill>
                  <w14:solidFill>
                    <w14:schemeClr w14:val="tx1"/>
                  </w14:solidFill>
                </w14:textFill>
              </w:rPr>
              <w:t>营造</w:t>
            </w:r>
            <w:r>
              <w:rPr>
                <w:rFonts w:hint="default" w:ascii="Times New Roman" w:hAnsi="Times New Roman" w:eastAsia="宋体" w:cs="Times New Roman"/>
                <w:color w:val="000000" w:themeColor="text1"/>
                <w:sz w:val="24"/>
                <w:lang w:val="en-US" w:eastAsia="zh-CN"/>
                <w14:textFill>
                  <w14:solidFill>
                    <w14:schemeClr w14:val="tx1"/>
                  </w14:solidFill>
                </w14:textFill>
              </w:rPr>
              <w:t>农产品基地</w:t>
            </w:r>
            <w:r>
              <w:rPr>
                <w:rFonts w:hint="default" w:ascii="Times New Roman" w:hAnsi="Times New Roman" w:eastAsia="宋体" w:cs="Times New Roman"/>
                <w:color w:val="000000" w:themeColor="text1"/>
                <w:sz w:val="24"/>
                <w:lang w:eastAsia="zh-CN"/>
                <w14:textFill>
                  <w14:solidFill>
                    <w14:schemeClr w14:val="tx1"/>
                  </w14:solidFill>
                </w14:textFill>
              </w:rPr>
              <w:t>建设工程</w:t>
            </w:r>
            <w:r>
              <w:rPr>
                <w:rFonts w:hint="default" w:ascii="Times New Roman" w:hAnsi="Times New Roman" w:eastAsia="宋体" w:cs="Times New Roman"/>
                <w:color w:val="000000" w:themeColor="text1"/>
                <w:sz w:val="24"/>
                <w14:textFill>
                  <w14:solidFill>
                    <w14:schemeClr w14:val="tx1"/>
                  </w14:solidFill>
                </w14:textFill>
              </w:rPr>
              <w:t>，增加</w:t>
            </w:r>
            <w:r>
              <w:rPr>
                <w:rFonts w:hint="default" w:ascii="Times New Roman" w:hAnsi="Times New Roman" w:eastAsia="宋体" w:cs="Times New Roman"/>
                <w:color w:val="000000" w:themeColor="text1"/>
                <w:sz w:val="24"/>
                <w:lang w:eastAsia="zh-CN"/>
                <w14:textFill>
                  <w14:solidFill>
                    <w14:schemeClr w14:val="tx1"/>
                  </w14:solidFill>
                </w14:textFill>
              </w:rPr>
              <w:t>当地</w:t>
            </w:r>
            <w:r>
              <w:rPr>
                <w:rFonts w:hint="default" w:ascii="Times New Roman" w:hAnsi="Times New Roman" w:eastAsia="宋体" w:cs="Times New Roman"/>
                <w:color w:val="000000" w:themeColor="text1"/>
                <w:sz w:val="24"/>
                <w14:textFill>
                  <w14:solidFill>
                    <w14:schemeClr w14:val="tx1"/>
                  </w14:solidFill>
                </w14:textFill>
              </w:rPr>
              <w:t>农民的收入和就业机会，为</w:t>
            </w:r>
            <w:r>
              <w:rPr>
                <w:rFonts w:hint="default" w:ascii="Times New Roman" w:hAnsi="Times New Roman" w:eastAsia="宋体" w:cs="Times New Roman"/>
                <w:color w:val="000000" w:themeColor="text1"/>
                <w:sz w:val="24"/>
                <w:lang w:eastAsia="zh-CN"/>
                <w14:textFill>
                  <w14:solidFill>
                    <w14:schemeClr w14:val="tx1"/>
                  </w14:solidFill>
                </w14:textFill>
              </w:rPr>
              <w:t>当地</w:t>
            </w:r>
            <w:r>
              <w:rPr>
                <w:rFonts w:hint="default" w:ascii="Times New Roman" w:hAnsi="Times New Roman" w:eastAsia="宋体" w:cs="Times New Roman"/>
                <w:color w:val="000000" w:themeColor="text1"/>
                <w:sz w:val="24"/>
                <w14:textFill>
                  <w14:solidFill>
                    <w14:schemeClr w14:val="tx1"/>
                  </w14:solidFill>
                </w14:textFill>
              </w:rPr>
              <w:t>社会经济的可持续发展</w:t>
            </w:r>
            <w:r>
              <w:rPr>
                <w:rFonts w:hint="eastAsia" w:ascii="Times New Roman" w:hAnsi="Times New Roman" w:cs="Times New Roman"/>
                <w:color w:val="000000" w:themeColor="text1"/>
                <w:sz w:val="24"/>
                <w:lang w:eastAsia="zh-CN"/>
                <w14:textFill>
                  <w14:solidFill>
                    <w14:schemeClr w14:val="tx1"/>
                  </w14:solidFill>
                </w14:textFill>
              </w:rPr>
              <w:t>作出</w:t>
            </w:r>
            <w:r>
              <w:rPr>
                <w:rFonts w:hint="default" w:ascii="Times New Roman" w:hAnsi="Times New Roman" w:eastAsia="宋体" w:cs="Times New Roman"/>
                <w:color w:val="000000" w:themeColor="text1"/>
                <w:sz w:val="24"/>
                <w14:textFill>
                  <w14:solidFill>
                    <w14:schemeClr w14:val="tx1"/>
                  </w14:solidFill>
                </w14:textFill>
              </w:rPr>
              <w:t>示范，因此项目建设选址合理。</w:t>
            </w:r>
          </w:p>
          <w:p w14:paraId="30A74849">
            <w:pPr>
              <w:bidi w:val="0"/>
              <w:jc w:val="both"/>
              <w:rPr>
                <w:rFonts w:hint="default" w:ascii="Times New Roman" w:hAnsi="Times New Roman" w:eastAsia="宋体" w:cs="Times New Roman"/>
                <w:color w:val="000000" w:themeColor="text1"/>
                <w:sz w:val="24"/>
                <w14:textFill>
                  <w14:solidFill>
                    <w14:schemeClr w14:val="tx1"/>
                  </w14:solidFill>
                </w14:textFill>
              </w:rPr>
            </w:pPr>
          </w:p>
          <w:p w14:paraId="598FCD9A">
            <w:pPr>
              <w:bidi w:val="0"/>
              <w:jc w:val="both"/>
              <w:rPr>
                <w:rFonts w:hint="default" w:ascii="Times New Roman" w:hAnsi="Times New Roman" w:eastAsia="宋体" w:cs="Times New Roman"/>
                <w:color w:val="000000" w:themeColor="text1"/>
                <w:sz w:val="24"/>
                <w14:textFill>
                  <w14:solidFill>
                    <w14:schemeClr w14:val="tx1"/>
                  </w14:solidFill>
                </w14:textFill>
              </w:rPr>
            </w:pPr>
          </w:p>
          <w:p w14:paraId="1C2CBF12">
            <w:pPr>
              <w:bidi w:val="0"/>
              <w:jc w:val="both"/>
              <w:rPr>
                <w:rFonts w:hint="default" w:ascii="Times New Roman" w:hAnsi="Times New Roman" w:eastAsia="宋体" w:cs="Times New Roman"/>
                <w:color w:val="000000" w:themeColor="text1"/>
                <w:sz w:val="24"/>
                <w14:textFill>
                  <w14:solidFill>
                    <w14:schemeClr w14:val="tx1"/>
                  </w14:solidFill>
                </w14:textFill>
              </w:rPr>
            </w:pPr>
          </w:p>
          <w:p w14:paraId="0B98EE68">
            <w:pPr>
              <w:bidi w:val="0"/>
              <w:jc w:val="both"/>
              <w:rPr>
                <w:rFonts w:hint="default" w:ascii="Times New Roman" w:hAnsi="Times New Roman" w:eastAsia="宋体" w:cs="Times New Roman"/>
                <w:color w:val="000000" w:themeColor="text1"/>
                <w:sz w:val="24"/>
                <w14:textFill>
                  <w14:solidFill>
                    <w14:schemeClr w14:val="tx1"/>
                  </w14:solidFill>
                </w14:textFill>
              </w:rPr>
            </w:pPr>
          </w:p>
          <w:p w14:paraId="2DD8090C">
            <w:pPr>
              <w:bidi w:val="0"/>
              <w:jc w:val="both"/>
              <w:rPr>
                <w:rFonts w:hint="default" w:ascii="Times New Roman" w:hAnsi="Times New Roman" w:eastAsia="宋体" w:cs="Times New Roman"/>
                <w:color w:val="000000" w:themeColor="text1"/>
                <w:sz w:val="24"/>
                <w14:textFill>
                  <w14:solidFill>
                    <w14:schemeClr w14:val="tx1"/>
                  </w14:solidFill>
                </w14:textFill>
              </w:rPr>
            </w:pPr>
          </w:p>
          <w:p w14:paraId="69973E03">
            <w:pPr>
              <w:bidi w:val="0"/>
              <w:jc w:val="both"/>
              <w:rPr>
                <w:rFonts w:hint="default" w:ascii="Times New Roman" w:hAnsi="Times New Roman" w:eastAsia="宋体" w:cs="Times New Roman"/>
                <w:color w:val="000000" w:themeColor="text1"/>
                <w:sz w:val="24"/>
                <w14:textFill>
                  <w14:solidFill>
                    <w14:schemeClr w14:val="tx1"/>
                  </w14:solidFill>
                </w14:textFill>
              </w:rPr>
            </w:pPr>
          </w:p>
          <w:p w14:paraId="1FDEA88C">
            <w:pPr>
              <w:bidi w:val="0"/>
              <w:jc w:val="both"/>
              <w:rPr>
                <w:rFonts w:hint="default" w:ascii="Times New Roman" w:hAnsi="Times New Roman" w:eastAsia="宋体" w:cs="Times New Roman"/>
                <w:color w:val="000000" w:themeColor="text1"/>
                <w:sz w:val="24"/>
                <w14:textFill>
                  <w14:solidFill>
                    <w14:schemeClr w14:val="tx1"/>
                  </w14:solidFill>
                </w14:textFill>
              </w:rPr>
            </w:pPr>
          </w:p>
          <w:p w14:paraId="48F6F26D">
            <w:pPr>
              <w:bidi w:val="0"/>
              <w:jc w:val="both"/>
              <w:rPr>
                <w:rFonts w:hint="default" w:ascii="Times New Roman" w:hAnsi="Times New Roman" w:eastAsia="宋体" w:cs="Times New Roman"/>
                <w:color w:val="000000" w:themeColor="text1"/>
                <w:sz w:val="24"/>
                <w14:textFill>
                  <w14:solidFill>
                    <w14:schemeClr w14:val="tx1"/>
                  </w14:solidFill>
                </w14:textFill>
              </w:rPr>
            </w:pPr>
          </w:p>
          <w:p w14:paraId="484A8F53">
            <w:pPr>
              <w:bidi w:val="0"/>
              <w:jc w:val="both"/>
              <w:rPr>
                <w:rFonts w:hint="default" w:ascii="Times New Roman" w:hAnsi="Times New Roman" w:eastAsia="宋体" w:cs="Times New Roman"/>
                <w:color w:val="000000" w:themeColor="text1"/>
                <w:sz w:val="24"/>
                <w14:textFill>
                  <w14:solidFill>
                    <w14:schemeClr w14:val="tx1"/>
                  </w14:solidFill>
                </w14:textFill>
              </w:rPr>
            </w:pPr>
          </w:p>
          <w:p w14:paraId="674EE062">
            <w:pPr>
              <w:bidi w:val="0"/>
              <w:jc w:val="both"/>
              <w:rPr>
                <w:rFonts w:hint="default" w:ascii="Times New Roman" w:hAnsi="Times New Roman" w:eastAsia="宋体" w:cs="Times New Roman"/>
                <w:color w:val="000000" w:themeColor="text1"/>
                <w:sz w:val="24"/>
                <w14:textFill>
                  <w14:solidFill>
                    <w14:schemeClr w14:val="tx1"/>
                  </w14:solidFill>
                </w14:textFill>
              </w:rPr>
            </w:pPr>
          </w:p>
          <w:p w14:paraId="714DA165">
            <w:pPr>
              <w:bidi w:val="0"/>
              <w:jc w:val="both"/>
              <w:rPr>
                <w:rFonts w:hint="default" w:ascii="Times New Roman" w:hAnsi="Times New Roman" w:eastAsia="宋体" w:cs="Times New Roman"/>
                <w:color w:val="000000" w:themeColor="text1"/>
                <w:sz w:val="24"/>
                <w14:textFill>
                  <w14:solidFill>
                    <w14:schemeClr w14:val="tx1"/>
                  </w14:solidFill>
                </w14:textFill>
              </w:rPr>
            </w:pPr>
          </w:p>
          <w:p w14:paraId="7480F5F3">
            <w:pPr>
              <w:bidi w:val="0"/>
              <w:jc w:val="both"/>
              <w:rPr>
                <w:rFonts w:hint="default" w:ascii="Times New Roman" w:hAnsi="Times New Roman" w:eastAsia="宋体" w:cs="Times New Roman"/>
                <w:color w:val="000000" w:themeColor="text1"/>
                <w:sz w:val="24"/>
                <w14:textFill>
                  <w14:solidFill>
                    <w14:schemeClr w14:val="tx1"/>
                  </w14:solidFill>
                </w14:textFill>
              </w:rPr>
            </w:pPr>
          </w:p>
          <w:p w14:paraId="69004FE6">
            <w:pPr>
              <w:bidi w:val="0"/>
              <w:jc w:val="both"/>
              <w:rPr>
                <w:rFonts w:hint="default" w:ascii="Times New Roman" w:hAnsi="Times New Roman" w:eastAsia="宋体" w:cs="Times New Roman"/>
                <w:color w:val="000000" w:themeColor="text1"/>
                <w:sz w:val="24"/>
                <w14:textFill>
                  <w14:solidFill>
                    <w14:schemeClr w14:val="tx1"/>
                  </w14:solidFill>
                </w14:textFill>
              </w:rPr>
            </w:pPr>
          </w:p>
          <w:p w14:paraId="6BBD6AA6">
            <w:pPr>
              <w:bidi w:val="0"/>
              <w:jc w:val="both"/>
              <w:rPr>
                <w:rFonts w:hint="default" w:ascii="Times New Roman" w:hAnsi="Times New Roman" w:eastAsia="宋体" w:cs="Times New Roman"/>
                <w:color w:val="000000" w:themeColor="text1"/>
                <w:sz w:val="24"/>
                <w14:textFill>
                  <w14:solidFill>
                    <w14:schemeClr w14:val="tx1"/>
                  </w14:solidFill>
                </w14:textFill>
              </w:rPr>
            </w:pPr>
          </w:p>
          <w:p w14:paraId="57D85D77">
            <w:pPr>
              <w:bidi w:val="0"/>
              <w:jc w:val="both"/>
              <w:rPr>
                <w:rFonts w:hint="default" w:ascii="Times New Roman" w:hAnsi="Times New Roman" w:eastAsia="宋体" w:cs="Times New Roman"/>
                <w:color w:val="000000" w:themeColor="text1"/>
                <w:sz w:val="24"/>
                <w14:textFill>
                  <w14:solidFill>
                    <w14:schemeClr w14:val="tx1"/>
                  </w14:solidFill>
                </w14:textFill>
              </w:rPr>
            </w:pPr>
          </w:p>
          <w:p w14:paraId="3FDB05BF">
            <w:pPr>
              <w:bidi w:val="0"/>
              <w:jc w:val="both"/>
              <w:rPr>
                <w:rFonts w:hint="default" w:ascii="Times New Roman" w:hAnsi="Times New Roman" w:eastAsia="宋体" w:cs="Times New Roman"/>
                <w:color w:val="000000" w:themeColor="text1"/>
                <w:sz w:val="24"/>
                <w14:textFill>
                  <w14:solidFill>
                    <w14:schemeClr w14:val="tx1"/>
                  </w14:solidFill>
                </w14:textFill>
              </w:rPr>
            </w:pPr>
          </w:p>
          <w:p w14:paraId="76F1E9B3">
            <w:pPr>
              <w:bidi w:val="0"/>
              <w:jc w:val="both"/>
              <w:rPr>
                <w:rFonts w:hint="default" w:ascii="Times New Roman" w:hAnsi="Times New Roman" w:eastAsia="宋体" w:cs="Times New Roman"/>
                <w:color w:val="000000" w:themeColor="text1"/>
                <w:sz w:val="24"/>
                <w14:textFill>
                  <w14:solidFill>
                    <w14:schemeClr w14:val="tx1"/>
                  </w14:solidFill>
                </w14:textFill>
              </w:rPr>
            </w:pPr>
          </w:p>
          <w:p w14:paraId="47540F62">
            <w:pPr>
              <w:bidi w:val="0"/>
              <w:jc w:val="both"/>
              <w:rPr>
                <w:rFonts w:hint="default" w:ascii="Times New Roman" w:hAnsi="Times New Roman" w:eastAsia="宋体" w:cs="Times New Roman"/>
                <w:color w:val="000000" w:themeColor="text1"/>
                <w:sz w:val="24"/>
                <w14:textFill>
                  <w14:solidFill>
                    <w14:schemeClr w14:val="tx1"/>
                  </w14:solidFill>
                </w14:textFill>
              </w:rPr>
            </w:pPr>
          </w:p>
          <w:p w14:paraId="56F293A1">
            <w:pPr>
              <w:bidi w:val="0"/>
              <w:jc w:val="both"/>
              <w:rPr>
                <w:rFonts w:hint="default" w:ascii="Times New Roman" w:hAnsi="Times New Roman" w:eastAsia="宋体" w:cs="Times New Roman"/>
                <w:color w:val="000000" w:themeColor="text1"/>
                <w:sz w:val="24"/>
                <w14:textFill>
                  <w14:solidFill>
                    <w14:schemeClr w14:val="tx1"/>
                  </w14:solidFill>
                </w14:textFill>
              </w:rPr>
            </w:pPr>
          </w:p>
          <w:p w14:paraId="6FBDDD5A">
            <w:pPr>
              <w:bidi w:val="0"/>
              <w:jc w:val="both"/>
              <w:rPr>
                <w:rFonts w:hint="default" w:ascii="Times New Roman" w:hAnsi="Times New Roman" w:eastAsia="宋体" w:cs="Times New Roman"/>
                <w:color w:val="000000" w:themeColor="text1"/>
                <w:sz w:val="24"/>
                <w14:textFill>
                  <w14:solidFill>
                    <w14:schemeClr w14:val="tx1"/>
                  </w14:solidFill>
                </w14:textFill>
              </w:rPr>
            </w:pPr>
          </w:p>
          <w:p w14:paraId="1277E8E0">
            <w:pPr>
              <w:bidi w:val="0"/>
              <w:jc w:val="both"/>
              <w:rPr>
                <w:rFonts w:hint="default" w:ascii="Times New Roman" w:hAnsi="Times New Roman" w:eastAsia="宋体" w:cs="Times New Roman"/>
                <w:color w:val="000000" w:themeColor="text1"/>
                <w:sz w:val="24"/>
                <w14:textFill>
                  <w14:solidFill>
                    <w14:schemeClr w14:val="tx1"/>
                  </w14:solidFill>
                </w14:textFill>
              </w:rPr>
            </w:pPr>
          </w:p>
          <w:p w14:paraId="2549C4F1">
            <w:pPr>
              <w:bidi w:val="0"/>
              <w:jc w:val="both"/>
              <w:rPr>
                <w:rFonts w:hint="default" w:ascii="Times New Roman" w:hAnsi="Times New Roman" w:eastAsia="宋体" w:cs="Times New Roman"/>
                <w:color w:val="000000" w:themeColor="text1"/>
                <w:sz w:val="24"/>
                <w14:textFill>
                  <w14:solidFill>
                    <w14:schemeClr w14:val="tx1"/>
                  </w14:solidFill>
                </w14:textFill>
              </w:rPr>
            </w:pPr>
          </w:p>
          <w:p w14:paraId="7C191F1C">
            <w:pPr>
              <w:bidi w:val="0"/>
              <w:jc w:val="both"/>
              <w:rPr>
                <w:rFonts w:hint="default" w:ascii="Times New Roman" w:hAnsi="Times New Roman" w:eastAsia="宋体" w:cs="Times New Roman"/>
                <w:color w:val="000000" w:themeColor="text1"/>
                <w:sz w:val="24"/>
                <w14:textFill>
                  <w14:solidFill>
                    <w14:schemeClr w14:val="tx1"/>
                  </w14:solidFill>
                </w14:textFill>
              </w:rPr>
            </w:pPr>
          </w:p>
          <w:p w14:paraId="6B9436C5">
            <w:pPr>
              <w:bidi w:val="0"/>
              <w:jc w:val="both"/>
              <w:rPr>
                <w:rFonts w:hint="default" w:ascii="Times New Roman" w:hAnsi="Times New Roman" w:eastAsia="宋体" w:cs="Times New Roman"/>
                <w:color w:val="000000" w:themeColor="text1"/>
                <w:sz w:val="24"/>
                <w14:textFill>
                  <w14:solidFill>
                    <w14:schemeClr w14:val="tx1"/>
                  </w14:solidFill>
                </w14:textFill>
              </w:rPr>
            </w:pPr>
          </w:p>
          <w:p w14:paraId="41BB0E6C">
            <w:pPr>
              <w:bidi w:val="0"/>
              <w:jc w:val="both"/>
              <w:rPr>
                <w:rFonts w:hint="default" w:ascii="Times New Roman" w:hAnsi="Times New Roman" w:eastAsia="宋体" w:cs="Times New Roman"/>
                <w:color w:val="000000" w:themeColor="text1"/>
                <w:sz w:val="24"/>
                <w14:textFill>
                  <w14:solidFill>
                    <w14:schemeClr w14:val="tx1"/>
                  </w14:solidFill>
                </w14:textFill>
              </w:rPr>
            </w:pPr>
          </w:p>
          <w:p w14:paraId="77FB7466">
            <w:pPr>
              <w:bidi w:val="0"/>
              <w:jc w:val="both"/>
              <w:rPr>
                <w:rFonts w:hint="default" w:ascii="Times New Roman" w:hAnsi="Times New Roman" w:eastAsia="宋体" w:cs="Times New Roman"/>
                <w:color w:val="000000" w:themeColor="text1"/>
                <w:sz w:val="24"/>
                <w14:textFill>
                  <w14:solidFill>
                    <w14:schemeClr w14:val="tx1"/>
                  </w14:solidFill>
                </w14:textFill>
              </w:rPr>
            </w:pPr>
          </w:p>
          <w:p w14:paraId="104631FA">
            <w:pPr>
              <w:bidi w:val="0"/>
              <w:jc w:val="both"/>
              <w:rPr>
                <w:rFonts w:hint="default" w:ascii="Times New Roman" w:hAnsi="Times New Roman" w:eastAsia="宋体" w:cs="Times New Roman"/>
                <w:color w:val="000000" w:themeColor="text1"/>
                <w:sz w:val="24"/>
                <w14:textFill>
                  <w14:solidFill>
                    <w14:schemeClr w14:val="tx1"/>
                  </w14:solidFill>
                </w14:textFill>
              </w:rPr>
            </w:pPr>
          </w:p>
          <w:p w14:paraId="1D0A57B9">
            <w:pPr>
              <w:bidi w:val="0"/>
              <w:jc w:val="both"/>
              <w:rPr>
                <w:rFonts w:hint="default" w:ascii="Times New Roman" w:hAnsi="Times New Roman" w:eastAsia="宋体" w:cs="Times New Roman"/>
                <w:color w:val="000000" w:themeColor="text1"/>
                <w:sz w:val="24"/>
                <w14:textFill>
                  <w14:solidFill>
                    <w14:schemeClr w14:val="tx1"/>
                  </w14:solidFill>
                </w14:textFill>
              </w:rPr>
            </w:pPr>
          </w:p>
          <w:p w14:paraId="6925F2F2">
            <w:pPr>
              <w:bidi w:val="0"/>
              <w:jc w:val="both"/>
              <w:rPr>
                <w:rFonts w:hint="default" w:ascii="Times New Roman" w:hAnsi="Times New Roman" w:eastAsia="宋体" w:cs="Times New Roman"/>
                <w:color w:val="000000" w:themeColor="text1"/>
                <w:sz w:val="24"/>
                <w14:textFill>
                  <w14:solidFill>
                    <w14:schemeClr w14:val="tx1"/>
                  </w14:solidFill>
                </w14:textFill>
              </w:rPr>
            </w:pPr>
          </w:p>
          <w:p w14:paraId="7CFD16A3">
            <w:pPr>
              <w:bidi w:val="0"/>
              <w:jc w:val="both"/>
              <w:rPr>
                <w:rFonts w:hint="default" w:ascii="Times New Roman" w:hAnsi="Times New Roman" w:eastAsia="宋体" w:cs="Times New Roman"/>
                <w:color w:val="000000" w:themeColor="text1"/>
                <w:sz w:val="24"/>
                <w:lang w:val="en-US" w:eastAsia="zh-CN"/>
                <w14:textFill>
                  <w14:solidFill>
                    <w14:schemeClr w14:val="tx1"/>
                  </w14:solidFill>
                </w14:textFill>
              </w:rPr>
            </w:pPr>
          </w:p>
        </w:tc>
      </w:tr>
    </w:tbl>
    <w:p w14:paraId="731F9726">
      <w:pPr>
        <w:pStyle w:val="21"/>
        <w:ind w:firstLine="720"/>
        <w:jc w:val="both"/>
        <w:rPr>
          <w:rFonts w:hint="default" w:ascii="Times New Roman" w:hAnsi="Times New Roman" w:eastAsia="宋体" w:cs="Times New Roman"/>
          <w:snapToGrid w:val="0"/>
          <w:color w:val="000000" w:themeColor="text1"/>
          <w:sz w:val="36"/>
          <w:szCs w:val="36"/>
          <w14:textFill>
            <w14:solidFill>
              <w14:schemeClr w14:val="tx1"/>
            </w14:solidFill>
          </w14:textFill>
        </w:rPr>
        <w:sectPr>
          <w:pgSz w:w="11906" w:h="16838"/>
          <w:pgMar w:top="1440" w:right="1800" w:bottom="1440" w:left="1800" w:header="851" w:footer="1077" w:gutter="0"/>
          <w:pgBorders>
            <w:top w:val="none" w:sz="0" w:space="0"/>
            <w:left w:val="none" w:sz="0" w:space="0"/>
            <w:bottom w:val="none" w:sz="0" w:space="0"/>
            <w:right w:val="none" w:sz="0" w:space="0"/>
          </w:pgBorders>
          <w:pgNumType w:fmt="decimal"/>
          <w:cols w:space="425" w:num="1"/>
          <w:docGrid w:linePitch="312" w:charSpace="0"/>
        </w:sectPr>
      </w:pPr>
    </w:p>
    <w:p w14:paraId="7DB8D5F3">
      <w:pPr>
        <w:pStyle w:val="2"/>
        <w:bidi w:val="0"/>
        <w:jc w:val="center"/>
        <w:rPr>
          <w:rFonts w:hint="eastAsia" w:ascii="宋体" w:hAnsi="宋体" w:eastAsia="宋体" w:cs="宋体"/>
          <w:color w:val="000000" w:themeColor="text1"/>
          <w14:textFill>
            <w14:solidFill>
              <w14:schemeClr w14:val="tx1"/>
            </w14:solidFill>
          </w14:textFill>
        </w:rPr>
      </w:pPr>
      <w:bookmarkStart w:id="17" w:name="_Toc14449"/>
      <w:r>
        <w:rPr>
          <w:rFonts w:hint="eastAsia" w:ascii="宋体" w:hAnsi="宋体" w:eastAsia="宋体" w:cs="宋体"/>
          <w:color w:val="000000" w:themeColor="text1"/>
          <w14:textFill>
            <w14:solidFill>
              <w14:schemeClr w14:val="tx1"/>
            </w14:solidFill>
          </w14:textFill>
        </w:rPr>
        <w:t>五、主要生态环境保护措施</w:t>
      </w:r>
      <w:bookmarkEnd w:id="12"/>
      <w:bookmarkEnd w:id="17"/>
    </w:p>
    <w:tbl>
      <w:tblPr>
        <w:tblStyle w:val="26"/>
        <w:tblW w:w="921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753"/>
        <w:gridCol w:w="8457"/>
      </w:tblGrid>
      <w:tr w14:paraId="79D8AB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53" w:type="dxa"/>
            <w:tcMar>
              <w:left w:w="28" w:type="dxa"/>
              <w:right w:w="28" w:type="dxa"/>
            </w:tcMar>
            <w:vAlign w:val="center"/>
          </w:tcPr>
          <w:p w14:paraId="43381E9D">
            <w:pPr>
              <w:adjustRightInd w:val="0"/>
              <w:snapToGrid w:val="0"/>
              <w:ind w:firstLine="0" w:firstLineChars="0"/>
              <w:jc w:val="both"/>
              <w:rPr>
                <w:rFonts w:hint="default" w:ascii="Times New Roman" w:hAnsi="Times New Roman" w:eastAsia="宋体" w:cs="Times New Roman"/>
                <w:bCs/>
                <w:color w:val="000000" w:themeColor="text1"/>
                <w:szCs w:val="21"/>
                <w14:textFill>
                  <w14:solidFill>
                    <w14:schemeClr w14:val="tx1"/>
                  </w14:solidFill>
                </w14:textFill>
              </w:rPr>
            </w:pPr>
            <w:r>
              <w:rPr>
                <w:rFonts w:hint="default" w:ascii="Times New Roman" w:hAnsi="Times New Roman" w:eastAsia="宋体" w:cs="Times New Roman"/>
                <w:bCs/>
                <w:color w:val="000000" w:themeColor="text1"/>
                <w:spacing w:val="10"/>
                <w:szCs w:val="21"/>
                <w14:textFill>
                  <w14:solidFill>
                    <w14:schemeClr w14:val="tx1"/>
                  </w14:solidFill>
                </w14:textFill>
              </w:rPr>
              <w:t>施工期生态环境保护措施</w:t>
            </w:r>
          </w:p>
        </w:tc>
        <w:tc>
          <w:tcPr>
            <w:tcW w:w="8457" w:type="dxa"/>
          </w:tcPr>
          <w:p w14:paraId="77F8CFA2">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eastAsia="宋体" w:cs="Times New Roman"/>
                <w:b/>
                <w:bCs/>
                <w:color w:val="000000" w:themeColor="text1"/>
                <w:highlight w:val="none"/>
                <w14:textFill>
                  <w14:solidFill>
                    <w14:schemeClr w14:val="tx1"/>
                  </w14:solidFill>
                </w14:textFill>
              </w:rPr>
            </w:pPr>
            <w:r>
              <w:rPr>
                <w:rFonts w:hint="default" w:ascii="Times New Roman" w:hAnsi="Times New Roman" w:eastAsia="宋体" w:cs="Times New Roman"/>
                <w:b/>
                <w:bCs/>
                <w:color w:val="000000" w:themeColor="text1"/>
                <w:highlight w:val="none"/>
                <w14:textFill>
                  <w14:solidFill>
                    <w14:schemeClr w14:val="tx1"/>
                  </w14:solidFill>
                </w14:textFill>
              </w:rPr>
              <w:t>一、生态环境保护措施</w:t>
            </w:r>
          </w:p>
          <w:p w14:paraId="154CA1CC">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宋体" w:cs="Times New Roman"/>
                <w:b/>
                <w:bCs/>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highlight w:val="none"/>
                <w:lang w:val="en-US" w:eastAsia="zh-CN"/>
                <w14:textFill>
                  <w14:solidFill>
                    <w14:schemeClr w14:val="tx1"/>
                  </w14:solidFill>
                </w14:textFill>
              </w:rPr>
              <w:t>1、施工期设计阶段</w:t>
            </w:r>
          </w:p>
          <w:p w14:paraId="74674FC8">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lang w:eastAsia="zh-CN"/>
                <w14:textFill>
                  <w14:solidFill>
                    <w14:schemeClr w14:val="tx1"/>
                  </w14:solidFill>
                </w14:textFill>
              </w:rPr>
              <w:t>（</w:t>
            </w:r>
            <w:r>
              <w:rPr>
                <w:rFonts w:hint="default" w:ascii="Times New Roman" w:hAnsi="Times New Roman" w:eastAsia="宋体" w:cs="Times New Roman"/>
                <w:color w:val="000000" w:themeColor="text1"/>
                <w:highlight w:val="none"/>
                <w:lang w:val="en-US" w:eastAsia="zh-CN"/>
                <w14:textFill>
                  <w14:solidFill>
                    <w14:schemeClr w14:val="tx1"/>
                  </w14:solidFill>
                </w14:textFill>
              </w:rPr>
              <w:t>1</w:t>
            </w:r>
            <w:r>
              <w:rPr>
                <w:rFonts w:hint="default" w:ascii="Times New Roman" w:hAnsi="Times New Roman" w:eastAsia="宋体" w:cs="Times New Roman"/>
                <w:color w:val="000000" w:themeColor="text1"/>
                <w:highlight w:val="none"/>
                <w:lang w:eastAsia="zh-CN"/>
                <w14:textFill>
                  <w14:solidFill>
                    <w14:schemeClr w14:val="tx1"/>
                  </w14:solidFill>
                </w14:textFill>
              </w:rPr>
              <w:t>）</w:t>
            </w:r>
            <w:r>
              <w:rPr>
                <w:rFonts w:hint="default" w:ascii="Times New Roman" w:hAnsi="Times New Roman" w:eastAsia="宋体" w:cs="Times New Roman"/>
                <w:color w:val="000000" w:themeColor="text1"/>
                <w:highlight w:val="none"/>
                <w14:textFill>
                  <w14:solidFill>
                    <w14:schemeClr w14:val="tx1"/>
                  </w14:solidFill>
                </w14:textFill>
              </w:rPr>
              <w:t>在施工建设过程中，尽量减少施工占地及临时占地，最大限度</w:t>
            </w:r>
            <w:r>
              <w:rPr>
                <w:rFonts w:hint="eastAsia" w:ascii="Times New Roman" w:hAnsi="Times New Roman" w:cs="Times New Roman"/>
                <w:color w:val="000000" w:themeColor="text1"/>
                <w:highlight w:val="none"/>
                <w:lang w:eastAsia="zh-CN"/>
                <w14:textFill>
                  <w14:solidFill>
                    <w14:schemeClr w14:val="tx1"/>
                  </w14:solidFill>
                </w14:textFill>
              </w:rPr>
              <w:t>地</w:t>
            </w:r>
            <w:r>
              <w:rPr>
                <w:rFonts w:hint="default" w:ascii="Times New Roman" w:hAnsi="Times New Roman" w:eastAsia="宋体" w:cs="Times New Roman"/>
                <w:color w:val="000000" w:themeColor="text1"/>
                <w:highlight w:val="none"/>
                <w14:textFill>
                  <w14:solidFill>
                    <w14:schemeClr w14:val="tx1"/>
                  </w14:solidFill>
                </w14:textFill>
              </w:rPr>
              <w:t>减少对地表原貌的生态破坏。</w:t>
            </w:r>
          </w:p>
          <w:p w14:paraId="1A304DCD">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宋体" w:cs="Times New Roman"/>
                <w:color w:val="000000" w:themeColor="text1"/>
                <w:highlight w:val="none"/>
                <w14:textFill>
                  <w14:solidFill>
                    <w14:schemeClr w14:val="tx1"/>
                  </w14:solidFill>
                </w14:textFill>
              </w:rPr>
            </w:pPr>
            <w:r>
              <w:rPr>
                <w:rFonts w:hint="default" w:ascii="Times New Roman" w:hAnsi="Times New Roman" w:eastAsia="宋体" w:cs="Times New Roman"/>
                <w:color w:val="000000" w:themeColor="text1"/>
                <w:highlight w:val="none"/>
                <w:lang w:eastAsia="zh-CN"/>
                <w14:textFill>
                  <w14:solidFill>
                    <w14:schemeClr w14:val="tx1"/>
                  </w14:solidFill>
                </w14:textFill>
              </w:rPr>
              <w:t>（</w:t>
            </w:r>
            <w:r>
              <w:rPr>
                <w:rFonts w:hint="default" w:ascii="Times New Roman" w:hAnsi="Times New Roman" w:eastAsia="宋体" w:cs="Times New Roman"/>
                <w:color w:val="000000" w:themeColor="text1"/>
                <w:highlight w:val="none"/>
                <w:lang w:val="en-US" w:eastAsia="zh-CN"/>
                <w14:textFill>
                  <w14:solidFill>
                    <w14:schemeClr w14:val="tx1"/>
                  </w14:solidFill>
                </w14:textFill>
              </w:rPr>
              <w:t>2</w:t>
            </w:r>
            <w:r>
              <w:rPr>
                <w:rFonts w:hint="default" w:ascii="Times New Roman" w:hAnsi="Times New Roman" w:eastAsia="宋体" w:cs="Times New Roman"/>
                <w:color w:val="000000" w:themeColor="text1"/>
                <w:highlight w:val="none"/>
                <w:lang w:eastAsia="zh-CN"/>
                <w14:textFill>
                  <w14:solidFill>
                    <w14:schemeClr w14:val="tx1"/>
                  </w14:solidFill>
                </w14:textFill>
              </w:rPr>
              <w:t>）</w:t>
            </w:r>
            <w:r>
              <w:rPr>
                <w:rFonts w:hint="default" w:ascii="Times New Roman" w:hAnsi="Times New Roman" w:eastAsia="宋体" w:cs="Times New Roman"/>
                <w:color w:val="000000" w:themeColor="text1"/>
                <w:highlight w:val="none"/>
                <w14:textFill>
                  <w14:solidFill>
                    <w14:schemeClr w14:val="tx1"/>
                  </w14:solidFill>
                </w14:textFill>
              </w:rPr>
              <w:t>工程开工前，建设前应当对工程最终设计方案与环评方案进行梳理对比，构成重大变动的应当对变动内容进行环境影响评价并重新报批，构成一般变动的应当向有审批权限的生态环境主管部门进行备案。</w:t>
            </w:r>
          </w:p>
          <w:p w14:paraId="2D2D7C23">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宋体" w:cs="Times New Roman"/>
                <w:color w:val="000000" w:themeColor="text1"/>
                <w:highlight w:val="none"/>
                <w:lang w:eastAsia="zh-CN"/>
                <w14:textFill>
                  <w14:solidFill>
                    <w14:schemeClr w14:val="tx1"/>
                  </w14:solidFill>
                </w14:textFill>
              </w:rPr>
            </w:pPr>
            <w:r>
              <w:rPr>
                <w:rFonts w:hint="default" w:ascii="Times New Roman" w:hAnsi="Times New Roman" w:eastAsia="宋体" w:cs="Times New Roman"/>
                <w:color w:val="000000" w:themeColor="text1"/>
                <w:highlight w:val="none"/>
                <w:lang w:eastAsia="zh-CN"/>
                <w14:textFill>
                  <w14:solidFill>
                    <w14:schemeClr w14:val="tx1"/>
                  </w14:solidFill>
                </w14:textFill>
              </w:rPr>
              <w:t>（</w:t>
            </w:r>
            <w:r>
              <w:rPr>
                <w:rFonts w:hint="default" w:ascii="Times New Roman" w:hAnsi="Times New Roman" w:eastAsia="宋体" w:cs="Times New Roman"/>
                <w:color w:val="000000" w:themeColor="text1"/>
                <w:highlight w:val="none"/>
                <w:lang w:val="en-US" w:eastAsia="zh-CN"/>
                <w14:textFill>
                  <w14:solidFill>
                    <w14:schemeClr w14:val="tx1"/>
                  </w14:solidFill>
                </w14:textFill>
              </w:rPr>
              <w:t>3</w:t>
            </w:r>
            <w:r>
              <w:rPr>
                <w:rFonts w:hint="default" w:ascii="Times New Roman" w:hAnsi="Times New Roman" w:eastAsia="宋体" w:cs="Times New Roman"/>
                <w:color w:val="000000" w:themeColor="text1"/>
                <w:highlight w:val="none"/>
                <w:lang w:eastAsia="zh-CN"/>
                <w14:textFill>
                  <w14:solidFill>
                    <w14:schemeClr w14:val="tx1"/>
                  </w14:solidFill>
                </w14:textFill>
              </w:rPr>
              <w:t>）</w:t>
            </w:r>
            <w:r>
              <w:rPr>
                <w:rFonts w:hint="default" w:ascii="Times New Roman" w:hAnsi="Times New Roman" w:eastAsia="宋体" w:cs="Times New Roman"/>
                <w:color w:val="000000" w:themeColor="text1"/>
                <w:highlight w:val="none"/>
                <w14:textFill>
                  <w14:solidFill>
                    <w14:schemeClr w14:val="tx1"/>
                  </w14:solidFill>
                </w14:textFill>
              </w:rPr>
              <w:t>施工过</w:t>
            </w:r>
            <w:r>
              <w:rPr>
                <w:rFonts w:hint="eastAsia" w:ascii="Times New Roman" w:hAnsi="Times New Roman" w:cs="Times New Roman"/>
                <w:color w:val="000000" w:themeColor="text1"/>
                <w:highlight w:val="none"/>
                <w:lang w:eastAsia="zh-CN"/>
                <w14:textFill>
                  <w14:solidFill>
                    <w14:schemeClr w14:val="tx1"/>
                  </w14:solidFill>
                </w14:textFill>
              </w:rPr>
              <w:t>程中</w:t>
            </w:r>
            <w:r>
              <w:rPr>
                <w:rFonts w:hint="default" w:ascii="Times New Roman" w:hAnsi="Times New Roman" w:eastAsia="宋体" w:cs="Times New Roman"/>
                <w:color w:val="000000" w:themeColor="text1"/>
                <w:highlight w:val="none"/>
                <w14:textFill>
                  <w14:solidFill>
                    <w14:schemeClr w14:val="tx1"/>
                  </w14:solidFill>
                </w14:textFill>
              </w:rPr>
              <w:t>严格执行国家及云南省关于林地使用的相关法律法规，严格执行并办理林地使用手续方可开工建设</w:t>
            </w:r>
            <w:r>
              <w:rPr>
                <w:rFonts w:hint="default" w:ascii="Times New Roman" w:hAnsi="Times New Roman" w:eastAsia="宋体" w:cs="Times New Roman"/>
                <w:color w:val="000000" w:themeColor="text1"/>
                <w:highlight w:val="none"/>
                <w:lang w:eastAsia="zh-CN"/>
                <w14:textFill>
                  <w14:solidFill>
                    <w14:schemeClr w14:val="tx1"/>
                  </w14:solidFill>
                </w14:textFill>
              </w:rPr>
              <w:t>。</w:t>
            </w:r>
            <w:bookmarkStart w:id="18" w:name="_Toc27533"/>
          </w:p>
          <w:bookmarkEnd w:id="18"/>
          <w:p w14:paraId="776F285D">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4）须进行施工组织设计，合理规划临时施工场地，严格选择施工附属设施的布置位置，应避让植被长势较好的植被区，应避让稀灌木林地，植被尽可能保留，不改变林地性质，并远离线路附近的村庄，优化布置，减少占地。</w:t>
            </w:r>
            <w:bookmarkStart w:id="19" w:name="_Toc15537"/>
          </w:p>
          <w:p w14:paraId="6E20F835">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2" w:firstLineChars="200"/>
              <w:jc w:val="both"/>
              <w:textAlignment w:val="auto"/>
              <w:rPr>
                <w:rFonts w:hint="default" w:ascii="Times New Roman" w:hAnsi="Times New Roman" w:eastAsia="宋体" w:cs="Times New Roman"/>
                <w:b/>
                <w:bCs/>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highlight w:val="none"/>
                <w:lang w:val="en-US" w:eastAsia="zh-CN"/>
                <w14:textFill>
                  <w14:solidFill>
                    <w14:schemeClr w14:val="tx1"/>
                  </w14:solidFill>
                </w14:textFill>
              </w:rPr>
              <w:t>2、施工期减缓措施</w:t>
            </w:r>
            <w:bookmarkEnd w:id="19"/>
          </w:p>
          <w:p w14:paraId="0114EEAE">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（1）施工期临时用地应永临结合，优先利用荒地、劣地；临时占地采取隔离保护措施（如铺设草垫或棕垫），施工结束</w:t>
            </w:r>
            <w:r>
              <w:rPr>
                <w:rFonts w:hint="eastAsia" w:ascii="Times New Roman" w:hAnsi="Times New Roman" w:cs="Times New Roman"/>
                <w:color w:val="000000" w:themeColor="text1"/>
                <w:highlight w:val="none"/>
                <w:lang w:val="en-US" w:eastAsia="zh-CN"/>
                <w14:textFill>
                  <w14:solidFill>
                    <w14:schemeClr w14:val="tx1"/>
                  </w14:solidFill>
                </w14:textFill>
              </w:rPr>
              <w:t>后</w:t>
            </w:r>
            <w:r>
              <w:rPr>
                <w:rFonts w:hint="default" w:ascii="Times New Roman" w:hAnsi="Times New Roman" w:eastAsia="宋体" w:cs="Times New Roman"/>
                <w:color w:val="000000" w:themeColor="text1"/>
                <w:highlight w:val="none"/>
                <w:lang w:val="en-US" w:eastAsia="zh-CN"/>
                <w14:textFill>
                  <w14:solidFill>
                    <w14:schemeClr w14:val="tx1"/>
                  </w14:solidFill>
                </w14:textFill>
              </w:rPr>
              <w:t>将多余砂石料、混凝土残渣等及时清除，做到“工完、料尽、场地清”。</w:t>
            </w:r>
          </w:p>
          <w:p w14:paraId="639505FC">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（2）土石方开挖工程尽量避开雨季施工，土石方及时回填、夯实、平整，就地利用，不外弃。</w:t>
            </w:r>
          </w:p>
          <w:p w14:paraId="0F2AEA00">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3）加强对施工人员的管理和生态环境保护宣传教育，严禁猎杀兽类，严禁捕蛇、打鸟、捉蛙、捉野鸡野兔等捕杀野生动物行为，严禁食用野生动物（野味）。增强工作人员环保意识，不购买、不食用野生动物及制品。</w:t>
            </w:r>
          </w:p>
          <w:p w14:paraId="647514B6">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（4）在鸟类繁殖期（每年6</w:t>
            </w:r>
            <w:r>
              <w:rPr>
                <w:rFonts w:hint="eastAsia" w:ascii="Times New Roman" w:hAnsi="Times New Roman" w:cs="Times New Roman"/>
                <w:color w:val="000000" w:themeColor="text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highlight w:val="none"/>
                <w:lang w:val="en-US" w:eastAsia="zh-CN"/>
                <w14:textFill>
                  <w14:solidFill>
                    <w14:schemeClr w14:val="tx1"/>
                  </w14:solidFill>
                </w14:textFill>
              </w:rPr>
              <w:t>8月），应尽量减少因施工噪声所引起的干扰鸟类繁殖的情况发生。</w:t>
            </w:r>
          </w:p>
          <w:p w14:paraId="6256232F">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highlight w:val="none"/>
                <w:lang w:val="en-US" w:eastAsia="zh-CN"/>
                <w14:textFill>
                  <w14:solidFill>
                    <w14:schemeClr w14:val="tx1"/>
                  </w14:solidFill>
                </w14:textFill>
              </w:rPr>
              <w:t>（5）施</w:t>
            </w:r>
            <w:r>
              <w:rPr>
                <w:rFonts w:hint="default" w:ascii="Times New Roman" w:hAnsi="Times New Roman" w:eastAsia="宋体" w:cs="Times New Roman"/>
                <w:color w:val="000000" w:themeColor="text1"/>
                <w:highlight w:val="none"/>
                <w:lang w:val="en-US" w:eastAsia="zh-CN"/>
                <w14:textFill>
                  <w14:solidFill>
                    <w14:schemeClr w14:val="tx1"/>
                  </w14:solidFill>
                </w14:textFill>
              </w:rPr>
              <w:t>工过程中注意保护好表层土壤，用于施工结束后施工迹地的恢复。工程结束后应督促施工单位及时拆除临时建筑，清理和平整场地，恢复土层。</w:t>
            </w:r>
          </w:p>
          <w:p w14:paraId="6ECF48E4">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宋体" w:cs="Times New Roman"/>
                <w:b/>
                <w:bCs/>
                <w:color w:val="000000" w:themeColor="text1"/>
                <w:highlight w:val="none"/>
                <w:lang w:val="en-US" w:eastAsia="zh-CN"/>
                <w14:textFill>
                  <w14:solidFill>
                    <w14:schemeClr w14:val="tx1"/>
                  </w14:solidFill>
                </w14:textFill>
              </w:rPr>
            </w:pPr>
            <w:bookmarkStart w:id="20" w:name="_Toc21743"/>
            <w:r>
              <w:rPr>
                <w:rFonts w:hint="default" w:ascii="Times New Roman" w:hAnsi="Times New Roman" w:eastAsia="宋体" w:cs="Times New Roman"/>
                <w:b/>
                <w:bCs/>
                <w:color w:val="000000" w:themeColor="text1"/>
                <w:highlight w:val="none"/>
                <w:lang w:val="en-US" w:eastAsia="zh-CN"/>
                <w14:textFill>
                  <w14:solidFill>
                    <w14:schemeClr w14:val="tx1"/>
                  </w14:solidFill>
                </w14:textFill>
              </w:rPr>
              <w:t>3、施工期管理措施</w:t>
            </w:r>
            <w:bookmarkEnd w:id="20"/>
          </w:p>
          <w:p w14:paraId="213545C8">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严格按照租地范围进行施工，划定最小施工范围，严格划定施工界限，禁止超范围占地，避免超计划占用林地、林木，严禁随意扩大占地范围，严禁施工人员砍伐、破坏工程占地区外的植被，严禁在征地范围外堆渣等作业，减小植被受影响面积。</w:t>
            </w:r>
          </w:p>
          <w:p w14:paraId="1E09585E">
            <w:pPr>
              <w:keepNext w:val="0"/>
              <w:keepLines w:val="0"/>
              <w:pageBreakBefore w:val="0"/>
              <w:widowControl w:val="0"/>
              <w:kinsoku/>
              <w:wordWrap/>
              <w:overflowPunct/>
              <w:topLinePunct w:val="0"/>
              <w:autoSpaceDE/>
              <w:autoSpaceDN/>
              <w:bidi w:val="0"/>
              <w:adjustRightInd w:val="0"/>
              <w:snapToGrid w:val="0"/>
              <w:spacing w:line="360" w:lineRule="auto"/>
              <w:ind w:firstLine="480"/>
              <w:jc w:val="both"/>
              <w:textAlignment w:val="auto"/>
              <w:rPr>
                <w:rFonts w:hint="default" w:ascii="Times New Roman" w:hAnsi="Times New Roman" w:eastAsia="宋体" w:cs="Times New Roman"/>
                <w:b/>
                <w:bCs/>
                <w:color w:val="000000" w:themeColor="text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highlight w:val="none"/>
                <w:lang w:val="en-US" w:eastAsia="zh-CN"/>
                <w14:textFill>
                  <w14:solidFill>
                    <w14:schemeClr w14:val="tx1"/>
                  </w14:solidFill>
                </w14:textFill>
              </w:rPr>
              <w:t>4、施工期其他保护措施</w:t>
            </w:r>
          </w:p>
          <w:p w14:paraId="71FDB689">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（1）工程临时道路、临时堆场占地范围生态环境保护措施：</w:t>
            </w:r>
          </w:p>
          <w:p w14:paraId="649E2D84">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施工场区布设应结合当地条件，因地制宜，合理规划堆料场。施工结束时，及时恢复临时占地范围的土地使用功能。从严控制管理用地，在施工结束后对临时设施进行恢复。具体如下：</w:t>
            </w:r>
          </w:p>
          <w:p w14:paraId="028EA2E7">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①在工程的建设中施工单位应注意识别工程沿线保护动植物资源，加强保护动植物的保护和宣传工作，一旦在施工中遇到需要保护的动植物，应当立即向当地林业部门汇报，协商采取妥善的保护措施后才能进行下一步施工。</w:t>
            </w:r>
          </w:p>
          <w:p w14:paraId="2C37FEAC">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②管理措施</w:t>
            </w:r>
          </w:p>
          <w:p w14:paraId="78BE127B">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从生态和环境的角度出发，建议项目开工建设前，应尽量做好相应的前期宣传和准备工作</w:t>
            </w:r>
            <w:r>
              <w:rPr>
                <w:rFonts w:hint="eastAsia" w:ascii="Times New Roman" w:hAnsi="Times New Roman" w:cs="Times New Roman"/>
                <w:color w:val="000000" w:themeColor="text1"/>
                <w:lang w:val="en-US" w:eastAsia="zh-CN"/>
                <w14:textFill>
                  <w14:solidFill>
                    <w14:schemeClr w14:val="tx1"/>
                  </w14:solidFill>
                </w14:textFill>
              </w:rPr>
              <w:t>，在</w:t>
            </w:r>
            <w:r>
              <w:rPr>
                <w:rFonts w:hint="default" w:ascii="Times New Roman" w:hAnsi="Times New Roman" w:eastAsia="宋体" w:cs="Times New Roman"/>
                <w:color w:val="000000" w:themeColor="text1"/>
                <w:lang w:val="en-US" w:eastAsia="zh-CN"/>
                <w14:textFill>
                  <w14:solidFill>
                    <w14:schemeClr w14:val="tx1"/>
                  </w14:solidFill>
                </w14:textFill>
              </w:rPr>
              <w:t>施工期严格落实水土保持措施，加强施工管理，尽量减少因植被破坏、水土流失、水质污染等对动植物带来的不利影响。</w:t>
            </w:r>
          </w:p>
          <w:p w14:paraId="7AD64C0C">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（2）水土流失防治措施：</w:t>
            </w:r>
          </w:p>
          <w:p w14:paraId="0118DA33">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为减少施工期间的水土流失，本环评提出以下要求：</w:t>
            </w:r>
          </w:p>
          <w:p w14:paraId="6360C4B4">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1</w:t>
            </w:r>
            <w:r>
              <w:rPr>
                <w:rFonts w:hint="default" w:ascii="Times New Roman" w:hAnsi="Times New Roman" w:eastAsia="宋体" w:cs="Times New Roman"/>
                <w:color w:val="000000" w:themeColor="text1"/>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进行封闭性施工，严格控制施工范围；</w:t>
            </w:r>
          </w:p>
          <w:p w14:paraId="5349093F">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2</w:t>
            </w:r>
            <w:r>
              <w:rPr>
                <w:rFonts w:hint="default" w:ascii="Times New Roman" w:hAnsi="Times New Roman" w:eastAsia="宋体" w:cs="Times New Roman"/>
                <w:color w:val="000000" w:themeColor="text1"/>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对工程进行合理设计，场区预先修建截排水沟，地表开挖尽量避开暴雨季节，做到分期分区开挖，使工程施工引起的难以避免的水土流失降至最低程度；</w:t>
            </w:r>
          </w:p>
          <w:p w14:paraId="441951E4">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3</w:t>
            </w:r>
            <w:r>
              <w:rPr>
                <w:rFonts w:hint="default" w:ascii="Times New Roman" w:hAnsi="Times New Roman" w:eastAsia="宋体" w:cs="Times New Roman"/>
                <w:color w:val="000000" w:themeColor="text1"/>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合理选择施工工序。回填土方应分层碾压夯实；合理堆放建筑材料以及临时土方，及时拦挡以控制渣量流失；对需要防护的边坡覆土后及时进行绿化施工，减少地表裸露时间；</w:t>
            </w:r>
          </w:p>
          <w:p w14:paraId="106BE013">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4</w:t>
            </w:r>
            <w:r>
              <w:rPr>
                <w:rFonts w:hint="default" w:ascii="Times New Roman" w:hAnsi="Times New Roman" w:eastAsia="宋体" w:cs="Times New Roman"/>
                <w:color w:val="000000" w:themeColor="text1"/>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合理选择施工工期。尽量避免在雨季进行各种基础开挖，在雨天施工时，为防止临时堆料及开挖裸露土质边坡坡面等被雨水冲刷，选用彩条布、塑料薄膜等进行覆盖；施工中应注意开挖后立即进行施工，暂时不施工的应进行表土覆盖；在施工过程中，如遇干燥天气，应对地表进行洒水，以免产生扬尘；</w:t>
            </w:r>
          </w:p>
          <w:p w14:paraId="58848425">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5</w:t>
            </w:r>
            <w:r>
              <w:rPr>
                <w:rFonts w:hint="default" w:ascii="Times New Roman" w:hAnsi="Times New Roman" w:eastAsia="宋体" w:cs="Times New Roman"/>
                <w:color w:val="000000" w:themeColor="text1"/>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严格控制运输流失。对出入场区的工程车辆要严格管理，严禁超载，防止因车辆超载而将物料洒落在运输途中；运输</w:t>
            </w:r>
            <w:r>
              <w:rPr>
                <w:rFonts w:hint="eastAsia" w:ascii="Times New Roman" w:hAnsi="Times New Roman" w:cs="Times New Roman"/>
                <w:color w:val="000000" w:themeColor="text1"/>
                <w:lang w:val="en-US" w:eastAsia="zh-CN"/>
                <w14:textFill>
                  <w14:solidFill>
                    <w14:schemeClr w14:val="tx1"/>
                  </w14:solidFill>
                </w14:textFill>
              </w:rPr>
              <w:t>车辆</w:t>
            </w:r>
            <w:r>
              <w:rPr>
                <w:rFonts w:hint="default" w:ascii="Times New Roman" w:hAnsi="Times New Roman" w:eastAsia="宋体" w:cs="Times New Roman"/>
                <w:color w:val="000000" w:themeColor="text1"/>
                <w:lang w:val="en-US" w:eastAsia="zh-CN"/>
                <w14:textFill>
                  <w14:solidFill>
                    <w14:schemeClr w14:val="tx1"/>
                  </w14:solidFill>
                </w14:textFill>
              </w:rPr>
              <w:t>必须加盖防护，不能超载；在工程区出口处设置洗车设施，工程车辆在驶出工程区时必须进行清洗，以防泥土带出工程区而造成区外水土流失和环境污染，严格控制运输流失；</w:t>
            </w:r>
          </w:p>
          <w:p w14:paraId="48E02002">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6</w:t>
            </w:r>
            <w:r>
              <w:rPr>
                <w:rFonts w:hint="default" w:ascii="Times New Roman" w:hAnsi="Times New Roman" w:eastAsia="宋体" w:cs="Times New Roman"/>
                <w:color w:val="000000" w:themeColor="text1"/>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开挖时剥离的表层土采取临时覆盖等防护措施，周边拟采用填土编织袋挡土墙进行临时拦挡，顶端采用塑料彩条布覆盖，挡土墙外侧设置临时排水沟；</w:t>
            </w:r>
          </w:p>
          <w:p w14:paraId="01C4FEE9">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7</w:t>
            </w:r>
            <w:r>
              <w:rPr>
                <w:rFonts w:hint="default" w:ascii="Times New Roman" w:hAnsi="Times New Roman" w:eastAsia="宋体" w:cs="Times New Roman"/>
                <w:color w:val="000000" w:themeColor="text1"/>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施工</w:t>
            </w:r>
            <w:r>
              <w:rPr>
                <w:rFonts w:hint="eastAsia" w:ascii="Times New Roman" w:hAnsi="Times New Roman" w:cs="Times New Roman"/>
                <w:color w:val="000000" w:themeColor="text1"/>
                <w:lang w:val="en-US" w:eastAsia="zh-CN"/>
                <w14:textFill>
                  <w14:solidFill>
                    <w14:schemeClr w14:val="tx1"/>
                  </w14:solidFill>
                </w14:textFill>
              </w:rPr>
              <w:t>期间</w:t>
            </w:r>
            <w:r>
              <w:rPr>
                <w:rFonts w:hint="default" w:ascii="Times New Roman" w:hAnsi="Times New Roman" w:eastAsia="宋体" w:cs="Times New Roman"/>
                <w:color w:val="000000" w:themeColor="text1"/>
                <w:lang w:val="en-US" w:eastAsia="zh-CN"/>
                <w14:textFill>
                  <w14:solidFill>
                    <w14:schemeClr w14:val="tx1"/>
                  </w14:solidFill>
                </w14:textFill>
              </w:rPr>
              <w:t>可通过多方面措施减轻水土流失对大西水库和尼去本水库的影响，首先应合理选择施工时间，避开降雨天气；其次采取工程措施，如在道路坡脚修筑挡土墙增强土体稳定性</w:t>
            </w:r>
            <w:r>
              <w:rPr>
                <w:rFonts w:hint="default" w:ascii="Times New Roman" w:hAnsi="Times New Roman" w:eastAsia="宋体" w:cs="Times New Roman"/>
                <w:color w:val="000000" w:themeColor="text1"/>
                <w:lang w:val="en-US" w:eastAsia="zh-CN"/>
                <w14:textFill>
                  <w14:solidFill>
                    <w14:schemeClr w14:val="tx1"/>
                  </w14:solidFill>
                </w14:textFill>
              </w:rPr>
              <w:t>，同时修建截</w:t>
            </w:r>
            <w:r>
              <w:rPr>
                <w:rFonts w:hint="eastAsia" w:ascii="Times New Roman" w:hAnsi="Times New Roman" w:cs="Times New Roman"/>
                <w:color w:val="000000" w:themeColor="text1"/>
                <w:lang w:val="en-US" w:eastAsia="zh-CN"/>
                <w14:textFill>
                  <w14:solidFill>
                    <w14:schemeClr w14:val="tx1"/>
                  </w14:solidFill>
                </w14:textFill>
              </w:rPr>
              <w:t>排</w:t>
            </w:r>
            <w:r>
              <w:rPr>
                <w:rFonts w:hint="default" w:ascii="Times New Roman" w:hAnsi="Times New Roman" w:eastAsia="宋体" w:cs="Times New Roman"/>
                <w:color w:val="000000" w:themeColor="text1"/>
                <w:lang w:val="en-US" w:eastAsia="zh-CN"/>
                <w14:textFill>
                  <w14:solidFill>
                    <w14:schemeClr w14:val="tx1"/>
                  </w14:solidFill>
                </w14:textFill>
              </w:rPr>
              <w:t>水沟与排水沟并设置</w:t>
            </w:r>
            <w:r>
              <w:rPr>
                <w:rFonts w:hint="eastAsia" w:ascii="Times New Roman" w:hAnsi="Times New Roman" w:cs="Times New Roman"/>
                <w:color w:val="000000" w:themeColor="text1"/>
                <w:lang w:val="en-US" w:eastAsia="zh-CN"/>
                <w14:textFill>
                  <w14:solidFill>
                    <w14:schemeClr w14:val="tx1"/>
                  </w14:solidFill>
                </w14:textFill>
              </w:rPr>
              <w:t>水</w:t>
            </w:r>
            <w:r>
              <w:rPr>
                <w:rFonts w:hint="default" w:ascii="Times New Roman" w:hAnsi="Times New Roman" w:eastAsia="宋体" w:cs="Times New Roman"/>
                <w:color w:val="000000" w:themeColor="text1"/>
                <w:lang w:val="en-US" w:eastAsia="zh-CN"/>
                <w14:textFill>
                  <w14:solidFill>
                    <w14:schemeClr w14:val="tx1"/>
                  </w14:solidFill>
                </w14:textFill>
              </w:rPr>
              <w:t>池</w:t>
            </w:r>
            <w:r>
              <w:rPr>
                <w:rFonts w:hint="eastAsia" w:ascii="Times New Roman" w:hAnsi="Times New Roman" w:cs="Times New Roman"/>
                <w:color w:val="000000" w:themeColor="text1"/>
                <w:lang w:val="en-US" w:eastAsia="zh-CN"/>
                <w14:textFill>
                  <w14:solidFill>
                    <w14:schemeClr w14:val="tx1"/>
                  </w14:solidFill>
                </w14:textFill>
              </w:rPr>
              <w:t>收集雨水</w:t>
            </w:r>
            <w:r>
              <w:rPr>
                <w:rFonts w:hint="default" w:ascii="Times New Roman" w:hAnsi="Times New Roman" w:eastAsia="宋体" w:cs="Times New Roman"/>
                <w:color w:val="000000" w:themeColor="text1"/>
                <w:lang w:val="en-US" w:eastAsia="zh-CN"/>
                <w14:textFill>
                  <w14:solidFill>
                    <w14:schemeClr w14:val="tx1"/>
                  </w14:solidFill>
                </w14:textFill>
              </w:rPr>
              <w:t>，以引导水流并沉淀泥沙</w:t>
            </w:r>
            <w:r>
              <w:rPr>
                <w:rFonts w:hint="default" w:ascii="Times New Roman" w:hAnsi="Times New Roman" w:eastAsia="宋体" w:cs="Times New Roman"/>
                <w:color w:val="000000" w:themeColor="text1"/>
                <w:lang w:val="en-US" w:eastAsia="zh-CN"/>
                <w14:textFill>
                  <w14:solidFill>
                    <w14:schemeClr w14:val="tx1"/>
                  </w14:solidFill>
                </w14:textFill>
              </w:rPr>
              <w:t>；还可运用临时措施，在裸地覆盖防尘网减少雨水冲击，以及堆砌土袋作为小型施工或临时排水关键部位的临时挡墙。</w:t>
            </w:r>
          </w:p>
          <w:p w14:paraId="1D680F45">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b/>
                <w:bCs/>
                <w:color w:val="000000" w:themeColor="text1"/>
                <w:lang w:eastAsia="zh-CN"/>
                <w14:textFill>
                  <w14:solidFill>
                    <w14:schemeClr w14:val="tx1"/>
                  </w14:solidFill>
                </w14:textFill>
              </w:rPr>
              <w:t>二</w:t>
            </w:r>
            <w:r>
              <w:rPr>
                <w:rFonts w:hint="default" w:ascii="Times New Roman" w:hAnsi="Times New Roman" w:eastAsia="宋体" w:cs="Times New Roman"/>
                <w:b/>
                <w:bCs/>
                <w:color w:val="000000" w:themeColor="text1"/>
                <w14:textFill>
                  <w14:solidFill>
                    <w14:schemeClr w14:val="tx1"/>
                  </w14:solidFill>
                </w14:textFill>
              </w:rPr>
              <w:t>、废气污染防治措施</w:t>
            </w:r>
          </w:p>
          <w:p w14:paraId="21896D9E">
            <w:pPr>
              <w:keepNext w:val="0"/>
              <w:keepLines w:val="0"/>
              <w:pageBreakBefore w:val="0"/>
              <w:widowControl w:val="0"/>
              <w:kinsoku/>
              <w:wordWrap/>
              <w:overflowPunct/>
              <w:topLinePunct w:val="0"/>
              <w:autoSpaceDE/>
              <w:autoSpaceDN/>
              <w:bidi w:val="0"/>
              <w:adjustRightInd w:val="0"/>
              <w:snapToGrid w:val="0"/>
              <w:spacing w:line="360" w:lineRule="auto"/>
              <w:ind w:firstLine="482"/>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（1）施工扬尘污染防治措施</w:t>
            </w:r>
          </w:p>
          <w:p w14:paraId="790729D6">
            <w:pPr>
              <w:keepNext w:val="0"/>
              <w:keepLines w:val="0"/>
              <w:pageBreakBefore w:val="0"/>
              <w:widowControl w:val="0"/>
              <w:kinsoku/>
              <w:wordWrap/>
              <w:overflowPunct/>
              <w:topLinePunct w:val="0"/>
              <w:autoSpaceDE/>
              <w:autoSpaceDN/>
              <w:bidi w:val="0"/>
              <w:adjustRightInd w:val="0"/>
              <w:snapToGrid w:val="0"/>
              <w:spacing w:line="360" w:lineRule="auto"/>
              <w:ind w:firstLine="482"/>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由于项目施工过程中产尘时段较为集中，结合施工粉尘排放特点，本次评价主要从以下方面加强施工区域抑尘措施，具体分述如下：</w:t>
            </w:r>
          </w:p>
          <w:p w14:paraId="01346045">
            <w:pPr>
              <w:keepNext w:val="0"/>
              <w:keepLines w:val="0"/>
              <w:pageBreakBefore w:val="0"/>
              <w:widowControl w:val="0"/>
              <w:kinsoku/>
              <w:wordWrap/>
              <w:overflowPunct/>
              <w:topLinePunct w:val="0"/>
              <w:autoSpaceDE/>
              <w:autoSpaceDN/>
              <w:bidi w:val="0"/>
              <w:adjustRightInd w:val="0"/>
              <w:snapToGrid w:val="0"/>
              <w:spacing w:line="360" w:lineRule="auto"/>
              <w:ind w:firstLine="482"/>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1</w:t>
            </w:r>
            <w:r>
              <w:rPr>
                <w:rFonts w:hint="default" w:ascii="Times New Roman" w:hAnsi="Times New Roman" w:eastAsia="宋体" w:cs="Times New Roman"/>
                <w:color w:val="000000" w:themeColor="text1"/>
                <w14:textFill>
                  <w14:solidFill>
                    <w14:schemeClr w14:val="tx1"/>
                  </w14:solidFill>
                </w14:textFill>
              </w:rPr>
              <w:t>）合理控制施工周期，从源头削减施工扬尘的产生时长，施工活动结束后及时采取压实处理。</w:t>
            </w:r>
          </w:p>
          <w:p w14:paraId="411650DB">
            <w:pPr>
              <w:keepNext w:val="0"/>
              <w:keepLines w:val="0"/>
              <w:pageBreakBefore w:val="0"/>
              <w:widowControl w:val="0"/>
              <w:kinsoku/>
              <w:wordWrap/>
              <w:overflowPunct/>
              <w:topLinePunct w:val="0"/>
              <w:autoSpaceDE/>
              <w:autoSpaceDN/>
              <w:bidi w:val="0"/>
              <w:adjustRightInd w:val="0"/>
              <w:snapToGrid w:val="0"/>
              <w:spacing w:line="360" w:lineRule="auto"/>
              <w:ind w:firstLine="482"/>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2</w:t>
            </w:r>
            <w:r>
              <w:rPr>
                <w:rFonts w:hint="default" w:ascii="Times New Roman" w:hAnsi="Times New Roman" w:eastAsia="宋体" w:cs="Times New Roman"/>
                <w:color w:val="000000" w:themeColor="text1"/>
                <w14:textFill>
                  <w14:solidFill>
                    <w14:schemeClr w14:val="tx1"/>
                  </w14:solidFill>
                </w14:textFill>
              </w:rPr>
              <w:t>）对易产生扬尘的裸露施工面及土石方临时堆存区，施工单位对其表面进行苫盖处理</w:t>
            </w:r>
            <w:r>
              <w:rPr>
                <w:rFonts w:hint="default" w:ascii="Times New Roman" w:hAnsi="Times New Roman" w:eastAsia="宋体"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加强洒水降尘频率</w:t>
            </w:r>
          </w:p>
          <w:p w14:paraId="39D2EC37">
            <w:pPr>
              <w:keepNext w:val="0"/>
              <w:keepLines w:val="0"/>
              <w:pageBreakBefore w:val="0"/>
              <w:widowControl w:val="0"/>
              <w:kinsoku/>
              <w:wordWrap/>
              <w:overflowPunct/>
              <w:topLinePunct w:val="0"/>
              <w:autoSpaceDE/>
              <w:autoSpaceDN/>
              <w:bidi w:val="0"/>
              <w:adjustRightInd w:val="0"/>
              <w:snapToGrid w:val="0"/>
              <w:spacing w:line="360" w:lineRule="auto"/>
              <w:ind w:firstLine="482"/>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3</w:t>
            </w:r>
            <w:r>
              <w:rPr>
                <w:rFonts w:hint="default" w:ascii="Times New Roman" w:hAnsi="Times New Roman" w:eastAsia="宋体" w:cs="Times New Roman"/>
                <w:color w:val="000000" w:themeColor="text1"/>
                <w14:textFill>
                  <w14:solidFill>
                    <w14:schemeClr w14:val="tx1"/>
                  </w14:solidFill>
                </w14:textFill>
              </w:rPr>
              <w:t>）施工区域内挖填土石方及时调运整地，尽量减少施工区域内土石方松散堆存，减少无组织粉尘起尘源头。</w:t>
            </w:r>
          </w:p>
          <w:p w14:paraId="36913A95">
            <w:pPr>
              <w:keepNext w:val="0"/>
              <w:keepLines w:val="0"/>
              <w:pageBreakBefore w:val="0"/>
              <w:widowControl w:val="0"/>
              <w:kinsoku/>
              <w:wordWrap/>
              <w:overflowPunct/>
              <w:topLinePunct w:val="0"/>
              <w:autoSpaceDE/>
              <w:autoSpaceDN/>
              <w:bidi w:val="0"/>
              <w:adjustRightInd w:val="0"/>
              <w:snapToGrid w:val="0"/>
              <w:spacing w:line="360" w:lineRule="auto"/>
              <w:ind w:firstLine="482"/>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4</w:t>
            </w:r>
            <w:r>
              <w:rPr>
                <w:rFonts w:hint="default" w:ascii="Times New Roman" w:hAnsi="Times New Roman" w:eastAsia="宋体" w:cs="Times New Roman"/>
                <w:color w:val="000000" w:themeColor="text1"/>
                <w14:textFill>
                  <w14:solidFill>
                    <w14:schemeClr w14:val="tx1"/>
                  </w14:solidFill>
                </w14:textFill>
              </w:rPr>
              <w:t>）施工运输车辆应控制车速，由于项目施工区不具备车辆出场冲洗条件，因此施工运输道路沿线主要采取适时洒水降尘等措施有效降低施工运输粉尘。</w:t>
            </w:r>
          </w:p>
          <w:p w14:paraId="4A69D91E">
            <w:pPr>
              <w:keepNext w:val="0"/>
              <w:keepLines w:val="0"/>
              <w:pageBreakBefore w:val="0"/>
              <w:widowControl w:val="0"/>
              <w:kinsoku/>
              <w:wordWrap/>
              <w:overflowPunct/>
              <w:topLinePunct w:val="0"/>
              <w:autoSpaceDE/>
              <w:autoSpaceDN/>
              <w:bidi w:val="0"/>
              <w:adjustRightInd w:val="0"/>
              <w:snapToGrid w:val="0"/>
              <w:spacing w:line="360" w:lineRule="auto"/>
              <w:ind w:firstLine="482"/>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5</w:t>
            </w:r>
            <w:r>
              <w:rPr>
                <w:rFonts w:hint="default" w:ascii="Times New Roman" w:hAnsi="Times New Roman" w:eastAsia="宋体" w:cs="Times New Roman"/>
                <w:color w:val="000000" w:themeColor="text1"/>
                <w14:textFill>
                  <w14:solidFill>
                    <w14:schemeClr w14:val="tx1"/>
                  </w14:solidFill>
                </w14:textFill>
              </w:rPr>
              <w:t>）遇气象预报5级以上大风或空气质量预报重度污染天气时，严禁土石方挖填及土石方调运等其他易产生扬尘污染的施工活动。</w:t>
            </w:r>
          </w:p>
          <w:p w14:paraId="296CA4C3">
            <w:pPr>
              <w:keepNext w:val="0"/>
              <w:keepLines w:val="0"/>
              <w:pageBreakBefore w:val="0"/>
              <w:widowControl w:val="0"/>
              <w:kinsoku/>
              <w:wordWrap/>
              <w:overflowPunct/>
              <w:topLinePunct w:val="0"/>
              <w:autoSpaceDE/>
              <w:autoSpaceDN/>
              <w:bidi w:val="0"/>
              <w:adjustRightInd w:val="0"/>
              <w:snapToGrid w:val="0"/>
              <w:spacing w:line="360" w:lineRule="auto"/>
              <w:ind w:firstLine="482"/>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通过采取上述措施后可有效缓解施工扬尘对区域大气环境的不良影响。</w:t>
            </w:r>
          </w:p>
          <w:p w14:paraId="742103CA">
            <w:pPr>
              <w:keepNext w:val="0"/>
              <w:keepLines w:val="0"/>
              <w:pageBreakBefore w:val="0"/>
              <w:widowControl w:val="0"/>
              <w:kinsoku/>
              <w:wordWrap/>
              <w:overflowPunct/>
              <w:topLinePunct w:val="0"/>
              <w:autoSpaceDE/>
              <w:autoSpaceDN/>
              <w:bidi w:val="0"/>
              <w:adjustRightInd w:val="0"/>
              <w:snapToGrid w:val="0"/>
              <w:spacing w:line="360" w:lineRule="auto"/>
              <w:ind w:firstLine="482"/>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2</w:t>
            </w:r>
            <w:r>
              <w:rPr>
                <w:rFonts w:hint="default" w:ascii="Times New Roman" w:hAnsi="Times New Roman" w:eastAsia="宋体" w:cs="Times New Roman"/>
                <w:color w:val="000000" w:themeColor="text1"/>
                <w14:textFill>
                  <w14:solidFill>
                    <w14:schemeClr w14:val="tx1"/>
                  </w14:solidFill>
                </w14:textFill>
              </w:rPr>
              <w:t>）尾气污染防治措施</w:t>
            </w:r>
          </w:p>
          <w:p w14:paraId="7BE50B09">
            <w:pPr>
              <w:keepNext w:val="0"/>
              <w:keepLines w:val="0"/>
              <w:pageBreakBefore w:val="0"/>
              <w:widowControl w:val="0"/>
              <w:kinsoku/>
              <w:wordWrap/>
              <w:overflowPunct/>
              <w:topLinePunct w:val="0"/>
              <w:autoSpaceDE/>
              <w:autoSpaceDN/>
              <w:bidi w:val="0"/>
              <w:adjustRightInd w:val="0"/>
              <w:snapToGrid w:val="0"/>
              <w:spacing w:line="360" w:lineRule="auto"/>
              <w:ind w:firstLine="482"/>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针对施工机械、车辆尾气，本次评价要求运输车辆和以燃油为动力的施工机械应使用合格燃料，严禁使用劣质燃油</w:t>
            </w:r>
            <w:r>
              <w:rPr>
                <w:rFonts w:hint="eastAsia" w:ascii="Times New Roman" w:hAnsi="Times New Roman" w:cs="Times New Roman"/>
                <w:color w:val="000000" w:themeColor="text1"/>
                <w:lang w:eastAsia="zh-CN"/>
                <w14:textFill>
                  <w14:solidFill>
                    <w14:schemeClr w14:val="tx1"/>
                  </w14:solidFill>
                </w14:textFill>
              </w:rPr>
              <w:t>；在</w:t>
            </w:r>
            <w:r>
              <w:rPr>
                <w:rFonts w:hint="default" w:ascii="Times New Roman" w:hAnsi="Times New Roman" w:eastAsia="宋体" w:cs="Times New Roman"/>
                <w:color w:val="000000" w:themeColor="text1"/>
                <w14:textFill>
                  <w14:solidFill>
                    <w14:schemeClr w14:val="tx1"/>
                  </w14:solidFill>
                </w14:textFill>
              </w:rPr>
              <w:t>施工准备工作期间</w:t>
            </w:r>
            <w:r>
              <w:rPr>
                <w:rFonts w:hint="eastAsia" w:ascii="Times New Roman" w:hAnsi="Times New Roman" w:cs="Times New Roman"/>
                <w:color w:val="000000" w:themeColor="text1"/>
                <w:lang w:eastAsia="zh-CN"/>
                <w14:textFill>
                  <w14:solidFill>
                    <w14:schemeClr w14:val="tx1"/>
                  </w14:solidFill>
                </w14:textFill>
              </w:rPr>
              <w:t>，要</w:t>
            </w:r>
            <w:r>
              <w:rPr>
                <w:rFonts w:hint="default" w:ascii="Times New Roman" w:hAnsi="Times New Roman" w:eastAsia="宋体" w:cs="Times New Roman"/>
                <w:color w:val="000000" w:themeColor="text1"/>
                <w14:textFill>
                  <w14:solidFill>
                    <w14:schemeClr w14:val="tx1"/>
                  </w14:solidFill>
                </w14:textFill>
              </w:rPr>
              <w:t>做好施工车辆的维护保养，使其满足施工要求，日常加强对燃油机械设备的维护和保养，保持设备在正常良好的状态下工作；施工活动结束后需及时关闭燃油机械；保证施工区域内车辆行驶速度，减少怠速运行时间，以减少车辆尾气的排放。</w:t>
            </w:r>
          </w:p>
          <w:p w14:paraId="45947009">
            <w:pPr>
              <w:keepNext w:val="0"/>
              <w:keepLines w:val="0"/>
              <w:pageBreakBefore w:val="0"/>
              <w:widowControl w:val="0"/>
              <w:kinsoku/>
              <w:wordWrap/>
              <w:overflowPunct/>
              <w:topLinePunct w:val="0"/>
              <w:autoSpaceDE/>
              <w:autoSpaceDN/>
              <w:bidi w:val="0"/>
              <w:adjustRightInd w:val="0"/>
              <w:snapToGrid w:val="0"/>
              <w:spacing w:line="360" w:lineRule="auto"/>
              <w:ind w:firstLine="482"/>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上述尾气处理措施从实际角度出发，通过注重日常管理后，可有效降低尾气排放对大气环境的不良影响。</w:t>
            </w:r>
          </w:p>
          <w:p w14:paraId="14C498C2">
            <w:pPr>
              <w:ind w:left="0" w:leftChars="0" w:firstLine="0" w:firstLineChars="0"/>
              <w:jc w:val="both"/>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三</w:t>
            </w:r>
            <w:r>
              <w:rPr>
                <w:rFonts w:hint="default" w:ascii="Times New Roman" w:hAnsi="Times New Roman" w:eastAsia="宋体" w:cs="Times New Roman"/>
                <w:b/>
                <w:bCs/>
                <w:color w:val="000000" w:themeColor="text1"/>
                <w14:textFill>
                  <w14:solidFill>
                    <w14:schemeClr w14:val="tx1"/>
                  </w14:solidFill>
                </w14:textFill>
              </w:rPr>
              <w:t>、</w:t>
            </w:r>
            <w:r>
              <w:rPr>
                <w:rFonts w:hint="default" w:ascii="Times New Roman" w:hAnsi="Times New Roman" w:eastAsia="宋体" w:cs="Times New Roman"/>
                <w:b/>
                <w:bCs/>
                <w:color w:val="000000" w:themeColor="text1"/>
                <w:lang w:eastAsia="zh-CN"/>
                <w14:textFill>
                  <w14:solidFill>
                    <w14:schemeClr w14:val="tx1"/>
                  </w14:solidFill>
                </w14:textFill>
              </w:rPr>
              <w:t>废水</w:t>
            </w:r>
            <w:r>
              <w:rPr>
                <w:rFonts w:hint="default" w:ascii="Times New Roman" w:hAnsi="Times New Roman" w:eastAsia="宋体" w:cs="Times New Roman"/>
                <w:b/>
                <w:bCs/>
                <w:color w:val="000000" w:themeColor="text1"/>
                <w14:textFill>
                  <w14:solidFill>
                    <w14:schemeClr w14:val="tx1"/>
                  </w14:solidFill>
                </w14:textFill>
              </w:rPr>
              <w:t>污染防治措施</w:t>
            </w:r>
          </w:p>
          <w:p w14:paraId="0064EBE9">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w:t>
            </w:r>
            <w:r>
              <w:rPr>
                <w:rFonts w:hint="default" w:ascii="Times New Roman" w:hAnsi="Times New Roman" w:eastAsia="宋体" w:cs="Times New Roman"/>
                <w:color w:val="000000" w:themeColor="text1"/>
                <w:highlight w:val="none"/>
                <w:lang w:val="en-US" w:eastAsia="zh-CN"/>
                <w14:textFill>
                  <w14:solidFill>
                    <w14:schemeClr w14:val="tx1"/>
                  </w14:solidFill>
                </w14:textFill>
              </w:rPr>
              <w:t>1）生活污水：</w:t>
            </w:r>
            <w:r>
              <w:rPr>
                <w:rFonts w:hint="default" w:ascii="Times New Roman" w:hAnsi="Times New Roman" w:eastAsia="宋体" w:cs="Times New Roman"/>
                <w:color w:val="000000" w:themeColor="text1"/>
                <w:highlight w:val="none"/>
                <w:lang w:val="en-US" w:eastAsia="zh-CN"/>
                <w14:textFill>
                  <w14:solidFill>
                    <w14:schemeClr w14:val="tx1"/>
                  </w14:solidFill>
                </w14:textFill>
              </w:rPr>
              <w:t>施工人员不在项目区食宿，项目区内施工人员日常产生的洗手废水经收集后就近进入沉淀池或水池，回用于施工区域内降尘，不外排</w:t>
            </w:r>
            <w:r>
              <w:rPr>
                <w:rFonts w:hint="eastAsia" w:ascii="Times New Roman" w:hAnsi="Times New Roman" w:cs="Times New Roman"/>
                <w:color w:val="000000" w:themeColor="text1"/>
                <w:highlight w:val="none"/>
                <w:lang w:val="en-US" w:eastAsia="zh-CN"/>
                <w14:textFill>
                  <w14:solidFill>
                    <w14:schemeClr w14:val="tx1"/>
                  </w14:solidFill>
                </w14:textFill>
              </w:rPr>
              <w:t>。</w:t>
            </w:r>
          </w:p>
          <w:p w14:paraId="132D8BEA">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2）雨季径流：一片区雨水经设置的截排水沟收集后排入水池内（根据片区排入最近水池，共3个水池），沉淀后回用于项目区内洒水降尘，废水不外排；二片区雨水经设置的截排水沟收集后排入水池内（根据片区排入最近水池，共12个水池），沉淀后回用于项目区内洒水降尘，不外排</w:t>
            </w:r>
            <w:r>
              <w:rPr>
                <w:rFonts w:hint="eastAsia" w:ascii="Times New Roman" w:hAnsi="Times New Roman" w:cs="Times New Roman"/>
                <w:color w:val="000000" w:themeColor="text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highlight w:val="none"/>
                <w:lang w:val="en-US" w:eastAsia="zh-CN"/>
                <w14:textFill>
                  <w14:solidFill>
                    <w14:schemeClr w14:val="tx1"/>
                  </w14:solidFill>
                </w14:textFill>
              </w:rPr>
              <w:t>对周围地表水体影响较小。</w:t>
            </w:r>
          </w:p>
          <w:p w14:paraId="59C8DB62">
            <w:pPr>
              <w:keepNext w:val="0"/>
              <w:keepLines w:val="0"/>
              <w:pageBreakBefore w:val="0"/>
              <w:widowControl/>
              <w:suppressLineNumbers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经采取以上措施后，施工期</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废水</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可以得到有效</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收集</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废水不外排，</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对周围环境影响小，措施可行。</w:t>
            </w:r>
          </w:p>
          <w:p w14:paraId="7B6727FF">
            <w:pPr>
              <w:ind w:left="0" w:leftChars="0" w:firstLine="0" w:firstLineChars="0"/>
              <w:jc w:val="both"/>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四</w:t>
            </w:r>
            <w:r>
              <w:rPr>
                <w:rFonts w:hint="default" w:ascii="Times New Roman" w:hAnsi="Times New Roman" w:eastAsia="宋体" w:cs="Times New Roman"/>
                <w:b/>
                <w:bCs/>
                <w:color w:val="000000" w:themeColor="text1"/>
                <w14:textFill>
                  <w14:solidFill>
                    <w14:schemeClr w14:val="tx1"/>
                  </w14:solidFill>
                </w14:textFill>
              </w:rPr>
              <w:t>、</w:t>
            </w:r>
            <w:r>
              <w:rPr>
                <w:rFonts w:hint="default" w:ascii="Times New Roman" w:hAnsi="Times New Roman" w:eastAsia="宋体" w:cs="Times New Roman"/>
                <w:b/>
                <w:bCs/>
                <w:color w:val="000000" w:themeColor="text1"/>
                <w:lang w:eastAsia="zh-CN"/>
                <w14:textFill>
                  <w14:solidFill>
                    <w14:schemeClr w14:val="tx1"/>
                  </w14:solidFill>
                </w14:textFill>
              </w:rPr>
              <w:t>噪声</w:t>
            </w:r>
            <w:r>
              <w:rPr>
                <w:rFonts w:hint="default" w:ascii="Times New Roman" w:hAnsi="Times New Roman" w:eastAsia="宋体" w:cs="Times New Roman"/>
                <w:b/>
                <w:bCs/>
                <w:color w:val="000000" w:themeColor="text1"/>
                <w14:textFill>
                  <w14:solidFill>
                    <w14:schemeClr w14:val="tx1"/>
                  </w14:solidFill>
                </w14:textFill>
              </w:rPr>
              <w:t>污染防治措施</w:t>
            </w:r>
          </w:p>
          <w:p w14:paraId="6B9E97AC">
            <w:pPr>
              <w:keepNext w:val="0"/>
              <w:keepLines w:val="0"/>
              <w:pageBreakBefore w:val="0"/>
              <w:widowControl/>
              <w:suppressLineNumbers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（1）对强噪声设备进行一定的隔声及减振处理，在不影响施工情况下将噪声设备尽量不集中安排，固定的机械设备尽量入棚操作。</w:t>
            </w:r>
          </w:p>
          <w:p w14:paraId="44412C1E">
            <w:pPr>
              <w:keepNext w:val="0"/>
              <w:keepLines w:val="0"/>
              <w:pageBreakBefore w:val="0"/>
              <w:widowControl/>
              <w:suppressLineNumbers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（2）使用低噪声机械设备，同时施工单位应设专人对设备进行定期保养和维护。</w:t>
            </w:r>
          </w:p>
          <w:p w14:paraId="0D25E491">
            <w:pPr>
              <w:keepNext w:val="0"/>
              <w:keepLines w:val="0"/>
              <w:pageBreakBefore w:val="0"/>
              <w:widowControl/>
              <w:suppressLineNumbers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（3）在进行物料运输时，应合理安排运输时间，经过敏感点时应低速、禁鸣。</w:t>
            </w:r>
          </w:p>
          <w:p w14:paraId="5A933FB1">
            <w:pPr>
              <w:keepNext w:val="0"/>
              <w:keepLines w:val="0"/>
              <w:pageBreakBefore w:val="0"/>
              <w:widowControl/>
              <w:suppressLineNumbers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（4）施工期间建设单位应与施工方签订环境管理责任书，具体落实施工期噪声防治措施，</w:t>
            </w:r>
            <w:r>
              <w:rPr>
                <w:rFonts w:hint="eastAsia" w:ascii="Times New Roman" w:hAnsi="Times New Roman" w:cs="Times New Roman"/>
                <w:color w:val="000000" w:themeColor="text1"/>
                <w:kern w:val="0"/>
                <w:sz w:val="24"/>
                <w:szCs w:val="24"/>
                <w:lang w:val="en-US" w:eastAsia="zh-CN" w:bidi="ar"/>
                <w14:textFill>
                  <w14:solidFill>
                    <w14:schemeClr w14:val="tx1"/>
                  </w14:solidFill>
                </w14:textFill>
              </w:rPr>
              <w:t>并</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加强与周围可能受影响单位的沟通，减轻对声环境的不利影响。</w:t>
            </w:r>
          </w:p>
          <w:p w14:paraId="63D483AA">
            <w:pPr>
              <w:keepNext w:val="0"/>
              <w:keepLines w:val="0"/>
              <w:pageBreakBefore w:val="0"/>
              <w:widowControl/>
              <w:suppressLineNumbers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经采取以上措施后，施工期噪声可以得到有效管控，对周围环境影响小，措施可行。</w:t>
            </w:r>
          </w:p>
          <w:p w14:paraId="129DA6C5">
            <w:pPr>
              <w:ind w:left="0" w:leftChars="0" w:firstLine="0" w:firstLineChars="0"/>
              <w:jc w:val="both"/>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五</w:t>
            </w:r>
            <w:r>
              <w:rPr>
                <w:rFonts w:hint="default" w:ascii="Times New Roman" w:hAnsi="Times New Roman" w:eastAsia="宋体" w:cs="Times New Roman"/>
                <w:b/>
                <w:bCs/>
                <w:color w:val="000000" w:themeColor="text1"/>
                <w14:textFill>
                  <w14:solidFill>
                    <w14:schemeClr w14:val="tx1"/>
                  </w14:solidFill>
                </w14:textFill>
              </w:rPr>
              <w:t>、</w:t>
            </w:r>
            <w:r>
              <w:rPr>
                <w:rFonts w:hint="default" w:ascii="Times New Roman" w:hAnsi="Times New Roman" w:eastAsia="宋体" w:cs="Times New Roman"/>
                <w:b/>
                <w:bCs/>
                <w:color w:val="000000" w:themeColor="text1"/>
                <w:lang w:eastAsia="zh-CN"/>
                <w14:textFill>
                  <w14:solidFill>
                    <w14:schemeClr w14:val="tx1"/>
                  </w14:solidFill>
                </w14:textFill>
              </w:rPr>
              <w:t>固体废物</w:t>
            </w:r>
            <w:r>
              <w:rPr>
                <w:rFonts w:hint="default" w:ascii="Times New Roman" w:hAnsi="Times New Roman" w:eastAsia="宋体" w:cs="Times New Roman"/>
                <w:b/>
                <w:bCs/>
                <w:color w:val="000000" w:themeColor="text1"/>
                <w14:textFill>
                  <w14:solidFill>
                    <w14:schemeClr w14:val="tx1"/>
                  </w14:solidFill>
                </w14:textFill>
              </w:rPr>
              <w:t>污染防治措施</w:t>
            </w:r>
          </w:p>
          <w:p w14:paraId="1BF7DEFD">
            <w:pPr>
              <w:ind w:firstLine="482"/>
              <w:jc w:val="both"/>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（1）施工区域原有地表挖出的灌木杂草：直径≥5cm的外售给木炭加工和生物质燃料企业；直径＜5cm的就地切碎埋入土壤发酵做肥料</w:t>
            </w: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禁止在项目区内进行焚烧处置。</w:t>
            </w:r>
          </w:p>
          <w:p w14:paraId="1574C539">
            <w:pPr>
              <w:ind w:firstLine="482"/>
              <w:jc w:val="both"/>
              <w:rPr>
                <w:rFonts w:hint="default" w:ascii="Times New Roman" w:hAnsi="Times New Roman" w:eastAsia="宋体" w:cs="Times New Roman"/>
                <w:b w:val="0"/>
                <w:bCs/>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2</w:t>
            </w:r>
            <w:r>
              <w:rPr>
                <w:rFonts w:hint="default" w:ascii="Times New Roman" w:hAnsi="Times New Roman" w:eastAsia="宋体" w:cs="Times New Roman"/>
                <w:color w:val="000000" w:themeColor="text1"/>
                <w14:textFill>
                  <w14:solidFill>
                    <w14:schemeClr w14:val="tx1"/>
                  </w14:solidFill>
                </w14:textFill>
              </w:rPr>
              <w:t>）生活垃圾：施工人员生活垃圾在施工区域集中收集</w:t>
            </w:r>
            <w:r>
              <w:rPr>
                <w:rFonts w:hint="default" w:ascii="Times New Roman" w:hAnsi="Times New Roman" w:eastAsia="宋体" w:cs="Times New Roman"/>
                <w:b w:val="0"/>
                <w:bCs/>
                <w:color w:val="000000" w:themeColor="text1"/>
                <w:sz w:val="24"/>
                <w:szCs w:val="24"/>
                <w:lang w:val="en-US" w:eastAsia="zh-CN"/>
                <w14:textFill>
                  <w14:solidFill>
                    <w14:schemeClr w14:val="tx1"/>
                  </w14:solidFill>
                </w14:textFill>
              </w:rPr>
              <w:t>并入附近村庄，由当地环卫部门</w:t>
            </w:r>
            <w:r>
              <w:rPr>
                <w:rFonts w:hint="eastAsia" w:ascii="Times New Roman" w:hAnsi="Times New Roman" w:cs="Times New Roman"/>
                <w:b w:val="0"/>
                <w:bCs/>
                <w:color w:val="000000" w:themeColor="text1"/>
                <w:sz w:val="24"/>
                <w:szCs w:val="24"/>
                <w:lang w:val="en-US" w:eastAsia="zh-CN"/>
                <w14:textFill>
                  <w14:solidFill>
                    <w14:schemeClr w14:val="tx1"/>
                  </w14:solidFill>
                </w14:textFill>
              </w:rPr>
              <w:t>统一</w:t>
            </w:r>
            <w:r>
              <w:rPr>
                <w:rFonts w:hint="default" w:ascii="Times New Roman" w:hAnsi="Times New Roman" w:eastAsia="宋体" w:cs="Times New Roman"/>
                <w:b w:val="0"/>
                <w:bCs/>
                <w:color w:val="000000" w:themeColor="text1"/>
                <w:sz w:val="24"/>
                <w:szCs w:val="24"/>
                <w:lang w:val="en-US" w:eastAsia="zh-CN"/>
                <w14:textFill>
                  <w14:solidFill>
                    <w14:schemeClr w14:val="tx1"/>
                  </w14:solidFill>
                </w14:textFill>
              </w:rPr>
              <w:t>清运处置做到</w:t>
            </w:r>
            <w:r>
              <w:rPr>
                <w:rFonts w:hint="default" w:ascii="Times New Roman" w:hAnsi="Times New Roman" w:eastAsia="宋体" w:cs="Times New Roman"/>
                <w:color w:val="000000" w:themeColor="text1"/>
                <w14:textFill>
                  <w14:solidFill>
                    <w14:schemeClr w14:val="tx1"/>
                  </w14:solidFill>
                </w14:textFill>
              </w:rPr>
              <w:t>日产日清</w:t>
            </w:r>
            <w:r>
              <w:rPr>
                <w:rFonts w:hint="default" w:ascii="Times New Roman" w:hAnsi="Times New Roman" w:eastAsia="宋体" w:cs="Times New Roman"/>
                <w:b w:val="0"/>
                <w:bCs/>
                <w:color w:val="000000" w:themeColor="text1"/>
                <w:sz w:val="24"/>
                <w:szCs w:val="24"/>
                <w:lang w:val="en-US" w:eastAsia="zh-CN"/>
                <w14:textFill>
                  <w14:solidFill>
                    <w14:schemeClr w14:val="tx1"/>
                  </w14:solidFill>
                </w14:textFill>
              </w:rPr>
              <w:t>。</w:t>
            </w:r>
          </w:p>
          <w:p w14:paraId="182EC564">
            <w:pPr>
              <w:ind w:firstLine="482"/>
              <w:jc w:val="both"/>
              <w:rPr>
                <w:rFonts w:hint="default" w:ascii="Times New Roman" w:hAnsi="Times New Roman" w:eastAsia="宋体" w:cs="Times New Roman"/>
                <w:b w:val="0"/>
                <w:bCs/>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color w:val="000000" w:themeColor="text1"/>
                <w:sz w:val="24"/>
                <w:szCs w:val="24"/>
                <w:lang w:val="en-US" w:eastAsia="zh-CN"/>
                <w14:textFill>
                  <w14:solidFill>
                    <w14:schemeClr w14:val="tx1"/>
                  </w14:solidFill>
                </w14:textFill>
              </w:rPr>
              <w:t>（3）大棚建设产生的废弃材料大棚结构及顶棚覆盖过程中会产生少量的废弃材料，集中收集运至就近生活垃圾中转站，委托环卫部门处置。</w:t>
            </w:r>
          </w:p>
          <w:p w14:paraId="2FC0989E">
            <w:pPr>
              <w:ind w:firstLine="482"/>
              <w:jc w:val="both"/>
              <w:rPr>
                <w:rFonts w:hint="default" w:ascii="Times New Roman" w:hAnsi="Times New Roman" w:eastAsia="宋体" w:cs="Times New Roman"/>
                <w:b w:val="0"/>
                <w:bCs/>
                <w:color w:val="000000" w:themeColor="text1"/>
                <w:sz w:val="24"/>
                <w:szCs w:val="24"/>
                <w:lang w:val="en-US" w:eastAsia="zh-CN"/>
                <w14:textFill>
                  <w14:solidFill>
                    <w14:schemeClr w14:val="tx1"/>
                  </w14:solidFill>
                </w14:textFill>
              </w:rPr>
            </w:pPr>
            <w:r>
              <w:rPr>
                <w:rFonts w:hint="eastAsia" w:ascii="Times New Roman" w:hAnsi="Times New Roman" w:cs="Times New Roman"/>
                <w:b w:val="0"/>
                <w:bCs/>
                <w:color w:val="000000" w:themeColor="text1"/>
                <w:sz w:val="24"/>
                <w:szCs w:val="24"/>
                <w:lang w:val="en-US" w:eastAsia="zh-CN"/>
                <w14:textFill>
                  <w14:solidFill>
                    <w14:schemeClr w14:val="tx1"/>
                  </w14:solidFill>
                </w14:textFill>
              </w:rPr>
              <w:t>（4）</w:t>
            </w:r>
            <w:r>
              <w:rPr>
                <w:rFonts w:hint="default" w:ascii="Times New Roman" w:hAnsi="Times New Roman" w:eastAsia="宋体" w:cs="Times New Roman"/>
                <w:b w:val="0"/>
                <w:bCs/>
                <w:color w:val="000000" w:themeColor="text1"/>
                <w:sz w:val="24"/>
                <w:szCs w:val="24"/>
                <w:lang w:val="en-US" w:eastAsia="zh-CN"/>
                <w14:textFill>
                  <w14:solidFill>
                    <w14:schemeClr w14:val="tx1"/>
                  </w14:solidFill>
                </w14:textFill>
              </w:rPr>
              <w:t>项目区整地过程中产生的土石方可全部就近调配用于项目区内低洼处土地平整，项目施工阶段</w:t>
            </w:r>
            <w:r>
              <w:rPr>
                <w:rFonts w:hint="eastAsia" w:ascii="Times New Roman" w:hAnsi="Times New Roman" w:cs="Times New Roman"/>
                <w:b w:val="0"/>
                <w:bCs/>
                <w:color w:val="000000" w:themeColor="text1"/>
                <w:sz w:val="24"/>
                <w:szCs w:val="24"/>
                <w:lang w:val="en-US" w:eastAsia="zh-CN"/>
                <w14:textFill>
                  <w14:solidFill>
                    <w14:schemeClr w14:val="tx1"/>
                  </w14:solidFill>
                </w14:textFill>
              </w:rPr>
              <w:t>无废弃土石方</w:t>
            </w:r>
            <w:r>
              <w:rPr>
                <w:rFonts w:hint="default" w:ascii="Times New Roman" w:hAnsi="Times New Roman" w:eastAsia="宋体" w:cs="Times New Roman"/>
                <w:b w:val="0"/>
                <w:bCs/>
                <w:color w:val="000000" w:themeColor="text1"/>
                <w:sz w:val="24"/>
                <w:szCs w:val="24"/>
                <w:lang w:val="en-US" w:eastAsia="zh-CN"/>
                <w14:textFill>
                  <w14:solidFill>
                    <w14:schemeClr w14:val="tx1"/>
                  </w14:solidFill>
                </w14:textFill>
              </w:rPr>
              <w:t>产生。</w:t>
            </w:r>
          </w:p>
          <w:p w14:paraId="15235396">
            <w:pPr>
              <w:keepNext w:val="0"/>
              <w:keepLines w:val="0"/>
              <w:pageBreakBefore w:val="0"/>
              <w:widowControl/>
              <w:suppressLineNumbers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b w:val="0"/>
                <w:bCs/>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经采取以上措施后，施工期</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固废均可</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得到</w:t>
            </w:r>
            <w:r>
              <w:rPr>
                <w:rFonts w:hint="eastAsia" w:ascii="Times New Roman" w:hAnsi="Times New Roman" w:eastAsia="宋体" w:cs="Times New Roman"/>
                <w:color w:val="000000" w:themeColor="text1"/>
                <w:kern w:val="0"/>
                <w:sz w:val="24"/>
                <w:szCs w:val="24"/>
                <w:lang w:val="en-US" w:eastAsia="zh-CN" w:bidi="ar"/>
                <w14:textFill>
                  <w14:solidFill>
                    <w14:schemeClr w14:val="tx1"/>
                  </w14:solidFill>
                </w14:textFill>
              </w:rPr>
              <w:t>合理处置</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，对周围环境影响小，措施可行。</w:t>
            </w:r>
          </w:p>
        </w:tc>
      </w:tr>
      <w:tr w14:paraId="128C7D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5" w:hRule="atLeast"/>
          <w:jc w:val="center"/>
        </w:trPr>
        <w:tc>
          <w:tcPr>
            <w:tcW w:w="753" w:type="dxa"/>
            <w:tcMar>
              <w:left w:w="28" w:type="dxa"/>
              <w:right w:w="28" w:type="dxa"/>
            </w:tcMar>
            <w:vAlign w:val="center"/>
          </w:tcPr>
          <w:p w14:paraId="6F69CA3D">
            <w:pPr>
              <w:adjustRightInd w:val="0"/>
              <w:snapToGrid w:val="0"/>
              <w:ind w:firstLine="0" w:firstLineChars="0"/>
              <w:jc w:val="both"/>
              <w:rPr>
                <w:rFonts w:hint="default" w:ascii="Times New Roman" w:hAnsi="Times New Roman" w:eastAsia="宋体" w:cs="Times New Roman"/>
                <w:bCs/>
                <w:color w:val="000000" w:themeColor="text1"/>
                <w:spacing w:val="10"/>
                <w:szCs w:val="21"/>
                <w14:textFill>
                  <w14:solidFill>
                    <w14:schemeClr w14:val="tx1"/>
                  </w14:solidFill>
                </w14:textFill>
              </w:rPr>
            </w:pPr>
            <w:r>
              <w:rPr>
                <w:rFonts w:hint="default" w:ascii="Times New Roman" w:hAnsi="Times New Roman" w:eastAsia="宋体" w:cs="Times New Roman"/>
                <w:bCs/>
                <w:color w:val="000000" w:themeColor="text1"/>
                <w:spacing w:val="10"/>
                <w:szCs w:val="21"/>
                <w14:textFill>
                  <w14:solidFill>
                    <w14:schemeClr w14:val="tx1"/>
                  </w14:solidFill>
                </w14:textFill>
              </w:rPr>
              <w:t>运营期生态环境保护措施</w:t>
            </w:r>
          </w:p>
        </w:tc>
        <w:tc>
          <w:tcPr>
            <w:tcW w:w="8457" w:type="dxa"/>
          </w:tcPr>
          <w:p w14:paraId="4CAB4019">
            <w:pPr>
              <w:ind w:left="0" w:leftChars="0" w:firstLine="0" w:firstLineChars="0"/>
              <w:jc w:val="both"/>
              <w:rPr>
                <w:rFonts w:hint="default" w:ascii="Times New Roman" w:hAnsi="Times New Roman" w:eastAsia="宋体" w:cs="Times New Roman"/>
                <w:b/>
                <w:bCs/>
                <w:color w:val="000000" w:themeColor="text1"/>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一、</w:t>
            </w:r>
            <w:r>
              <w:rPr>
                <w:rFonts w:hint="default" w:ascii="Times New Roman" w:hAnsi="Times New Roman" w:eastAsia="宋体" w:cs="Times New Roman"/>
                <w:b/>
                <w:bCs/>
                <w:color w:val="000000" w:themeColor="text1"/>
                <w14:textFill>
                  <w14:solidFill>
                    <w14:schemeClr w14:val="tx1"/>
                  </w14:solidFill>
                </w14:textFill>
              </w:rPr>
              <w:t>大气环境保护措施</w:t>
            </w:r>
          </w:p>
          <w:p w14:paraId="28A96148">
            <w:pPr>
              <w:ind w:firstLine="480"/>
              <w:jc w:val="both"/>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1</w:t>
            </w:r>
            <w:r>
              <w:rPr>
                <w:rFonts w:hint="default" w:ascii="Times New Roman" w:hAnsi="Times New Roman" w:eastAsia="宋体"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项目运营期为降低项目</w:t>
            </w:r>
            <w:r>
              <w:rPr>
                <w:rFonts w:hint="default" w:ascii="Times New Roman" w:hAnsi="Times New Roman" w:eastAsia="宋体" w:cs="Times New Roman"/>
                <w:color w:val="000000" w:themeColor="text1"/>
                <w:lang w:val="en-US" w:eastAsia="zh-CN"/>
                <w14:textFill>
                  <w14:solidFill>
                    <w14:schemeClr w14:val="tx1"/>
                  </w14:solidFill>
                </w14:textFill>
              </w:rPr>
              <w:t>种植</w:t>
            </w:r>
            <w:r>
              <w:rPr>
                <w:rFonts w:hint="default" w:ascii="Times New Roman" w:hAnsi="Times New Roman" w:eastAsia="宋体" w:cs="Times New Roman"/>
                <w:color w:val="000000" w:themeColor="text1"/>
                <w14:textFill>
                  <w14:solidFill>
                    <w14:schemeClr w14:val="tx1"/>
                  </w14:solidFill>
                </w14:textFill>
              </w:rPr>
              <w:t>区域抚育管护阶段病虫害防治过程中农药喷洒异味，优先选择生物技术和物理技术防治病虫害，选用低毒低残留农药喷洒等措施后可显著降低运营期农药喷洒造成的大气污染。</w:t>
            </w:r>
            <w:r>
              <w:rPr>
                <w:rFonts w:hint="default" w:ascii="Times New Roman" w:hAnsi="Times New Roman" w:eastAsia="宋体" w:cs="Times New Roman"/>
                <w:color w:val="000000" w:themeColor="text1"/>
                <w:lang w:val="en-US" w:eastAsia="zh-CN"/>
                <w14:textFill>
                  <w14:solidFill>
                    <w14:schemeClr w14:val="tx1"/>
                  </w14:solidFill>
                </w14:textFill>
              </w:rPr>
              <w:t>蓝莓、三七、羊肚菌种植方式为大棚种植，大棚可以有效阻挡一部分异味。</w:t>
            </w:r>
          </w:p>
          <w:p w14:paraId="64624C47">
            <w:pPr>
              <w:ind w:firstLine="480"/>
              <w:jc w:val="both"/>
              <w:rPr>
                <w:rFonts w:hint="default"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eastAsia="宋体"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2</w:t>
            </w:r>
            <w:r>
              <w:rPr>
                <w:rFonts w:hint="default" w:ascii="Times New Roman" w:hAnsi="Times New Roman" w:eastAsia="宋体" w:cs="Times New Roman"/>
                <w:color w:val="000000" w:themeColor="text1"/>
                <w:lang w:eastAsia="zh-CN"/>
                <w14:textFill>
                  <w14:solidFill>
                    <w14:schemeClr w14:val="tx1"/>
                  </w14:solidFill>
                </w14:textFill>
              </w:rPr>
              <w:t>）土地翻整、播种、管理过程中粉尘，产生量较小，呈无组织间断式排放，影响不大。</w:t>
            </w:r>
            <w:r>
              <w:rPr>
                <w:rFonts w:hint="default" w:ascii="Times New Roman" w:hAnsi="Times New Roman" w:eastAsia="宋体" w:cs="Times New Roman"/>
                <w:color w:val="000000" w:themeColor="text1"/>
                <w:lang w:val="en-US" w:eastAsia="zh-CN"/>
                <w14:textFill>
                  <w14:solidFill>
                    <w14:schemeClr w14:val="tx1"/>
                  </w14:solidFill>
                </w14:textFill>
              </w:rPr>
              <w:t>种植、翻土施肥避免在大风天气进行，最大限度减少扬尘产生。</w:t>
            </w:r>
          </w:p>
          <w:p w14:paraId="1B97244C">
            <w:pPr>
              <w:ind w:firstLine="480"/>
              <w:jc w:val="both"/>
              <w:rPr>
                <w:rFonts w:hint="default"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eastAsia="宋体"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3</w:t>
            </w:r>
            <w:r>
              <w:rPr>
                <w:rFonts w:hint="default" w:ascii="Times New Roman" w:hAnsi="Times New Roman" w:eastAsia="宋体" w:cs="Times New Roman"/>
                <w:color w:val="000000" w:themeColor="text1"/>
                <w:lang w:eastAsia="zh-CN"/>
                <w14:textFill>
                  <w14:solidFill>
                    <w14:schemeClr w14:val="tx1"/>
                  </w14:solidFill>
                </w14:textFill>
              </w:rPr>
              <w:t>）运输车辆保养良好和使用高品质燃料情况下，尾气中污染物排放量较少，呈无组织排放，项目所在区域通风良好，汽车尾气对周围环境影响较小。</w:t>
            </w:r>
          </w:p>
          <w:p w14:paraId="25281EA1">
            <w:pPr>
              <w:ind w:left="0" w:leftChars="0" w:firstLine="0" w:firstLineChars="0"/>
              <w:jc w:val="both"/>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二、</w:t>
            </w:r>
            <w:r>
              <w:rPr>
                <w:rFonts w:hint="default" w:ascii="Times New Roman" w:hAnsi="Times New Roman" w:eastAsia="宋体" w:cs="Times New Roman"/>
                <w:b/>
                <w:bCs/>
                <w:color w:val="000000" w:themeColor="text1"/>
                <w:lang w:eastAsia="zh-CN"/>
                <w14:textFill>
                  <w14:solidFill>
                    <w14:schemeClr w14:val="tx1"/>
                  </w14:solidFill>
                </w14:textFill>
              </w:rPr>
              <w:t>地表水</w:t>
            </w:r>
            <w:r>
              <w:rPr>
                <w:rFonts w:hint="default" w:ascii="Times New Roman" w:hAnsi="Times New Roman" w:eastAsia="宋体" w:cs="Times New Roman"/>
                <w:b/>
                <w:bCs/>
                <w:color w:val="000000" w:themeColor="text1"/>
                <w14:textFill>
                  <w14:solidFill>
                    <w14:schemeClr w14:val="tx1"/>
                  </w14:solidFill>
                </w14:textFill>
              </w:rPr>
              <w:t>环境保护措施</w:t>
            </w:r>
          </w:p>
          <w:p w14:paraId="6469625A">
            <w:pPr>
              <w:keepNext w:val="0"/>
              <w:keepLines w:val="0"/>
              <w:pageBreakBefore w:val="0"/>
              <w:widowControl w:val="0"/>
              <w:kinsoku/>
              <w:wordWrap/>
              <w:overflowPunct/>
              <w:topLinePunct w:val="0"/>
              <w:bidi w:val="0"/>
              <w:snapToGrid/>
              <w:jc w:val="both"/>
              <w:textAlignment w:val="auto"/>
              <w:rPr>
                <w:rFonts w:hint="eastAsia" w:ascii="Times New Roman" w:hAnsi="Times New Roman" w:cs="Times New Roman"/>
                <w:b w:val="0"/>
                <w:bCs/>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（1）生活污水：</w:t>
            </w:r>
            <w:r>
              <w:rPr>
                <w:rFonts w:hint="default" w:ascii="Times New Roman" w:hAnsi="Times New Roman" w:eastAsia="宋体" w:cs="Times New Roman"/>
                <w:color w:val="000000" w:themeColor="text1"/>
                <w:sz w:val="24"/>
                <w:lang w:val="en-US" w:eastAsia="zh-CN"/>
                <w14:textFill>
                  <w14:solidFill>
                    <w14:schemeClr w14:val="tx1"/>
                  </w14:solidFill>
                </w14:textFill>
              </w:rPr>
              <w:t>项目生活污水经隔油池，化粪池预处理后排入一体化污水处理设备处理，处理达到《农田灌溉水质标准》（GB 5084—2021）中的“旱地作物”标准后的废水排入水池，回用于项目区内灌溉，不外排</w:t>
            </w:r>
            <w:r>
              <w:rPr>
                <w:rFonts w:hint="eastAsia" w:ascii="Times New Roman" w:hAnsi="Times New Roman" w:cs="Times New Roman"/>
                <w:b w:val="0"/>
                <w:bCs/>
                <w:color w:val="000000" w:themeColor="text1"/>
                <w:sz w:val="24"/>
                <w:szCs w:val="24"/>
                <w:highlight w:val="none"/>
                <w:lang w:val="en-US" w:eastAsia="zh-CN"/>
                <w14:textFill>
                  <w14:solidFill>
                    <w14:schemeClr w14:val="tx1"/>
                  </w14:solidFill>
                </w14:textFill>
              </w:rPr>
              <w:t>。</w:t>
            </w:r>
          </w:p>
          <w:p w14:paraId="1324B701">
            <w:pPr>
              <w:keepNext w:val="0"/>
              <w:keepLines w:val="0"/>
              <w:pageBreakBefore w:val="0"/>
              <w:widowControl w:val="0"/>
              <w:kinsoku/>
              <w:wordWrap/>
              <w:overflowPunct/>
              <w:topLinePunct w:val="0"/>
              <w:bidi w:val="0"/>
              <w:snapToGrid/>
              <w:jc w:val="both"/>
              <w:textAlignment w:val="auto"/>
              <w:rPr>
                <w:rFonts w:hint="eastAsia" w:ascii="Times New Roman" w:hAnsi="Times New Roman" w:cs="Times New Roman"/>
                <w:b w:val="0"/>
                <w:bCs/>
                <w:color w:val="000000" w:themeColor="text1"/>
                <w:sz w:val="24"/>
                <w:szCs w:val="24"/>
                <w:highlight w:val="none"/>
                <w:lang w:val="en-US" w:eastAsia="zh-CN"/>
                <w14:textFill>
                  <w14:solidFill>
                    <w14:schemeClr w14:val="tx1"/>
                  </w14:solidFill>
                </w14:textFill>
              </w:rPr>
            </w:pPr>
            <w:r>
              <w:rPr>
                <w:rFonts w:hint="eastAsia" w:ascii="Times New Roman" w:hAnsi="Times New Roman" w:cs="Times New Roman"/>
                <w:color w:val="000000" w:themeColor="text1"/>
                <w:sz w:val="24"/>
                <w:highlight w:val="none"/>
                <w:lang w:val="en-US" w:eastAsia="zh-CN"/>
                <w14:textFill>
                  <w14:solidFill>
                    <w14:schemeClr w14:val="tx1"/>
                  </w14:solidFill>
                </w14:textFill>
              </w:rPr>
              <w:t>一片区</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生活污水产生量为</w:t>
            </w:r>
            <w:r>
              <w:rPr>
                <w:rFonts w:hint="eastAsia" w:ascii="Times New Roman" w:hAnsi="Times New Roman" w:cs="Times New Roman"/>
                <w:color w:val="000000" w:themeColor="text1"/>
                <w:sz w:val="24"/>
                <w:highlight w:val="none"/>
                <w:lang w:val="en-US" w:eastAsia="zh-CN"/>
                <w14:textFill>
                  <w14:solidFill>
                    <w14:schemeClr w14:val="tx1"/>
                  </w14:solidFill>
                </w14:textFill>
              </w:rPr>
              <w:t>2.08</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m</w:t>
            </w:r>
            <w:r>
              <w:rPr>
                <w:rFonts w:hint="default" w:ascii="Times New Roman" w:hAnsi="Times New Roman" w:eastAsia="宋体" w:cs="Times New Roman"/>
                <w:color w:val="000000" w:themeColor="text1"/>
                <w:sz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/d</w:t>
            </w:r>
            <w:r>
              <w:rPr>
                <w:rFonts w:hint="eastAsia" w:ascii="Times New Roman" w:hAnsi="Times New Roman" w:eastAsia="宋体" w:cs="Times New Roman"/>
                <w:b w:val="0"/>
                <w:bCs w:val="0"/>
                <w:color w:val="000000" w:themeColor="text1"/>
                <w:sz w:val="24"/>
                <w:highlight w:val="none"/>
                <w:lang w:val="en-US" w:eastAsia="zh-CN"/>
                <w14:textFill>
                  <w14:solidFill>
                    <w14:schemeClr w14:val="tx1"/>
                  </w14:solidFill>
                </w14:textFill>
              </w:rPr>
              <w:t>，</w:t>
            </w:r>
            <w: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t>进入隔油池的废水量按照生活污水产量的10%计，则进入隔油池水量为0.208m</w:t>
            </w:r>
            <w:r>
              <w:rPr>
                <w:rFonts w:hint="eastAsia" w:ascii="Times New Roman" w:hAnsi="Times New Roman" w:eastAsia="宋体" w:cs="Times New Roman"/>
                <w:bCs/>
                <w:color w:val="000000" w:themeColor="text1"/>
                <w:sz w:val="24"/>
                <w:szCs w:val="24"/>
                <w:highlight w:val="none"/>
                <w:vertAlign w:val="superscript"/>
                <w:lang w:val="en-US" w:eastAsia="zh-CN"/>
                <w14:textFill>
                  <w14:solidFill>
                    <w14:schemeClr w14:val="tx1"/>
                  </w14:solidFill>
                </w14:textFill>
              </w:rPr>
              <w:t>3</w:t>
            </w:r>
            <w: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t>/d，根据《建筑给排水设计规范》（GB50015-2019），污水在隔油池内停留时间宜为30min，因此该项目设置的2.0m</w:t>
            </w:r>
            <w:r>
              <w:rPr>
                <w:rFonts w:hint="eastAsia" w:ascii="Times New Roman" w:hAnsi="Times New Roman" w:eastAsia="宋体" w:cs="Times New Roman"/>
                <w:bCs/>
                <w:color w:val="000000" w:themeColor="text1"/>
                <w:sz w:val="24"/>
                <w:szCs w:val="24"/>
                <w:highlight w:val="none"/>
                <w:vertAlign w:val="superscript"/>
                <w:lang w:val="en-US" w:eastAsia="zh-CN"/>
                <w14:textFill>
                  <w14:solidFill>
                    <w14:schemeClr w14:val="tx1"/>
                  </w14:solidFill>
                </w14:textFill>
              </w:rPr>
              <w:t>3</w:t>
            </w:r>
            <w: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t>的隔油池可满足停留要求，隔油池设置合理；生活污水产生量为2.08m</w:t>
            </w:r>
            <w:r>
              <w:rPr>
                <w:rFonts w:hint="eastAsia" w:ascii="Times New Roman" w:hAnsi="Times New Roman" w:eastAsia="宋体" w:cs="Times New Roman"/>
                <w:bCs/>
                <w:color w:val="000000" w:themeColor="text1"/>
                <w:sz w:val="24"/>
                <w:szCs w:val="24"/>
                <w:highlight w:val="none"/>
                <w:vertAlign w:val="superscript"/>
                <w:lang w:val="en-US" w:eastAsia="zh-CN"/>
                <w14:textFill>
                  <w14:solidFill>
                    <w14:schemeClr w14:val="tx1"/>
                  </w14:solidFill>
                </w14:textFill>
              </w:rPr>
              <w:t>3</w:t>
            </w:r>
            <w: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t>/d，变化系数按照1.2计，则最大综合污水量约为2.496m</w:t>
            </w:r>
            <w:r>
              <w:rPr>
                <w:rFonts w:hint="eastAsia" w:ascii="Times New Roman" w:hAnsi="Times New Roman" w:eastAsia="宋体" w:cs="Times New Roman"/>
                <w:bCs/>
                <w:color w:val="000000" w:themeColor="text1"/>
                <w:sz w:val="24"/>
                <w:szCs w:val="24"/>
                <w:highlight w:val="none"/>
                <w:vertAlign w:val="superscript"/>
                <w:lang w:val="en-US" w:eastAsia="zh-CN"/>
                <w14:textFill>
                  <w14:solidFill>
                    <w14:schemeClr w14:val="tx1"/>
                  </w14:solidFill>
                </w14:textFill>
              </w:rPr>
              <w:t>3</w:t>
            </w:r>
            <w: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t>/d，根据《建筑给排水设计规范》（GB50015-2019），化粪池总容积应满足废水停留时间12</w:t>
            </w:r>
            <w:r>
              <w:rPr>
                <w:rFonts w:hint="eastAsia" w:ascii="Times New Roman" w:hAnsi="Times New Roman" w:cs="Times New Roman"/>
                <w:bCs/>
                <w:color w:val="000000" w:themeColor="text1"/>
                <w:sz w:val="24"/>
                <w:szCs w:val="24"/>
                <w:highlight w:val="none"/>
                <w:lang w:val="en-US" w:eastAsia="zh-CN"/>
                <w14:textFill>
                  <w14:solidFill>
                    <w14:schemeClr w14:val="tx1"/>
                  </w14:solidFill>
                </w14:textFill>
              </w:rPr>
              <w:t>—</w:t>
            </w:r>
            <w: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t>24h的要求，化粪池容积为5.0m</w:t>
            </w:r>
            <w:r>
              <w:rPr>
                <w:rFonts w:hint="eastAsia" w:ascii="Times New Roman" w:hAnsi="Times New Roman" w:eastAsia="宋体" w:cs="Times New Roman"/>
                <w:bCs/>
                <w:color w:val="000000" w:themeColor="text1"/>
                <w:sz w:val="24"/>
                <w:szCs w:val="24"/>
                <w:highlight w:val="none"/>
                <w:vertAlign w:val="superscript"/>
                <w:lang w:val="en-US" w:eastAsia="zh-CN"/>
                <w14:textFill>
                  <w14:solidFill>
                    <w14:schemeClr w14:val="tx1"/>
                  </w14:solidFill>
                </w14:textFill>
              </w:rPr>
              <w:t>3</w:t>
            </w:r>
            <w: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t>，可满足24h停留时间要求；</w:t>
            </w:r>
          </w:p>
          <w:p w14:paraId="7CA4DCDF">
            <w:pPr>
              <w:keepNext w:val="0"/>
              <w:keepLines w:val="0"/>
              <w:pageBreakBefore w:val="0"/>
              <w:widowControl w:val="0"/>
              <w:kinsoku/>
              <w:wordWrap/>
              <w:overflowPunct/>
              <w:topLinePunct w:val="0"/>
              <w:bidi w:val="0"/>
              <w:snapToGrid/>
              <w:jc w:val="both"/>
              <w:textAlignment w:val="auto"/>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ascii="Times New Roman" w:hAnsi="Times New Roman" w:cs="Times New Roman"/>
                <w:color w:val="000000" w:themeColor="text1"/>
                <w:sz w:val="24"/>
                <w:highlight w:val="none"/>
                <w:lang w:val="en-US" w:eastAsia="zh-CN"/>
                <w14:textFill>
                  <w14:solidFill>
                    <w14:schemeClr w14:val="tx1"/>
                  </w14:solidFill>
                </w14:textFill>
              </w:rPr>
              <w:t>二片区</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生活污水产生量为</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3.12</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m</w:t>
            </w:r>
            <w:r>
              <w:rPr>
                <w:rFonts w:hint="default" w:ascii="Times New Roman" w:hAnsi="Times New Roman" w:eastAsia="宋体" w:cs="Times New Roman"/>
                <w:color w:val="000000" w:themeColor="text1"/>
                <w:sz w:val="24"/>
                <w:highlight w:val="none"/>
                <w:vertAlign w:val="superscript"/>
                <w:lang w:val="en-US" w:eastAsia="zh-CN"/>
                <w14:textFill>
                  <w14:solidFill>
                    <w14:schemeClr w14:val="tx1"/>
                  </w14:solidFill>
                </w14:textFill>
              </w:rPr>
              <w:t>3</w:t>
            </w:r>
            <w:r>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t>/d</w:t>
            </w:r>
            <w:r>
              <w:rPr>
                <w:rFonts w:hint="eastAsia" w:ascii="Times New Roman" w:hAnsi="Times New Roman" w:eastAsia="宋体" w:cs="Times New Roman"/>
                <w:b w:val="0"/>
                <w:bCs w:val="0"/>
                <w:color w:val="000000" w:themeColor="text1"/>
                <w:sz w:val="24"/>
                <w:highlight w:val="none"/>
                <w:lang w:val="en-US" w:eastAsia="zh-CN"/>
                <w14:textFill>
                  <w14:solidFill>
                    <w14:schemeClr w14:val="tx1"/>
                  </w14:solidFill>
                </w14:textFill>
              </w:rPr>
              <w:t>，</w:t>
            </w:r>
            <w: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t>进入隔油池的废水量按照生活污水产量的10%计，则进入隔油池水量为0.312m</w:t>
            </w:r>
            <w:r>
              <w:rPr>
                <w:rFonts w:hint="eastAsia" w:ascii="Times New Roman" w:hAnsi="Times New Roman" w:eastAsia="宋体" w:cs="Times New Roman"/>
                <w:bCs/>
                <w:color w:val="000000" w:themeColor="text1"/>
                <w:sz w:val="24"/>
                <w:szCs w:val="24"/>
                <w:highlight w:val="none"/>
                <w:vertAlign w:val="superscript"/>
                <w:lang w:val="en-US" w:eastAsia="zh-CN"/>
                <w14:textFill>
                  <w14:solidFill>
                    <w14:schemeClr w14:val="tx1"/>
                  </w14:solidFill>
                </w14:textFill>
              </w:rPr>
              <w:t>3</w:t>
            </w:r>
            <w: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t>/d</w:t>
            </w:r>
            <w: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t>，根据《建筑给水排水设计标准》（GB50015-2019），</w:t>
            </w:r>
            <w: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t>污水在隔油池内停留时间宜为30min，因此该项目设置的2.0m</w:t>
            </w:r>
            <w:r>
              <w:rPr>
                <w:rFonts w:hint="eastAsia" w:ascii="Times New Roman" w:hAnsi="Times New Roman" w:eastAsia="宋体" w:cs="Times New Roman"/>
                <w:bCs/>
                <w:color w:val="000000" w:themeColor="text1"/>
                <w:sz w:val="24"/>
                <w:szCs w:val="24"/>
                <w:highlight w:val="none"/>
                <w:vertAlign w:val="superscript"/>
                <w:lang w:val="en-US" w:eastAsia="zh-CN"/>
                <w14:textFill>
                  <w14:solidFill>
                    <w14:schemeClr w14:val="tx1"/>
                  </w14:solidFill>
                </w14:textFill>
              </w:rPr>
              <w:t>3</w:t>
            </w:r>
            <w: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t>的隔油池可满足停留要求，隔油池设置合理；生活污水产生量为3.12m</w:t>
            </w:r>
            <w:r>
              <w:rPr>
                <w:rFonts w:hint="eastAsia" w:ascii="Times New Roman" w:hAnsi="Times New Roman" w:eastAsia="宋体" w:cs="Times New Roman"/>
                <w:bCs/>
                <w:color w:val="000000" w:themeColor="text1"/>
                <w:sz w:val="24"/>
                <w:szCs w:val="24"/>
                <w:highlight w:val="none"/>
                <w:vertAlign w:val="superscript"/>
                <w:lang w:val="en-US" w:eastAsia="zh-CN"/>
                <w14:textFill>
                  <w14:solidFill>
                    <w14:schemeClr w14:val="tx1"/>
                  </w14:solidFill>
                </w14:textFill>
              </w:rPr>
              <w:t>3</w:t>
            </w:r>
            <w: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t>/d，变化系数按照1.2计，则最大综合污水量约为3.744m</w:t>
            </w:r>
            <w:r>
              <w:rPr>
                <w:rFonts w:hint="eastAsia" w:ascii="Times New Roman" w:hAnsi="Times New Roman" w:eastAsia="宋体" w:cs="Times New Roman"/>
                <w:bCs/>
                <w:color w:val="000000" w:themeColor="text1"/>
                <w:sz w:val="24"/>
                <w:szCs w:val="24"/>
                <w:highlight w:val="none"/>
                <w:vertAlign w:val="superscript"/>
                <w:lang w:val="en-US" w:eastAsia="zh-CN"/>
                <w14:textFill>
                  <w14:solidFill>
                    <w14:schemeClr w14:val="tx1"/>
                  </w14:solidFill>
                </w14:textFill>
              </w:rPr>
              <w:t>3</w:t>
            </w:r>
            <w: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t>/d，根据《建筑给排水设计规范》（GB50015-2019），化粪池总容积应满足废水停留时间12</w:t>
            </w:r>
            <w:r>
              <w:rPr>
                <w:rFonts w:hint="eastAsia" w:ascii="Times New Roman" w:hAnsi="Times New Roman" w:cs="Times New Roman"/>
                <w:bCs/>
                <w:color w:val="000000" w:themeColor="text1"/>
                <w:sz w:val="24"/>
                <w:szCs w:val="24"/>
                <w:highlight w:val="none"/>
                <w:lang w:val="en-US" w:eastAsia="zh-CN"/>
                <w14:textFill>
                  <w14:solidFill>
                    <w14:schemeClr w14:val="tx1"/>
                  </w14:solidFill>
                </w14:textFill>
              </w:rPr>
              <w:t>—</w:t>
            </w:r>
            <w: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t>24h的要求，化粪池容积为5.0m</w:t>
            </w:r>
            <w:r>
              <w:rPr>
                <w:rFonts w:hint="eastAsia" w:ascii="Times New Roman" w:hAnsi="Times New Roman" w:eastAsia="宋体" w:cs="Times New Roman"/>
                <w:bCs/>
                <w:color w:val="000000" w:themeColor="text1"/>
                <w:sz w:val="24"/>
                <w:szCs w:val="24"/>
                <w:highlight w:val="none"/>
                <w:vertAlign w:val="superscript"/>
                <w:lang w:val="en-US" w:eastAsia="zh-CN"/>
                <w14:textFill>
                  <w14:solidFill>
                    <w14:schemeClr w14:val="tx1"/>
                  </w14:solidFill>
                </w14:textFill>
              </w:rPr>
              <w:t>3</w:t>
            </w:r>
            <w:r>
              <w:rPr>
                <w:rFonts w:hint="eastAsia" w:ascii="Times New Roman" w:hAnsi="Times New Roman" w:eastAsia="宋体" w:cs="Times New Roman"/>
                <w:bCs/>
                <w:color w:val="000000" w:themeColor="text1"/>
                <w:sz w:val="24"/>
                <w:szCs w:val="24"/>
                <w:highlight w:val="none"/>
                <w:vertAlign w:val="baseline"/>
                <w:lang w:val="en-US" w:eastAsia="zh-CN"/>
                <w14:textFill>
                  <w14:solidFill>
                    <w14:schemeClr w14:val="tx1"/>
                  </w14:solidFill>
                </w14:textFill>
              </w:rPr>
              <w:t>/个，共设置3个，总容积为15m</w:t>
            </w:r>
            <w:r>
              <w:rPr>
                <w:rFonts w:hint="eastAsia" w:ascii="Times New Roman" w:hAnsi="Times New Roman" w:eastAsia="宋体" w:cs="Times New Roman"/>
                <w:bCs/>
                <w:color w:val="000000" w:themeColor="text1"/>
                <w:sz w:val="24"/>
                <w:szCs w:val="24"/>
                <w:highlight w:val="none"/>
                <w:vertAlign w:val="superscript"/>
                <w:lang w:val="en-US" w:eastAsia="zh-CN"/>
                <w14:textFill>
                  <w14:solidFill>
                    <w14:schemeClr w14:val="tx1"/>
                  </w14:solidFill>
                </w14:textFill>
              </w:rPr>
              <w:t>3</w:t>
            </w:r>
            <w:r>
              <w:rPr>
                <w:rFonts w:hint="eastAsia" w:ascii="Times New Roman" w:hAnsi="Times New Roman" w:eastAsia="宋体" w:cs="Times New Roman"/>
                <w:bCs/>
                <w:color w:val="000000" w:themeColor="text1"/>
                <w:sz w:val="24"/>
                <w:szCs w:val="24"/>
                <w:highlight w:val="none"/>
                <w:lang w:val="en-US" w:eastAsia="zh-CN"/>
                <w14:textFill>
                  <w14:solidFill>
                    <w14:schemeClr w14:val="tx1"/>
                  </w14:solidFill>
                </w14:textFill>
              </w:rPr>
              <w:t>，可满足24h停留时间要求</w:t>
            </w:r>
          </w:p>
          <w:p w14:paraId="581525F7">
            <w:pPr>
              <w:bidi w:val="0"/>
              <w:jc w:val="both"/>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（2）项目种植的蓝莓、三七、羊肚菌类均采用喷灌或滴灌的灌溉方式</w:t>
            </w:r>
            <w:r>
              <w:rPr>
                <w:rFonts w:hint="default" w:ascii="Times New Roman" w:hAnsi="Times New Roman" w:eastAsia="宋体" w:cs="Times New Roman"/>
                <w:color w:val="000000" w:themeColor="text1"/>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能精准控制水量，有效避免径流。</w:t>
            </w:r>
          </w:p>
          <w:p w14:paraId="40752BCF">
            <w:pPr>
              <w:bidi w:val="0"/>
              <w:jc w:val="both"/>
              <w:rPr>
                <w:rFonts w:hint="default" w:ascii="Times New Roman" w:hAnsi="Times New Roman" w:eastAsia="宋体" w:cs="Times New Roman"/>
                <w:color w:val="000000" w:themeColor="text1"/>
                <w:highlight w:val="yellow"/>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（3）雨水进入施工期已建设截排水沟，经截排水沟汇入水池，回用于项目区灌溉。</w:t>
            </w:r>
            <w:r>
              <w:rPr>
                <w:rFonts w:hint="eastAsia" w:ascii="Times New Roman" w:hAnsi="Times New Roman" w:cs="Times New Roman"/>
                <w:color w:val="000000" w:themeColor="text1"/>
                <w:sz w:val="24"/>
                <w:szCs w:val="24"/>
                <w:lang w:val="en-US" w:eastAsia="zh-CN"/>
                <w14:textFill>
                  <w14:solidFill>
                    <w14:schemeClr w14:val="tx1"/>
                  </w14:solidFill>
                </w14:textFill>
              </w:rPr>
              <w:t>一片区</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雨水收集</w:t>
            </w:r>
            <w:r>
              <w:rPr>
                <w:rFonts w:hint="eastAsia" w:ascii="Times New Roman" w:hAnsi="Times New Roman" w:cs="Times New Roman"/>
                <w:color w:val="000000" w:themeColor="text1"/>
                <w:sz w:val="24"/>
                <w:szCs w:val="24"/>
                <w:lang w:val="en-US" w:eastAsia="zh-CN"/>
                <w14:textFill>
                  <w14:solidFill>
                    <w14:schemeClr w14:val="tx1"/>
                  </w14:solidFill>
                </w14:textFill>
              </w:rPr>
              <w:t>主要进入2#和3#水池，再通过管道抽回至其他水池后</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回用于项目区灌溉</w:t>
            </w:r>
            <w:r>
              <w:rPr>
                <w:rFonts w:hint="eastAsia" w:ascii="Times New Roman" w:hAnsi="Times New Roman" w:cs="Times New Roman"/>
                <w:color w:val="000000" w:themeColor="text1"/>
                <w:sz w:val="24"/>
                <w:szCs w:val="24"/>
                <w:lang w:val="en-US" w:eastAsia="zh-CN"/>
                <w14:textFill>
                  <w14:solidFill>
                    <w14:schemeClr w14:val="tx1"/>
                  </w14:solidFill>
                </w14:textFill>
              </w:rPr>
              <w:t>；二片区在</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种植区和道路区在地势低处设置截排水沟，</w:t>
            </w:r>
            <w:r>
              <w:rPr>
                <w:rFonts w:hint="eastAsia" w:ascii="Times New Roman" w:hAnsi="Times New Roman" w:cs="Times New Roman"/>
                <w:color w:val="000000" w:themeColor="text1"/>
                <w:sz w:val="24"/>
                <w:szCs w:val="24"/>
                <w:lang w:val="en-US" w:eastAsia="zh-CN"/>
                <w14:textFill>
                  <w14:solidFill>
                    <w14:schemeClr w14:val="tx1"/>
                  </w14:solidFill>
                </w14:textFill>
              </w:rPr>
              <w:t>靠近2#水池部分</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雨水流入截排水沟，经截排水沟汇入</w:t>
            </w:r>
            <w:r>
              <w:rPr>
                <w:rFonts w:hint="eastAsia" w:ascii="Times New Roman" w:hAnsi="Times New Roman" w:cs="Times New Roman"/>
                <w:color w:val="000000" w:themeColor="text1"/>
                <w:sz w:val="24"/>
                <w:szCs w:val="24"/>
                <w:lang w:val="en-US" w:eastAsia="zh-CN"/>
                <w14:textFill>
                  <w14:solidFill>
                    <w14:schemeClr w14:val="tx1"/>
                  </w14:solidFill>
                </w14:textFill>
              </w:rPr>
              <w:t>2#</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水池，</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其余部分收集进入</w:t>
            </w:r>
            <w:r>
              <w:rPr>
                <w:rFonts w:hint="eastAsia" w:ascii="Times New Roman" w:hAnsi="Times New Roman" w:cs="Times New Roman"/>
                <w:color w:val="000000" w:themeColor="text1"/>
                <w:sz w:val="24"/>
                <w:szCs w:val="24"/>
                <w:lang w:val="en-US" w:eastAsia="zh-CN"/>
                <w14:textFill>
                  <w14:solidFill>
                    <w14:schemeClr w14:val="tx1"/>
                  </w14:solidFill>
                </w14:textFill>
              </w:rPr>
              <w:t>6#、10#</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水池</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，沉淀后</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回用于项目区灌溉。</w:t>
            </w:r>
          </w:p>
          <w:p w14:paraId="295CB458">
            <w:pPr>
              <w:ind w:left="0" w:leftChars="0" w:firstLine="0" w:firstLineChars="0"/>
              <w:jc w:val="both"/>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三、</w:t>
            </w:r>
            <w:r>
              <w:rPr>
                <w:rFonts w:hint="default" w:ascii="Times New Roman" w:hAnsi="Times New Roman" w:eastAsia="宋体" w:cs="Times New Roman"/>
                <w:b/>
                <w:bCs/>
                <w:color w:val="000000" w:themeColor="text1"/>
                <w:lang w:eastAsia="zh-CN"/>
                <w14:textFill>
                  <w14:solidFill>
                    <w14:schemeClr w14:val="tx1"/>
                  </w14:solidFill>
                </w14:textFill>
              </w:rPr>
              <w:t>声</w:t>
            </w:r>
            <w:r>
              <w:rPr>
                <w:rFonts w:hint="default" w:ascii="Times New Roman" w:hAnsi="Times New Roman" w:eastAsia="宋体" w:cs="Times New Roman"/>
                <w:b/>
                <w:bCs/>
                <w:color w:val="000000" w:themeColor="text1"/>
                <w14:textFill>
                  <w14:solidFill>
                    <w14:schemeClr w14:val="tx1"/>
                  </w14:solidFill>
                </w14:textFill>
              </w:rPr>
              <w:t>环境保护措施</w:t>
            </w:r>
          </w:p>
          <w:p w14:paraId="65581411">
            <w:pPr>
              <w:bidi w:val="0"/>
              <w:jc w:val="both"/>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项目运营期产生的噪声主要是苗木修剪设备、</w:t>
            </w:r>
            <w:r>
              <w:rPr>
                <w:rFonts w:hint="default" w:ascii="Times New Roman" w:hAnsi="Times New Roman" w:eastAsia="宋体" w:cs="Times New Roman"/>
                <w:color w:val="000000" w:themeColor="text1"/>
                <w:lang w:val="en-US" w:eastAsia="zh-CN"/>
                <w14:textFill>
                  <w14:solidFill>
                    <w14:schemeClr w14:val="tx1"/>
                  </w14:solidFill>
                </w14:textFill>
              </w:rPr>
              <w:t>水肥中心配置肥料及</w:t>
            </w:r>
            <w:r>
              <w:rPr>
                <w:rFonts w:hint="default" w:ascii="Times New Roman" w:hAnsi="Times New Roman" w:eastAsia="宋体" w:cs="Times New Roman"/>
                <w:color w:val="000000" w:themeColor="text1"/>
                <w:lang w:val="en-US" w:eastAsia="zh-CN"/>
                <w14:textFill>
                  <w14:solidFill>
                    <w14:schemeClr w14:val="tx1"/>
                  </w14:solidFill>
                </w14:textFill>
              </w:rPr>
              <w:t>灌溉系统水泵噪声</w:t>
            </w:r>
            <w:r>
              <w:rPr>
                <w:rFonts w:hint="eastAsia" w:ascii="Times New Roman" w:hAnsi="Times New Roman" w:cs="Times New Roman"/>
                <w:color w:val="000000" w:themeColor="text1"/>
                <w:lang w:val="en-US" w:eastAsia="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机动车交通噪声</w:t>
            </w:r>
            <w:r>
              <w:rPr>
                <w:rFonts w:hint="default" w:ascii="Times New Roman" w:hAnsi="Times New Roman" w:eastAsia="宋体" w:cs="Times New Roman"/>
                <w:color w:val="000000" w:themeColor="text1"/>
                <w:lang w:val="en-US" w:eastAsia="zh-CN"/>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苗木修剪设备是间歇性运作，通用距离衰减后对周边环境影响较小；</w:t>
            </w:r>
            <w:r>
              <w:rPr>
                <w:rFonts w:hint="default" w:ascii="Times New Roman" w:hAnsi="Times New Roman" w:eastAsia="宋体" w:cs="Times New Roman"/>
                <w:color w:val="000000" w:themeColor="text1"/>
                <w:lang w:val="en-US" w:eastAsia="zh-CN"/>
                <w14:textFill>
                  <w14:solidFill>
                    <w14:schemeClr w14:val="tx1"/>
                  </w14:solidFill>
                </w14:textFill>
              </w:rPr>
              <w:t>水肥中心配置肥料</w:t>
            </w:r>
            <w:r>
              <w:rPr>
                <w:rFonts w:hint="eastAsia" w:ascii="Times New Roman" w:hAnsi="Times New Roman" w:cs="Times New Roman"/>
                <w:color w:val="000000" w:themeColor="text1"/>
                <w:lang w:val="en-US" w:eastAsia="zh-CN"/>
                <w14:textFill>
                  <w14:solidFill>
                    <w14:schemeClr w14:val="tx1"/>
                  </w14:solidFill>
                </w14:textFill>
              </w:rPr>
              <w:t>及</w:t>
            </w:r>
            <w:r>
              <w:rPr>
                <w:rFonts w:hint="default" w:ascii="Times New Roman" w:hAnsi="Times New Roman" w:eastAsia="宋体" w:cs="Times New Roman"/>
                <w:color w:val="000000" w:themeColor="text1"/>
                <w:lang w:val="en-US" w:eastAsia="zh-CN"/>
                <w14:textFill>
                  <w14:solidFill>
                    <w14:schemeClr w14:val="tx1"/>
                  </w14:solidFill>
                </w14:textFill>
              </w:rPr>
              <w:t>水泵</w:t>
            </w:r>
            <w:r>
              <w:rPr>
                <w:rFonts w:hint="eastAsia" w:ascii="Times New Roman" w:hAnsi="Times New Roman" w:cs="Times New Roman"/>
                <w:color w:val="000000" w:themeColor="text1"/>
                <w:lang w:val="en-US" w:eastAsia="zh-CN"/>
                <w14:textFill>
                  <w14:solidFill>
                    <w14:schemeClr w14:val="tx1"/>
                  </w14:solidFill>
                </w14:textFill>
              </w:rPr>
              <w:t>采取</w:t>
            </w:r>
            <w:r>
              <w:rPr>
                <w:rFonts w:hint="default" w:ascii="Times New Roman" w:hAnsi="Times New Roman" w:eastAsia="宋体" w:cs="Times New Roman"/>
                <w:color w:val="000000" w:themeColor="text1"/>
                <w:lang w:val="en-US" w:eastAsia="zh-CN"/>
                <w14:textFill>
                  <w14:solidFill>
                    <w14:schemeClr w14:val="tx1"/>
                  </w14:solidFill>
                </w14:textFill>
              </w:rPr>
              <w:t>基础减振措施，通过距离衰减后对周边环境影响较小</w:t>
            </w:r>
            <w:r>
              <w:rPr>
                <w:rFonts w:hint="eastAsia"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机动车交通噪声通过采取低速行驶，减少鸣笛等措施后，再通过距离衰减后对周边环境影响较小。</w:t>
            </w:r>
          </w:p>
          <w:p w14:paraId="3CE206A0">
            <w:pPr>
              <w:ind w:left="0" w:leftChars="0" w:firstLine="0" w:firstLineChars="0"/>
              <w:jc w:val="both"/>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四、</w:t>
            </w:r>
            <w:r>
              <w:rPr>
                <w:rFonts w:hint="default" w:ascii="Times New Roman" w:hAnsi="Times New Roman" w:eastAsia="宋体" w:cs="Times New Roman"/>
                <w:b/>
                <w:bCs/>
                <w:color w:val="000000" w:themeColor="text1"/>
                <w:lang w:eastAsia="zh-CN"/>
                <w14:textFill>
                  <w14:solidFill>
                    <w14:schemeClr w14:val="tx1"/>
                  </w14:solidFill>
                </w14:textFill>
              </w:rPr>
              <w:t>固体废弃物处置</w:t>
            </w:r>
            <w:r>
              <w:rPr>
                <w:rFonts w:hint="default" w:ascii="Times New Roman" w:hAnsi="Times New Roman" w:eastAsia="宋体" w:cs="Times New Roman"/>
                <w:b/>
                <w:bCs/>
                <w:color w:val="000000" w:themeColor="text1"/>
                <w14:textFill>
                  <w14:solidFill>
                    <w14:schemeClr w14:val="tx1"/>
                  </w14:solidFill>
                </w14:textFill>
              </w:rPr>
              <w:t>措施</w:t>
            </w:r>
          </w:p>
          <w:p w14:paraId="421E1842">
            <w:pPr>
              <w:ind w:firstLine="480"/>
              <w:jc w:val="both"/>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1</w:t>
            </w:r>
            <w:r>
              <w:rPr>
                <w:rFonts w:hint="default" w:ascii="Times New Roman" w:hAnsi="Times New Roman" w:eastAsia="宋体" w:cs="Times New Roman"/>
                <w:color w:val="000000" w:themeColor="text1"/>
                <w14:textFill>
                  <w14:solidFill>
                    <w14:schemeClr w14:val="tx1"/>
                  </w14:solidFill>
                </w14:textFill>
              </w:rPr>
              <w:t>）果木林修剪产生的残枝败叶，直径≥5cm的外售给木炭加工和生物质燃料企业，</w:t>
            </w:r>
            <w:r>
              <w:rPr>
                <w:rFonts w:hint="default" w:ascii="Times New Roman" w:hAnsi="Times New Roman" w:eastAsia="宋体" w:cs="Times New Roman"/>
                <w:color w:val="000000" w:themeColor="text1"/>
                <w14:textFill>
                  <w14:solidFill>
                    <w14:schemeClr w14:val="tx1"/>
                  </w14:solidFill>
                </w14:textFill>
              </w:rPr>
              <w:t>禁止在项目区内进行焚烧处置</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直径＜5cm的就地切碎埋入土壤做肥料</w:t>
            </w:r>
          </w:p>
          <w:p w14:paraId="48040B80">
            <w:pPr>
              <w:ind w:firstLine="480"/>
              <w:jc w:val="both"/>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（2）蓝莓苗栽植前拆除的废包装材料</w:t>
            </w:r>
            <w:r>
              <w:rPr>
                <w:rFonts w:hint="default" w:ascii="Times New Roman" w:hAnsi="Times New Roman" w:eastAsia="宋体" w:cs="Times New Roman"/>
                <w:color w:val="000000" w:themeColor="text1"/>
                <w:lang w:eastAsia="zh-CN"/>
                <w14:textFill>
                  <w14:solidFill>
                    <w14:schemeClr w14:val="tx1"/>
                  </w14:solidFill>
                </w14:textFill>
              </w:rPr>
              <w:t>，在施工区域内集中收集</w:t>
            </w:r>
            <w:r>
              <w:rPr>
                <w:rFonts w:hint="default" w:ascii="Times New Roman" w:hAnsi="Times New Roman" w:eastAsia="宋体" w:cs="Times New Roman"/>
                <w:color w:val="000000" w:themeColor="text1"/>
                <w14:textFill>
                  <w14:solidFill>
                    <w14:schemeClr w14:val="tx1"/>
                  </w14:solidFill>
                </w14:textFill>
              </w:rPr>
              <w:t>，委托环卫部门</w:t>
            </w:r>
            <w:r>
              <w:rPr>
                <w:rFonts w:hint="default" w:ascii="Times New Roman" w:hAnsi="Times New Roman" w:eastAsia="宋体" w:cs="Times New Roman"/>
                <w:color w:val="000000" w:themeColor="text1"/>
                <w:lang w:val="en-US" w:eastAsia="zh-CN"/>
                <w14:textFill>
                  <w14:solidFill>
                    <w14:schemeClr w14:val="tx1"/>
                  </w14:solidFill>
                </w14:textFill>
              </w:rPr>
              <w:t>清运</w:t>
            </w:r>
            <w:r>
              <w:rPr>
                <w:rFonts w:hint="default" w:ascii="Times New Roman" w:hAnsi="Times New Roman" w:eastAsia="宋体" w:cs="Times New Roman"/>
                <w:color w:val="000000" w:themeColor="text1"/>
                <w14:textFill>
                  <w14:solidFill>
                    <w14:schemeClr w14:val="tx1"/>
                  </w14:solidFill>
                </w14:textFill>
              </w:rPr>
              <w:t>处置。</w:t>
            </w:r>
          </w:p>
          <w:p w14:paraId="15D88661">
            <w:pPr>
              <w:ind w:firstLine="480"/>
              <w:jc w:val="both"/>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w:t>
            </w:r>
            <w:r>
              <w:rPr>
                <w:rFonts w:hint="default" w:ascii="Times New Roman" w:hAnsi="Times New Roman" w:eastAsia="宋体" w:cs="Times New Roman"/>
                <w:color w:val="000000" w:themeColor="text1"/>
                <w:lang w:val="en-US" w:eastAsia="zh-CN"/>
                <w14:textFill>
                  <w14:solidFill>
                    <w14:schemeClr w14:val="tx1"/>
                  </w14:solidFill>
                </w14:textFill>
              </w:rPr>
              <w:t>3</w:t>
            </w:r>
            <w:r>
              <w:rPr>
                <w:rFonts w:hint="default" w:ascii="Times New Roman" w:hAnsi="Times New Roman" w:eastAsia="宋体" w:cs="Times New Roman"/>
                <w:color w:val="000000" w:themeColor="text1"/>
                <w14:textFill>
                  <w14:solidFill>
                    <w14:schemeClr w14:val="tx1"/>
                  </w14:solidFill>
                </w14:textFill>
              </w:rPr>
              <w:t>）补植区挖除的未成活苗木</w:t>
            </w:r>
            <w:r>
              <w:rPr>
                <w:rFonts w:hint="default" w:ascii="Times New Roman" w:hAnsi="Times New Roman" w:eastAsia="宋体" w:cs="Times New Roman"/>
                <w:color w:val="000000" w:themeColor="text1"/>
                <w:lang w:val="en-US" w:eastAsia="zh-CN"/>
                <w14:textFill>
                  <w14:solidFill>
                    <w14:schemeClr w14:val="tx1"/>
                  </w14:solidFill>
                </w14:textFill>
              </w:rPr>
              <w:t>和杂草</w:t>
            </w:r>
            <w:r>
              <w:rPr>
                <w:rFonts w:hint="default" w:ascii="Times New Roman" w:hAnsi="Times New Roman" w:eastAsia="宋体"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就地切碎埋入土壤发酵成肥料。</w:t>
            </w:r>
          </w:p>
          <w:p w14:paraId="14E415E9">
            <w:pPr>
              <w:ind w:firstLine="480"/>
              <w:jc w:val="both"/>
              <w:rPr>
                <w:rFonts w:hint="default" w:ascii="Times New Roman" w:hAnsi="Times New Roman" w:eastAsia="宋体" w:cs="Times New Roman"/>
                <w:color w:val="000000" w:themeColor="text1"/>
                <w:sz w:val="24"/>
                <w:szCs w:val="24"/>
                <w:lang w:eastAsia="zh-CN"/>
                <w14:textFill>
                  <w14:solidFill>
                    <w14:schemeClr w14:val="tx1"/>
                  </w14:solidFill>
                </w14:textFill>
              </w:rPr>
            </w:pPr>
            <w:r>
              <w:rPr>
                <w:rFonts w:hint="eastAsia" w:ascii="Times New Roman" w:hAnsi="Times New Roman" w:cs="Times New Roman"/>
                <w:color w:val="000000" w:themeColor="text1"/>
                <w:sz w:val="24"/>
                <w:szCs w:val="24"/>
                <w:lang w:eastAsia="zh-CN"/>
                <w14:textFill>
                  <w14:solidFill>
                    <w14:schemeClr w14:val="tx1"/>
                  </w14:solidFill>
                </w14:textFill>
              </w:rPr>
              <w:t>（</w:t>
            </w:r>
            <w:r>
              <w:rPr>
                <w:rFonts w:hint="eastAsia" w:ascii="Times New Roman" w:hAnsi="Times New Roman" w:cs="Times New Roman"/>
                <w:color w:val="000000" w:themeColor="text1"/>
                <w:sz w:val="24"/>
                <w:szCs w:val="24"/>
                <w:lang w:val="en-US" w:eastAsia="zh-CN"/>
                <w14:textFill>
                  <w14:solidFill>
                    <w14:schemeClr w14:val="tx1"/>
                  </w14:solidFill>
                </w14:textFill>
              </w:rPr>
              <w:t>4</w:t>
            </w:r>
            <w:r>
              <w:rPr>
                <w:rFonts w:hint="eastAsia"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lang w:eastAsia="zh-CN"/>
                <w14:textFill>
                  <w14:solidFill>
                    <w14:schemeClr w14:val="tx1"/>
                  </w14:solidFill>
                </w14:textFill>
              </w:rPr>
              <w:t>大棚主体及薄膜废弃物：项目种植过程中蓝莓、三七、羊肚菌种植使用大棚技术，因雨淋、日晒等自然因素和人为因素操作不当会造成大棚损坏，且大棚使用中容易老化，在这部分废弃物中，钢架等材料售卖给废旧资源回收单位；薄膜等塑料废弃物集中能回收利用的回收利用，不能回收利用的并入附近村庄生活垃圾收集点，由当地环卫部门统一清运处置。</w:t>
            </w:r>
          </w:p>
          <w:p w14:paraId="503D2B3F">
            <w:pPr>
              <w:ind w:firstLine="480"/>
              <w:jc w:val="both"/>
              <w:rPr>
                <w:rFonts w:hint="default" w:ascii="Times New Roman" w:hAnsi="Times New Roman" w:eastAsia="宋体" w:cs="Times New Roman"/>
                <w:color w:val="000000" w:themeColor="text1"/>
                <w:sz w:val="24"/>
                <w:szCs w:val="24"/>
                <w:lang w:eastAsia="zh-CN"/>
                <w14:textFill>
                  <w14:solidFill>
                    <w14:schemeClr w14:val="tx1"/>
                  </w14:solidFill>
                </w14:textFill>
              </w:rPr>
            </w:pPr>
            <w:r>
              <w:rPr>
                <w:rFonts w:hint="eastAsia" w:ascii="Times New Roman" w:hAnsi="Times New Roman" w:cs="Times New Roman"/>
                <w:color w:val="000000" w:themeColor="text1"/>
                <w:sz w:val="24"/>
                <w:szCs w:val="24"/>
                <w:lang w:eastAsia="zh-CN"/>
                <w14:textFill>
                  <w14:solidFill>
                    <w14:schemeClr w14:val="tx1"/>
                  </w14:solidFill>
                </w14:textFill>
              </w:rPr>
              <w:t>（</w:t>
            </w:r>
            <w:r>
              <w:rPr>
                <w:rFonts w:hint="eastAsia" w:ascii="Times New Roman" w:hAnsi="Times New Roman" w:cs="Times New Roman"/>
                <w:color w:val="000000" w:themeColor="text1"/>
                <w:sz w:val="24"/>
                <w:szCs w:val="24"/>
                <w:lang w:val="en-US" w:eastAsia="zh-CN"/>
                <w14:textFill>
                  <w14:solidFill>
                    <w14:schemeClr w14:val="tx1"/>
                  </w14:solidFill>
                </w14:textFill>
              </w:rPr>
              <w:t>5</w:t>
            </w:r>
            <w:r>
              <w:rPr>
                <w:rFonts w:hint="eastAsia"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lang w:eastAsia="zh-CN"/>
                <w14:textFill>
                  <w14:solidFill>
                    <w14:schemeClr w14:val="tx1"/>
                  </w14:solidFill>
                </w14:textFill>
              </w:rPr>
              <w:t>水肥原料包装袋：收集后暂存于水肥中心，定期外售给废品回收站。</w:t>
            </w:r>
          </w:p>
          <w:p w14:paraId="5EB70501">
            <w:pPr>
              <w:ind w:firstLine="480"/>
              <w:jc w:val="both"/>
              <w:rPr>
                <w:rFonts w:hint="default"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lang w:eastAsia="zh-CN"/>
                <w14:textFill>
                  <w14:solidFill>
                    <w14:schemeClr w14:val="tx1"/>
                  </w14:solidFill>
                </w14:textFill>
              </w:rPr>
              <w:t>（</w:t>
            </w:r>
            <w:r>
              <w:rPr>
                <w:rFonts w:hint="eastAsia" w:ascii="Times New Roman" w:hAnsi="Times New Roman" w:cs="Times New Roman"/>
                <w:color w:val="000000" w:themeColor="text1"/>
                <w:sz w:val="24"/>
                <w:szCs w:val="24"/>
                <w:lang w:val="en-US" w:eastAsia="zh-CN"/>
                <w14:textFill>
                  <w14:solidFill>
                    <w14:schemeClr w14:val="tx1"/>
                  </w14:solidFill>
                </w14:textFill>
              </w:rPr>
              <w:t>6</w:t>
            </w:r>
            <w:r>
              <w:rPr>
                <w:rFonts w:hint="eastAsia"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lang w:eastAsia="zh-CN"/>
                <w14:textFill>
                  <w14:solidFill>
                    <w14:schemeClr w14:val="tx1"/>
                  </w14:solidFill>
                </w14:textFill>
              </w:rPr>
              <w:t>农药包装袋：农药废包装容器在收集、运输、处置阶段应依据《农药包装废弃物回收处理管理办法》中</w:t>
            </w:r>
            <w:r>
              <w:rPr>
                <w:rFonts w:hint="eastAsia" w:ascii="Times New Roman" w:hAnsi="Times New Roman" w:cs="Times New Roman"/>
                <w:color w:val="000000" w:themeColor="text1"/>
                <w:sz w:val="24"/>
                <w:szCs w:val="24"/>
                <w:lang w:val="en-US" w:eastAsia="zh-CN"/>
                <w14:textFill>
                  <w14:solidFill>
                    <w14:schemeClr w14:val="tx1"/>
                  </w14:solidFill>
                </w14:textFill>
              </w:rPr>
              <w:t>的</w:t>
            </w:r>
            <w:r>
              <w:rPr>
                <w:rFonts w:hint="default" w:ascii="Times New Roman" w:hAnsi="Times New Roman" w:eastAsia="宋体" w:cs="Times New Roman"/>
                <w:color w:val="000000" w:themeColor="text1"/>
                <w:sz w:val="24"/>
                <w:szCs w:val="24"/>
                <w:lang w:eastAsia="zh-CN"/>
                <w14:textFill>
                  <w14:solidFill>
                    <w14:schemeClr w14:val="tx1"/>
                  </w14:solidFill>
                </w14:textFill>
              </w:rPr>
              <w:t>相关要求进行收集、运输、处置，项目农药</w:t>
            </w:r>
            <w:r>
              <w:rPr>
                <w:rFonts w:hint="eastAsia" w:ascii="Times New Roman" w:hAnsi="Times New Roman" w:cs="Times New Roman"/>
                <w:color w:val="000000" w:themeColor="text1"/>
                <w:sz w:val="24"/>
                <w:szCs w:val="24"/>
                <w:lang w:eastAsia="zh-CN"/>
                <w14:textFill>
                  <w14:solidFill>
                    <w14:schemeClr w14:val="tx1"/>
                  </w14:solidFill>
                </w14:textFill>
              </w:rPr>
              <w:t>配制</w:t>
            </w:r>
            <w:r>
              <w:rPr>
                <w:rFonts w:hint="default" w:ascii="Times New Roman" w:hAnsi="Times New Roman" w:eastAsia="宋体" w:cs="Times New Roman"/>
                <w:color w:val="000000" w:themeColor="text1"/>
                <w:sz w:val="24"/>
                <w:szCs w:val="24"/>
                <w:lang w:eastAsia="zh-CN"/>
                <w14:textFill>
                  <w14:solidFill>
                    <w14:schemeClr w14:val="tx1"/>
                  </w14:solidFill>
                </w14:textFill>
              </w:rPr>
              <w:t>过程中，农药瓶身反复冲洗配置，</w:t>
            </w:r>
            <w:r>
              <w:rPr>
                <w:rFonts w:hint="default" w:ascii="Times New Roman" w:hAnsi="Times New Roman" w:eastAsia="宋体" w:cs="Times New Roman"/>
                <w:color w:val="000000" w:themeColor="text1"/>
                <w:sz w:val="24"/>
                <w:szCs w:val="24"/>
                <w:lang w:eastAsia="zh-CN"/>
                <w14:textFill>
                  <w14:solidFill>
                    <w14:schemeClr w14:val="tx1"/>
                  </w14:solidFill>
                </w14:textFill>
              </w:rPr>
              <w:t>收集装入防渗密闭的塑料桶内后定期委托农药经营部回收处置。</w:t>
            </w:r>
            <w:r>
              <w:rPr>
                <w:rFonts w:hint="eastAsia" w:ascii="Times New Roman" w:hAnsi="Times New Roman" w:cs="Times New Roman"/>
                <w:color w:val="000000" w:themeColor="text1"/>
                <w:sz w:val="24"/>
                <w:szCs w:val="24"/>
                <w:lang w:eastAsia="zh-CN"/>
                <w14:textFill>
                  <w14:solidFill>
                    <w14:schemeClr w14:val="tx1"/>
                  </w14:solidFill>
                </w14:textFill>
              </w:rPr>
              <w:t>（</w:t>
            </w:r>
            <w:r>
              <w:rPr>
                <w:rFonts w:hint="eastAsia" w:ascii="Times New Roman" w:hAnsi="Times New Roman" w:cs="Times New Roman"/>
                <w:color w:val="000000" w:themeColor="text1"/>
                <w:sz w:val="24"/>
                <w:szCs w:val="24"/>
                <w:lang w:val="en-US" w:eastAsia="zh-CN"/>
                <w14:textFill>
                  <w14:solidFill>
                    <w14:schemeClr w14:val="tx1"/>
                  </w14:solidFill>
                </w14:textFill>
              </w:rPr>
              <w:t>7</w:t>
            </w:r>
            <w:r>
              <w:rPr>
                <w:rFonts w:hint="eastAsia"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eastAsia="宋体" w:cs="Times New Roman"/>
                <w:color w:val="000000" w:themeColor="text1"/>
                <w:sz w:val="24"/>
                <w:szCs w:val="24"/>
                <w:lang w:eastAsia="zh-CN"/>
                <w14:textFill>
                  <w14:solidFill>
                    <w14:schemeClr w14:val="tx1"/>
                  </w14:solidFill>
                </w14:textFill>
              </w:rPr>
              <w:t>生活垃圾分类收集后暂存于垃圾收集点，并入附近村庄生活垃圾收集点统一处置。</w:t>
            </w:r>
          </w:p>
          <w:p w14:paraId="772FE718">
            <w:pPr>
              <w:keepNext w:val="0"/>
              <w:keepLines w:val="0"/>
              <w:widowControl/>
              <w:suppressLineNumbers w:val="0"/>
              <w:ind w:left="0" w:leftChars="0" w:firstLine="0" w:firstLineChars="0"/>
              <w:jc w:val="both"/>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五、</w:t>
            </w:r>
            <w:r>
              <w:rPr>
                <w:rFonts w:hint="default" w:ascii="Times New Roman" w:hAnsi="Times New Roman" w:eastAsia="宋体" w:cs="Times New Roman"/>
                <w:b/>
                <w:bCs/>
                <w:color w:val="000000" w:themeColor="text1"/>
                <w14:textFill>
                  <w14:solidFill>
                    <w14:schemeClr w14:val="tx1"/>
                  </w14:solidFill>
                </w14:textFill>
              </w:rPr>
              <w:t>运营期生态环境</w:t>
            </w:r>
            <w:r>
              <w:rPr>
                <w:rFonts w:hint="default" w:ascii="Times New Roman" w:hAnsi="Times New Roman" w:eastAsia="宋体" w:cs="Times New Roman"/>
                <w:b/>
                <w:bCs/>
                <w:color w:val="000000" w:themeColor="text1"/>
                <w:lang w:val="en-US" w:eastAsia="zh-CN"/>
                <w14:textFill>
                  <w14:solidFill>
                    <w14:schemeClr w14:val="tx1"/>
                  </w14:solidFill>
                </w14:textFill>
              </w:rPr>
              <w:t>保护措施</w:t>
            </w:r>
          </w:p>
          <w:p w14:paraId="5884253E">
            <w:pPr>
              <w:jc w:val="both"/>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（1）项目建设应严格控制项目占地范围，按照项目规划布局进行建设，对评价区的硬叶常绿阔叶林进行严格保护、严禁对硬叶常绿阔叶林的破坏。</w:t>
            </w:r>
          </w:p>
          <w:p w14:paraId="6470A77A">
            <w:pPr>
              <w:jc w:val="both"/>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2）注意种植整地的方式。根据种植技术要求，采用沿地势坡向林下整地做床，相隔一定距离沿等高线开挖截排水沟，带状整地中间保留一定的原生植被，并采用减少地表径流的汇集，减少水土流失，也可以保水保肥。</w:t>
            </w:r>
          </w:p>
          <w:p w14:paraId="6AA34495">
            <w:pPr>
              <w:jc w:val="both"/>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（3）在运营</w:t>
            </w:r>
            <w:r>
              <w:rPr>
                <w:rFonts w:hint="eastAsia" w:ascii="Times New Roman" w:hAnsi="Times New Roman" w:cs="Times New Roman"/>
                <w:color w:val="000000" w:themeColor="text1"/>
                <w:highlight w:val="none"/>
                <w:lang w:val="en-US" w:eastAsia="zh-CN"/>
                <w14:textFill>
                  <w14:solidFill>
                    <w14:schemeClr w14:val="tx1"/>
                  </w14:solidFill>
                </w14:textFill>
              </w:rPr>
              <w:t>期间</w:t>
            </w:r>
            <w:r>
              <w:rPr>
                <w:rFonts w:hint="default" w:ascii="Times New Roman" w:hAnsi="Times New Roman" w:eastAsia="宋体" w:cs="Times New Roman"/>
                <w:color w:val="000000" w:themeColor="text1"/>
                <w:highlight w:val="none"/>
                <w:lang w:val="en-US" w:eastAsia="zh-CN"/>
                <w14:textFill>
                  <w14:solidFill>
                    <w14:schemeClr w14:val="tx1"/>
                  </w14:solidFill>
                </w14:textFill>
              </w:rPr>
              <w:t>减少对动物栖息地生境的破坏行为，</w:t>
            </w:r>
            <w:r>
              <w:rPr>
                <w:rFonts w:hint="eastAsia" w:ascii="Times New Roman" w:hAnsi="Times New Roman" w:cs="Times New Roman"/>
                <w:color w:val="000000" w:themeColor="text1"/>
                <w:highlight w:val="none"/>
                <w:lang w:val="en-US" w:eastAsia="zh-CN"/>
                <w14:textFill>
                  <w14:solidFill>
                    <w14:schemeClr w14:val="tx1"/>
                  </w14:solidFill>
                </w14:textFill>
              </w:rPr>
              <w:t>加强</w:t>
            </w:r>
            <w:r>
              <w:rPr>
                <w:rFonts w:hint="default" w:ascii="Times New Roman" w:hAnsi="Times New Roman" w:eastAsia="宋体" w:cs="Times New Roman"/>
                <w:color w:val="000000" w:themeColor="text1"/>
                <w:highlight w:val="none"/>
                <w:lang w:val="en-US" w:eastAsia="zh-CN"/>
                <w14:textFill>
                  <w14:solidFill>
                    <w14:schemeClr w14:val="tx1"/>
                  </w14:solidFill>
                </w14:textFill>
              </w:rPr>
              <w:t>人员管理，杜绝工作人员私自制造狩猎工具和捕杀野生动物</w:t>
            </w:r>
            <w:r>
              <w:rPr>
                <w:rFonts w:hint="eastAsia" w:ascii="Times New Roman" w:hAnsi="Times New Roman" w:cs="Times New Roman"/>
                <w:color w:val="000000" w:themeColor="text1"/>
                <w:highlight w:val="none"/>
                <w:lang w:val="en-US" w:eastAsia="zh-CN"/>
                <w14:textFill>
                  <w14:solidFill>
                    <w14:schemeClr w14:val="tx1"/>
                  </w14:solidFill>
                </w14:textFill>
              </w:rPr>
              <w:t>。</w:t>
            </w:r>
          </w:p>
          <w:p w14:paraId="439BA9A4">
            <w:pPr>
              <w:jc w:val="both"/>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（4）严格运营期项目场区烟火管理，防止森林火灾的发生。</w:t>
            </w:r>
          </w:p>
          <w:p w14:paraId="315AC48A">
            <w:pPr>
              <w:jc w:val="both"/>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（5）加强工作人员对野生动物和生态环境的保护意识教育，若</w:t>
            </w:r>
            <w:r>
              <w:rPr>
                <w:rFonts w:hint="eastAsia" w:ascii="Times New Roman" w:hAnsi="Times New Roman" w:cs="Times New Roman"/>
                <w:color w:val="000000" w:themeColor="text1"/>
                <w:highlight w:val="none"/>
                <w:lang w:val="en-US" w:eastAsia="zh-CN"/>
                <w14:textFill>
                  <w14:solidFill>
                    <w14:schemeClr w14:val="tx1"/>
                  </w14:solidFill>
                </w14:textFill>
              </w:rPr>
              <w:t>遇到</w:t>
            </w:r>
            <w:r>
              <w:rPr>
                <w:rFonts w:hint="default" w:ascii="Times New Roman" w:hAnsi="Times New Roman" w:eastAsia="宋体" w:cs="Times New Roman"/>
                <w:color w:val="000000" w:themeColor="text1"/>
                <w:highlight w:val="none"/>
                <w:lang w:val="en-US" w:eastAsia="zh-CN"/>
                <w14:textFill>
                  <w14:solidFill>
                    <w14:schemeClr w14:val="tx1"/>
                  </w14:solidFill>
                </w14:textFill>
              </w:rPr>
              <w:t>幼兽或受伤的兽类，应交给林草局的专业人员，不得擅自处理；设置保护动物的警示牌。</w:t>
            </w:r>
          </w:p>
          <w:p w14:paraId="52C984D2">
            <w:pPr>
              <w:keepNext w:val="0"/>
              <w:keepLines w:val="0"/>
              <w:widowControl/>
              <w:suppressLineNumbers w:val="0"/>
              <w:jc w:val="both"/>
              <w:rPr>
                <w:rFonts w:hint="default" w:ascii="Times New Roman" w:hAnsi="Times New Roman" w:eastAsia="宋体" w:cs="Times New Roman"/>
                <w:b w:val="0"/>
                <w:bCs w:val="0"/>
                <w:color w:val="000000" w:themeColor="text1"/>
                <w:lang w:val="en-US" w:eastAsia="zh-CN"/>
                <w14:textFill>
                  <w14:solidFill>
                    <w14:schemeClr w14:val="tx1"/>
                  </w14:solidFill>
                </w14:textFill>
              </w:rPr>
            </w:pPr>
            <w:r>
              <w:rPr>
                <w:rFonts w:hint="default" w:ascii="Times New Roman" w:hAnsi="Times New Roman" w:eastAsia="宋体" w:cs="Times New Roman"/>
                <w:b w:val="0"/>
                <w:bCs w:val="0"/>
                <w:color w:val="000000" w:themeColor="text1"/>
                <w:lang w:val="en-US" w:eastAsia="zh-CN"/>
                <w14:textFill>
                  <w14:solidFill>
                    <w14:schemeClr w14:val="tx1"/>
                  </w14:solidFill>
                </w14:textFill>
              </w:rPr>
              <w:t>经采取上述生活环境保护措施后，项目运营期生态环境影响不大，相关措施在技术、经济上分析是可行的。</w:t>
            </w:r>
          </w:p>
          <w:p w14:paraId="46FBF3F2">
            <w:pPr>
              <w:numPr>
                <w:ilvl w:val="0"/>
                <w:numId w:val="0"/>
              </w:numPr>
              <w:jc w:val="both"/>
              <w:rPr>
                <w:rFonts w:hint="default" w:ascii="Times New Roman" w:hAnsi="Times New Roman" w:eastAsia="宋体" w:cs="Times New Roman"/>
                <w:b/>
                <w:bCs/>
                <w:color w:val="000000" w:themeColor="text1"/>
                <w:lang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六、其他环境保护</w:t>
            </w:r>
            <w:r>
              <w:rPr>
                <w:rFonts w:hint="default" w:ascii="Times New Roman" w:hAnsi="Times New Roman" w:eastAsia="宋体" w:cs="Times New Roman"/>
                <w:b/>
                <w:bCs/>
                <w:color w:val="000000" w:themeColor="text1"/>
                <w:lang w:eastAsia="zh-CN"/>
                <w14:textFill>
                  <w14:solidFill>
                    <w14:schemeClr w14:val="tx1"/>
                  </w14:solidFill>
                </w14:textFill>
              </w:rPr>
              <w:t>措施</w:t>
            </w:r>
          </w:p>
          <w:p w14:paraId="61480D0A">
            <w:pPr>
              <w:ind w:firstLine="480"/>
              <w:jc w:val="both"/>
              <w:rPr>
                <w:rFonts w:hint="default" w:ascii="Times New Roman" w:hAnsi="Times New Roman" w:eastAsia="宋体" w:cs="Times New Roman"/>
                <w:color w:val="000000" w:themeColor="text1"/>
                <w:lang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蓝莓、三七、羊肚菌、桃树、苹果树</w:t>
            </w:r>
            <w:r>
              <w:rPr>
                <w:rFonts w:hint="default" w:ascii="Times New Roman" w:hAnsi="Times New Roman" w:eastAsia="宋体" w:cs="Times New Roman"/>
                <w:color w:val="000000" w:themeColor="text1"/>
                <w:lang w:eastAsia="zh-CN"/>
                <w14:textFill>
                  <w14:solidFill>
                    <w14:schemeClr w14:val="tx1"/>
                  </w14:solidFill>
                </w14:textFill>
              </w:rPr>
              <w:t>日常维护应做到以下措施：</w:t>
            </w:r>
          </w:p>
          <w:p w14:paraId="2C34B39C">
            <w:pPr>
              <w:ind w:firstLine="480"/>
              <w:jc w:val="both"/>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（1）</w:t>
            </w:r>
            <w:r>
              <w:rPr>
                <w:rFonts w:hint="default" w:ascii="Times New Roman" w:hAnsi="Times New Roman" w:eastAsia="宋体" w:cs="Times New Roman"/>
                <w:color w:val="000000" w:themeColor="text1"/>
                <w14:textFill>
                  <w14:solidFill>
                    <w14:schemeClr w14:val="tx1"/>
                  </w14:solidFill>
                </w14:textFill>
              </w:rPr>
              <w:t>科学施肥</w:t>
            </w:r>
          </w:p>
          <w:p w14:paraId="157A54A0">
            <w:pPr>
              <w:ind w:firstLine="480"/>
              <w:jc w:val="both"/>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合理选肥：依据水果生长需求和土壤肥力，优先</w:t>
            </w:r>
            <w:r>
              <w:rPr>
                <w:rFonts w:hint="eastAsia" w:ascii="Times New Roman" w:hAnsi="Times New Roman" w:cs="Times New Roman"/>
                <w:color w:val="000000" w:themeColor="text1"/>
                <w:lang w:eastAsia="zh-CN"/>
                <w14:textFill>
                  <w14:solidFill>
                    <w14:schemeClr w14:val="tx1"/>
                  </w14:solidFill>
                </w14:textFill>
              </w:rPr>
              <w:t>选用</w:t>
            </w:r>
            <w:r>
              <w:rPr>
                <w:rFonts w:hint="default" w:ascii="Times New Roman" w:hAnsi="Times New Roman" w:eastAsia="宋体" w:cs="Times New Roman"/>
                <w:color w:val="000000" w:themeColor="text1"/>
                <w14:textFill>
                  <w14:solidFill>
                    <w14:schemeClr w14:val="tx1"/>
                  </w14:solidFill>
                </w14:textFill>
              </w:rPr>
              <w:t>有机肥、生物肥等绿色肥料，减少化肥用量。</w:t>
            </w:r>
          </w:p>
          <w:p w14:paraId="66880043">
            <w:pPr>
              <w:ind w:firstLine="480"/>
              <w:jc w:val="both"/>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精准施肥：运用测土配方施肥技术，根据土壤测试结果和养分需求确定合理施肥量与时间，避免过量和盲目施肥。</w:t>
            </w:r>
          </w:p>
          <w:p w14:paraId="5C9E18A2">
            <w:pPr>
              <w:ind w:firstLine="480"/>
              <w:jc w:val="both"/>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改进方法：采用深施、分层施肥等提高肥料利用率，减少流失浪费。</w:t>
            </w:r>
          </w:p>
          <w:p w14:paraId="5363C1BA">
            <w:pPr>
              <w:numPr>
                <w:ilvl w:val="0"/>
                <w:numId w:val="0"/>
              </w:numPr>
              <w:ind w:leftChars="200"/>
              <w:jc w:val="both"/>
              <w:rPr>
                <w:rFonts w:hint="default" w:ascii="Times New Roman" w:hAnsi="Times New Roman" w:eastAsia="宋体" w:cs="Times New Roman"/>
                <w:color w:val="000000" w:themeColor="text1"/>
                <w14:textFill>
                  <w14:solidFill>
                    <w14:schemeClr w14:val="tx1"/>
                  </w14:solidFill>
                </w14:textFill>
              </w:rPr>
            </w:pPr>
            <w:r>
              <w:rPr>
                <w:rFonts w:hint="eastAsia"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2</w:t>
            </w:r>
            <w:r>
              <w:rPr>
                <w:rFonts w:hint="eastAsia"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合理使用农药</w:t>
            </w:r>
          </w:p>
          <w:p w14:paraId="534F76AE">
            <w:pPr>
              <w:ind w:firstLine="480"/>
              <w:jc w:val="both"/>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综合防治：采用农业、物理、生物防治等措施减少农药用量，如轮作、间作、套种改善土壤生态，黄板、蓝板、性诱剂诱杀害虫，利用天敌、生物农药控制病虫害。</w:t>
            </w:r>
          </w:p>
          <w:p w14:paraId="60BC4272">
            <w:pPr>
              <w:ind w:firstLine="480"/>
              <w:jc w:val="both"/>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精准施药：根据病虫害发生情况和农药特性确定合理施药剂量与时间，避免过量和盲目施药。</w:t>
            </w:r>
          </w:p>
          <w:p w14:paraId="124EE430">
            <w:pPr>
              <w:ind w:firstLine="480"/>
              <w:jc w:val="both"/>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选低毒低残留农药：优先选择低毒、低残留品种，减少对环境和人体健康危害。</w:t>
            </w:r>
          </w:p>
        </w:tc>
      </w:tr>
      <w:tr w14:paraId="0FCE29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102" w:hRule="atLeast"/>
          <w:jc w:val="center"/>
        </w:trPr>
        <w:tc>
          <w:tcPr>
            <w:tcW w:w="753" w:type="dxa"/>
            <w:vAlign w:val="center"/>
          </w:tcPr>
          <w:p w14:paraId="1DFCF1D3">
            <w:pPr>
              <w:adjustRightInd w:val="0"/>
              <w:snapToGrid w:val="0"/>
              <w:ind w:firstLine="0" w:firstLineChars="0"/>
              <w:jc w:val="both"/>
              <w:rPr>
                <w:rFonts w:hint="default" w:ascii="Times New Roman" w:hAnsi="Times New Roman" w:eastAsia="宋体" w:cs="Times New Roman"/>
                <w:bCs/>
                <w:color w:val="000000" w:themeColor="text1"/>
                <w:spacing w:val="10"/>
                <w:szCs w:val="21"/>
                <w14:textFill>
                  <w14:solidFill>
                    <w14:schemeClr w14:val="tx1"/>
                  </w14:solidFill>
                </w14:textFill>
              </w:rPr>
            </w:pPr>
            <w:r>
              <w:rPr>
                <w:rFonts w:hint="default" w:ascii="Times New Roman" w:hAnsi="Times New Roman" w:eastAsia="宋体" w:cs="Times New Roman"/>
                <w:bCs/>
                <w:color w:val="000000" w:themeColor="text1"/>
                <w:szCs w:val="21"/>
                <w14:textFill>
                  <w14:solidFill>
                    <w14:schemeClr w14:val="tx1"/>
                  </w14:solidFill>
                </w14:textFill>
              </w:rPr>
              <w:t>其他</w:t>
            </w:r>
          </w:p>
        </w:tc>
        <w:tc>
          <w:tcPr>
            <w:tcW w:w="8457" w:type="dxa"/>
          </w:tcPr>
          <w:p w14:paraId="38F32BFD">
            <w:pPr>
              <w:keepNext w:val="0"/>
              <w:keepLines w:val="0"/>
              <w:widowControl/>
              <w:suppressLineNumbers w:val="0"/>
              <w:jc w:val="both"/>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b/>
                <w:bCs/>
                <w:color w:val="000000" w:themeColor="text1"/>
                <w:kern w:val="0"/>
                <w:sz w:val="21"/>
                <w:szCs w:val="21"/>
                <w:lang w:val="en-US" w:eastAsia="zh-CN" w:bidi="ar"/>
                <w14:textFill>
                  <w14:solidFill>
                    <w14:schemeClr w14:val="tx1"/>
                  </w14:solidFill>
                </w14:textFill>
              </w:rPr>
              <w:t>1、</w:t>
            </w:r>
            <w:r>
              <w:rPr>
                <w:rFonts w:hint="default" w:ascii="Times New Roman" w:hAnsi="Times New Roman" w:eastAsia="宋体" w:cs="Times New Roman"/>
                <w:b/>
                <w:bCs/>
                <w:color w:val="000000" w:themeColor="text1"/>
                <w:kern w:val="0"/>
                <w:sz w:val="24"/>
                <w:szCs w:val="24"/>
                <w:lang w:val="en-US" w:eastAsia="zh-CN" w:bidi="ar"/>
                <w14:textFill>
                  <w14:solidFill>
                    <w14:schemeClr w14:val="tx1"/>
                  </w14:solidFill>
                </w14:textFill>
              </w:rPr>
              <w:t>环境管理和环境监测</w:t>
            </w:r>
          </w:p>
          <w:p w14:paraId="0091EE84">
            <w:pPr>
              <w:keepNext w:val="0"/>
              <w:keepLines w:val="0"/>
              <w:widowControl/>
              <w:suppressLineNumbers w:val="0"/>
              <w:jc w:val="both"/>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工程建设单位应组建工程环境保护管理机构，建立环境管理制度，保障环保资金的投入，全面领导整个工程施工过</w:t>
            </w:r>
            <w:r>
              <w:rPr>
                <w:rFonts w:hint="eastAsia" w:ascii="Times New Roman" w:hAnsi="Times New Roman" w:cs="Times New Roman"/>
                <w:color w:val="000000" w:themeColor="text1"/>
                <w:kern w:val="0"/>
                <w:sz w:val="24"/>
                <w:szCs w:val="24"/>
                <w:lang w:val="en-US" w:eastAsia="zh-CN" w:bidi="ar"/>
                <w14:textFill>
                  <w14:solidFill>
                    <w14:schemeClr w14:val="tx1"/>
                  </w14:solidFill>
                </w14:textFill>
              </w:rPr>
              <w:t>程中</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的环境保护工作，认真落实本工程的各项环境保护措施、环境监测计划，保障工程建设和运营符合环保要求。</w:t>
            </w:r>
          </w:p>
          <w:p w14:paraId="1F7CCE94">
            <w:pPr>
              <w:keepNext w:val="0"/>
              <w:keepLines w:val="0"/>
              <w:widowControl/>
              <w:suppressLineNumbers w:val="0"/>
              <w:jc w:val="both"/>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建设单位应组织开展施工期的环境监理工作，将环境监理纳入工程监理一并实施，环境监理内容不限于环评报告和环评批复要求的内容，还包括可研</w:t>
            </w:r>
            <w:r>
              <w:rPr>
                <w:rFonts w:hint="eastAsia" w:ascii="Times New Roman" w:hAnsi="Times New Roman" w:cs="Times New Roman"/>
                <w:color w:val="000000" w:themeColor="text1"/>
                <w:kern w:val="0"/>
                <w:sz w:val="24"/>
                <w:szCs w:val="24"/>
                <w:lang w:val="en-US" w:eastAsia="zh-CN" w:bidi="ar"/>
                <w14:textFill>
                  <w14:solidFill>
                    <w14:schemeClr w14:val="tx1"/>
                  </w14:solidFill>
                </w14:textFill>
              </w:rPr>
              <w:t>等资料</w:t>
            </w: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中的环保措施内容，以减少施工期对周围生态环境的影响。</w:t>
            </w:r>
          </w:p>
          <w:p w14:paraId="05DFCE59">
            <w:pPr>
              <w:keepNext w:val="0"/>
              <w:keepLines w:val="0"/>
              <w:widowControl/>
              <w:suppressLineNumbers w:val="0"/>
              <w:jc w:val="both"/>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bidi="ar"/>
                <w14:textFill>
                  <w14:solidFill>
                    <w14:schemeClr w14:val="tx1"/>
                  </w14:solidFill>
                </w14:textFill>
              </w:rPr>
              <w:t>项目施工期和运营期环境监测计划，详见下表。</w:t>
            </w:r>
          </w:p>
          <w:p w14:paraId="4F36A4C4">
            <w:pPr>
              <w:pStyle w:val="74"/>
              <w:bidi w:val="0"/>
              <w:jc w:val="center"/>
              <w:rPr>
                <w:rFonts w:hint="default" w:ascii="Times New Roman" w:hAnsi="Times New Roman" w:eastAsia="宋体" w:cs="Times New Roman"/>
                <w:b/>
                <w:color w:val="000000" w:themeColor="text1"/>
                <w:sz w:val="21"/>
                <w:szCs w:val="21"/>
                <w14:textFill>
                  <w14:solidFill>
                    <w14:schemeClr w14:val="tx1"/>
                  </w14:solidFill>
                </w14:textFill>
              </w:rPr>
            </w:pPr>
            <w:r>
              <w:rPr>
                <w:rFonts w:hint="default" w:ascii="Times New Roman" w:hAnsi="Times New Roman" w:eastAsia="宋体" w:cs="Times New Roman"/>
                <w:b/>
                <w:color w:val="000000" w:themeColor="text1"/>
                <w:sz w:val="21"/>
                <w:szCs w:val="21"/>
                <w:lang w:val="en-US" w:eastAsia="zh-CN"/>
                <w14:textFill>
                  <w14:solidFill>
                    <w14:schemeClr w14:val="tx1"/>
                  </w14:solidFill>
                </w14:textFill>
              </w:rPr>
              <w:t>表5-1环境监测计划表</w:t>
            </w:r>
          </w:p>
          <w:tbl>
            <w:tblPr>
              <w:tblStyle w:val="2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0"/>
              <w:gridCol w:w="680"/>
              <w:gridCol w:w="1345"/>
              <w:gridCol w:w="2102"/>
              <w:gridCol w:w="1786"/>
              <w:gridCol w:w="1385"/>
            </w:tblGrid>
            <w:tr w14:paraId="61CF2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 w:type="pct"/>
                  <w:gridSpan w:val="2"/>
                  <w:vAlign w:val="center"/>
                </w:tcPr>
                <w:p w14:paraId="29137568">
                  <w:pPr>
                    <w:pStyle w:val="73"/>
                    <w:bidi w:val="0"/>
                    <w:jc w:val="both"/>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项目</w:t>
                  </w:r>
                </w:p>
              </w:tc>
              <w:tc>
                <w:tcPr>
                  <w:tcW w:w="817" w:type="pct"/>
                  <w:vAlign w:val="center"/>
                </w:tcPr>
                <w:p w14:paraId="20CF2201">
                  <w:pPr>
                    <w:pStyle w:val="73"/>
                    <w:bidi w:val="0"/>
                    <w:jc w:val="both"/>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治理项目</w:t>
                  </w:r>
                </w:p>
              </w:tc>
              <w:tc>
                <w:tcPr>
                  <w:tcW w:w="3203" w:type="pct"/>
                  <w:gridSpan w:val="3"/>
                  <w:vAlign w:val="center"/>
                </w:tcPr>
                <w:p w14:paraId="3866249D">
                  <w:pPr>
                    <w:pStyle w:val="73"/>
                    <w:bidi w:val="0"/>
                    <w:jc w:val="both"/>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治理措施</w:t>
                  </w:r>
                </w:p>
              </w:tc>
            </w:tr>
            <w:tr w14:paraId="73330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pct"/>
                  <w:vMerge w:val="restart"/>
                  <w:vAlign w:val="center"/>
                </w:tcPr>
                <w:p w14:paraId="536521C3">
                  <w:pPr>
                    <w:pStyle w:val="73"/>
                    <w:bidi w:val="0"/>
                    <w:jc w:val="both"/>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施工期</w:t>
                  </w:r>
                </w:p>
              </w:tc>
              <w:tc>
                <w:tcPr>
                  <w:tcW w:w="413" w:type="pct"/>
                  <w:vMerge w:val="restart"/>
                  <w:vAlign w:val="center"/>
                </w:tcPr>
                <w:p w14:paraId="0E0A765B">
                  <w:pPr>
                    <w:pStyle w:val="73"/>
                    <w:bidi w:val="0"/>
                    <w:jc w:val="both"/>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生态措施</w:t>
                  </w:r>
                </w:p>
              </w:tc>
              <w:tc>
                <w:tcPr>
                  <w:tcW w:w="817" w:type="pct"/>
                  <w:vAlign w:val="center"/>
                </w:tcPr>
                <w:p w14:paraId="1447DD7D">
                  <w:pPr>
                    <w:pStyle w:val="73"/>
                    <w:bidi w:val="0"/>
                    <w:jc w:val="both"/>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防止土壤退化及地表水污染</w:t>
                  </w:r>
                </w:p>
              </w:tc>
              <w:tc>
                <w:tcPr>
                  <w:tcW w:w="3203" w:type="pct"/>
                  <w:gridSpan w:val="3"/>
                  <w:vAlign w:val="center"/>
                </w:tcPr>
                <w:p w14:paraId="1DC081B0">
                  <w:pPr>
                    <w:pStyle w:val="73"/>
                    <w:bidi w:val="0"/>
                    <w:jc w:val="both"/>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推广成熟的施肥技术，提高肥料利用率，减少对地下水的影响。采用生态沟渠或生态隔离带等技术，控制由于施用肥料导致的面源污染。建立、完善的监测体系，测土施肥，积极推广高效成熟的施用的有机肥，不使用化学肥料。</w:t>
                  </w:r>
                </w:p>
              </w:tc>
            </w:tr>
            <w:tr w14:paraId="1F93B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pct"/>
                  <w:vMerge w:val="continue"/>
                  <w:vAlign w:val="center"/>
                </w:tcPr>
                <w:p w14:paraId="71A8E27D">
                  <w:pPr>
                    <w:pStyle w:val="73"/>
                    <w:bidi w:val="0"/>
                    <w:jc w:val="both"/>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p>
              </w:tc>
              <w:tc>
                <w:tcPr>
                  <w:tcW w:w="413" w:type="pct"/>
                  <w:vMerge w:val="continue"/>
                  <w:vAlign w:val="center"/>
                </w:tcPr>
                <w:p w14:paraId="2EEDB52B">
                  <w:pPr>
                    <w:pStyle w:val="73"/>
                    <w:bidi w:val="0"/>
                    <w:jc w:val="both"/>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p>
              </w:tc>
              <w:tc>
                <w:tcPr>
                  <w:tcW w:w="817" w:type="pct"/>
                  <w:vAlign w:val="center"/>
                </w:tcPr>
                <w:p w14:paraId="53DCD792">
                  <w:pPr>
                    <w:pStyle w:val="73"/>
                    <w:bidi w:val="0"/>
                    <w:jc w:val="both"/>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水土流失</w:t>
                  </w:r>
                </w:p>
              </w:tc>
              <w:tc>
                <w:tcPr>
                  <w:tcW w:w="3203" w:type="pct"/>
                  <w:gridSpan w:val="3"/>
                  <w:vAlign w:val="center"/>
                </w:tcPr>
                <w:p w14:paraId="32904754">
                  <w:pPr>
                    <w:pStyle w:val="73"/>
                    <w:bidi w:val="0"/>
                    <w:jc w:val="both"/>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保持水土。采用集水、节水、保土、保墒、保育、保肥等整地方式，不加剧或造成水土流失。保护已有植被。禁止采用全面整地、炼山等破坏已有植被和野生动物栖息地的整地方式。采用小规格、低成本的整地方式，减少地表的破土面积。</w:t>
                  </w:r>
                </w:p>
              </w:tc>
            </w:tr>
            <w:tr w14:paraId="36590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 w:type="pct"/>
                  <w:gridSpan w:val="2"/>
                  <w:vAlign w:val="center"/>
                </w:tcPr>
                <w:p w14:paraId="2FA60121">
                  <w:pPr>
                    <w:pStyle w:val="73"/>
                    <w:bidi w:val="0"/>
                    <w:jc w:val="both"/>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监测要素</w:t>
                  </w:r>
                </w:p>
              </w:tc>
              <w:tc>
                <w:tcPr>
                  <w:tcW w:w="817" w:type="pct"/>
                  <w:vAlign w:val="center"/>
                </w:tcPr>
                <w:p w14:paraId="43751D90">
                  <w:pPr>
                    <w:pStyle w:val="73"/>
                    <w:bidi w:val="0"/>
                    <w:jc w:val="both"/>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监测地点</w:t>
                  </w:r>
                </w:p>
              </w:tc>
              <w:tc>
                <w:tcPr>
                  <w:tcW w:w="1277" w:type="pct"/>
                  <w:vAlign w:val="center"/>
                </w:tcPr>
                <w:p w14:paraId="0148B87C">
                  <w:pPr>
                    <w:pStyle w:val="73"/>
                    <w:bidi w:val="0"/>
                    <w:jc w:val="both"/>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监测因子</w:t>
                  </w:r>
                </w:p>
              </w:tc>
              <w:tc>
                <w:tcPr>
                  <w:tcW w:w="1085" w:type="pct"/>
                  <w:vAlign w:val="center"/>
                </w:tcPr>
                <w:p w14:paraId="72614EAE">
                  <w:pPr>
                    <w:pStyle w:val="73"/>
                    <w:bidi w:val="0"/>
                    <w:jc w:val="both"/>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监测频率</w:t>
                  </w:r>
                </w:p>
              </w:tc>
              <w:tc>
                <w:tcPr>
                  <w:tcW w:w="841" w:type="pct"/>
                  <w:vAlign w:val="center"/>
                </w:tcPr>
                <w:p w14:paraId="5F277CDB">
                  <w:pPr>
                    <w:pStyle w:val="73"/>
                    <w:bidi w:val="0"/>
                    <w:jc w:val="both"/>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监测方法</w:t>
                  </w:r>
                </w:p>
              </w:tc>
            </w:tr>
            <w:tr w14:paraId="63EAA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pct"/>
                  <w:vAlign w:val="center"/>
                </w:tcPr>
                <w:p w14:paraId="15348DDF">
                  <w:pPr>
                    <w:pStyle w:val="73"/>
                    <w:bidi w:val="0"/>
                    <w:jc w:val="both"/>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运营期</w:t>
                  </w:r>
                </w:p>
              </w:tc>
              <w:tc>
                <w:tcPr>
                  <w:tcW w:w="413" w:type="pct"/>
                  <w:vAlign w:val="center"/>
                </w:tcPr>
                <w:p w14:paraId="3C767C8C">
                  <w:pPr>
                    <w:pStyle w:val="73"/>
                    <w:bidi w:val="0"/>
                    <w:ind w:firstLine="0" w:firstLineChars="0"/>
                    <w:jc w:val="both"/>
                    <w:rPr>
                      <w:rFonts w:hint="default" w:ascii="Times New Roman" w:hAnsi="Times New Roman" w:eastAsia="宋体" w:cs="Times New Roman"/>
                      <w:b w:val="0"/>
                      <w:bCs/>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土壤</w:t>
                  </w:r>
                </w:p>
              </w:tc>
              <w:tc>
                <w:tcPr>
                  <w:tcW w:w="817" w:type="pct"/>
                  <w:vAlign w:val="center"/>
                </w:tcPr>
                <w:p w14:paraId="44A61EB1">
                  <w:pPr>
                    <w:pStyle w:val="73"/>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①峨山县大西农林种植基地种植</w:t>
                  </w:r>
                  <w:r>
                    <w:rPr>
                      <w:rFonts w:hint="eastAsia" w:cs="Times New Roman"/>
                      <w:b w:val="0"/>
                      <w:bCs/>
                      <w:color w:val="000000" w:themeColor="text1"/>
                      <w:sz w:val="21"/>
                      <w:szCs w:val="21"/>
                      <w:lang w:val="en-US" w:eastAsia="zh-CN"/>
                      <w14:textFill>
                        <w14:solidFill>
                          <w14:schemeClr w14:val="tx1"/>
                        </w14:solidFill>
                      </w14:textFill>
                    </w:rPr>
                    <w:t>区域（</w:t>
                  </w: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1283.88亩</w:t>
                  </w:r>
                  <w:r>
                    <w:rPr>
                      <w:rFonts w:hint="eastAsia" w:cs="Times New Roman"/>
                      <w:b w:val="0"/>
                      <w:bCs/>
                      <w:color w:val="000000" w:themeColor="text1"/>
                      <w:sz w:val="21"/>
                      <w:szCs w:val="21"/>
                      <w:lang w:val="en-US" w:eastAsia="zh-CN"/>
                      <w14:textFill>
                        <w14:solidFill>
                          <w14:schemeClr w14:val="tx1"/>
                        </w14:solidFill>
                      </w14:textFill>
                    </w:rPr>
                    <w:t>）</w:t>
                  </w:r>
                </w:p>
              </w:tc>
              <w:tc>
                <w:tcPr>
                  <w:tcW w:w="1277" w:type="pct"/>
                  <w:vAlign w:val="center"/>
                </w:tcPr>
                <w:p w14:paraId="7FCAE62F">
                  <w:pPr>
                    <w:pStyle w:val="73"/>
                    <w:bidi w:val="0"/>
                    <w:ind w:firstLine="0" w:firstLineChars="0"/>
                    <w:jc w:val="both"/>
                    <w:rPr>
                      <w:rFonts w:hint="default" w:ascii="Times New Roman" w:hAnsi="Times New Roman" w:eastAsia="宋体" w:cs="Times New Roman"/>
                      <w:b w:val="0"/>
                      <w:bCs/>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土壤环境质量农用地土壤污染风险管控标准（试行）</w:t>
                  </w:r>
                  <w:r>
                    <w:rPr>
                      <w:rFonts w:hint="eastAsia" w:cs="Times New Roman"/>
                      <w:b w:val="0"/>
                      <w:bCs/>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GB 15618—2018</w:t>
                  </w:r>
                  <w:r>
                    <w:rPr>
                      <w:rFonts w:hint="eastAsia" w:cs="Times New Roman"/>
                      <w:b w:val="0"/>
                      <w:bCs/>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表1内项目</w:t>
                  </w:r>
                </w:p>
              </w:tc>
              <w:tc>
                <w:tcPr>
                  <w:tcW w:w="1085" w:type="pct"/>
                  <w:vAlign w:val="center"/>
                </w:tcPr>
                <w:p w14:paraId="78C08385">
                  <w:pPr>
                    <w:pStyle w:val="73"/>
                    <w:bidi w:val="0"/>
                    <w:ind w:firstLine="0" w:firstLineChars="0"/>
                    <w:jc w:val="both"/>
                    <w:rPr>
                      <w:rFonts w:hint="default" w:ascii="Times New Roman" w:hAnsi="Times New Roman" w:eastAsia="宋体" w:cs="Times New Roman"/>
                      <w:b w:val="0"/>
                      <w:bCs/>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运行后，1年/次</w:t>
                  </w:r>
                </w:p>
              </w:tc>
              <w:tc>
                <w:tcPr>
                  <w:tcW w:w="841" w:type="pct"/>
                  <w:vAlign w:val="center"/>
                </w:tcPr>
                <w:p w14:paraId="33356109">
                  <w:pPr>
                    <w:pStyle w:val="73"/>
                    <w:bidi w:val="0"/>
                    <w:jc w:val="both"/>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按国家</w:t>
                  </w:r>
                  <w:r>
                    <w:rPr>
                      <w:rFonts w:hint="eastAsia" w:cs="Times New Roman"/>
                      <w:b w:val="0"/>
                      <w:bCs/>
                      <w:color w:val="000000" w:themeColor="text1"/>
                      <w:sz w:val="21"/>
                      <w:szCs w:val="21"/>
                      <w:lang w:val="en-US" w:eastAsia="zh-CN"/>
                      <w14:textFill>
                        <w14:solidFill>
                          <w14:schemeClr w14:val="tx1"/>
                        </w14:solidFill>
                      </w14:textFill>
                    </w:rPr>
                    <w:t>标准</w:t>
                  </w: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进行监测</w:t>
                  </w:r>
                </w:p>
              </w:tc>
            </w:tr>
          </w:tbl>
          <w:p w14:paraId="2306AF0D">
            <w:pPr>
              <w:keepNext w:val="0"/>
              <w:keepLines w:val="0"/>
              <w:pageBreakBefore w:val="0"/>
              <w:widowControl w:val="0"/>
              <w:kinsoku/>
              <w:wordWrap/>
              <w:overflowPunct/>
              <w:topLinePunct w:val="0"/>
              <w:autoSpaceDE/>
              <w:autoSpaceDN/>
              <w:bidi w:val="0"/>
              <w:adjustRightInd w:val="0"/>
              <w:snapToGrid w:val="0"/>
              <w:spacing w:before="157" w:beforeLines="50"/>
              <w:jc w:val="both"/>
              <w:textAlignment w:val="auto"/>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2、服务期满后环境保护措施</w:t>
            </w:r>
          </w:p>
          <w:p w14:paraId="0F4DBAE4">
            <w:pPr>
              <w:bidi w:val="0"/>
              <w:jc w:val="both"/>
              <w:rPr>
                <w:rFonts w:hint="default" w:ascii="Times New Roman" w:hAnsi="Times New Roman" w:eastAsia="宋体" w:cs="Times New Roman"/>
                <w:color w:val="000000" w:themeColor="text1"/>
                <w:sz w:val="24"/>
                <w:szCs w:val="24"/>
                <w:lang w:eastAsia="zh-CN"/>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①服务期满后拆除</w:t>
            </w:r>
            <w:r>
              <w:rPr>
                <w:rFonts w:hint="default" w:ascii="Times New Roman" w:hAnsi="Times New Roman" w:eastAsia="宋体" w:cs="Times New Roman"/>
                <w:color w:val="000000" w:themeColor="text1"/>
                <w:sz w:val="24"/>
                <w:szCs w:val="24"/>
                <w:lang w:eastAsia="zh-CN"/>
                <w14:textFill>
                  <w14:solidFill>
                    <w14:schemeClr w14:val="tx1"/>
                  </w14:solidFill>
                </w14:textFill>
              </w:rPr>
              <w:t>驻地内所有设施，并将拆除的建筑垃圾清运完成；</w:t>
            </w:r>
          </w:p>
          <w:p w14:paraId="51AB536D">
            <w:pPr>
              <w:bidi w:val="0"/>
              <w:jc w:val="both"/>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②服务期满后，对其他辅助设施硬化地面进行掘除，对场地进行生态恢复治理</w:t>
            </w:r>
          </w:p>
          <w:p w14:paraId="4BE0F186">
            <w:pPr>
              <w:bidi w:val="0"/>
              <w:jc w:val="both"/>
              <w:rPr>
                <w:rFonts w:hint="default" w:ascii="Times New Roman" w:hAnsi="Times New Roman" w:eastAsia="宋体" w:cs="Times New Roman"/>
                <w:color w:val="000000" w:themeColor="text1"/>
                <w:sz w:val="24"/>
                <w:szCs w:val="24"/>
                <w:lang w:eastAsia="zh-CN"/>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③拆除过程中应</w:t>
            </w:r>
            <w:r>
              <w:rPr>
                <w:rFonts w:hint="eastAsia" w:ascii="Times New Roman" w:hAnsi="Times New Roman" w:cs="Times New Roman"/>
                <w:color w:val="000000" w:themeColor="text1"/>
                <w:sz w:val="24"/>
                <w:szCs w:val="24"/>
                <w:lang w:eastAsia="zh-CN"/>
                <w14:textFill>
                  <w14:solidFill>
                    <w14:schemeClr w14:val="tx1"/>
                  </w14:solidFill>
                </w14:textFill>
              </w:rPr>
              <w:t>尽量减少</w:t>
            </w:r>
            <w:r>
              <w:rPr>
                <w:rFonts w:hint="default" w:ascii="Times New Roman" w:hAnsi="Times New Roman" w:eastAsia="宋体" w:cs="Times New Roman"/>
                <w:color w:val="000000" w:themeColor="text1"/>
                <w:sz w:val="24"/>
                <w:szCs w:val="24"/>
                <w14:textFill>
                  <w14:solidFill>
                    <w14:schemeClr w14:val="tx1"/>
                  </w14:solidFill>
                </w14:textFill>
              </w:rPr>
              <w:t>对土地的扰动，对于项目厂区原绿化土地应保留</w:t>
            </w:r>
            <w:r>
              <w:rPr>
                <w:rFonts w:hint="default" w:ascii="Times New Roman" w:hAnsi="Times New Roman" w:eastAsia="宋体" w:cs="Times New Roman"/>
                <w:color w:val="000000" w:themeColor="text1"/>
                <w:sz w:val="24"/>
                <w:szCs w:val="24"/>
                <w:lang w:eastAsia="zh-CN"/>
                <w14:textFill>
                  <w14:solidFill>
                    <w14:schemeClr w14:val="tx1"/>
                  </w14:solidFill>
                </w14:textFill>
              </w:rPr>
              <w:t>。</w:t>
            </w:r>
          </w:p>
          <w:p w14:paraId="5381E9C4">
            <w:pPr>
              <w:bidi w:val="0"/>
              <w:jc w:val="both"/>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④掘除混凝土的基础部分场地应进行恢复，恢复后的场地则进行洒水和压实，以固结地表，防止产生扬尘和对土壤的风蚀。</w:t>
            </w:r>
          </w:p>
          <w:p w14:paraId="472F4DB7">
            <w:pPr>
              <w:ind w:firstLine="482"/>
              <w:jc w:val="both"/>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t>⑤对场地进行平整，然后覆土植树，对场地内占用的林地进行植被恢复，对</w:t>
            </w:r>
            <w:r>
              <w:rPr>
                <w:rFonts w:hint="default" w:ascii="Times New Roman" w:hAnsi="Times New Roman" w:eastAsia="宋体" w:cs="Times New Roman"/>
                <w:color w:val="000000" w:themeColor="text1"/>
                <w:sz w:val="24"/>
                <w:szCs w:val="24"/>
                <w:lang w:eastAsia="zh-CN"/>
                <w14:textFill>
                  <w14:solidFill>
                    <w14:schemeClr w14:val="tx1"/>
                  </w14:solidFill>
                </w14:textFill>
              </w:rPr>
              <w:t>种植区</w:t>
            </w:r>
            <w:r>
              <w:rPr>
                <w:rFonts w:hint="default" w:ascii="Times New Roman" w:hAnsi="Times New Roman" w:eastAsia="宋体" w:cs="Times New Roman"/>
                <w:color w:val="000000" w:themeColor="text1"/>
                <w:sz w:val="24"/>
                <w:szCs w:val="24"/>
                <w14:textFill>
                  <w14:solidFill>
                    <w14:schemeClr w14:val="tx1"/>
                  </w14:solidFill>
                </w14:textFill>
              </w:rPr>
              <w:t>进行复垦。根据新项目对地形地貌及景观的破坏程度，项目服务期满后，应及时撒播当地乡土灌木和草种，避免被紫茎泽兰等外来有害生物侵入。</w:t>
            </w:r>
          </w:p>
        </w:tc>
      </w:tr>
      <w:tr w14:paraId="1E05DB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102" w:hRule="atLeast"/>
          <w:jc w:val="center"/>
        </w:trPr>
        <w:tc>
          <w:tcPr>
            <w:tcW w:w="753" w:type="dxa"/>
            <w:vAlign w:val="center"/>
          </w:tcPr>
          <w:p w14:paraId="1E88B597">
            <w:pPr>
              <w:adjustRightInd w:val="0"/>
              <w:snapToGrid w:val="0"/>
              <w:ind w:firstLine="0" w:firstLineChars="0"/>
              <w:jc w:val="both"/>
              <w:rPr>
                <w:rFonts w:hint="default" w:ascii="Times New Roman" w:hAnsi="Times New Roman" w:eastAsia="宋体" w:cs="Times New Roman"/>
                <w:bCs/>
                <w:color w:val="000000" w:themeColor="text1"/>
                <w:szCs w:val="21"/>
                <w14:textFill>
                  <w14:solidFill>
                    <w14:schemeClr w14:val="tx1"/>
                  </w14:solidFill>
                </w14:textFill>
              </w:rPr>
            </w:pPr>
            <w:r>
              <w:rPr>
                <w:rFonts w:hint="default" w:ascii="Times New Roman" w:hAnsi="Times New Roman" w:eastAsia="宋体" w:cs="Times New Roman"/>
                <w:bCs/>
                <w:color w:val="000000" w:themeColor="text1"/>
                <w:szCs w:val="21"/>
                <w14:textFill>
                  <w14:solidFill>
                    <w14:schemeClr w14:val="tx1"/>
                  </w14:solidFill>
                </w14:textFill>
              </w:rPr>
              <w:t>环保投资</w:t>
            </w:r>
          </w:p>
        </w:tc>
        <w:tc>
          <w:tcPr>
            <w:tcW w:w="8457" w:type="dxa"/>
          </w:tcPr>
          <w:p w14:paraId="519999CE">
            <w:pPr>
              <w:spacing w:before="120" w:beforeLines="50"/>
              <w:ind w:firstLine="480"/>
              <w:jc w:val="both"/>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项目总投资约</w:t>
            </w:r>
            <w:r>
              <w:rPr>
                <w:rFonts w:hint="default" w:ascii="Times New Roman" w:hAnsi="Times New Roman" w:eastAsia="宋体" w:cs="Times New Roman"/>
                <w:color w:val="000000" w:themeColor="text1"/>
                <w:lang w:val="en-US" w:eastAsia="zh-CN"/>
                <w14:textFill>
                  <w14:solidFill>
                    <w14:schemeClr w14:val="tx1"/>
                  </w14:solidFill>
                </w14:textFill>
              </w:rPr>
              <w:t>10000</w:t>
            </w:r>
            <w:r>
              <w:rPr>
                <w:rFonts w:hint="default" w:ascii="Times New Roman" w:hAnsi="Times New Roman" w:eastAsia="宋体" w:cs="Times New Roman"/>
                <w:color w:val="000000" w:themeColor="text1"/>
                <w14:textFill>
                  <w14:solidFill>
                    <w14:schemeClr w14:val="tx1"/>
                  </w14:solidFill>
                </w14:textFill>
              </w:rPr>
              <w:t>万元人民币，其中环保投资</w:t>
            </w:r>
            <w:r>
              <w:rPr>
                <w:rFonts w:hint="eastAsia" w:ascii="Times New Roman" w:hAnsi="Times New Roman" w:cs="Times New Roman"/>
                <w:color w:val="000000" w:themeColor="text1"/>
                <w:lang w:eastAsia="zh-CN"/>
                <w14:textFill>
                  <w14:solidFill>
                    <w14:schemeClr w14:val="tx1"/>
                  </w14:solidFill>
                </w14:textFill>
              </w:rPr>
              <w:t>约</w:t>
            </w:r>
            <w:r>
              <w:rPr>
                <w:rFonts w:hint="eastAsia" w:ascii="Times New Roman" w:hAnsi="Times New Roman" w:cs="Times New Roman"/>
                <w:color w:val="000000" w:themeColor="text1"/>
                <w:lang w:val="en-US" w:eastAsia="zh-CN"/>
                <w14:textFill>
                  <w14:solidFill>
                    <w14:schemeClr w14:val="tx1"/>
                  </w14:solidFill>
                </w14:textFill>
              </w:rPr>
              <w:t>350.5</w:t>
            </w:r>
            <w:r>
              <w:rPr>
                <w:rFonts w:hint="default" w:ascii="Times New Roman" w:hAnsi="Times New Roman" w:eastAsia="宋体" w:cs="Times New Roman"/>
                <w:color w:val="000000" w:themeColor="text1"/>
                <w14:textFill>
                  <w14:solidFill>
                    <w14:schemeClr w14:val="tx1"/>
                  </w14:solidFill>
                </w14:textFill>
              </w:rPr>
              <w:t>万元人民币，占项目总投资的</w:t>
            </w:r>
            <w:r>
              <w:rPr>
                <w:rFonts w:hint="eastAsia" w:ascii="Times New Roman" w:hAnsi="Times New Roman" w:cs="Times New Roman"/>
                <w:color w:val="000000" w:themeColor="text1"/>
                <w:lang w:val="en-US" w:eastAsia="zh-CN"/>
                <w14:textFill>
                  <w14:solidFill>
                    <w14:schemeClr w14:val="tx1"/>
                  </w14:solidFill>
                </w14:textFill>
              </w:rPr>
              <w:t>3.505</w:t>
            </w:r>
            <w:r>
              <w:rPr>
                <w:rFonts w:hint="default" w:ascii="Times New Roman" w:hAnsi="Times New Roman" w:eastAsia="宋体" w:cs="Times New Roman"/>
                <w:color w:val="000000" w:themeColor="text1"/>
                <w14:textFill>
                  <w14:solidFill>
                    <w14:schemeClr w14:val="tx1"/>
                  </w14:solidFill>
                </w14:textFill>
              </w:rPr>
              <w:t>%，项目具体的环保投资估算情况详见下表。</w:t>
            </w:r>
          </w:p>
          <w:p w14:paraId="58253EA0">
            <w:pPr>
              <w:spacing w:line="240" w:lineRule="auto"/>
              <w:ind w:firstLine="0" w:firstLineChars="0"/>
              <w:jc w:val="center"/>
              <w:rPr>
                <w:rFonts w:hint="default" w:ascii="Times New Roman" w:hAnsi="Times New Roman" w:eastAsia="宋体" w:cs="Times New Roman"/>
                <w:b/>
                <w:bCs/>
                <w:color w:val="000000" w:themeColor="text1"/>
                <w:sz w:val="21"/>
                <w:szCs w:val="21"/>
                <w:highlight w:val="no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14:textFill>
                  <w14:solidFill>
                    <w14:schemeClr w14:val="tx1"/>
                  </w14:solidFill>
                </w14:textFill>
              </w:rPr>
              <w:t>表5-</w:t>
            </w:r>
            <w:r>
              <w:rPr>
                <w:rFonts w:hint="default" w:ascii="Times New Roman" w:hAnsi="Times New Roman" w:eastAsia="宋体" w:cs="Times New Roman"/>
                <w:b/>
                <w:bCs/>
                <w:color w:val="000000" w:themeColor="text1"/>
                <w:sz w:val="21"/>
                <w:szCs w:val="21"/>
                <w:highlight w:val="none"/>
                <w:lang w:val="en-US" w:eastAsia="zh-CN"/>
                <w14:textFill>
                  <w14:solidFill>
                    <w14:schemeClr w14:val="tx1"/>
                  </w14:solidFill>
                </w14:textFill>
              </w:rPr>
              <w:t>2</w:t>
            </w:r>
            <w:r>
              <w:rPr>
                <w:rFonts w:hint="eastAsia" w:ascii="Times New Roman" w:hAnsi="Times New Roman" w:cs="Times New Roman"/>
                <w:b/>
                <w:bCs/>
                <w:color w:val="000000" w:themeColor="text1"/>
                <w:sz w:val="21"/>
                <w:szCs w:val="21"/>
                <w:highlight w:val="none"/>
                <w:lang w:val="en-US" w:eastAsia="zh-CN"/>
                <w14:textFill>
                  <w14:solidFill>
                    <w14:schemeClr w14:val="tx1"/>
                  </w14:solidFill>
                </w14:textFill>
              </w:rPr>
              <w:t xml:space="preserve">    </w:t>
            </w:r>
            <w:r>
              <w:rPr>
                <w:rFonts w:hint="default" w:ascii="Times New Roman" w:hAnsi="Times New Roman" w:eastAsia="宋体" w:cs="Times New Roman"/>
                <w:b/>
                <w:bCs/>
                <w:color w:val="000000" w:themeColor="text1"/>
                <w:sz w:val="21"/>
                <w:szCs w:val="21"/>
                <w:highlight w:val="none"/>
                <w14:textFill>
                  <w14:solidFill>
                    <w14:schemeClr w14:val="tx1"/>
                  </w14:solidFill>
                </w14:textFill>
              </w:rPr>
              <w:t>项目环保治理措施投资估算一览表</w:t>
            </w:r>
          </w:p>
          <w:tbl>
            <w:tblPr>
              <w:tblStyle w:val="2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407"/>
              <w:gridCol w:w="2961"/>
              <w:gridCol w:w="1149"/>
              <w:gridCol w:w="1184"/>
              <w:gridCol w:w="1187"/>
            </w:tblGrid>
            <w:tr w14:paraId="413BD9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10" w:hRule="atLeast"/>
                <w:jc w:val="center"/>
              </w:trPr>
              <w:tc>
                <w:tcPr>
                  <w:tcW w:w="1407" w:type="dxa"/>
                  <w:noWrap w:val="0"/>
                  <w:vAlign w:val="center"/>
                </w:tcPr>
                <w:p w14:paraId="0A551AC3">
                  <w:pPr>
                    <w:spacing w:line="240" w:lineRule="auto"/>
                    <w:ind w:firstLine="0" w:firstLineChars="0"/>
                    <w:jc w:val="both"/>
                    <w:rPr>
                      <w:rFonts w:hint="default" w:ascii="Times New Roman" w:hAnsi="Times New Roman" w:eastAsia="宋体" w:cs="Times New Roman"/>
                      <w:caps/>
                      <w:color w:val="000000" w:themeColor="text1"/>
                      <w:sz w:val="21"/>
                      <w:szCs w:val="21"/>
                      <w:highlight w:val="none"/>
                      <w14:textFill>
                        <w14:solidFill>
                          <w14:schemeClr w14:val="tx1"/>
                        </w14:solidFill>
                      </w14:textFill>
                    </w:rPr>
                  </w:pPr>
                  <w:r>
                    <w:rPr>
                      <w:rFonts w:hint="default" w:ascii="Times New Roman" w:hAnsi="Times New Roman" w:eastAsia="宋体" w:cs="Times New Roman"/>
                      <w:caps/>
                      <w:color w:val="000000" w:themeColor="text1"/>
                      <w:sz w:val="21"/>
                      <w:szCs w:val="21"/>
                      <w:highlight w:val="none"/>
                      <w14:textFill>
                        <w14:solidFill>
                          <w14:schemeClr w14:val="tx1"/>
                        </w14:solidFill>
                      </w14:textFill>
                    </w:rPr>
                    <w:t>项目</w:t>
                  </w:r>
                </w:p>
              </w:tc>
              <w:tc>
                <w:tcPr>
                  <w:tcW w:w="2961" w:type="dxa"/>
                  <w:noWrap w:val="0"/>
                  <w:vAlign w:val="center"/>
                </w:tcPr>
                <w:p w14:paraId="2C5CE3E2">
                  <w:pPr>
                    <w:spacing w:line="240" w:lineRule="auto"/>
                    <w:ind w:firstLine="0" w:firstLineChars="0"/>
                    <w:jc w:val="both"/>
                    <w:rPr>
                      <w:rFonts w:hint="default" w:ascii="Times New Roman" w:hAnsi="Times New Roman" w:eastAsia="宋体" w:cs="Times New Roman"/>
                      <w:caps/>
                      <w:color w:val="000000" w:themeColor="text1"/>
                      <w:sz w:val="21"/>
                      <w:szCs w:val="21"/>
                      <w:highlight w:val="none"/>
                      <w14:textFill>
                        <w14:solidFill>
                          <w14:schemeClr w14:val="tx1"/>
                        </w14:solidFill>
                      </w14:textFill>
                    </w:rPr>
                  </w:pPr>
                  <w:r>
                    <w:rPr>
                      <w:rFonts w:hint="default" w:ascii="Times New Roman" w:hAnsi="Times New Roman" w:eastAsia="宋体" w:cs="Times New Roman"/>
                      <w:caps/>
                      <w:color w:val="000000" w:themeColor="text1"/>
                      <w:sz w:val="21"/>
                      <w:szCs w:val="21"/>
                      <w:highlight w:val="none"/>
                      <w14:textFill>
                        <w14:solidFill>
                          <w14:schemeClr w14:val="tx1"/>
                        </w14:solidFill>
                      </w14:textFill>
                    </w:rPr>
                    <w:t>内容</w:t>
                  </w:r>
                </w:p>
              </w:tc>
              <w:tc>
                <w:tcPr>
                  <w:tcW w:w="1149" w:type="dxa"/>
                  <w:tcBorders>
                    <w:right w:val="single" w:color="auto" w:sz="4" w:space="0"/>
                  </w:tcBorders>
                  <w:noWrap w:val="0"/>
                  <w:vAlign w:val="center"/>
                </w:tcPr>
                <w:p w14:paraId="7E629E5E">
                  <w:pPr>
                    <w:spacing w:line="240" w:lineRule="auto"/>
                    <w:ind w:firstLine="0" w:firstLineChars="0"/>
                    <w:jc w:val="both"/>
                    <w:rPr>
                      <w:rFonts w:hint="default" w:ascii="Times New Roman" w:hAnsi="Times New Roman" w:eastAsia="宋体" w:cs="Times New Roman"/>
                      <w:caps/>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aps/>
                      <w:color w:val="000000" w:themeColor="text1"/>
                      <w:sz w:val="21"/>
                      <w:szCs w:val="21"/>
                      <w:highlight w:val="none"/>
                      <w:lang w:val="en-US" w:eastAsia="zh-CN"/>
                      <w14:textFill>
                        <w14:solidFill>
                          <w14:schemeClr w14:val="tx1"/>
                        </w14:solidFill>
                      </w14:textFill>
                    </w:rPr>
                    <w:t>数量</w:t>
                  </w:r>
                </w:p>
              </w:tc>
              <w:tc>
                <w:tcPr>
                  <w:tcW w:w="1184" w:type="dxa"/>
                  <w:tcBorders>
                    <w:left w:val="single" w:color="auto" w:sz="4" w:space="0"/>
                    <w:right w:val="single" w:color="auto" w:sz="4" w:space="0"/>
                  </w:tcBorders>
                  <w:noWrap w:val="0"/>
                  <w:vAlign w:val="center"/>
                </w:tcPr>
                <w:p w14:paraId="6257AF02">
                  <w:pPr>
                    <w:spacing w:line="240" w:lineRule="auto"/>
                    <w:ind w:firstLine="0" w:firstLineChars="0"/>
                    <w:jc w:val="both"/>
                    <w:rPr>
                      <w:rFonts w:hint="default" w:ascii="Times New Roman" w:hAnsi="Times New Roman" w:eastAsia="宋体" w:cs="Times New Roman"/>
                      <w:caps/>
                      <w:color w:val="000000" w:themeColor="text1"/>
                      <w:sz w:val="21"/>
                      <w:szCs w:val="21"/>
                      <w:highlight w:val="none"/>
                      <w14:textFill>
                        <w14:solidFill>
                          <w14:schemeClr w14:val="tx1"/>
                        </w14:solidFill>
                      </w14:textFill>
                    </w:rPr>
                  </w:pPr>
                  <w:r>
                    <w:rPr>
                      <w:rFonts w:hint="default" w:ascii="Times New Roman" w:hAnsi="Times New Roman" w:eastAsia="宋体" w:cs="Times New Roman"/>
                      <w:caps/>
                      <w:color w:val="000000" w:themeColor="text1"/>
                      <w:sz w:val="21"/>
                      <w:szCs w:val="21"/>
                      <w:highlight w:val="none"/>
                      <w14:textFill>
                        <w14:solidFill>
                          <w14:schemeClr w14:val="tx1"/>
                        </w14:solidFill>
                      </w14:textFill>
                    </w:rPr>
                    <w:t>投资（万元）</w:t>
                  </w:r>
                </w:p>
              </w:tc>
              <w:tc>
                <w:tcPr>
                  <w:tcW w:w="1187" w:type="dxa"/>
                  <w:tcBorders>
                    <w:left w:val="single" w:color="auto" w:sz="4" w:space="0"/>
                  </w:tcBorders>
                  <w:noWrap w:val="0"/>
                  <w:vAlign w:val="center"/>
                </w:tcPr>
                <w:p w14:paraId="1E6954CB">
                  <w:pPr>
                    <w:spacing w:line="240" w:lineRule="auto"/>
                    <w:ind w:firstLine="0" w:firstLineChars="0"/>
                    <w:jc w:val="both"/>
                    <w:rPr>
                      <w:rFonts w:hint="default" w:ascii="Times New Roman" w:hAnsi="Times New Roman" w:eastAsia="宋体" w:cs="Times New Roman"/>
                      <w:caps/>
                      <w:color w:val="000000" w:themeColor="text1"/>
                      <w:sz w:val="21"/>
                      <w:szCs w:val="21"/>
                      <w:highlight w:val="none"/>
                      <w14:textFill>
                        <w14:solidFill>
                          <w14:schemeClr w14:val="tx1"/>
                        </w14:solidFill>
                      </w14:textFill>
                    </w:rPr>
                  </w:pPr>
                  <w:r>
                    <w:rPr>
                      <w:rFonts w:hint="default" w:ascii="Times New Roman" w:hAnsi="Times New Roman" w:eastAsia="宋体" w:cs="Times New Roman"/>
                      <w:caps/>
                      <w:color w:val="000000" w:themeColor="text1"/>
                      <w:sz w:val="21"/>
                      <w:szCs w:val="21"/>
                      <w:highlight w:val="none"/>
                      <w14:textFill>
                        <w14:solidFill>
                          <w14:schemeClr w14:val="tx1"/>
                        </w14:solidFill>
                      </w14:textFill>
                    </w:rPr>
                    <w:t>备注</w:t>
                  </w:r>
                </w:p>
              </w:tc>
            </w:tr>
            <w:tr w14:paraId="0E17BD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10" w:hRule="atLeast"/>
                <w:jc w:val="center"/>
              </w:trPr>
              <w:tc>
                <w:tcPr>
                  <w:tcW w:w="7888" w:type="dxa"/>
                  <w:gridSpan w:val="5"/>
                  <w:tcBorders>
                    <w:left w:val="single" w:color="auto" w:sz="4" w:space="0"/>
                  </w:tcBorders>
                  <w:noWrap w:val="0"/>
                  <w:vAlign w:val="center"/>
                </w:tcPr>
                <w:p w14:paraId="3492D067">
                  <w:pPr>
                    <w:spacing w:line="240" w:lineRule="auto"/>
                    <w:ind w:firstLine="0" w:firstLineChars="0"/>
                    <w:jc w:val="both"/>
                    <w:rPr>
                      <w:rFonts w:hint="default" w:ascii="Times New Roman" w:hAnsi="Times New Roman" w:eastAsia="宋体" w:cs="Times New Roman"/>
                      <w:caps/>
                      <w:color w:val="000000" w:themeColor="text1"/>
                      <w:sz w:val="21"/>
                      <w:szCs w:val="21"/>
                      <w:highlight w:val="none"/>
                      <w14:textFill>
                        <w14:solidFill>
                          <w14:schemeClr w14:val="tx1"/>
                        </w14:solidFill>
                      </w14:textFill>
                    </w:rPr>
                  </w:pPr>
                  <w:r>
                    <w:rPr>
                      <w:rFonts w:hint="default" w:ascii="Times New Roman" w:hAnsi="Times New Roman" w:eastAsia="宋体" w:cs="Times New Roman"/>
                      <w:caps/>
                      <w:color w:val="000000" w:themeColor="text1"/>
                      <w:sz w:val="21"/>
                      <w:szCs w:val="21"/>
                      <w:highlight w:val="none"/>
                      <w14:textFill>
                        <w14:solidFill>
                          <w14:schemeClr w14:val="tx1"/>
                        </w14:solidFill>
                      </w14:textFill>
                    </w:rPr>
                    <w:t>施工期环保投资</w:t>
                  </w:r>
                </w:p>
              </w:tc>
            </w:tr>
            <w:tr w14:paraId="6DC1C8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10" w:hRule="atLeast"/>
                <w:jc w:val="center"/>
              </w:trPr>
              <w:tc>
                <w:tcPr>
                  <w:tcW w:w="1407" w:type="dxa"/>
                  <w:vMerge w:val="restart"/>
                  <w:noWrap w:val="0"/>
                  <w:vAlign w:val="center"/>
                </w:tcPr>
                <w:p w14:paraId="25604368">
                  <w:pPr>
                    <w:spacing w:line="240" w:lineRule="auto"/>
                    <w:ind w:firstLine="0" w:firstLineChars="0"/>
                    <w:jc w:val="both"/>
                    <w:rPr>
                      <w:rFonts w:hint="default" w:ascii="Times New Roman" w:hAnsi="Times New Roman" w:eastAsia="宋体" w:cs="Times New Roman"/>
                      <w:caps/>
                      <w:color w:val="000000" w:themeColor="text1"/>
                      <w:sz w:val="21"/>
                      <w:szCs w:val="21"/>
                      <w:highlight w:val="none"/>
                      <w14:textFill>
                        <w14:solidFill>
                          <w14:schemeClr w14:val="tx1"/>
                        </w14:solidFill>
                      </w14:textFill>
                    </w:rPr>
                  </w:pPr>
                  <w:r>
                    <w:rPr>
                      <w:rFonts w:hint="default" w:ascii="Times New Roman" w:hAnsi="Times New Roman" w:eastAsia="宋体" w:cs="Times New Roman"/>
                      <w:caps/>
                      <w:color w:val="000000" w:themeColor="text1"/>
                      <w:sz w:val="21"/>
                      <w:szCs w:val="21"/>
                      <w:highlight w:val="none"/>
                      <w14:textFill>
                        <w14:solidFill>
                          <w14:schemeClr w14:val="tx1"/>
                        </w14:solidFill>
                      </w14:textFill>
                    </w:rPr>
                    <w:t>废水</w:t>
                  </w:r>
                </w:p>
              </w:tc>
              <w:tc>
                <w:tcPr>
                  <w:tcW w:w="2961" w:type="dxa"/>
                  <w:noWrap w:val="0"/>
                  <w:vAlign w:val="center"/>
                </w:tcPr>
                <w:p w14:paraId="6187AC30">
                  <w:pPr>
                    <w:spacing w:line="240" w:lineRule="auto"/>
                    <w:ind w:firstLine="0" w:firstLineChars="0"/>
                    <w:jc w:val="both"/>
                    <w:rPr>
                      <w:rFonts w:hint="default" w:ascii="Times New Roman" w:hAnsi="Times New Roman" w:eastAsia="宋体" w:cs="Times New Roman"/>
                      <w:cap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aps/>
                      <w:color w:val="000000" w:themeColor="text1"/>
                      <w:sz w:val="21"/>
                      <w:szCs w:val="21"/>
                      <w:highlight w:val="none"/>
                      <w:lang w:val="en-US" w:eastAsia="zh-CN"/>
                      <w14:textFill>
                        <w14:solidFill>
                          <w14:schemeClr w14:val="tx1"/>
                        </w14:solidFill>
                      </w14:textFill>
                    </w:rPr>
                    <w:t>沉淀池</w:t>
                  </w:r>
                </w:p>
              </w:tc>
              <w:tc>
                <w:tcPr>
                  <w:tcW w:w="1149" w:type="dxa"/>
                  <w:tcBorders>
                    <w:right w:val="single" w:color="auto" w:sz="4" w:space="0"/>
                  </w:tcBorders>
                  <w:noWrap w:val="0"/>
                  <w:vAlign w:val="center"/>
                </w:tcPr>
                <w:p w14:paraId="4DC13590">
                  <w:pPr>
                    <w:spacing w:line="240" w:lineRule="auto"/>
                    <w:ind w:firstLine="0" w:firstLineChars="0"/>
                    <w:jc w:val="both"/>
                    <w:rPr>
                      <w:rFonts w:hint="default" w:ascii="Times New Roman" w:hAnsi="Times New Roman" w:eastAsia="宋体" w:cs="Times New Roman"/>
                      <w:caps/>
                      <w:color w:val="000000" w:themeColor="text1"/>
                      <w:sz w:val="21"/>
                      <w:szCs w:val="21"/>
                      <w:highlight w:val="none"/>
                      <w14:textFill>
                        <w14:solidFill>
                          <w14:schemeClr w14:val="tx1"/>
                        </w14:solidFill>
                      </w14:textFill>
                    </w:rPr>
                  </w:pPr>
                  <w:r>
                    <w:rPr>
                      <w:rFonts w:hint="default" w:ascii="Times New Roman" w:hAnsi="Times New Roman" w:eastAsia="宋体" w:cs="Times New Roman"/>
                      <w:caps/>
                      <w:color w:val="000000" w:themeColor="text1"/>
                      <w:sz w:val="21"/>
                      <w:szCs w:val="21"/>
                      <w:highlight w:val="none"/>
                      <w:lang w:val="en-US" w:eastAsia="zh-CN"/>
                      <w14:textFill>
                        <w14:solidFill>
                          <w14:schemeClr w14:val="tx1"/>
                        </w14:solidFill>
                      </w14:textFill>
                    </w:rPr>
                    <w:t>3</w:t>
                  </w:r>
                  <w:r>
                    <w:rPr>
                      <w:rFonts w:hint="default" w:ascii="Times New Roman" w:hAnsi="Times New Roman" w:eastAsia="宋体" w:cs="Times New Roman"/>
                      <w:caps/>
                      <w:color w:val="000000" w:themeColor="text1"/>
                      <w:sz w:val="21"/>
                      <w:szCs w:val="21"/>
                      <w:highlight w:val="none"/>
                      <w14:textFill>
                        <w14:solidFill>
                          <w14:schemeClr w14:val="tx1"/>
                        </w14:solidFill>
                      </w14:textFill>
                    </w:rPr>
                    <w:t>个</w:t>
                  </w:r>
                </w:p>
              </w:tc>
              <w:tc>
                <w:tcPr>
                  <w:tcW w:w="1184" w:type="dxa"/>
                  <w:tcBorders>
                    <w:left w:val="single" w:color="auto" w:sz="4" w:space="0"/>
                    <w:right w:val="single" w:color="auto" w:sz="4" w:space="0"/>
                  </w:tcBorders>
                  <w:noWrap w:val="0"/>
                  <w:vAlign w:val="center"/>
                </w:tcPr>
                <w:p w14:paraId="05D72EAD">
                  <w:pPr>
                    <w:spacing w:line="240" w:lineRule="auto"/>
                    <w:ind w:firstLine="0" w:firstLineChars="0"/>
                    <w:jc w:val="both"/>
                    <w:rPr>
                      <w:rFonts w:hint="default" w:ascii="Times New Roman" w:hAnsi="Times New Roman" w:eastAsia="宋体" w:cs="Times New Roman"/>
                      <w:caps/>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aps/>
                      <w:color w:val="000000" w:themeColor="text1"/>
                      <w:sz w:val="21"/>
                      <w:szCs w:val="21"/>
                      <w:highlight w:val="none"/>
                      <w:lang w:val="en-US" w:eastAsia="zh-CN"/>
                      <w14:textFill>
                        <w14:solidFill>
                          <w14:schemeClr w14:val="tx1"/>
                        </w14:solidFill>
                      </w14:textFill>
                    </w:rPr>
                    <w:t>10</w:t>
                  </w:r>
                </w:p>
              </w:tc>
              <w:tc>
                <w:tcPr>
                  <w:tcW w:w="1187" w:type="dxa"/>
                  <w:tcBorders>
                    <w:left w:val="single" w:color="auto" w:sz="4" w:space="0"/>
                  </w:tcBorders>
                  <w:noWrap w:val="0"/>
                  <w:vAlign w:val="center"/>
                </w:tcPr>
                <w:p w14:paraId="0D7A799E">
                  <w:pPr>
                    <w:spacing w:line="240" w:lineRule="auto"/>
                    <w:ind w:firstLine="0" w:firstLineChars="0"/>
                    <w:jc w:val="both"/>
                    <w:rPr>
                      <w:rFonts w:hint="default" w:ascii="Times New Roman" w:hAnsi="Times New Roman" w:eastAsia="宋体" w:cs="Times New Roman"/>
                      <w:cap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aps/>
                      <w:color w:val="000000" w:themeColor="text1"/>
                      <w:sz w:val="21"/>
                      <w:szCs w:val="21"/>
                      <w:highlight w:val="none"/>
                      <w:lang w:val="en-US" w:eastAsia="zh-CN"/>
                      <w14:textFill>
                        <w14:solidFill>
                          <w14:schemeClr w14:val="tx1"/>
                        </w14:solidFill>
                      </w14:textFill>
                    </w:rPr>
                    <w:t>一片区1个</w:t>
                  </w:r>
                  <w:r>
                    <w:rPr>
                      <w:rFonts w:hint="default" w:ascii="Times New Roman" w:hAnsi="Times New Roman" w:eastAsia="宋体" w:cs="Times New Roman"/>
                      <w:b w:val="0"/>
                      <w:bCs/>
                      <w:color w:val="000000" w:themeColor="text1"/>
                      <w:sz w:val="21"/>
                      <w:szCs w:val="21"/>
                      <w:highlight w:val="none"/>
                      <w:lang w:val="en-US" w:eastAsia="zh-CN"/>
                      <w14:textFill>
                        <w14:solidFill>
                          <w14:schemeClr w14:val="tx1"/>
                        </w14:solidFill>
                      </w14:textFill>
                    </w:rPr>
                    <w:t>二片区2个</w:t>
                  </w:r>
                </w:p>
              </w:tc>
            </w:tr>
            <w:tr w14:paraId="2BC00A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10" w:hRule="atLeast"/>
                <w:jc w:val="center"/>
              </w:trPr>
              <w:tc>
                <w:tcPr>
                  <w:tcW w:w="1407" w:type="dxa"/>
                  <w:vMerge w:val="continue"/>
                  <w:noWrap w:val="0"/>
                  <w:vAlign w:val="center"/>
                </w:tcPr>
                <w:p w14:paraId="177DE9D1">
                  <w:pPr>
                    <w:spacing w:line="240" w:lineRule="auto"/>
                    <w:ind w:firstLine="0" w:firstLineChars="0"/>
                    <w:jc w:val="both"/>
                    <w:rPr>
                      <w:rFonts w:hint="default" w:ascii="Times New Roman" w:hAnsi="Times New Roman" w:eastAsia="宋体" w:cs="Times New Roman"/>
                      <w:caps/>
                      <w:color w:val="000000" w:themeColor="text1"/>
                      <w:sz w:val="21"/>
                      <w:szCs w:val="21"/>
                      <w:highlight w:val="none"/>
                      <w14:textFill>
                        <w14:solidFill>
                          <w14:schemeClr w14:val="tx1"/>
                        </w14:solidFill>
                      </w14:textFill>
                    </w:rPr>
                  </w:pPr>
                </w:p>
              </w:tc>
              <w:tc>
                <w:tcPr>
                  <w:tcW w:w="2961" w:type="dxa"/>
                  <w:noWrap w:val="0"/>
                  <w:vAlign w:val="center"/>
                </w:tcPr>
                <w:p w14:paraId="70885EBB">
                  <w:pPr>
                    <w:spacing w:line="240" w:lineRule="auto"/>
                    <w:ind w:firstLine="0" w:firstLineChars="0"/>
                    <w:jc w:val="both"/>
                    <w:rPr>
                      <w:rFonts w:hint="default" w:ascii="Times New Roman" w:hAnsi="Times New Roman" w:eastAsia="宋体" w:cs="Times New Roman"/>
                      <w:cap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aps/>
                      <w:color w:val="000000" w:themeColor="text1"/>
                      <w:sz w:val="21"/>
                      <w:szCs w:val="21"/>
                      <w:highlight w:val="none"/>
                      <w:lang w:val="en-US" w:eastAsia="zh-CN"/>
                      <w14:textFill>
                        <w14:solidFill>
                          <w14:schemeClr w14:val="tx1"/>
                        </w14:solidFill>
                      </w14:textFill>
                    </w:rPr>
                    <w:t>截排水沟15025</w:t>
                  </w:r>
                  <w:r>
                    <w:rPr>
                      <w:rFonts w:hint="eastAsia" w:ascii="Times New Roman" w:hAnsi="Times New Roman" w:cs="Times New Roman"/>
                      <w:caps/>
                      <w:color w:val="000000" w:themeColor="text1"/>
                      <w:sz w:val="21"/>
                      <w:szCs w:val="21"/>
                      <w:highlight w:val="none"/>
                      <w:lang w:val="en-US" w:eastAsia="zh-CN"/>
                      <w14:textFill>
                        <w14:solidFill>
                          <w14:schemeClr w14:val="tx1"/>
                        </w14:solidFill>
                      </w14:textFill>
                    </w:rPr>
                    <w:t>8</w:t>
                  </w:r>
                  <w:r>
                    <w:rPr>
                      <w:rFonts w:hint="default" w:ascii="Times New Roman" w:hAnsi="Times New Roman" w:eastAsia="宋体" w:cs="Times New Roman"/>
                      <w:caps/>
                      <w:color w:val="000000" w:themeColor="text1"/>
                      <w:sz w:val="21"/>
                      <w:szCs w:val="21"/>
                      <w:highlight w:val="none"/>
                      <w:lang w:val="en-US" w:eastAsia="zh-CN"/>
                      <w14:textFill>
                        <w14:solidFill>
                          <w14:schemeClr w14:val="tx1"/>
                        </w14:solidFill>
                      </w14:textFill>
                    </w:rPr>
                    <w:t>米</w:t>
                  </w:r>
                </w:p>
              </w:tc>
              <w:tc>
                <w:tcPr>
                  <w:tcW w:w="1149" w:type="dxa"/>
                  <w:tcBorders>
                    <w:right w:val="single" w:color="auto" w:sz="4" w:space="0"/>
                  </w:tcBorders>
                  <w:noWrap w:val="0"/>
                  <w:vAlign w:val="center"/>
                </w:tcPr>
                <w:p w14:paraId="70D9F410">
                  <w:pPr>
                    <w:spacing w:line="240" w:lineRule="auto"/>
                    <w:ind w:firstLine="0" w:firstLineChars="0"/>
                    <w:jc w:val="both"/>
                    <w:rPr>
                      <w:rFonts w:hint="default" w:ascii="Times New Roman" w:hAnsi="Times New Roman" w:eastAsia="宋体" w:cs="Times New Roman"/>
                      <w:cap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aps/>
                      <w:color w:val="000000" w:themeColor="text1"/>
                      <w:sz w:val="21"/>
                      <w:szCs w:val="21"/>
                      <w:highlight w:val="none"/>
                      <w:lang w:val="en-US" w:eastAsia="zh-CN"/>
                      <w14:textFill>
                        <w14:solidFill>
                          <w14:schemeClr w14:val="tx1"/>
                        </w14:solidFill>
                      </w14:textFill>
                    </w:rPr>
                    <w:t>米</w:t>
                  </w:r>
                </w:p>
              </w:tc>
              <w:tc>
                <w:tcPr>
                  <w:tcW w:w="1184" w:type="dxa"/>
                  <w:tcBorders>
                    <w:left w:val="single" w:color="auto" w:sz="4" w:space="0"/>
                    <w:right w:val="single" w:color="auto" w:sz="4" w:space="0"/>
                  </w:tcBorders>
                  <w:noWrap w:val="0"/>
                  <w:vAlign w:val="center"/>
                </w:tcPr>
                <w:p w14:paraId="50121C8E">
                  <w:pPr>
                    <w:spacing w:line="240" w:lineRule="auto"/>
                    <w:ind w:firstLine="0" w:firstLineChars="0"/>
                    <w:jc w:val="both"/>
                    <w:rPr>
                      <w:rFonts w:hint="default" w:ascii="Times New Roman" w:hAnsi="Times New Roman" w:eastAsia="宋体" w:cs="Times New Roman"/>
                      <w:cap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aps/>
                      <w:color w:val="000000" w:themeColor="text1"/>
                      <w:sz w:val="21"/>
                      <w:szCs w:val="21"/>
                      <w:highlight w:val="none"/>
                      <w:lang w:val="en-US" w:eastAsia="zh-CN"/>
                      <w14:textFill>
                        <w14:solidFill>
                          <w14:schemeClr w14:val="tx1"/>
                        </w14:solidFill>
                      </w14:textFill>
                    </w:rPr>
                    <w:t>90</w:t>
                  </w:r>
                </w:p>
              </w:tc>
              <w:tc>
                <w:tcPr>
                  <w:tcW w:w="1187" w:type="dxa"/>
                  <w:tcBorders>
                    <w:left w:val="single" w:color="auto" w:sz="4" w:space="0"/>
                  </w:tcBorders>
                  <w:noWrap w:val="0"/>
                  <w:vAlign w:val="center"/>
                </w:tcPr>
                <w:p w14:paraId="186F5D11">
                  <w:pPr>
                    <w:spacing w:line="240" w:lineRule="auto"/>
                    <w:ind w:firstLine="0" w:firstLineChars="0"/>
                    <w:jc w:val="both"/>
                    <w:rPr>
                      <w:rFonts w:hint="eastAsia" w:ascii="Times New Roman" w:hAnsi="Times New Roman" w:eastAsia="宋体" w:cs="Times New Roman"/>
                      <w:caps/>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aps/>
                      <w:color w:val="000000" w:themeColor="text1"/>
                      <w:sz w:val="21"/>
                      <w:szCs w:val="21"/>
                      <w:highlight w:val="none"/>
                      <w:lang w:val="en-US" w:eastAsia="zh-CN"/>
                      <w14:textFill>
                        <w14:solidFill>
                          <w14:schemeClr w14:val="tx1"/>
                        </w14:solidFill>
                      </w14:textFill>
                    </w:rPr>
                    <w:t>/</w:t>
                  </w:r>
                </w:p>
              </w:tc>
            </w:tr>
            <w:tr w14:paraId="2A3E22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10" w:hRule="atLeast"/>
                <w:jc w:val="center"/>
              </w:trPr>
              <w:tc>
                <w:tcPr>
                  <w:tcW w:w="1407" w:type="dxa"/>
                  <w:vMerge w:val="continue"/>
                  <w:noWrap w:val="0"/>
                  <w:vAlign w:val="center"/>
                </w:tcPr>
                <w:p w14:paraId="586F2EF4">
                  <w:pPr>
                    <w:spacing w:line="240" w:lineRule="auto"/>
                    <w:ind w:firstLine="0" w:firstLineChars="0"/>
                    <w:jc w:val="both"/>
                    <w:rPr>
                      <w:rFonts w:hint="default" w:ascii="Times New Roman" w:hAnsi="Times New Roman" w:eastAsia="宋体" w:cs="Times New Roman"/>
                      <w:caps/>
                      <w:color w:val="000000" w:themeColor="text1"/>
                      <w:sz w:val="21"/>
                      <w:szCs w:val="21"/>
                      <w:highlight w:val="none"/>
                      <w14:textFill>
                        <w14:solidFill>
                          <w14:schemeClr w14:val="tx1"/>
                        </w14:solidFill>
                      </w14:textFill>
                    </w:rPr>
                  </w:pPr>
                </w:p>
              </w:tc>
              <w:tc>
                <w:tcPr>
                  <w:tcW w:w="2961" w:type="dxa"/>
                  <w:noWrap w:val="0"/>
                  <w:vAlign w:val="center"/>
                </w:tcPr>
                <w:p w14:paraId="4E2C5851">
                  <w:pPr>
                    <w:spacing w:line="240" w:lineRule="auto"/>
                    <w:ind w:firstLine="0" w:firstLineChars="0"/>
                    <w:jc w:val="both"/>
                    <w:rPr>
                      <w:rFonts w:hint="default" w:ascii="Times New Roman" w:hAnsi="Times New Roman" w:eastAsia="宋体" w:cs="Times New Roman"/>
                      <w:caps/>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aps/>
                      <w:color w:val="000000" w:themeColor="text1"/>
                      <w:sz w:val="21"/>
                      <w:szCs w:val="21"/>
                      <w:highlight w:val="none"/>
                      <w:lang w:val="en-US" w:eastAsia="zh-CN"/>
                      <w14:textFill>
                        <w14:solidFill>
                          <w14:schemeClr w14:val="tx1"/>
                        </w14:solidFill>
                      </w14:textFill>
                    </w:rPr>
                    <w:t>水池</w:t>
                  </w:r>
                </w:p>
              </w:tc>
              <w:tc>
                <w:tcPr>
                  <w:tcW w:w="1149" w:type="dxa"/>
                  <w:tcBorders>
                    <w:right w:val="single" w:color="auto" w:sz="4" w:space="0"/>
                  </w:tcBorders>
                  <w:noWrap w:val="0"/>
                  <w:vAlign w:val="center"/>
                </w:tcPr>
                <w:p w14:paraId="2A3B81D3">
                  <w:pPr>
                    <w:spacing w:line="240" w:lineRule="auto"/>
                    <w:ind w:firstLine="0" w:firstLineChars="0"/>
                    <w:jc w:val="both"/>
                    <w:rPr>
                      <w:rFonts w:hint="default" w:ascii="Times New Roman" w:hAnsi="Times New Roman" w:eastAsia="宋体" w:cs="Times New Roman"/>
                      <w:caps/>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aps/>
                      <w:color w:val="000000" w:themeColor="text1"/>
                      <w:sz w:val="21"/>
                      <w:szCs w:val="21"/>
                      <w:highlight w:val="none"/>
                      <w:lang w:val="en-US" w:eastAsia="zh-CN"/>
                      <w14:textFill>
                        <w14:solidFill>
                          <w14:schemeClr w14:val="tx1"/>
                        </w14:solidFill>
                      </w14:textFill>
                    </w:rPr>
                    <w:t>15个</w:t>
                  </w:r>
                </w:p>
              </w:tc>
              <w:tc>
                <w:tcPr>
                  <w:tcW w:w="1184" w:type="dxa"/>
                  <w:tcBorders>
                    <w:left w:val="single" w:color="auto" w:sz="4" w:space="0"/>
                    <w:right w:val="single" w:color="auto" w:sz="4" w:space="0"/>
                  </w:tcBorders>
                  <w:noWrap w:val="0"/>
                  <w:vAlign w:val="center"/>
                </w:tcPr>
                <w:p w14:paraId="05E7852A">
                  <w:pPr>
                    <w:spacing w:line="240" w:lineRule="auto"/>
                    <w:ind w:firstLine="0" w:firstLineChars="0"/>
                    <w:jc w:val="both"/>
                    <w:rPr>
                      <w:rFonts w:hint="default" w:ascii="Times New Roman" w:hAnsi="Times New Roman" w:eastAsia="宋体" w:cs="Times New Roman"/>
                      <w:caps/>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aps/>
                      <w:color w:val="000000" w:themeColor="text1"/>
                      <w:sz w:val="21"/>
                      <w:szCs w:val="21"/>
                      <w:highlight w:val="none"/>
                      <w:lang w:val="en-US" w:eastAsia="zh-CN"/>
                      <w14:textFill>
                        <w14:solidFill>
                          <w14:schemeClr w14:val="tx1"/>
                        </w14:solidFill>
                      </w14:textFill>
                    </w:rPr>
                    <w:t>150</w:t>
                  </w:r>
                </w:p>
              </w:tc>
              <w:tc>
                <w:tcPr>
                  <w:tcW w:w="1187" w:type="dxa"/>
                  <w:tcBorders>
                    <w:left w:val="single" w:color="auto" w:sz="4" w:space="0"/>
                  </w:tcBorders>
                  <w:noWrap w:val="0"/>
                  <w:vAlign w:val="center"/>
                </w:tcPr>
                <w:p w14:paraId="67D57460">
                  <w:pPr>
                    <w:spacing w:line="240" w:lineRule="auto"/>
                    <w:ind w:firstLine="0" w:firstLineChars="0"/>
                    <w:jc w:val="both"/>
                    <w:rPr>
                      <w:rFonts w:hint="default" w:ascii="Times New Roman" w:hAnsi="Times New Roman" w:eastAsia="宋体" w:cs="Times New Roman"/>
                      <w:caps/>
                      <w:color w:val="000000" w:themeColor="text1"/>
                      <w:sz w:val="21"/>
                      <w:szCs w:val="21"/>
                      <w:highlight w:val="none"/>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一片区设水池3个，二片区设水池12个</w:t>
                  </w:r>
                </w:p>
              </w:tc>
            </w:tr>
            <w:tr w14:paraId="2064E8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10" w:hRule="atLeast"/>
                <w:jc w:val="center"/>
              </w:trPr>
              <w:tc>
                <w:tcPr>
                  <w:tcW w:w="1407" w:type="dxa"/>
                  <w:vMerge w:val="restart"/>
                  <w:noWrap w:val="0"/>
                  <w:vAlign w:val="center"/>
                </w:tcPr>
                <w:p w14:paraId="4D02BF02">
                  <w:pPr>
                    <w:spacing w:line="240" w:lineRule="auto"/>
                    <w:ind w:firstLine="0" w:firstLineChars="0"/>
                    <w:jc w:val="both"/>
                    <w:rPr>
                      <w:rFonts w:hint="default" w:ascii="Times New Roman" w:hAnsi="Times New Roman" w:eastAsia="宋体" w:cs="Times New Roman"/>
                      <w:cap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aps/>
                      <w:color w:val="000000" w:themeColor="text1"/>
                      <w:sz w:val="21"/>
                      <w:szCs w:val="21"/>
                      <w:highlight w:val="none"/>
                      <w:lang w:val="en-US" w:eastAsia="zh-CN"/>
                      <w14:textFill>
                        <w14:solidFill>
                          <w14:schemeClr w14:val="tx1"/>
                        </w14:solidFill>
                      </w14:textFill>
                    </w:rPr>
                    <w:t>废气</w:t>
                  </w:r>
                </w:p>
              </w:tc>
              <w:tc>
                <w:tcPr>
                  <w:tcW w:w="2961" w:type="dxa"/>
                  <w:noWrap w:val="0"/>
                  <w:vAlign w:val="center"/>
                </w:tcPr>
                <w:p w14:paraId="7D2D2496">
                  <w:pPr>
                    <w:spacing w:line="240" w:lineRule="auto"/>
                    <w:ind w:firstLine="0" w:firstLineChars="0"/>
                    <w:jc w:val="both"/>
                    <w:rPr>
                      <w:rFonts w:hint="default" w:ascii="Times New Roman" w:hAnsi="Times New Roman" w:eastAsia="宋体" w:cs="Times New Roman"/>
                      <w:caps/>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aps/>
                      <w:color w:val="000000" w:themeColor="text1"/>
                      <w:sz w:val="21"/>
                      <w:szCs w:val="21"/>
                      <w:highlight w:val="none"/>
                      <w:lang w:val="en-US" w:eastAsia="zh-CN"/>
                      <w14:textFill>
                        <w14:solidFill>
                          <w14:schemeClr w14:val="tx1"/>
                        </w14:solidFill>
                      </w14:textFill>
                    </w:rPr>
                    <w:t>洒水降尘</w:t>
                  </w:r>
                </w:p>
              </w:tc>
              <w:tc>
                <w:tcPr>
                  <w:tcW w:w="1149" w:type="dxa"/>
                  <w:tcBorders>
                    <w:right w:val="single" w:color="auto" w:sz="4" w:space="0"/>
                  </w:tcBorders>
                  <w:noWrap w:val="0"/>
                  <w:vAlign w:val="center"/>
                </w:tcPr>
                <w:p w14:paraId="21E4377C">
                  <w:pPr>
                    <w:spacing w:line="240" w:lineRule="auto"/>
                    <w:ind w:firstLine="0" w:firstLineChars="0"/>
                    <w:jc w:val="both"/>
                    <w:rPr>
                      <w:rFonts w:hint="eastAsia" w:ascii="Times New Roman" w:hAnsi="Times New Roman" w:eastAsia="宋体" w:cs="Times New Roman"/>
                      <w:caps/>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aps/>
                      <w:color w:val="000000" w:themeColor="text1"/>
                      <w:sz w:val="21"/>
                      <w:szCs w:val="21"/>
                      <w:highlight w:val="none"/>
                      <w:lang w:val="en-US" w:eastAsia="zh-CN"/>
                      <w14:textFill>
                        <w14:solidFill>
                          <w14:schemeClr w14:val="tx1"/>
                        </w14:solidFill>
                      </w14:textFill>
                    </w:rPr>
                    <w:t>/</w:t>
                  </w:r>
                </w:p>
              </w:tc>
              <w:tc>
                <w:tcPr>
                  <w:tcW w:w="1184" w:type="dxa"/>
                  <w:tcBorders>
                    <w:left w:val="single" w:color="auto" w:sz="4" w:space="0"/>
                    <w:right w:val="single" w:color="auto" w:sz="4" w:space="0"/>
                  </w:tcBorders>
                  <w:noWrap w:val="0"/>
                  <w:vAlign w:val="center"/>
                </w:tcPr>
                <w:p w14:paraId="4C66F6A2">
                  <w:pPr>
                    <w:spacing w:line="240" w:lineRule="auto"/>
                    <w:ind w:firstLine="0" w:firstLineChars="0"/>
                    <w:jc w:val="both"/>
                    <w:rPr>
                      <w:rFonts w:hint="default" w:ascii="Times New Roman" w:hAnsi="Times New Roman" w:eastAsia="宋体" w:cs="Times New Roman"/>
                      <w:cap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aps/>
                      <w:color w:val="000000" w:themeColor="text1"/>
                      <w:sz w:val="21"/>
                      <w:szCs w:val="21"/>
                      <w:highlight w:val="none"/>
                      <w:lang w:val="en-US" w:eastAsia="zh-CN"/>
                      <w14:textFill>
                        <w14:solidFill>
                          <w14:schemeClr w14:val="tx1"/>
                        </w14:solidFill>
                      </w14:textFill>
                    </w:rPr>
                    <w:t>3</w:t>
                  </w:r>
                  <w:r>
                    <w:rPr>
                      <w:rFonts w:hint="eastAsia" w:ascii="Times New Roman" w:hAnsi="Times New Roman" w:cs="Times New Roman"/>
                      <w:caps/>
                      <w:color w:val="000000" w:themeColor="text1"/>
                      <w:sz w:val="21"/>
                      <w:szCs w:val="21"/>
                      <w:highlight w:val="none"/>
                      <w:lang w:val="en-US" w:eastAsia="zh-CN"/>
                      <w14:textFill>
                        <w14:solidFill>
                          <w14:schemeClr w14:val="tx1"/>
                        </w14:solidFill>
                      </w14:textFill>
                    </w:rPr>
                    <w:t>0</w:t>
                  </w:r>
                </w:p>
              </w:tc>
              <w:tc>
                <w:tcPr>
                  <w:tcW w:w="1187" w:type="dxa"/>
                  <w:tcBorders>
                    <w:left w:val="single" w:color="auto" w:sz="4" w:space="0"/>
                  </w:tcBorders>
                  <w:noWrap w:val="0"/>
                  <w:vAlign w:val="center"/>
                </w:tcPr>
                <w:p w14:paraId="2E7547CF">
                  <w:pPr>
                    <w:spacing w:line="240" w:lineRule="auto"/>
                    <w:ind w:firstLine="0" w:firstLineChars="0"/>
                    <w:jc w:val="both"/>
                    <w:rPr>
                      <w:rFonts w:hint="eastAsia" w:ascii="Times New Roman" w:hAnsi="Times New Roman" w:eastAsia="宋体" w:cs="Times New Roman"/>
                      <w:caps/>
                      <w:color w:val="000000" w:themeColor="text1"/>
                      <w:sz w:val="21"/>
                      <w:szCs w:val="21"/>
                      <w:highlight w:val="none"/>
                      <w:lang w:eastAsia="zh-CN"/>
                      <w14:textFill>
                        <w14:solidFill>
                          <w14:schemeClr w14:val="tx1"/>
                        </w14:solidFill>
                      </w14:textFill>
                    </w:rPr>
                  </w:pPr>
                </w:p>
              </w:tc>
            </w:tr>
            <w:tr w14:paraId="5C0113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10" w:hRule="atLeast"/>
                <w:jc w:val="center"/>
              </w:trPr>
              <w:tc>
                <w:tcPr>
                  <w:tcW w:w="1407" w:type="dxa"/>
                  <w:vMerge w:val="continue"/>
                  <w:noWrap w:val="0"/>
                  <w:vAlign w:val="center"/>
                </w:tcPr>
                <w:p w14:paraId="63351896">
                  <w:pPr>
                    <w:spacing w:line="240" w:lineRule="auto"/>
                    <w:ind w:firstLine="0" w:firstLineChars="0"/>
                    <w:jc w:val="both"/>
                    <w:rPr>
                      <w:rFonts w:hint="default" w:ascii="Times New Roman" w:hAnsi="Times New Roman" w:eastAsia="宋体" w:cs="Times New Roman"/>
                      <w:caps/>
                      <w:color w:val="000000" w:themeColor="text1"/>
                      <w:sz w:val="21"/>
                      <w:szCs w:val="21"/>
                      <w:highlight w:val="none"/>
                      <w:lang w:val="en-US" w:eastAsia="zh-CN"/>
                      <w14:textFill>
                        <w14:solidFill>
                          <w14:schemeClr w14:val="tx1"/>
                        </w14:solidFill>
                      </w14:textFill>
                    </w:rPr>
                  </w:pPr>
                </w:p>
              </w:tc>
              <w:tc>
                <w:tcPr>
                  <w:tcW w:w="2961" w:type="dxa"/>
                  <w:noWrap w:val="0"/>
                  <w:vAlign w:val="center"/>
                </w:tcPr>
                <w:p w14:paraId="03BB75D5">
                  <w:pPr>
                    <w:spacing w:line="240" w:lineRule="auto"/>
                    <w:ind w:firstLine="0" w:firstLineChars="0"/>
                    <w:jc w:val="both"/>
                    <w:rPr>
                      <w:rFonts w:hint="default" w:ascii="Times New Roman" w:hAnsi="Times New Roman" w:eastAsia="宋体" w:cs="Times New Roman"/>
                      <w:cap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aps/>
                      <w:color w:val="000000" w:themeColor="text1"/>
                      <w:sz w:val="21"/>
                      <w:szCs w:val="21"/>
                      <w:highlight w:val="none"/>
                      <w:lang w:val="en-US" w:eastAsia="zh-CN"/>
                      <w14:textFill>
                        <w14:solidFill>
                          <w14:schemeClr w14:val="tx1"/>
                        </w14:solidFill>
                      </w14:textFill>
                    </w:rPr>
                    <w:t>施工场地围墙</w:t>
                  </w:r>
                </w:p>
              </w:tc>
              <w:tc>
                <w:tcPr>
                  <w:tcW w:w="1149" w:type="dxa"/>
                  <w:tcBorders>
                    <w:right w:val="single" w:color="auto" w:sz="4" w:space="0"/>
                  </w:tcBorders>
                  <w:noWrap w:val="0"/>
                  <w:vAlign w:val="center"/>
                </w:tcPr>
                <w:p w14:paraId="13A4EF0A">
                  <w:pPr>
                    <w:spacing w:line="240" w:lineRule="auto"/>
                    <w:ind w:firstLine="0" w:firstLineChars="0"/>
                    <w:jc w:val="both"/>
                    <w:rPr>
                      <w:rFonts w:hint="default" w:ascii="Times New Roman" w:hAnsi="Times New Roman" w:eastAsia="宋体" w:cs="Times New Roman"/>
                      <w:cap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aps/>
                      <w:color w:val="000000" w:themeColor="text1"/>
                      <w:sz w:val="21"/>
                      <w:szCs w:val="21"/>
                      <w:highlight w:val="none"/>
                      <w14:textFill>
                        <w14:solidFill>
                          <w14:schemeClr w14:val="tx1"/>
                        </w14:solidFill>
                      </w14:textFill>
                    </w:rPr>
                    <w:t>－</w:t>
                  </w:r>
                </w:p>
              </w:tc>
              <w:tc>
                <w:tcPr>
                  <w:tcW w:w="1184" w:type="dxa"/>
                  <w:tcBorders>
                    <w:left w:val="single" w:color="auto" w:sz="4" w:space="0"/>
                    <w:right w:val="single" w:color="auto" w:sz="4" w:space="0"/>
                  </w:tcBorders>
                  <w:noWrap w:val="0"/>
                  <w:vAlign w:val="center"/>
                </w:tcPr>
                <w:p w14:paraId="7EE947DD">
                  <w:pPr>
                    <w:spacing w:line="240" w:lineRule="auto"/>
                    <w:ind w:firstLine="0" w:firstLineChars="0"/>
                    <w:jc w:val="both"/>
                    <w:rPr>
                      <w:rFonts w:hint="default" w:ascii="Times New Roman" w:hAnsi="Times New Roman" w:eastAsia="宋体" w:cs="Times New Roman"/>
                      <w:cap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aps/>
                      <w:color w:val="000000" w:themeColor="text1"/>
                      <w:sz w:val="21"/>
                      <w:szCs w:val="21"/>
                      <w:highlight w:val="none"/>
                      <w:lang w:val="en-US" w:eastAsia="zh-CN"/>
                      <w14:textFill>
                        <w14:solidFill>
                          <w14:schemeClr w14:val="tx1"/>
                        </w14:solidFill>
                      </w14:textFill>
                    </w:rPr>
                    <w:t>40</w:t>
                  </w:r>
                </w:p>
              </w:tc>
              <w:tc>
                <w:tcPr>
                  <w:tcW w:w="1187" w:type="dxa"/>
                  <w:tcBorders>
                    <w:left w:val="single" w:color="auto" w:sz="4" w:space="0"/>
                  </w:tcBorders>
                  <w:noWrap w:val="0"/>
                  <w:vAlign w:val="center"/>
                </w:tcPr>
                <w:p w14:paraId="1161A2B0">
                  <w:pPr>
                    <w:spacing w:line="240" w:lineRule="auto"/>
                    <w:ind w:firstLine="0" w:firstLineChars="0"/>
                    <w:jc w:val="both"/>
                    <w:rPr>
                      <w:rFonts w:hint="default" w:ascii="Times New Roman" w:hAnsi="Times New Roman" w:eastAsia="宋体" w:cs="Times New Roman"/>
                      <w:caps/>
                      <w:color w:val="000000" w:themeColor="text1"/>
                      <w:sz w:val="21"/>
                      <w:szCs w:val="21"/>
                      <w:highlight w:val="none"/>
                      <w14:textFill>
                        <w14:solidFill>
                          <w14:schemeClr w14:val="tx1"/>
                        </w14:solidFill>
                      </w14:textFill>
                    </w:rPr>
                  </w:pPr>
                </w:p>
              </w:tc>
            </w:tr>
            <w:tr w14:paraId="3865A3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10" w:hRule="atLeast"/>
                <w:jc w:val="center"/>
              </w:trPr>
              <w:tc>
                <w:tcPr>
                  <w:tcW w:w="1407" w:type="dxa"/>
                  <w:vMerge w:val="continue"/>
                  <w:noWrap w:val="0"/>
                  <w:vAlign w:val="center"/>
                </w:tcPr>
                <w:p w14:paraId="6E7E4B3E">
                  <w:pPr>
                    <w:spacing w:line="240" w:lineRule="auto"/>
                    <w:ind w:firstLine="0" w:firstLineChars="0"/>
                    <w:jc w:val="both"/>
                    <w:rPr>
                      <w:rFonts w:hint="default" w:ascii="Times New Roman" w:hAnsi="Times New Roman" w:eastAsia="宋体" w:cs="Times New Roman"/>
                      <w:caps/>
                      <w:color w:val="000000" w:themeColor="text1"/>
                      <w:sz w:val="21"/>
                      <w:szCs w:val="21"/>
                      <w:highlight w:val="none"/>
                      <w:lang w:val="en-US" w:eastAsia="zh-CN"/>
                      <w14:textFill>
                        <w14:solidFill>
                          <w14:schemeClr w14:val="tx1"/>
                        </w14:solidFill>
                      </w14:textFill>
                    </w:rPr>
                  </w:pPr>
                </w:p>
              </w:tc>
              <w:tc>
                <w:tcPr>
                  <w:tcW w:w="2961" w:type="dxa"/>
                  <w:noWrap w:val="0"/>
                  <w:vAlign w:val="center"/>
                </w:tcPr>
                <w:p w14:paraId="692D7540">
                  <w:pPr>
                    <w:spacing w:line="240" w:lineRule="auto"/>
                    <w:ind w:firstLine="0" w:firstLineChars="0"/>
                    <w:jc w:val="both"/>
                    <w:rPr>
                      <w:rFonts w:hint="default" w:ascii="Times New Roman" w:hAnsi="Times New Roman" w:eastAsia="宋体" w:cs="Times New Roman"/>
                      <w:cap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b w:val="0"/>
                      <w:bCs/>
                      <w:color w:val="000000" w:themeColor="text1"/>
                      <w:kern w:val="0"/>
                      <w:sz w:val="21"/>
                      <w:szCs w:val="21"/>
                      <w:highlight w:val="none"/>
                      <w:lang w:val="en-US" w:eastAsia="zh-CN" w:bidi="ar"/>
                      <w14:textFill>
                        <w14:solidFill>
                          <w14:schemeClr w14:val="tx1"/>
                        </w14:solidFill>
                      </w14:textFill>
                    </w:rPr>
                    <w:t>料场遮盖、拦挡</w:t>
                  </w:r>
                </w:p>
              </w:tc>
              <w:tc>
                <w:tcPr>
                  <w:tcW w:w="1149" w:type="dxa"/>
                  <w:tcBorders>
                    <w:right w:val="single" w:color="auto" w:sz="4" w:space="0"/>
                  </w:tcBorders>
                  <w:noWrap w:val="0"/>
                  <w:vAlign w:val="center"/>
                </w:tcPr>
                <w:p w14:paraId="7376DE85">
                  <w:pPr>
                    <w:spacing w:line="240" w:lineRule="auto"/>
                    <w:ind w:firstLine="0" w:firstLineChars="0"/>
                    <w:jc w:val="both"/>
                    <w:rPr>
                      <w:rFonts w:hint="default" w:ascii="Times New Roman" w:hAnsi="Times New Roman" w:eastAsia="宋体" w:cs="Times New Roman"/>
                      <w:caps/>
                      <w:color w:val="000000" w:themeColor="text1"/>
                      <w:sz w:val="21"/>
                      <w:szCs w:val="21"/>
                      <w:highlight w:val="none"/>
                      <w14:textFill>
                        <w14:solidFill>
                          <w14:schemeClr w14:val="tx1"/>
                        </w14:solidFill>
                      </w14:textFill>
                    </w:rPr>
                  </w:pPr>
                  <w:r>
                    <w:rPr>
                      <w:rFonts w:hint="default" w:ascii="Times New Roman" w:hAnsi="Times New Roman" w:eastAsia="宋体" w:cs="Times New Roman"/>
                      <w:caps/>
                      <w:color w:val="000000" w:themeColor="text1"/>
                      <w:sz w:val="21"/>
                      <w:szCs w:val="21"/>
                      <w:highlight w:val="none"/>
                      <w14:textFill>
                        <w14:solidFill>
                          <w14:schemeClr w14:val="tx1"/>
                        </w14:solidFill>
                      </w14:textFill>
                    </w:rPr>
                    <w:t>－</w:t>
                  </w:r>
                </w:p>
              </w:tc>
              <w:tc>
                <w:tcPr>
                  <w:tcW w:w="1184" w:type="dxa"/>
                  <w:tcBorders>
                    <w:left w:val="single" w:color="auto" w:sz="4" w:space="0"/>
                    <w:right w:val="single" w:color="auto" w:sz="4" w:space="0"/>
                  </w:tcBorders>
                  <w:noWrap w:val="0"/>
                  <w:vAlign w:val="center"/>
                </w:tcPr>
                <w:p w14:paraId="29710CFB">
                  <w:pPr>
                    <w:spacing w:line="240" w:lineRule="auto"/>
                    <w:ind w:firstLine="0" w:firstLineChars="0"/>
                    <w:jc w:val="both"/>
                    <w:rPr>
                      <w:rFonts w:hint="default" w:ascii="Times New Roman" w:hAnsi="Times New Roman" w:eastAsia="宋体" w:cs="Times New Roman"/>
                      <w:cap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aps/>
                      <w:color w:val="000000" w:themeColor="text1"/>
                      <w:sz w:val="21"/>
                      <w:szCs w:val="21"/>
                      <w:highlight w:val="none"/>
                      <w:lang w:val="en-US" w:eastAsia="zh-CN"/>
                      <w14:textFill>
                        <w14:solidFill>
                          <w14:schemeClr w14:val="tx1"/>
                        </w14:solidFill>
                      </w14:textFill>
                    </w:rPr>
                    <w:t>20</w:t>
                  </w:r>
                </w:p>
              </w:tc>
              <w:tc>
                <w:tcPr>
                  <w:tcW w:w="1187" w:type="dxa"/>
                  <w:tcBorders>
                    <w:left w:val="single" w:color="auto" w:sz="4" w:space="0"/>
                  </w:tcBorders>
                  <w:noWrap w:val="0"/>
                  <w:vAlign w:val="center"/>
                </w:tcPr>
                <w:p w14:paraId="33425100">
                  <w:pPr>
                    <w:spacing w:line="240" w:lineRule="auto"/>
                    <w:ind w:firstLine="0" w:firstLineChars="0"/>
                    <w:jc w:val="both"/>
                    <w:rPr>
                      <w:rFonts w:hint="default" w:ascii="Times New Roman" w:hAnsi="Times New Roman" w:eastAsia="宋体" w:cs="Times New Roman"/>
                      <w:caps/>
                      <w:color w:val="000000" w:themeColor="text1"/>
                      <w:sz w:val="21"/>
                      <w:szCs w:val="21"/>
                      <w:highlight w:val="none"/>
                      <w14:textFill>
                        <w14:solidFill>
                          <w14:schemeClr w14:val="tx1"/>
                        </w14:solidFill>
                      </w14:textFill>
                    </w:rPr>
                  </w:pPr>
                </w:p>
              </w:tc>
            </w:tr>
            <w:tr w14:paraId="648F88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10" w:hRule="atLeast"/>
                <w:jc w:val="center"/>
              </w:trPr>
              <w:tc>
                <w:tcPr>
                  <w:tcW w:w="1407" w:type="dxa"/>
                  <w:noWrap w:val="0"/>
                  <w:vAlign w:val="center"/>
                </w:tcPr>
                <w:p w14:paraId="1B43A275">
                  <w:pPr>
                    <w:spacing w:line="240" w:lineRule="auto"/>
                    <w:ind w:firstLine="0" w:firstLineChars="0"/>
                    <w:jc w:val="both"/>
                    <w:rPr>
                      <w:rFonts w:hint="default" w:ascii="Times New Roman" w:hAnsi="Times New Roman" w:eastAsia="宋体" w:cs="Times New Roman"/>
                      <w:caps/>
                      <w:color w:val="000000" w:themeColor="text1"/>
                      <w:sz w:val="21"/>
                      <w:szCs w:val="21"/>
                      <w:highlight w:val="none"/>
                      <w14:textFill>
                        <w14:solidFill>
                          <w14:schemeClr w14:val="tx1"/>
                        </w14:solidFill>
                      </w14:textFill>
                    </w:rPr>
                  </w:pPr>
                  <w:r>
                    <w:rPr>
                      <w:rFonts w:hint="default" w:ascii="Times New Roman" w:hAnsi="Times New Roman" w:eastAsia="宋体" w:cs="Times New Roman"/>
                      <w:caps/>
                      <w:color w:val="000000" w:themeColor="text1"/>
                      <w:sz w:val="21"/>
                      <w:szCs w:val="21"/>
                      <w:highlight w:val="none"/>
                      <w14:textFill>
                        <w14:solidFill>
                          <w14:schemeClr w14:val="tx1"/>
                        </w14:solidFill>
                      </w14:textFill>
                    </w:rPr>
                    <w:t>噪声</w:t>
                  </w:r>
                </w:p>
              </w:tc>
              <w:tc>
                <w:tcPr>
                  <w:tcW w:w="2961" w:type="dxa"/>
                  <w:noWrap w:val="0"/>
                  <w:vAlign w:val="center"/>
                </w:tcPr>
                <w:p w14:paraId="37D01EAC">
                  <w:pPr>
                    <w:spacing w:line="240" w:lineRule="auto"/>
                    <w:ind w:firstLine="0" w:firstLineChars="0"/>
                    <w:jc w:val="both"/>
                    <w:rPr>
                      <w:rFonts w:hint="default" w:ascii="Times New Roman" w:hAnsi="Times New Roman" w:eastAsia="宋体" w:cs="Times New Roman"/>
                      <w:caps/>
                      <w:color w:val="000000" w:themeColor="text1"/>
                      <w:sz w:val="21"/>
                      <w:szCs w:val="21"/>
                      <w:highlight w:val="none"/>
                      <w14:textFill>
                        <w14:solidFill>
                          <w14:schemeClr w14:val="tx1"/>
                        </w14:solidFill>
                      </w14:textFill>
                    </w:rPr>
                  </w:pPr>
                  <w:r>
                    <w:rPr>
                      <w:rFonts w:hint="default" w:ascii="Times New Roman" w:hAnsi="Times New Roman" w:eastAsia="宋体" w:cs="Times New Roman"/>
                      <w:caps/>
                      <w:color w:val="000000" w:themeColor="text1"/>
                      <w:sz w:val="21"/>
                      <w:szCs w:val="21"/>
                      <w:highlight w:val="none"/>
                      <w14:textFill>
                        <w14:solidFill>
                          <w14:schemeClr w14:val="tx1"/>
                        </w14:solidFill>
                      </w14:textFill>
                    </w:rPr>
                    <w:t>噪声防治措施</w:t>
                  </w:r>
                </w:p>
              </w:tc>
              <w:tc>
                <w:tcPr>
                  <w:tcW w:w="1149" w:type="dxa"/>
                  <w:tcBorders>
                    <w:right w:val="single" w:color="auto" w:sz="4" w:space="0"/>
                  </w:tcBorders>
                  <w:noWrap w:val="0"/>
                  <w:vAlign w:val="center"/>
                </w:tcPr>
                <w:p w14:paraId="7118B5B6">
                  <w:pPr>
                    <w:spacing w:line="240" w:lineRule="auto"/>
                    <w:ind w:firstLine="0" w:firstLineChars="0"/>
                    <w:jc w:val="both"/>
                    <w:rPr>
                      <w:rFonts w:hint="default" w:ascii="Times New Roman" w:hAnsi="Times New Roman" w:eastAsia="宋体" w:cs="Times New Roman"/>
                      <w:caps/>
                      <w:color w:val="000000" w:themeColor="text1"/>
                      <w:sz w:val="21"/>
                      <w:szCs w:val="21"/>
                      <w:highlight w:val="none"/>
                      <w14:textFill>
                        <w14:solidFill>
                          <w14:schemeClr w14:val="tx1"/>
                        </w14:solidFill>
                      </w14:textFill>
                    </w:rPr>
                  </w:pPr>
                  <w:r>
                    <w:rPr>
                      <w:rFonts w:hint="default" w:ascii="Times New Roman" w:hAnsi="Times New Roman" w:eastAsia="宋体" w:cs="Times New Roman"/>
                      <w:caps/>
                      <w:color w:val="000000" w:themeColor="text1"/>
                      <w:sz w:val="21"/>
                      <w:szCs w:val="21"/>
                      <w:highlight w:val="none"/>
                      <w14:textFill>
                        <w14:solidFill>
                          <w14:schemeClr w14:val="tx1"/>
                        </w14:solidFill>
                      </w14:textFill>
                    </w:rPr>
                    <w:t>－</w:t>
                  </w:r>
                </w:p>
              </w:tc>
              <w:tc>
                <w:tcPr>
                  <w:tcW w:w="1184" w:type="dxa"/>
                  <w:tcBorders>
                    <w:left w:val="single" w:color="auto" w:sz="4" w:space="0"/>
                    <w:right w:val="single" w:color="auto" w:sz="4" w:space="0"/>
                  </w:tcBorders>
                  <w:noWrap w:val="0"/>
                  <w:vAlign w:val="center"/>
                </w:tcPr>
                <w:p w14:paraId="7DE1749A">
                  <w:pPr>
                    <w:spacing w:line="240" w:lineRule="auto"/>
                    <w:ind w:firstLine="0" w:firstLineChars="0"/>
                    <w:jc w:val="both"/>
                    <w:rPr>
                      <w:rFonts w:hint="default" w:ascii="Times New Roman" w:hAnsi="Times New Roman" w:eastAsia="宋体" w:cs="Times New Roman"/>
                      <w:cap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aps/>
                      <w:color w:val="000000" w:themeColor="text1"/>
                      <w:sz w:val="21"/>
                      <w:szCs w:val="21"/>
                      <w:highlight w:val="none"/>
                      <w:lang w:val="en-US" w:eastAsia="zh-CN"/>
                      <w14:textFill>
                        <w14:solidFill>
                          <w14:schemeClr w14:val="tx1"/>
                        </w14:solidFill>
                      </w14:textFill>
                    </w:rPr>
                    <w:t>1.5</w:t>
                  </w:r>
                </w:p>
              </w:tc>
              <w:tc>
                <w:tcPr>
                  <w:tcW w:w="1187" w:type="dxa"/>
                  <w:tcBorders>
                    <w:left w:val="single" w:color="auto" w:sz="4" w:space="0"/>
                  </w:tcBorders>
                  <w:noWrap w:val="0"/>
                  <w:vAlign w:val="center"/>
                </w:tcPr>
                <w:p w14:paraId="71AFC02C">
                  <w:pPr>
                    <w:spacing w:line="240" w:lineRule="auto"/>
                    <w:ind w:firstLine="0" w:firstLineChars="0"/>
                    <w:jc w:val="both"/>
                    <w:rPr>
                      <w:rFonts w:hint="default" w:ascii="Times New Roman" w:hAnsi="Times New Roman" w:eastAsia="宋体" w:cs="Times New Roman"/>
                      <w:caps/>
                      <w:color w:val="000000" w:themeColor="text1"/>
                      <w:sz w:val="21"/>
                      <w:szCs w:val="21"/>
                      <w:highlight w:val="none"/>
                      <w14:textFill>
                        <w14:solidFill>
                          <w14:schemeClr w14:val="tx1"/>
                        </w14:solidFill>
                      </w14:textFill>
                    </w:rPr>
                  </w:pPr>
                </w:p>
              </w:tc>
            </w:tr>
            <w:tr w14:paraId="3F3A1F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10" w:hRule="atLeast"/>
                <w:jc w:val="center"/>
              </w:trPr>
              <w:tc>
                <w:tcPr>
                  <w:tcW w:w="1407" w:type="dxa"/>
                  <w:noWrap w:val="0"/>
                  <w:vAlign w:val="center"/>
                </w:tcPr>
                <w:p w14:paraId="6E95AACC">
                  <w:pPr>
                    <w:spacing w:line="240" w:lineRule="auto"/>
                    <w:ind w:firstLine="0" w:firstLineChars="0"/>
                    <w:jc w:val="both"/>
                    <w:rPr>
                      <w:rFonts w:hint="default" w:ascii="Times New Roman" w:hAnsi="Times New Roman" w:eastAsia="宋体" w:cs="Times New Roman"/>
                      <w:caps/>
                      <w:color w:val="000000" w:themeColor="text1"/>
                      <w:sz w:val="21"/>
                      <w:szCs w:val="21"/>
                      <w:highlight w:val="none"/>
                      <w14:textFill>
                        <w14:solidFill>
                          <w14:schemeClr w14:val="tx1"/>
                        </w14:solidFill>
                      </w14:textFill>
                    </w:rPr>
                  </w:pPr>
                  <w:r>
                    <w:rPr>
                      <w:rFonts w:hint="default" w:ascii="Times New Roman" w:hAnsi="Times New Roman" w:eastAsia="宋体" w:cs="Times New Roman"/>
                      <w:caps/>
                      <w:color w:val="000000" w:themeColor="text1"/>
                      <w:sz w:val="21"/>
                      <w:szCs w:val="21"/>
                      <w:highlight w:val="none"/>
                      <w14:textFill>
                        <w14:solidFill>
                          <w14:schemeClr w14:val="tx1"/>
                        </w14:solidFill>
                      </w14:textFill>
                    </w:rPr>
                    <w:t>固废</w:t>
                  </w:r>
                </w:p>
              </w:tc>
              <w:tc>
                <w:tcPr>
                  <w:tcW w:w="2961" w:type="dxa"/>
                  <w:noWrap w:val="0"/>
                  <w:vAlign w:val="center"/>
                </w:tcPr>
                <w:p w14:paraId="7BFDF661">
                  <w:pPr>
                    <w:spacing w:line="240" w:lineRule="auto"/>
                    <w:ind w:firstLine="0" w:firstLineChars="0"/>
                    <w:jc w:val="both"/>
                    <w:rPr>
                      <w:rFonts w:hint="default" w:ascii="Times New Roman" w:hAnsi="Times New Roman" w:eastAsia="宋体" w:cs="Times New Roman"/>
                      <w:caps/>
                      <w:color w:val="000000" w:themeColor="text1"/>
                      <w:sz w:val="21"/>
                      <w:szCs w:val="21"/>
                      <w:highlight w:val="none"/>
                      <w14:textFill>
                        <w14:solidFill>
                          <w14:schemeClr w14:val="tx1"/>
                        </w14:solidFill>
                      </w14:textFill>
                    </w:rPr>
                  </w:pPr>
                  <w:r>
                    <w:rPr>
                      <w:rFonts w:hint="default" w:ascii="Times New Roman" w:hAnsi="Times New Roman" w:eastAsia="宋体" w:cs="Times New Roman"/>
                      <w:caps/>
                      <w:color w:val="000000" w:themeColor="text1"/>
                      <w:sz w:val="21"/>
                      <w:szCs w:val="21"/>
                      <w:highlight w:val="none"/>
                      <w14:textFill>
                        <w14:solidFill>
                          <w14:schemeClr w14:val="tx1"/>
                        </w14:solidFill>
                      </w14:textFill>
                    </w:rPr>
                    <w:t>固体废物处置</w:t>
                  </w:r>
                </w:p>
              </w:tc>
              <w:tc>
                <w:tcPr>
                  <w:tcW w:w="1149" w:type="dxa"/>
                  <w:tcBorders>
                    <w:right w:val="single" w:color="auto" w:sz="4" w:space="0"/>
                  </w:tcBorders>
                  <w:noWrap w:val="0"/>
                  <w:vAlign w:val="center"/>
                </w:tcPr>
                <w:p w14:paraId="3A99BD1A">
                  <w:pPr>
                    <w:spacing w:line="240" w:lineRule="auto"/>
                    <w:ind w:firstLine="0" w:firstLineChars="0"/>
                    <w:jc w:val="both"/>
                    <w:rPr>
                      <w:rFonts w:hint="default" w:ascii="Times New Roman" w:hAnsi="Times New Roman" w:eastAsia="宋体" w:cs="Times New Roman"/>
                      <w:caps/>
                      <w:color w:val="000000" w:themeColor="text1"/>
                      <w:sz w:val="21"/>
                      <w:szCs w:val="21"/>
                      <w:highlight w:val="none"/>
                      <w14:textFill>
                        <w14:solidFill>
                          <w14:schemeClr w14:val="tx1"/>
                        </w14:solidFill>
                      </w14:textFill>
                    </w:rPr>
                  </w:pPr>
                  <w:r>
                    <w:rPr>
                      <w:rFonts w:hint="default" w:ascii="Times New Roman" w:hAnsi="Times New Roman" w:eastAsia="宋体" w:cs="Times New Roman"/>
                      <w:caps/>
                      <w:color w:val="000000" w:themeColor="text1"/>
                      <w:sz w:val="21"/>
                      <w:szCs w:val="21"/>
                      <w:highlight w:val="none"/>
                      <w14:textFill>
                        <w14:solidFill>
                          <w14:schemeClr w14:val="tx1"/>
                        </w14:solidFill>
                      </w14:textFill>
                    </w:rPr>
                    <w:t>－</w:t>
                  </w:r>
                </w:p>
              </w:tc>
              <w:tc>
                <w:tcPr>
                  <w:tcW w:w="1184" w:type="dxa"/>
                  <w:tcBorders>
                    <w:left w:val="single" w:color="auto" w:sz="4" w:space="0"/>
                    <w:right w:val="single" w:color="auto" w:sz="4" w:space="0"/>
                  </w:tcBorders>
                  <w:noWrap w:val="0"/>
                  <w:vAlign w:val="center"/>
                </w:tcPr>
                <w:p w14:paraId="0E210BDA">
                  <w:pPr>
                    <w:spacing w:line="240" w:lineRule="auto"/>
                    <w:ind w:firstLine="0" w:firstLineChars="0"/>
                    <w:jc w:val="both"/>
                    <w:rPr>
                      <w:rFonts w:hint="default" w:ascii="Times New Roman" w:hAnsi="Times New Roman" w:eastAsia="宋体" w:cs="Times New Roman"/>
                      <w:cap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aps/>
                      <w:color w:val="000000" w:themeColor="text1"/>
                      <w:sz w:val="21"/>
                      <w:szCs w:val="21"/>
                      <w:highlight w:val="none"/>
                      <w:lang w:val="en-US" w:eastAsia="zh-CN"/>
                      <w14:textFill>
                        <w14:solidFill>
                          <w14:schemeClr w14:val="tx1"/>
                        </w14:solidFill>
                      </w14:textFill>
                    </w:rPr>
                    <w:t>2</w:t>
                  </w:r>
                </w:p>
              </w:tc>
              <w:tc>
                <w:tcPr>
                  <w:tcW w:w="1187" w:type="dxa"/>
                  <w:tcBorders>
                    <w:left w:val="single" w:color="auto" w:sz="4" w:space="0"/>
                  </w:tcBorders>
                  <w:noWrap w:val="0"/>
                  <w:vAlign w:val="center"/>
                </w:tcPr>
                <w:p w14:paraId="7A608346">
                  <w:pPr>
                    <w:spacing w:line="240" w:lineRule="auto"/>
                    <w:ind w:firstLine="0" w:firstLineChars="0"/>
                    <w:jc w:val="both"/>
                    <w:rPr>
                      <w:rFonts w:hint="default" w:ascii="Times New Roman" w:hAnsi="Times New Roman" w:eastAsia="宋体" w:cs="Times New Roman"/>
                      <w:caps/>
                      <w:color w:val="000000" w:themeColor="text1"/>
                      <w:sz w:val="21"/>
                      <w:szCs w:val="21"/>
                      <w:highlight w:val="none"/>
                      <w14:textFill>
                        <w14:solidFill>
                          <w14:schemeClr w14:val="tx1"/>
                        </w14:solidFill>
                      </w14:textFill>
                    </w:rPr>
                  </w:pPr>
                </w:p>
              </w:tc>
            </w:tr>
            <w:tr w14:paraId="5AA512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10" w:hRule="atLeast"/>
                <w:jc w:val="center"/>
              </w:trPr>
              <w:tc>
                <w:tcPr>
                  <w:tcW w:w="7888" w:type="dxa"/>
                  <w:gridSpan w:val="5"/>
                  <w:tcBorders>
                    <w:left w:val="single" w:color="auto" w:sz="4" w:space="0"/>
                  </w:tcBorders>
                  <w:noWrap w:val="0"/>
                  <w:vAlign w:val="center"/>
                </w:tcPr>
                <w:p w14:paraId="23120EA5">
                  <w:pPr>
                    <w:spacing w:line="240" w:lineRule="auto"/>
                    <w:ind w:firstLine="0" w:firstLineChars="0"/>
                    <w:jc w:val="both"/>
                    <w:rPr>
                      <w:rFonts w:hint="default" w:ascii="Times New Roman" w:hAnsi="Times New Roman" w:eastAsia="宋体" w:cs="Times New Roman"/>
                      <w:caps/>
                      <w:color w:val="000000" w:themeColor="text1"/>
                      <w:sz w:val="21"/>
                      <w:szCs w:val="21"/>
                      <w:highlight w:val="none"/>
                      <w14:textFill>
                        <w14:solidFill>
                          <w14:schemeClr w14:val="tx1"/>
                        </w14:solidFill>
                      </w14:textFill>
                    </w:rPr>
                  </w:pPr>
                  <w:r>
                    <w:rPr>
                      <w:rFonts w:hint="default" w:ascii="Times New Roman" w:hAnsi="Times New Roman" w:eastAsia="宋体" w:cs="Times New Roman"/>
                      <w:caps/>
                      <w:color w:val="000000" w:themeColor="text1"/>
                      <w:sz w:val="21"/>
                      <w:szCs w:val="21"/>
                      <w:highlight w:val="none"/>
                      <w14:textFill>
                        <w14:solidFill>
                          <w14:schemeClr w14:val="tx1"/>
                        </w14:solidFill>
                      </w14:textFill>
                    </w:rPr>
                    <w:t>营运期环保投资</w:t>
                  </w:r>
                </w:p>
              </w:tc>
            </w:tr>
            <w:tr w14:paraId="40AC6D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10" w:hRule="atLeast"/>
                <w:jc w:val="center"/>
              </w:trPr>
              <w:tc>
                <w:tcPr>
                  <w:tcW w:w="1407" w:type="dxa"/>
                  <w:vMerge w:val="restart"/>
                  <w:tcBorders>
                    <w:top w:val="single" w:color="auto" w:sz="4" w:space="0"/>
                  </w:tcBorders>
                  <w:noWrap w:val="0"/>
                  <w:vAlign w:val="center"/>
                </w:tcPr>
                <w:p w14:paraId="0F8178E0">
                  <w:pPr>
                    <w:spacing w:line="240" w:lineRule="auto"/>
                    <w:ind w:firstLine="0" w:firstLineChars="0"/>
                    <w:jc w:val="both"/>
                    <w:rPr>
                      <w:rFonts w:hint="default" w:ascii="Times New Roman" w:hAnsi="Times New Roman" w:eastAsia="宋体" w:cs="Times New Roman"/>
                      <w:caps/>
                      <w:color w:val="000000" w:themeColor="text1"/>
                      <w:sz w:val="21"/>
                      <w:szCs w:val="21"/>
                      <w:highlight w:val="none"/>
                      <w14:textFill>
                        <w14:solidFill>
                          <w14:schemeClr w14:val="tx1"/>
                        </w14:solidFill>
                      </w14:textFill>
                    </w:rPr>
                  </w:pPr>
                  <w:r>
                    <w:rPr>
                      <w:rFonts w:hint="default" w:ascii="Times New Roman" w:hAnsi="Times New Roman" w:eastAsia="宋体" w:cs="Times New Roman"/>
                      <w:caps/>
                      <w:color w:val="000000" w:themeColor="text1"/>
                      <w:sz w:val="21"/>
                      <w:szCs w:val="21"/>
                      <w:highlight w:val="none"/>
                      <w14:textFill>
                        <w14:solidFill>
                          <w14:schemeClr w14:val="tx1"/>
                        </w14:solidFill>
                      </w14:textFill>
                    </w:rPr>
                    <w:t>废水治理</w:t>
                  </w:r>
                </w:p>
              </w:tc>
              <w:tc>
                <w:tcPr>
                  <w:tcW w:w="2961" w:type="dxa"/>
                  <w:tcBorders>
                    <w:bottom w:val="single" w:color="auto" w:sz="4" w:space="0"/>
                  </w:tcBorders>
                  <w:noWrap w:val="0"/>
                  <w:vAlign w:val="center"/>
                </w:tcPr>
                <w:p w14:paraId="6632E2A3">
                  <w:pPr>
                    <w:spacing w:line="240" w:lineRule="auto"/>
                    <w:ind w:firstLine="0" w:firstLineChars="0"/>
                    <w:jc w:val="both"/>
                    <w:rPr>
                      <w:rFonts w:hint="default" w:ascii="Times New Roman" w:hAnsi="Times New Roman" w:eastAsia="宋体" w:cs="Times New Roman"/>
                      <w:cap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aps/>
                      <w:color w:val="000000" w:themeColor="text1"/>
                      <w:sz w:val="21"/>
                      <w:szCs w:val="21"/>
                      <w:highlight w:val="none"/>
                      <w:lang w:val="en-US" w:eastAsia="zh-CN"/>
                      <w14:textFill>
                        <w14:solidFill>
                          <w14:schemeClr w14:val="tx1"/>
                        </w14:solidFill>
                      </w14:textFill>
                    </w:rPr>
                    <w:t>沉淀池</w:t>
                  </w:r>
                </w:p>
              </w:tc>
              <w:tc>
                <w:tcPr>
                  <w:tcW w:w="1149" w:type="dxa"/>
                  <w:tcBorders>
                    <w:bottom w:val="single" w:color="auto" w:sz="4" w:space="0"/>
                    <w:right w:val="single" w:color="auto" w:sz="4" w:space="0"/>
                  </w:tcBorders>
                  <w:noWrap w:val="0"/>
                  <w:vAlign w:val="center"/>
                </w:tcPr>
                <w:p w14:paraId="09DEBE62">
                  <w:pPr>
                    <w:spacing w:line="240" w:lineRule="auto"/>
                    <w:ind w:firstLine="0" w:firstLineChars="0"/>
                    <w:jc w:val="both"/>
                    <w:rPr>
                      <w:rFonts w:hint="default" w:ascii="Times New Roman" w:hAnsi="Times New Roman" w:eastAsia="宋体" w:cs="Times New Roman"/>
                      <w:caps/>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aps/>
                      <w:color w:val="000000" w:themeColor="text1"/>
                      <w:sz w:val="21"/>
                      <w:szCs w:val="21"/>
                      <w:highlight w:val="none"/>
                      <w:lang w:val="en-US" w:eastAsia="zh-CN"/>
                      <w14:textFill>
                        <w14:solidFill>
                          <w14:schemeClr w14:val="tx1"/>
                        </w14:solidFill>
                      </w14:textFill>
                    </w:rPr>
                    <w:t>3个</w:t>
                  </w:r>
                </w:p>
              </w:tc>
              <w:tc>
                <w:tcPr>
                  <w:tcW w:w="1184" w:type="dxa"/>
                  <w:tcBorders>
                    <w:left w:val="single" w:color="auto" w:sz="4" w:space="0"/>
                    <w:bottom w:val="single" w:color="auto" w:sz="4" w:space="0"/>
                    <w:right w:val="single" w:color="auto" w:sz="4" w:space="0"/>
                  </w:tcBorders>
                  <w:noWrap w:val="0"/>
                  <w:vAlign w:val="center"/>
                </w:tcPr>
                <w:p w14:paraId="0021B0F6">
                  <w:pPr>
                    <w:spacing w:line="240" w:lineRule="auto"/>
                    <w:ind w:firstLine="0" w:firstLineChars="0"/>
                    <w:jc w:val="both"/>
                    <w:rPr>
                      <w:rFonts w:hint="default" w:ascii="Times New Roman" w:hAnsi="Times New Roman" w:eastAsia="宋体" w:cs="Times New Roman"/>
                      <w:cap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aps/>
                      <w:color w:val="000000" w:themeColor="text1"/>
                      <w:sz w:val="21"/>
                      <w:szCs w:val="21"/>
                      <w:highlight w:val="none"/>
                      <w:lang w:val="en-US" w:eastAsia="zh-CN"/>
                      <w14:textFill>
                        <w14:solidFill>
                          <w14:schemeClr w14:val="tx1"/>
                        </w14:solidFill>
                      </w14:textFill>
                    </w:rPr>
                    <w:t>0</w:t>
                  </w:r>
                </w:p>
              </w:tc>
              <w:tc>
                <w:tcPr>
                  <w:tcW w:w="1187" w:type="dxa"/>
                  <w:tcBorders>
                    <w:left w:val="single" w:color="auto" w:sz="4" w:space="0"/>
                    <w:bottom w:val="single" w:color="auto" w:sz="4" w:space="0"/>
                  </w:tcBorders>
                  <w:noWrap w:val="0"/>
                  <w:vAlign w:val="center"/>
                </w:tcPr>
                <w:p w14:paraId="21EFD52C">
                  <w:pPr>
                    <w:spacing w:line="240" w:lineRule="auto"/>
                    <w:ind w:firstLine="0" w:firstLineChars="0"/>
                    <w:jc w:val="both"/>
                    <w:rPr>
                      <w:rFonts w:hint="default" w:ascii="Times New Roman" w:hAnsi="Times New Roman" w:eastAsia="宋体" w:cs="Times New Roman"/>
                      <w:caps/>
                      <w:color w:val="000000" w:themeColor="text1"/>
                      <w:sz w:val="21"/>
                      <w:szCs w:val="21"/>
                      <w:highlight w:val="none"/>
                      <w14:textFill>
                        <w14:solidFill>
                          <w14:schemeClr w14:val="tx1"/>
                        </w14:solidFill>
                      </w14:textFill>
                    </w:rPr>
                  </w:pPr>
                  <w:r>
                    <w:rPr>
                      <w:rFonts w:hint="eastAsia" w:ascii="Times New Roman" w:hAnsi="Times New Roman" w:cs="Times New Roman"/>
                      <w:caps/>
                      <w:color w:val="000000" w:themeColor="text1"/>
                      <w:sz w:val="21"/>
                      <w:szCs w:val="21"/>
                      <w:highlight w:val="none"/>
                      <w:lang w:val="en-US" w:eastAsia="zh-CN"/>
                      <w14:textFill>
                        <w14:solidFill>
                          <w14:schemeClr w14:val="tx1"/>
                        </w14:solidFill>
                      </w14:textFill>
                    </w:rPr>
                    <w:t>沿用</w:t>
                  </w:r>
                  <w:r>
                    <w:rPr>
                      <w:rFonts w:hint="default" w:ascii="Times New Roman" w:hAnsi="Times New Roman" w:eastAsia="宋体" w:cs="Times New Roman"/>
                      <w:caps/>
                      <w:color w:val="000000" w:themeColor="text1"/>
                      <w:sz w:val="21"/>
                      <w:szCs w:val="21"/>
                      <w:highlight w:val="none"/>
                      <w:lang w:val="en-US" w:eastAsia="zh-CN"/>
                      <w14:textFill>
                        <w14:solidFill>
                          <w14:schemeClr w14:val="tx1"/>
                        </w14:solidFill>
                      </w14:textFill>
                    </w:rPr>
                    <w:t>施工期建设</w:t>
                  </w:r>
                </w:p>
              </w:tc>
            </w:tr>
            <w:tr w14:paraId="797FDA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10" w:hRule="atLeast"/>
                <w:jc w:val="center"/>
              </w:trPr>
              <w:tc>
                <w:tcPr>
                  <w:tcW w:w="1407" w:type="dxa"/>
                  <w:vMerge w:val="continue"/>
                  <w:noWrap w:val="0"/>
                  <w:vAlign w:val="center"/>
                </w:tcPr>
                <w:p w14:paraId="19045B8B">
                  <w:pPr>
                    <w:spacing w:line="240" w:lineRule="auto"/>
                    <w:ind w:firstLine="0" w:firstLineChars="0"/>
                    <w:jc w:val="both"/>
                    <w:rPr>
                      <w:rFonts w:hint="default" w:ascii="Times New Roman" w:hAnsi="Times New Roman" w:eastAsia="宋体" w:cs="Times New Roman"/>
                      <w:caps/>
                      <w:color w:val="000000" w:themeColor="text1"/>
                      <w:sz w:val="21"/>
                      <w:szCs w:val="21"/>
                      <w:highlight w:val="none"/>
                      <w14:textFill>
                        <w14:solidFill>
                          <w14:schemeClr w14:val="tx1"/>
                        </w14:solidFill>
                      </w14:textFill>
                    </w:rPr>
                  </w:pPr>
                </w:p>
              </w:tc>
              <w:tc>
                <w:tcPr>
                  <w:tcW w:w="2961" w:type="dxa"/>
                  <w:tcBorders>
                    <w:bottom w:val="single" w:color="auto" w:sz="4" w:space="0"/>
                  </w:tcBorders>
                  <w:noWrap w:val="0"/>
                  <w:vAlign w:val="center"/>
                </w:tcPr>
                <w:p w14:paraId="0A56F847">
                  <w:pPr>
                    <w:spacing w:line="240" w:lineRule="auto"/>
                    <w:ind w:firstLine="0" w:firstLineChars="0"/>
                    <w:jc w:val="both"/>
                    <w:rPr>
                      <w:rFonts w:hint="default" w:ascii="Times New Roman" w:hAnsi="Times New Roman" w:eastAsia="宋体" w:cs="Times New Roman"/>
                      <w:caps/>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aps/>
                      <w:color w:val="000000" w:themeColor="text1"/>
                      <w:sz w:val="21"/>
                      <w:szCs w:val="21"/>
                      <w:highlight w:val="none"/>
                      <w:lang w:val="en-US" w:eastAsia="zh-CN"/>
                      <w14:textFill>
                        <w14:solidFill>
                          <w14:schemeClr w14:val="tx1"/>
                        </w14:solidFill>
                      </w14:textFill>
                    </w:rPr>
                    <w:t>水池</w:t>
                  </w:r>
                </w:p>
              </w:tc>
              <w:tc>
                <w:tcPr>
                  <w:tcW w:w="1149" w:type="dxa"/>
                  <w:tcBorders>
                    <w:bottom w:val="single" w:color="auto" w:sz="4" w:space="0"/>
                    <w:right w:val="single" w:color="auto" w:sz="4" w:space="0"/>
                  </w:tcBorders>
                  <w:noWrap w:val="0"/>
                  <w:vAlign w:val="center"/>
                </w:tcPr>
                <w:p w14:paraId="3F03B02E">
                  <w:pPr>
                    <w:spacing w:line="240" w:lineRule="auto"/>
                    <w:ind w:firstLine="0" w:firstLineChars="0"/>
                    <w:jc w:val="both"/>
                    <w:rPr>
                      <w:rFonts w:hint="default" w:ascii="Times New Roman" w:hAnsi="Times New Roman" w:eastAsia="宋体" w:cs="Times New Roman"/>
                      <w:caps/>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aps/>
                      <w:color w:val="000000" w:themeColor="text1"/>
                      <w:sz w:val="21"/>
                      <w:szCs w:val="21"/>
                      <w:highlight w:val="none"/>
                      <w:lang w:val="en-US" w:eastAsia="zh-CN"/>
                      <w14:textFill>
                        <w14:solidFill>
                          <w14:schemeClr w14:val="tx1"/>
                        </w14:solidFill>
                      </w14:textFill>
                    </w:rPr>
                    <w:t>15个</w:t>
                  </w:r>
                </w:p>
              </w:tc>
              <w:tc>
                <w:tcPr>
                  <w:tcW w:w="1184" w:type="dxa"/>
                  <w:tcBorders>
                    <w:left w:val="single" w:color="auto" w:sz="4" w:space="0"/>
                    <w:bottom w:val="single" w:color="auto" w:sz="4" w:space="0"/>
                    <w:right w:val="single" w:color="auto" w:sz="4" w:space="0"/>
                  </w:tcBorders>
                  <w:noWrap w:val="0"/>
                  <w:vAlign w:val="center"/>
                </w:tcPr>
                <w:p w14:paraId="05C20751">
                  <w:pPr>
                    <w:spacing w:line="240" w:lineRule="auto"/>
                    <w:ind w:firstLine="0" w:firstLineChars="0"/>
                    <w:jc w:val="both"/>
                    <w:rPr>
                      <w:rFonts w:hint="default" w:ascii="Times New Roman" w:hAnsi="Times New Roman" w:eastAsia="宋体" w:cs="Times New Roman"/>
                      <w:caps/>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aps/>
                      <w:color w:val="000000" w:themeColor="text1"/>
                      <w:sz w:val="21"/>
                      <w:szCs w:val="21"/>
                      <w:highlight w:val="none"/>
                      <w:lang w:val="en-US" w:eastAsia="zh-CN"/>
                      <w14:textFill>
                        <w14:solidFill>
                          <w14:schemeClr w14:val="tx1"/>
                        </w14:solidFill>
                      </w14:textFill>
                    </w:rPr>
                    <w:t>0</w:t>
                  </w:r>
                </w:p>
              </w:tc>
              <w:tc>
                <w:tcPr>
                  <w:tcW w:w="1187" w:type="dxa"/>
                  <w:tcBorders>
                    <w:left w:val="single" w:color="auto" w:sz="4" w:space="0"/>
                    <w:bottom w:val="single" w:color="auto" w:sz="4" w:space="0"/>
                  </w:tcBorders>
                  <w:noWrap w:val="0"/>
                  <w:vAlign w:val="center"/>
                </w:tcPr>
                <w:p w14:paraId="2100B617">
                  <w:pPr>
                    <w:spacing w:line="240" w:lineRule="auto"/>
                    <w:ind w:firstLine="0" w:firstLineChars="0"/>
                    <w:jc w:val="both"/>
                    <w:rPr>
                      <w:rFonts w:hint="eastAsia" w:ascii="Times New Roman" w:hAnsi="Times New Roman" w:cs="Times New Roman"/>
                      <w:caps/>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aps/>
                      <w:color w:val="000000" w:themeColor="text1"/>
                      <w:sz w:val="21"/>
                      <w:szCs w:val="21"/>
                      <w:highlight w:val="none"/>
                      <w:lang w:val="en-US" w:eastAsia="zh-CN"/>
                      <w14:textFill>
                        <w14:solidFill>
                          <w14:schemeClr w14:val="tx1"/>
                        </w14:solidFill>
                      </w14:textFill>
                    </w:rPr>
                    <w:t>沿用</w:t>
                  </w:r>
                  <w:r>
                    <w:rPr>
                      <w:rFonts w:hint="default" w:ascii="Times New Roman" w:hAnsi="Times New Roman" w:eastAsia="宋体" w:cs="Times New Roman"/>
                      <w:caps/>
                      <w:color w:val="000000" w:themeColor="text1"/>
                      <w:sz w:val="21"/>
                      <w:szCs w:val="21"/>
                      <w:highlight w:val="none"/>
                      <w:lang w:val="en-US" w:eastAsia="zh-CN"/>
                      <w14:textFill>
                        <w14:solidFill>
                          <w14:schemeClr w14:val="tx1"/>
                        </w14:solidFill>
                      </w14:textFill>
                    </w:rPr>
                    <w:t>施工期建设</w:t>
                  </w:r>
                </w:p>
              </w:tc>
            </w:tr>
            <w:tr w14:paraId="1F24C5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10" w:hRule="atLeast"/>
                <w:jc w:val="center"/>
              </w:trPr>
              <w:tc>
                <w:tcPr>
                  <w:tcW w:w="1407" w:type="dxa"/>
                  <w:vMerge w:val="continue"/>
                  <w:noWrap w:val="0"/>
                  <w:vAlign w:val="center"/>
                </w:tcPr>
                <w:p w14:paraId="62BC1D57">
                  <w:pPr>
                    <w:spacing w:line="240" w:lineRule="auto"/>
                    <w:ind w:firstLine="0" w:firstLineChars="0"/>
                    <w:jc w:val="both"/>
                    <w:rPr>
                      <w:rFonts w:hint="default" w:ascii="Times New Roman" w:hAnsi="Times New Roman" w:eastAsia="宋体" w:cs="Times New Roman"/>
                      <w:caps/>
                      <w:color w:val="000000" w:themeColor="text1"/>
                      <w:sz w:val="21"/>
                      <w:szCs w:val="21"/>
                      <w:highlight w:val="none"/>
                      <w14:textFill>
                        <w14:solidFill>
                          <w14:schemeClr w14:val="tx1"/>
                        </w14:solidFill>
                      </w14:textFill>
                    </w:rPr>
                  </w:pPr>
                </w:p>
              </w:tc>
              <w:tc>
                <w:tcPr>
                  <w:tcW w:w="2961" w:type="dxa"/>
                  <w:tcBorders>
                    <w:bottom w:val="single" w:color="auto" w:sz="4" w:space="0"/>
                  </w:tcBorders>
                  <w:noWrap w:val="0"/>
                  <w:vAlign w:val="center"/>
                </w:tcPr>
                <w:p w14:paraId="6198312E">
                  <w:pPr>
                    <w:spacing w:line="240" w:lineRule="auto"/>
                    <w:ind w:firstLine="0" w:firstLineChars="0"/>
                    <w:jc w:val="both"/>
                    <w:rPr>
                      <w:rFonts w:hint="default" w:ascii="Times New Roman" w:hAnsi="Times New Roman" w:eastAsia="宋体" w:cs="Times New Roman"/>
                      <w:caps/>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aps/>
                      <w:color w:val="000000" w:themeColor="text1"/>
                      <w:sz w:val="21"/>
                      <w:szCs w:val="21"/>
                      <w:highlight w:val="none"/>
                      <w:lang w:val="en-US" w:eastAsia="zh-CN"/>
                      <w14:textFill>
                        <w14:solidFill>
                          <w14:schemeClr w14:val="tx1"/>
                        </w14:solidFill>
                      </w14:textFill>
                    </w:rPr>
                    <w:t>隔油池</w:t>
                  </w:r>
                </w:p>
              </w:tc>
              <w:tc>
                <w:tcPr>
                  <w:tcW w:w="1149" w:type="dxa"/>
                  <w:tcBorders>
                    <w:bottom w:val="single" w:color="auto" w:sz="4" w:space="0"/>
                    <w:right w:val="single" w:color="auto" w:sz="4" w:space="0"/>
                  </w:tcBorders>
                  <w:noWrap w:val="0"/>
                  <w:vAlign w:val="center"/>
                </w:tcPr>
                <w:p w14:paraId="4FA7005A">
                  <w:pPr>
                    <w:spacing w:line="240" w:lineRule="auto"/>
                    <w:ind w:firstLine="0" w:firstLineChars="0"/>
                    <w:jc w:val="both"/>
                    <w:rPr>
                      <w:rFonts w:hint="default" w:ascii="Times New Roman" w:hAnsi="Times New Roman" w:eastAsia="宋体" w:cs="Times New Roman"/>
                      <w:caps/>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aps/>
                      <w:color w:val="000000" w:themeColor="text1"/>
                      <w:sz w:val="21"/>
                      <w:szCs w:val="21"/>
                      <w:highlight w:val="none"/>
                      <w:lang w:val="en-US" w:eastAsia="zh-CN"/>
                      <w14:textFill>
                        <w14:solidFill>
                          <w14:schemeClr w14:val="tx1"/>
                        </w14:solidFill>
                      </w14:textFill>
                    </w:rPr>
                    <w:t>1个</w:t>
                  </w:r>
                </w:p>
              </w:tc>
              <w:tc>
                <w:tcPr>
                  <w:tcW w:w="1184" w:type="dxa"/>
                  <w:vMerge w:val="restart"/>
                  <w:tcBorders>
                    <w:left w:val="single" w:color="auto" w:sz="4" w:space="0"/>
                    <w:right w:val="single" w:color="auto" w:sz="4" w:space="0"/>
                  </w:tcBorders>
                  <w:noWrap w:val="0"/>
                  <w:vAlign w:val="center"/>
                </w:tcPr>
                <w:p w14:paraId="26512557">
                  <w:pPr>
                    <w:spacing w:line="240" w:lineRule="auto"/>
                    <w:ind w:firstLine="0" w:firstLineChars="0"/>
                    <w:jc w:val="both"/>
                    <w:rPr>
                      <w:rFonts w:hint="default" w:ascii="Times New Roman" w:hAnsi="Times New Roman" w:eastAsia="宋体" w:cs="Times New Roman"/>
                      <w:caps/>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aps/>
                      <w:color w:val="000000" w:themeColor="text1"/>
                      <w:sz w:val="21"/>
                      <w:szCs w:val="21"/>
                      <w:highlight w:val="none"/>
                      <w:lang w:val="en-US" w:eastAsia="zh-CN"/>
                      <w14:textFill>
                        <w14:solidFill>
                          <w14:schemeClr w14:val="tx1"/>
                        </w14:solidFill>
                      </w14:textFill>
                    </w:rPr>
                    <w:t>6</w:t>
                  </w:r>
                </w:p>
              </w:tc>
              <w:tc>
                <w:tcPr>
                  <w:tcW w:w="1187" w:type="dxa"/>
                  <w:vMerge w:val="restart"/>
                  <w:tcBorders>
                    <w:left w:val="single" w:color="auto" w:sz="4" w:space="0"/>
                  </w:tcBorders>
                  <w:noWrap w:val="0"/>
                  <w:vAlign w:val="center"/>
                </w:tcPr>
                <w:p w14:paraId="3D6660E7">
                  <w:pPr>
                    <w:spacing w:line="240" w:lineRule="auto"/>
                    <w:ind w:firstLine="0" w:firstLineChars="0"/>
                    <w:jc w:val="both"/>
                    <w:rPr>
                      <w:rFonts w:hint="default" w:ascii="Times New Roman" w:hAnsi="Times New Roman" w:eastAsia="宋体" w:cs="Times New Roman"/>
                      <w:caps/>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aps/>
                      <w:color w:val="000000" w:themeColor="text1"/>
                      <w:sz w:val="21"/>
                      <w:szCs w:val="21"/>
                      <w:highlight w:val="none"/>
                      <w:lang w:val="en-US" w:eastAsia="zh-CN"/>
                      <w14:textFill>
                        <w14:solidFill>
                          <w14:schemeClr w14:val="tx1"/>
                        </w14:solidFill>
                      </w14:textFill>
                    </w:rPr>
                    <w:t>一片区由大杉农林科技发展（云南）有限公司建设，二片区新建</w:t>
                  </w:r>
                </w:p>
              </w:tc>
            </w:tr>
            <w:tr w14:paraId="2E6B06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10" w:hRule="atLeast"/>
                <w:jc w:val="center"/>
              </w:trPr>
              <w:tc>
                <w:tcPr>
                  <w:tcW w:w="1407" w:type="dxa"/>
                  <w:vMerge w:val="continue"/>
                  <w:noWrap w:val="0"/>
                  <w:vAlign w:val="center"/>
                </w:tcPr>
                <w:p w14:paraId="50655BDE">
                  <w:pPr>
                    <w:spacing w:line="240" w:lineRule="auto"/>
                    <w:ind w:firstLine="0" w:firstLineChars="0"/>
                    <w:jc w:val="both"/>
                    <w:rPr>
                      <w:rFonts w:hint="default" w:ascii="Times New Roman" w:hAnsi="Times New Roman" w:eastAsia="宋体" w:cs="Times New Roman"/>
                      <w:caps/>
                      <w:color w:val="000000" w:themeColor="text1"/>
                      <w:sz w:val="21"/>
                      <w:szCs w:val="21"/>
                      <w:highlight w:val="none"/>
                      <w14:textFill>
                        <w14:solidFill>
                          <w14:schemeClr w14:val="tx1"/>
                        </w14:solidFill>
                      </w14:textFill>
                    </w:rPr>
                  </w:pPr>
                </w:p>
              </w:tc>
              <w:tc>
                <w:tcPr>
                  <w:tcW w:w="2961" w:type="dxa"/>
                  <w:tcBorders>
                    <w:bottom w:val="single" w:color="auto" w:sz="4" w:space="0"/>
                  </w:tcBorders>
                  <w:noWrap w:val="0"/>
                  <w:vAlign w:val="center"/>
                </w:tcPr>
                <w:p w14:paraId="68321D7F">
                  <w:pPr>
                    <w:spacing w:line="240" w:lineRule="auto"/>
                    <w:ind w:firstLine="0" w:firstLineChars="0"/>
                    <w:jc w:val="both"/>
                    <w:rPr>
                      <w:rFonts w:hint="default" w:ascii="Times New Roman" w:hAnsi="Times New Roman" w:cs="Times New Roman"/>
                      <w:caps/>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aps/>
                      <w:color w:val="000000" w:themeColor="text1"/>
                      <w:sz w:val="21"/>
                      <w:szCs w:val="21"/>
                      <w:highlight w:val="none"/>
                      <w:lang w:val="en-US" w:eastAsia="zh-CN"/>
                      <w14:textFill>
                        <w14:solidFill>
                          <w14:schemeClr w14:val="tx1"/>
                        </w14:solidFill>
                      </w14:textFill>
                    </w:rPr>
                    <w:t>化粪池</w:t>
                  </w:r>
                </w:p>
              </w:tc>
              <w:tc>
                <w:tcPr>
                  <w:tcW w:w="1149" w:type="dxa"/>
                  <w:tcBorders>
                    <w:bottom w:val="single" w:color="auto" w:sz="4" w:space="0"/>
                    <w:right w:val="single" w:color="auto" w:sz="4" w:space="0"/>
                  </w:tcBorders>
                  <w:noWrap w:val="0"/>
                  <w:vAlign w:val="center"/>
                </w:tcPr>
                <w:p w14:paraId="0BF96E8D">
                  <w:pPr>
                    <w:spacing w:line="240" w:lineRule="auto"/>
                    <w:ind w:firstLine="0" w:firstLineChars="0"/>
                    <w:jc w:val="both"/>
                    <w:rPr>
                      <w:rFonts w:hint="default" w:ascii="Times New Roman" w:hAnsi="Times New Roman" w:cs="Times New Roman"/>
                      <w:caps/>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aps/>
                      <w:color w:val="000000" w:themeColor="text1"/>
                      <w:sz w:val="21"/>
                      <w:szCs w:val="21"/>
                      <w:highlight w:val="none"/>
                      <w:lang w:val="en-US" w:eastAsia="zh-CN"/>
                      <w14:textFill>
                        <w14:solidFill>
                          <w14:schemeClr w14:val="tx1"/>
                        </w14:solidFill>
                      </w14:textFill>
                    </w:rPr>
                    <w:t>3个</w:t>
                  </w:r>
                </w:p>
              </w:tc>
              <w:tc>
                <w:tcPr>
                  <w:tcW w:w="1184" w:type="dxa"/>
                  <w:vMerge w:val="continue"/>
                  <w:tcBorders>
                    <w:left w:val="single" w:color="auto" w:sz="4" w:space="0"/>
                    <w:right w:val="single" w:color="auto" w:sz="4" w:space="0"/>
                  </w:tcBorders>
                  <w:noWrap w:val="0"/>
                  <w:vAlign w:val="center"/>
                </w:tcPr>
                <w:p w14:paraId="52D2E56E">
                  <w:pPr>
                    <w:spacing w:line="240" w:lineRule="auto"/>
                    <w:ind w:firstLine="0" w:firstLineChars="0"/>
                    <w:jc w:val="both"/>
                    <w:rPr>
                      <w:rFonts w:hint="default" w:ascii="Times New Roman" w:hAnsi="Times New Roman" w:eastAsia="宋体" w:cs="Times New Roman"/>
                      <w:caps/>
                      <w:color w:val="000000" w:themeColor="text1"/>
                      <w:sz w:val="21"/>
                      <w:szCs w:val="21"/>
                      <w:highlight w:val="none"/>
                      <w:lang w:val="en-US" w:eastAsia="zh-CN"/>
                      <w14:textFill>
                        <w14:solidFill>
                          <w14:schemeClr w14:val="tx1"/>
                        </w14:solidFill>
                      </w14:textFill>
                    </w:rPr>
                  </w:pPr>
                </w:p>
              </w:tc>
              <w:tc>
                <w:tcPr>
                  <w:tcW w:w="1187" w:type="dxa"/>
                  <w:vMerge w:val="continue"/>
                  <w:tcBorders>
                    <w:left w:val="single" w:color="auto" w:sz="4" w:space="0"/>
                  </w:tcBorders>
                  <w:noWrap w:val="0"/>
                  <w:vAlign w:val="center"/>
                </w:tcPr>
                <w:p w14:paraId="4AC2E929">
                  <w:pPr>
                    <w:spacing w:line="240" w:lineRule="auto"/>
                    <w:ind w:firstLine="0" w:firstLineChars="0"/>
                    <w:jc w:val="both"/>
                    <w:rPr>
                      <w:rFonts w:hint="default" w:ascii="Times New Roman" w:hAnsi="Times New Roman" w:eastAsia="宋体" w:cs="Times New Roman"/>
                      <w:caps/>
                      <w:color w:val="000000" w:themeColor="text1"/>
                      <w:sz w:val="21"/>
                      <w:szCs w:val="21"/>
                      <w:highlight w:val="none"/>
                      <w:lang w:val="en-US" w:eastAsia="zh-CN"/>
                      <w14:textFill>
                        <w14:solidFill>
                          <w14:schemeClr w14:val="tx1"/>
                        </w14:solidFill>
                      </w14:textFill>
                    </w:rPr>
                  </w:pPr>
                </w:p>
              </w:tc>
            </w:tr>
            <w:tr w14:paraId="41DB31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10" w:hRule="atLeast"/>
                <w:jc w:val="center"/>
              </w:trPr>
              <w:tc>
                <w:tcPr>
                  <w:tcW w:w="1407" w:type="dxa"/>
                  <w:vMerge w:val="continue"/>
                  <w:noWrap w:val="0"/>
                  <w:vAlign w:val="center"/>
                </w:tcPr>
                <w:p w14:paraId="1318465C">
                  <w:pPr>
                    <w:spacing w:line="240" w:lineRule="auto"/>
                    <w:ind w:firstLine="0" w:firstLineChars="0"/>
                    <w:jc w:val="both"/>
                    <w:rPr>
                      <w:rFonts w:hint="default" w:ascii="Times New Roman" w:hAnsi="Times New Roman" w:eastAsia="宋体" w:cs="Times New Roman"/>
                      <w:caps/>
                      <w:color w:val="000000" w:themeColor="text1"/>
                      <w:sz w:val="21"/>
                      <w:szCs w:val="21"/>
                      <w:highlight w:val="none"/>
                      <w14:textFill>
                        <w14:solidFill>
                          <w14:schemeClr w14:val="tx1"/>
                        </w14:solidFill>
                      </w14:textFill>
                    </w:rPr>
                  </w:pPr>
                </w:p>
              </w:tc>
              <w:tc>
                <w:tcPr>
                  <w:tcW w:w="2961" w:type="dxa"/>
                  <w:tcBorders>
                    <w:bottom w:val="single" w:color="auto" w:sz="4" w:space="0"/>
                  </w:tcBorders>
                  <w:noWrap w:val="0"/>
                  <w:vAlign w:val="center"/>
                </w:tcPr>
                <w:p w14:paraId="10803C0C">
                  <w:pPr>
                    <w:spacing w:line="240" w:lineRule="auto"/>
                    <w:ind w:firstLine="0" w:firstLineChars="0"/>
                    <w:jc w:val="both"/>
                    <w:rPr>
                      <w:rFonts w:hint="default" w:ascii="Times New Roman" w:hAnsi="Times New Roman" w:cs="Times New Roman"/>
                      <w:caps/>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aps/>
                      <w:color w:val="000000" w:themeColor="text1"/>
                      <w:sz w:val="21"/>
                      <w:szCs w:val="21"/>
                      <w:highlight w:val="none"/>
                      <w:lang w:val="en-US" w:eastAsia="zh-CN"/>
                      <w14:textFill>
                        <w14:solidFill>
                          <w14:schemeClr w14:val="tx1"/>
                        </w14:solidFill>
                      </w14:textFill>
                    </w:rPr>
                    <w:t>一体化污水处理设备</w:t>
                  </w:r>
                </w:p>
              </w:tc>
              <w:tc>
                <w:tcPr>
                  <w:tcW w:w="1149" w:type="dxa"/>
                  <w:tcBorders>
                    <w:bottom w:val="single" w:color="auto" w:sz="4" w:space="0"/>
                    <w:right w:val="single" w:color="auto" w:sz="4" w:space="0"/>
                  </w:tcBorders>
                  <w:noWrap w:val="0"/>
                  <w:vAlign w:val="center"/>
                </w:tcPr>
                <w:p w14:paraId="0BEE206D">
                  <w:pPr>
                    <w:spacing w:line="240" w:lineRule="auto"/>
                    <w:ind w:firstLine="0" w:firstLineChars="0"/>
                    <w:jc w:val="both"/>
                    <w:rPr>
                      <w:rFonts w:hint="default" w:ascii="Times New Roman" w:hAnsi="Times New Roman" w:cs="Times New Roman"/>
                      <w:caps/>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aps/>
                      <w:color w:val="000000" w:themeColor="text1"/>
                      <w:sz w:val="21"/>
                      <w:szCs w:val="21"/>
                      <w:highlight w:val="none"/>
                      <w:lang w:val="en-US" w:eastAsia="zh-CN"/>
                      <w14:textFill>
                        <w14:solidFill>
                          <w14:schemeClr w14:val="tx1"/>
                        </w14:solidFill>
                      </w14:textFill>
                    </w:rPr>
                    <w:t>1套</w:t>
                  </w:r>
                </w:p>
              </w:tc>
              <w:tc>
                <w:tcPr>
                  <w:tcW w:w="1184" w:type="dxa"/>
                  <w:vMerge w:val="continue"/>
                  <w:tcBorders>
                    <w:left w:val="single" w:color="auto" w:sz="4" w:space="0"/>
                    <w:bottom w:val="single" w:color="auto" w:sz="4" w:space="0"/>
                    <w:right w:val="single" w:color="auto" w:sz="4" w:space="0"/>
                  </w:tcBorders>
                  <w:noWrap w:val="0"/>
                  <w:vAlign w:val="center"/>
                </w:tcPr>
                <w:p w14:paraId="39428CEE">
                  <w:pPr>
                    <w:spacing w:line="240" w:lineRule="auto"/>
                    <w:ind w:firstLine="0" w:firstLineChars="0"/>
                    <w:jc w:val="both"/>
                    <w:rPr>
                      <w:rFonts w:hint="default" w:ascii="Times New Roman" w:hAnsi="Times New Roman" w:eastAsia="宋体" w:cs="Times New Roman"/>
                      <w:caps/>
                      <w:color w:val="000000" w:themeColor="text1"/>
                      <w:sz w:val="21"/>
                      <w:szCs w:val="21"/>
                      <w:highlight w:val="none"/>
                      <w:lang w:val="en-US" w:eastAsia="zh-CN"/>
                      <w14:textFill>
                        <w14:solidFill>
                          <w14:schemeClr w14:val="tx1"/>
                        </w14:solidFill>
                      </w14:textFill>
                    </w:rPr>
                  </w:pPr>
                </w:p>
              </w:tc>
              <w:tc>
                <w:tcPr>
                  <w:tcW w:w="1187" w:type="dxa"/>
                  <w:vMerge w:val="continue"/>
                  <w:tcBorders>
                    <w:left w:val="single" w:color="auto" w:sz="4" w:space="0"/>
                    <w:bottom w:val="single" w:color="auto" w:sz="4" w:space="0"/>
                  </w:tcBorders>
                  <w:noWrap w:val="0"/>
                  <w:vAlign w:val="center"/>
                </w:tcPr>
                <w:p w14:paraId="53919590">
                  <w:pPr>
                    <w:spacing w:line="240" w:lineRule="auto"/>
                    <w:ind w:firstLine="0" w:firstLineChars="0"/>
                    <w:jc w:val="both"/>
                    <w:rPr>
                      <w:rFonts w:hint="default" w:ascii="Times New Roman" w:hAnsi="Times New Roman" w:eastAsia="宋体" w:cs="Times New Roman"/>
                      <w:caps/>
                      <w:color w:val="000000" w:themeColor="text1"/>
                      <w:sz w:val="21"/>
                      <w:szCs w:val="21"/>
                      <w:highlight w:val="none"/>
                      <w:lang w:val="en-US" w:eastAsia="zh-CN"/>
                      <w14:textFill>
                        <w14:solidFill>
                          <w14:schemeClr w14:val="tx1"/>
                        </w14:solidFill>
                      </w14:textFill>
                    </w:rPr>
                  </w:pPr>
                </w:p>
              </w:tc>
            </w:tr>
            <w:tr w14:paraId="3B545F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10" w:hRule="atLeast"/>
                <w:jc w:val="center"/>
              </w:trPr>
              <w:tc>
                <w:tcPr>
                  <w:tcW w:w="1407" w:type="dxa"/>
                  <w:noWrap w:val="0"/>
                  <w:vAlign w:val="center"/>
                </w:tcPr>
                <w:p w14:paraId="6DF36866">
                  <w:pPr>
                    <w:spacing w:line="240" w:lineRule="auto"/>
                    <w:ind w:firstLine="0" w:firstLineChars="0"/>
                    <w:jc w:val="both"/>
                    <w:rPr>
                      <w:rFonts w:hint="default" w:ascii="Times New Roman" w:hAnsi="Times New Roman" w:eastAsia="宋体" w:cs="Times New Roman"/>
                      <w:caps/>
                      <w:color w:val="000000" w:themeColor="text1"/>
                      <w:sz w:val="21"/>
                      <w:szCs w:val="21"/>
                      <w:highlight w:val="none"/>
                      <w14:textFill>
                        <w14:solidFill>
                          <w14:schemeClr w14:val="tx1"/>
                        </w14:solidFill>
                      </w14:textFill>
                    </w:rPr>
                  </w:pPr>
                  <w:r>
                    <w:rPr>
                      <w:rFonts w:hint="default" w:ascii="Times New Roman" w:hAnsi="Times New Roman" w:eastAsia="宋体" w:cs="Times New Roman"/>
                      <w:caps/>
                      <w:color w:val="000000" w:themeColor="text1"/>
                      <w:sz w:val="21"/>
                      <w:szCs w:val="21"/>
                      <w:highlight w:val="none"/>
                      <w14:textFill>
                        <w14:solidFill>
                          <w14:schemeClr w14:val="tx1"/>
                        </w14:solidFill>
                      </w14:textFill>
                    </w:rPr>
                    <w:t>噪声治理</w:t>
                  </w:r>
                </w:p>
              </w:tc>
              <w:tc>
                <w:tcPr>
                  <w:tcW w:w="2961" w:type="dxa"/>
                  <w:noWrap w:val="0"/>
                  <w:vAlign w:val="center"/>
                </w:tcPr>
                <w:p w14:paraId="3EB5D0BB">
                  <w:pPr>
                    <w:spacing w:line="240" w:lineRule="auto"/>
                    <w:ind w:firstLine="0" w:firstLineChars="0"/>
                    <w:jc w:val="both"/>
                    <w:rPr>
                      <w:rFonts w:hint="default" w:ascii="Times New Roman" w:hAnsi="Times New Roman" w:eastAsia="宋体" w:cs="Times New Roman"/>
                      <w:caps/>
                      <w:color w:val="000000" w:themeColor="text1"/>
                      <w:sz w:val="21"/>
                      <w:szCs w:val="21"/>
                      <w:highlight w:val="none"/>
                      <w14:textFill>
                        <w14:solidFill>
                          <w14:schemeClr w14:val="tx1"/>
                        </w14:solidFill>
                      </w14:textFill>
                    </w:rPr>
                  </w:pPr>
                  <w:r>
                    <w:rPr>
                      <w:rFonts w:hint="default" w:ascii="Times New Roman" w:hAnsi="Times New Roman" w:eastAsia="宋体" w:cs="Times New Roman"/>
                      <w:caps/>
                      <w:color w:val="000000" w:themeColor="text1"/>
                      <w:sz w:val="21"/>
                      <w:szCs w:val="21"/>
                      <w:highlight w:val="none"/>
                      <w14:textFill>
                        <w14:solidFill>
                          <w14:schemeClr w14:val="tx1"/>
                        </w14:solidFill>
                      </w14:textFill>
                    </w:rPr>
                    <w:t>减振等措施</w:t>
                  </w:r>
                </w:p>
              </w:tc>
              <w:tc>
                <w:tcPr>
                  <w:tcW w:w="1149" w:type="dxa"/>
                  <w:tcBorders>
                    <w:right w:val="single" w:color="auto" w:sz="4" w:space="0"/>
                  </w:tcBorders>
                  <w:noWrap w:val="0"/>
                  <w:vAlign w:val="center"/>
                </w:tcPr>
                <w:p w14:paraId="5CFAC32D">
                  <w:pPr>
                    <w:spacing w:line="240" w:lineRule="auto"/>
                    <w:ind w:firstLine="0" w:firstLineChars="0"/>
                    <w:jc w:val="both"/>
                    <w:rPr>
                      <w:rFonts w:hint="default" w:ascii="Times New Roman" w:hAnsi="Times New Roman" w:eastAsia="宋体" w:cs="Times New Roman"/>
                      <w:caps/>
                      <w:color w:val="000000" w:themeColor="text1"/>
                      <w:sz w:val="21"/>
                      <w:szCs w:val="21"/>
                      <w:highlight w:val="none"/>
                      <w14:textFill>
                        <w14:solidFill>
                          <w14:schemeClr w14:val="tx1"/>
                        </w14:solidFill>
                      </w14:textFill>
                    </w:rPr>
                  </w:pPr>
                  <w:r>
                    <w:rPr>
                      <w:rFonts w:hint="default" w:ascii="Times New Roman" w:hAnsi="Times New Roman" w:eastAsia="宋体" w:cs="Times New Roman"/>
                      <w:caps/>
                      <w:color w:val="000000" w:themeColor="text1"/>
                      <w:sz w:val="21"/>
                      <w:szCs w:val="21"/>
                      <w:highlight w:val="none"/>
                      <w14:textFill>
                        <w14:solidFill>
                          <w14:schemeClr w14:val="tx1"/>
                        </w14:solidFill>
                      </w14:textFill>
                    </w:rPr>
                    <w:t>－</w:t>
                  </w:r>
                </w:p>
              </w:tc>
              <w:tc>
                <w:tcPr>
                  <w:tcW w:w="1184" w:type="dxa"/>
                  <w:tcBorders>
                    <w:left w:val="single" w:color="auto" w:sz="4" w:space="0"/>
                    <w:right w:val="single" w:color="auto" w:sz="4" w:space="0"/>
                  </w:tcBorders>
                  <w:noWrap w:val="0"/>
                  <w:vAlign w:val="center"/>
                </w:tcPr>
                <w:p w14:paraId="7D0DC571">
                  <w:pPr>
                    <w:spacing w:line="240" w:lineRule="auto"/>
                    <w:ind w:firstLine="0" w:firstLineChars="0"/>
                    <w:jc w:val="both"/>
                    <w:rPr>
                      <w:rFonts w:hint="default" w:ascii="Times New Roman" w:hAnsi="Times New Roman" w:eastAsia="宋体" w:cs="Times New Roman"/>
                      <w:cap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aps/>
                      <w:color w:val="000000" w:themeColor="text1"/>
                      <w:sz w:val="21"/>
                      <w:szCs w:val="21"/>
                      <w:highlight w:val="none"/>
                      <w:lang w:val="en-US" w:eastAsia="zh-CN"/>
                      <w14:textFill>
                        <w14:solidFill>
                          <w14:schemeClr w14:val="tx1"/>
                        </w14:solidFill>
                      </w14:textFill>
                    </w:rPr>
                    <w:t>1</w:t>
                  </w:r>
                </w:p>
              </w:tc>
              <w:tc>
                <w:tcPr>
                  <w:tcW w:w="1187" w:type="dxa"/>
                  <w:tcBorders>
                    <w:left w:val="single" w:color="auto" w:sz="4" w:space="0"/>
                  </w:tcBorders>
                  <w:noWrap w:val="0"/>
                  <w:vAlign w:val="center"/>
                </w:tcPr>
                <w:p w14:paraId="0716FFBF">
                  <w:pPr>
                    <w:spacing w:line="240" w:lineRule="auto"/>
                    <w:ind w:firstLine="0" w:firstLineChars="0"/>
                    <w:jc w:val="both"/>
                    <w:rPr>
                      <w:rFonts w:hint="default" w:ascii="Times New Roman" w:hAnsi="Times New Roman" w:eastAsia="宋体" w:cs="Times New Roman"/>
                      <w:caps/>
                      <w:color w:val="000000" w:themeColor="text1"/>
                      <w:sz w:val="21"/>
                      <w:szCs w:val="21"/>
                      <w:highlight w:val="none"/>
                      <w14:textFill>
                        <w14:solidFill>
                          <w14:schemeClr w14:val="tx1"/>
                        </w14:solidFill>
                      </w14:textFill>
                    </w:rPr>
                  </w:pPr>
                </w:p>
              </w:tc>
            </w:tr>
            <w:tr w14:paraId="186B05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10" w:hRule="atLeast"/>
                <w:jc w:val="center"/>
              </w:trPr>
              <w:tc>
                <w:tcPr>
                  <w:tcW w:w="1407" w:type="dxa"/>
                  <w:noWrap w:val="0"/>
                  <w:vAlign w:val="center"/>
                </w:tcPr>
                <w:p w14:paraId="4F10284C">
                  <w:pPr>
                    <w:spacing w:line="240" w:lineRule="auto"/>
                    <w:ind w:firstLine="0" w:firstLineChars="0"/>
                    <w:jc w:val="both"/>
                    <w:rPr>
                      <w:rFonts w:hint="default" w:ascii="Times New Roman" w:hAnsi="Times New Roman" w:eastAsia="宋体" w:cs="Times New Roman"/>
                      <w:caps/>
                      <w:color w:val="000000" w:themeColor="text1"/>
                      <w:sz w:val="21"/>
                      <w:szCs w:val="21"/>
                      <w:highlight w:val="none"/>
                      <w14:textFill>
                        <w14:solidFill>
                          <w14:schemeClr w14:val="tx1"/>
                        </w14:solidFill>
                      </w14:textFill>
                    </w:rPr>
                  </w:pPr>
                  <w:r>
                    <w:rPr>
                      <w:rFonts w:hint="default" w:ascii="Times New Roman" w:hAnsi="Times New Roman" w:eastAsia="宋体" w:cs="Times New Roman"/>
                      <w:caps/>
                      <w:color w:val="000000" w:themeColor="text1"/>
                      <w:sz w:val="21"/>
                      <w:szCs w:val="21"/>
                      <w:highlight w:val="none"/>
                      <w14:textFill>
                        <w14:solidFill>
                          <w14:schemeClr w14:val="tx1"/>
                        </w14:solidFill>
                      </w14:textFill>
                    </w:rPr>
                    <w:t>固体废物</w:t>
                  </w:r>
                </w:p>
              </w:tc>
              <w:tc>
                <w:tcPr>
                  <w:tcW w:w="2961" w:type="dxa"/>
                  <w:noWrap w:val="0"/>
                  <w:vAlign w:val="center"/>
                </w:tcPr>
                <w:p w14:paraId="5D367B62">
                  <w:pPr>
                    <w:spacing w:line="240" w:lineRule="auto"/>
                    <w:ind w:firstLine="0" w:firstLineChars="0"/>
                    <w:jc w:val="both"/>
                    <w:rPr>
                      <w:rFonts w:hint="default" w:ascii="Times New Roman" w:hAnsi="Times New Roman" w:eastAsia="宋体" w:cs="Times New Roman"/>
                      <w:caps/>
                      <w:color w:val="000000" w:themeColor="text1"/>
                      <w:sz w:val="21"/>
                      <w:szCs w:val="21"/>
                      <w:highlight w:val="none"/>
                      <w:lang w:eastAsia="zh-CN"/>
                      <w14:textFill>
                        <w14:solidFill>
                          <w14:schemeClr w14:val="tx1"/>
                        </w14:solidFill>
                      </w14:textFill>
                    </w:rPr>
                  </w:pPr>
                  <w:r>
                    <w:rPr>
                      <w:rFonts w:hint="default" w:ascii="Times New Roman" w:hAnsi="Times New Roman" w:eastAsia="宋体" w:cs="Times New Roman"/>
                      <w:caps/>
                      <w:color w:val="000000" w:themeColor="text1"/>
                      <w:sz w:val="21"/>
                      <w:szCs w:val="21"/>
                      <w:highlight w:val="none"/>
                      <w:lang w:eastAsia="zh-CN"/>
                      <w14:textFill>
                        <w14:solidFill>
                          <w14:schemeClr w14:val="tx1"/>
                        </w14:solidFill>
                      </w14:textFill>
                    </w:rPr>
                    <w:t>垃圾</w:t>
                  </w:r>
                  <w:r>
                    <w:rPr>
                      <w:rFonts w:hint="default" w:ascii="Times New Roman" w:hAnsi="Times New Roman" w:eastAsia="宋体" w:cs="Times New Roman"/>
                      <w:caps/>
                      <w:color w:val="000000" w:themeColor="text1"/>
                      <w:sz w:val="21"/>
                      <w:szCs w:val="21"/>
                      <w:highlight w:val="none"/>
                      <w:lang w:val="en-US" w:eastAsia="zh-CN"/>
                      <w14:textFill>
                        <w14:solidFill>
                          <w14:schemeClr w14:val="tx1"/>
                        </w14:solidFill>
                      </w14:textFill>
                    </w:rPr>
                    <w:t>桶</w:t>
                  </w:r>
                </w:p>
              </w:tc>
              <w:tc>
                <w:tcPr>
                  <w:tcW w:w="1149" w:type="dxa"/>
                  <w:tcBorders>
                    <w:right w:val="single" w:color="auto" w:sz="4" w:space="0"/>
                  </w:tcBorders>
                  <w:noWrap w:val="0"/>
                  <w:vAlign w:val="center"/>
                </w:tcPr>
                <w:p w14:paraId="27069368">
                  <w:pPr>
                    <w:spacing w:line="240" w:lineRule="auto"/>
                    <w:ind w:firstLine="0" w:firstLineChars="0"/>
                    <w:jc w:val="both"/>
                    <w:rPr>
                      <w:rFonts w:hint="default" w:ascii="Times New Roman" w:hAnsi="Times New Roman" w:eastAsia="宋体" w:cs="Times New Roman"/>
                      <w:caps/>
                      <w:color w:val="000000" w:themeColor="text1"/>
                      <w:sz w:val="21"/>
                      <w:szCs w:val="21"/>
                      <w:highlight w:val="none"/>
                      <w14:textFill>
                        <w14:solidFill>
                          <w14:schemeClr w14:val="tx1"/>
                        </w14:solidFill>
                      </w14:textFill>
                    </w:rPr>
                  </w:pPr>
                  <w:r>
                    <w:rPr>
                      <w:rFonts w:hint="default" w:ascii="Times New Roman" w:hAnsi="Times New Roman" w:eastAsia="宋体" w:cs="Times New Roman"/>
                      <w:caps/>
                      <w:color w:val="000000" w:themeColor="text1"/>
                      <w:sz w:val="21"/>
                      <w:szCs w:val="21"/>
                      <w:highlight w:val="none"/>
                      <w:lang w:val="en-US" w:eastAsia="zh-CN"/>
                      <w14:textFill>
                        <w14:solidFill>
                          <w14:schemeClr w14:val="tx1"/>
                        </w14:solidFill>
                      </w14:textFill>
                    </w:rPr>
                    <w:t>20</w:t>
                  </w:r>
                  <w:r>
                    <w:rPr>
                      <w:rFonts w:hint="default" w:ascii="Times New Roman" w:hAnsi="Times New Roman" w:eastAsia="宋体" w:cs="Times New Roman"/>
                      <w:caps/>
                      <w:color w:val="000000" w:themeColor="text1"/>
                      <w:sz w:val="21"/>
                      <w:szCs w:val="21"/>
                      <w:highlight w:val="none"/>
                      <w14:textFill>
                        <w14:solidFill>
                          <w14:schemeClr w14:val="tx1"/>
                        </w14:solidFill>
                      </w14:textFill>
                    </w:rPr>
                    <w:t>个</w:t>
                  </w:r>
                </w:p>
              </w:tc>
              <w:tc>
                <w:tcPr>
                  <w:tcW w:w="1184" w:type="dxa"/>
                  <w:tcBorders>
                    <w:left w:val="single" w:color="auto" w:sz="4" w:space="0"/>
                    <w:right w:val="single" w:color="auto" w:sz="4" w:space="0"/>
                  </w:tcBorders>
                  <w:noWrap w:val="0"/>
                  <w:vAlign w:val="center"/>
                </w:tcPr>
                <w:p w14:paraId="774B1DB8">
                  <w:pPr>
                    <w:spacing w:line="240" w:lineRule="auto"/>
                    <w:ind w:firstLine="0" w:firstLineChars="0"/>
                    <w:jc w:val="both"/>
                    <w:rPr>
                      <w:rFonts w:hint="default" w:ascii="Times New Roman" w:hAnsi="Times New Roman" w:eastAsia="宋体" w:cs="Times New Roman"/>
                      <w:caps/>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aps/>
                      <w:color w:val="000000" w:themeColor="text1"/>
                      <w:sz w:val="21"/>
                      <w:szCs w:val="21"/>
                      <w:highlight w:val="none"/>
                      <w:lang w:val="en-US" w:eastAsia="zh-CN"/>
                      <w14:textFill>
                        <w14:solidFill>
                          <w14:schemeClr w14:val="tx1"/>
                        </w14:solidFill>
                      </w14:textFill>
                    </w:rPr>
                    <w:t>0.2</w:t>
                  </w:r>
                </w:p>
              </w:tc>
              <w:tc>
                <w:tcPr>
                  <w:tcW w:w="1187" w:type="dxa"/>
                  <w:tcBorders>
                    <w:left w:val="single" w:color="auto" w:sz="4" w:space="0"/>
                  </w:tcBorders>
                  <w:noWrap w:val="0"/>
                  <w:vAlign w:val="center"/>
                </w:tcPr>
                <w:p w14:paraId="2A4145CD">
                  <w:pPr>
                    <w:spacing w:line="240" w:lineRule="auto"/>
                    <w:ind w:firstLine="0" w:firstLineChars="0"/>
                    <w:jc w:val="both"/>
                    <w:rPr>
                      <w:rFonts w:hint="default" w:ascii="Times New Roman" w:hAnsi="Times New Roman" w:eastAsia="宋体" w:cs="Times New Roman"/>
                      <w:caps/>
                      <w:color w:val="000000" w:themeColor="text1"/>
                      <w:sz w:val="21"/>
                      <w:szCs w:val="21"/>
                      <w:highlight w:val="none"/>
                      <w14:textFill>
                        <w14:solidFill>
                          <w14:schemeClr w14:val="tx1"/>
                        </w14:solidFill>
                      </w14:textFill>
                    </w:rPr>
                  </w:pPr>
                </w:p>
              </w:tc>
            </w:tr>
            <w:tr w14:paraId="24D1AC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10" w:hRule="atLeast"/>
                <w:jc w:val="center"/>
              </w:trPr>
              <w:tc>
                <w:tcPr>
                  <w:tcW w:w="4368" w:type="dxa"/>
                  <w:gridSpan w:val="2"/>
                  <w:noWrap w:val="0"/>
                  <w:vAlign w:val="center"/>
                </w:tcPr>
                <w:p w14:paraId="0B83794A">
                  <w:pPr>
                    <w:spacing w:line="240" w:lineRule="auto"/>
                    <w:ind w:firstLine="0" w:firstLineChars="0"/>
                    <w:jc w:val="both"/>
                    <w:rPr>
                      <w:rFonts w:hint="default" w:ascii="Times New Roman" w:hAnsi="Times New Roman" w:eastAsia="宋体" w:cs="Times New Roman"/>
                      <w:caps/>
                      <w:color w:val="000000" w:themeColor="text1"/>
                      <w:sz w:val="21"/>
                      <w:szCs w:val="21"/>
                      <w:highlight w:val="none"/>
                      <w14:textFill>
                        <w14:solidFill>
                          <w14:schemeClr w14:val="tx1"/>
                        </w14:solidFill>
                      </w14:textFill>
                    </w:rPr>
                  </w:pPr>
                  <w:r>
                    <w:rPr>
                      <w:rFonts w:hint="default" w:ascii="Times New Roman" w:hAnsi="Times New Roman" w:eastAsia="宋体" w:cs="Times New Roman"/>
                      <w:caps/>
                      <w:color w:val="000000" w:themeColor="text1"/>
                      <w:sz w:val="21"/>
                      <w:szCs w:val="21"/>
                      <w:highlight w:val="none"/>
                      <w14:textFill>
                        <w14:solidFill>
                          <w14:schemeClr w14:val="tx1"/>
                        </w14:solidFill>
                      </w14:textFill>
                    </w:rPr>
                    <w:t>合计</w:t>
                  </w:r>
                </w:p>
              </w:tc>
              <w:tc>
                <w:tcPr>
                  <w:tcW w:w="1149" w:type="dxa"/>
                  <w:tcBorders>
                    <w:right w:val="single" w:color="auto" w:sz="4" w:space="0"/>
                  </w:tcBorders>
                  <w:noWrap w:val="0"/>
                  <w:vAlign w:val="center"/>
                </w:tcPr>
                <w:p w14:paraId="76B7B8EB">
                  <w:pPr>
                    <w:spacing w:line="240" w:lineRule="auto"/>
                    <w:ind w:firstLine="0" w:firstLineChars="0"/>
                    <w:jc w:val="both"/>
                    <w:rPr>
                      <w:rFonts w:hint="default" w:ascii="Times New Roman" w:hAnsi="Times New Roman" w:eastAsia="宋体" w:cs="Times New Roman"/>
                      <w:caps/>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aps/>
                      <w:color w:val="000000" w:themeColor="text1"/>
                      <w:sz w:val="21"/>
                      <w:szCs w:val="21"/>
                      <w:highlight w:val="none"/>
                      <w:lang w:val="en-US" w:eastAsia="zh-CN"/>
                      <w14:textFill>
                        <w14:solidFill>
                          <w14:schemeClr w14:val="tx1"/>
                        </w14:solidFill>
                      </w14:textFill>
                    </w:rPr>
                    <w:t>/</w:t>
                  </w:r>
                </w:p>
              </w:tc>
              <w:tc>
                <w:tcPr>
                  <w:tcW w:w="1184" w:type="dxa"/>
                  <w:tcBorders>
                    <w:left w:val="single" w:color="auto" w:sz="4" w:space="0"/>
                    <w:right w:val="single" w:color="auto" w:sz="4" w:space="0"/>
                  </w:tcBorders>
                  <w:noWrap w:val="0"/>
                  <w:vAlign w:val="center"/>
                </w:tcPr>
                <w:p w14:paraId="214BDA3F">
                  <w:pPr>
                    <w:spacing w:line="240" w:lineRule="auto"/>
                    <w:ind w:firstLine="0" w:firstLineChars="0"/>
                    <w:jc w:val="both"/>
                    <w:rPr>
                      <w:rFonts w:hint="default" w:ascii="Times New Roman" w:hAnsi="Times New Roman" w:eastAsia="宋体" w:cs="Times New Roman"/>
                      <w:caps/>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aps/>
                      <w:color w:val="000000" w:themeColor="text1"/>
                      <w:sz w:val="21"/>
                      <w:szCs w:val="21"/>
                      <w:highlight w:val="none"/>
                      <w:lang w:val="en-US" w:eastAsia="zh-CN"/>
                      <w14:textFill>
                        <w14:solidFill>
                          <w14:schemeClr w14:val="tx1"/>
                        </w14:solidFill>
                      </w14:textFill>
                    </w:rPr>
                    <w:t>350.5</w:t>
                  </w:r>
                </w:p>
              </w:tc>
              <w:tc>
                <w:tcPr>
                  <w:tcW w:w="1187" w:type="dxa"/>
                  <w:tcBorders>
                    <w:left w:val="single" w:color="auto" w:sz="4" w:space="0"/>
                  </w:tcBorders>
                  <w:noWrap w:val="0"/>
                  <w:vAlign w:val="center"/>
                </w:tcPr>
                <w:p w14:paraId="302A87EB">
                  <w:pPr>
                    <w:spacing w:line="240" w:lineRule="auto"/>
                    <w:ind w:firstLine="0" w:firstLineChars="0"/>
                    <w:jc w:val="both"/>
                    <w:rPr>
                      <w:rFonts w:hint="default" w:ascii="Times New Roman" w:hAnsi="Times New Roman" w:eastAsia="宋体" w:cs="Times New Roman"/>
                      <w:caps/>
                      <w:color w:val="000000" w:themeColor="text1"/>
                      <w:sz w:val="21"/>
                      <w:szCs w:val="21"/>
                      <w:highlight w:val="none"/>
                      <w14:textFill>
                        <w14:solidFill>
                          <w14:schemeClr w14:val="tx1"/>
                        </w14:solidFill>
                      </w14:textFill>
                    </w:rPr>
                  </w:pPr>
                  <w:r>
                    <w:rPr>
                      <w:rFonts w:hint="default" w:ascii="Times New Roman" w:hAnsi="Times New Roman" w:eastAsia="宋体" w:cs="Times New Roman"/>
                      <w:caps/>
                      <w:color w:val="000000" w:themeColor="text1"/>
                      <w:sz w:val="21"/>
                      <w:szCs w:val="21"/>
                      <w:highlight w:val="none"/>
                      <w:lang w:val="en-US" w:eastAsia="zh-CN"/>
                      <w14:textFill>
                        <w14:solidFill>
                          <w14:schemeClr w14:val="tx1"/>
                        </w14:solidFill>
                      </w14:textFill>
                    </w:rPr>
                    <w:t>/</w:t>
                  </w:r>
                </w:p>
              </w:tc>
            </w:tr>
          </w:tbl>
          <w:p w14:paraId="294B593E">
            <w:pPr>
              <w:ind w:left="0" w:leftChars="0" w:firstLine="0" w:firstLineChars="0"/>
              <w:jc w:val="both"/>
              <w:rPr>
                <w:rFonts w:hint="default" w:ascii="Times New Roman" w:hAnsi="Times New Roman" w:eastAsia="宋体" w:cs="Times New Roman"/>
                <w:color w:val="000000" w:themeColor="text1"/>
                <w14:textFill>
                  <w14:solidFill>
                    <w14:schemeClr w14:val="tx1"/>
                  </w14:solidFill>
                </w14:textFill>
              </w:rPr>
            </w:pPr>
          </w:p>
          <w:p w14:paraId="0F8DB2E2">
            <w:pPr>
              <w:ind w:left="0" w:leftChars="0" w:firstLine="0" w:firstLineChars="0"/>
              <w:jc w:val="both"/>
              <w:rPr>
                <w:rFonts w:hint="default" w:ascii="Times New Roman" w:hAnsi="Times New Roman" w:eastAsia="宋体" w:cs="Times New Roman"/>
                <w:color w:val="000000" w:themeColor="text1"/>
                <w14:textFill>
                  <w14:solidFill>
                    <w14:schemeClr w14:val="tx1"/>
                  </w14:solidFill>
                </w14:textFill>
              </w:rPr>
            </w:pPr>
          </w:p>
          <w:p w14:paraId="1CF61333">
            <w:pPr>
              <w:ind w:left="0" w:leftChars="0" w:firstLine="0" w:firstLineChars="0"/>
              <w:jc w:val="both"/>
              <w:rPr>
                <w:rFonts w:hint="default" w:ascii="Times New Roman" w:hAnsi="Times New Roman" w:eastAsia="宋体" w:cs="Times New Roman"/>
                <w:color w:val="000000" w:themeColor="text1"/>
                <w14:textFill>
                  <w14:solidFill>
                    <w14:schemeClr w14:val="tx1"/>
                  </w14:solidFill>
                </w14:textFill>
              </w:rPr>
            </w:pPr>
          </w:p>
          <w:p w14:paraId="59A1E61D">
            <w:pPr>
              <w:ind w:left="0" w:leftChars="0" w:firstLine="0" w:firstLineChars="0"/>
              <w:jc w:val="both"/>
              <w:rPr>
                <w:rFonts w:hint="default" w:ascii="Times New Roman" w:hAnsi="Times New Roman" w:eastAsia="宋体" w:cs="Times New Roman"/>
                <w:color w:val="000000" w:themeColor="text1"/>
                <w14:textFill>
                  <w14:solidFill>
                    <w14:schemeClr w14:val="tx1"/>
                  </w14:solidFill>
                </w14:textFill>
              </w:rPr>
            </w:pPr>
          </w:p>
          <w:p w14:paraId="1AC172C4">
            <w:pPr>
              <w:ind w:left="0" w:leftChars="0" w:firstLine="0" w:firstLineChars="0"/>
              <w:jc w:val="both"/>
              <w:rPr>
                <w:rFonts w:hint="default" w:ascii="Times New Roman" w:hAnsi="Times New Roman" w:eastAsia="宋体" w:cs="Times New Roman"/>
                <w:color w:val="000000" w:themeColor="text1"/>
                <w14:textFill>
                  <w14:solidFill>
                    <w14:schemeClr w14:val="tx1"/>
                  </w14:solidFill>
                </w14:textFill>
              </w:rPr>
            </w:pPr>
          </w:p>
          <w:p w14:paraId="5E860C97">
            <w:pPr>
              <w:ind w:left="0" w:leftChars="0" w:firstLine="0" w:firstLineChars="0"/>
              <w:jc w:val="both"/>
              <w:rPr>
                <w:rFonts w:hint="default" w:ascii="Times New Roman" w:hAnsi="Times New Roman" w:eastAsia="宋体" w:cs="Times New Roman"/>
                <w:color w:val="000000" w:themeColor="text1"/>
                <w14:textFill>
                  <w14:solidFill>
                    <w14:schemeClr w14:val="tx1"/>
                  </w14:solidFill>
                </w14:textFill>
              </w:rPr>
            </w:pPr>
          </w:p>
          <w:p w14:paraId="3967B9FD">
            <w:pPr>
              <w:ind w:left="0" w:leftChars="0" w:firstLine="0" w:firstLineChars="0"/>
              <w:jc w:val="both"/>
              <w:rPr>
                <w:rFonts w:hint="default" w:ascii="Times New Roman" w:hAnsi="Times New Roman" w:eastAsia="宋体" w:cs="Times New Roman"/>
                <w:color w:val="000000" w:themeColor="text1"/>
                <w14:textFill>
                  <w14:solidFill>
                    <w14:schemeClr w14:val="tx1"/>
                  </w14:solidFill>
                </w14:textFill>
              </w:rPr>
            </w:pPr>
          </w:p>
          <w:p w14:paraId="0602C971">
            <w:pPr>
              <w:ind w:left="0" w:leftChars="0" w:firstLine="0" w:firstLineChars="0"/>
              <w:jc w:val="both"/>
              <w:rPr>
                <w:rFonts w:hint="default" w:ascii="Times New Roman" w:hAnsi="Times New Roman" w:eastAsia="宋体" w:cs="Times New Roman"/>
                <w:color w:val="000000" w:themeColor="text1"/>
                <w14:textFill>
                  <w14:solidFill>
                    <w14:schemeClr w14:val="tx1"/>
                  </w14:solidFill>
                </w14:textFill>
              </w:rPr>
            </w:pPr>
          </w:p>
          <w:p w14:paraId="40B58C93">
            <w:pPr>
              <w:ind w:left="0" w:leftChars="0" w:firstLine="0" w:firstLineChars="0"/>
              <w:jc w:val="both"/>
              <w:rPr>
                <w:rFonts w:hint="default" w:ascii="Times New Roman" w:hAnsi="Times New Roman" w:eastAsia="宋体" w:cs="Times New Roman"/>
                <w:color w:val="000000" w:themeColor="text1"/>
                <w14:textFill>
                  <w14:solidFill>
                    <w14:schemeClr w14:val="tx1"/>
                  </w14:solidFill>
                </w14:textFill>
              </w:rPr>
            </w:pPr>
          </w:p>
          <w:p w14:paraId="6AE17ECB">
            <w:pPr>
              <w:ind w:left="0" w:leftChars="0" w:firstLine="0" w:firstLineChars="0"/>
              <w:jc w:val="both"/>
              <w:rPr>
                <w:rFonts w:hint="default" w:ascii="Times New Roman" w:hAnsi="Times New Roman" w:eastAsia="宋体" w:cs="Times New Roman"/>
                <w:color w:val="000000" w:themeColor="text1"/>
                <w14:textFill>
                  <w14:solidFill>
                    <w14:schemeClr w14:val="tx1"/>
                  </w14:solidFill>
                </w14:textFill>
              </w:rPr>
            </w:pPr>
          </w:p>
          <w:p w14:paraId="3CB47B3A">
            <w:pPr>
              <w:ind w:left="0" w:leftChars="0" w:firstLine="0" w:firstLineChars="0"/>
              <w:jc w:val="both"/>
              <w:rPr>
                <w:rFonts w:hint="default" w:ascii="Times New Roman" w:hAnsi="Times New Roman" w:eastAsia="宋体" w:cs="Times New Roman"/>
                <w:color w:val="000000" w:themeColor="text1"/>
                <w14:textFill>
                  <w14:solidFill>
                    <w14:schemeClr w14:val="tx1"/>
                  </w14:solidFill>
                </w14:textFill>
              </w:rPr>
            </w:pPr>
          </w:p>
          <w:p w14:paraId="307D96D7">
            <w:pPr>
              <w:ind w:left="0" w:leftChars="0" w:firstLine="0" w:firstLineChars="0"/>
              <w:jc w:val="both"/>
              <w:rPr>
                <w:rFonts w:hint="default" w:ascii="Times New Roman" w:hAnsi="Times New Roman" w:eastAsia="宋体" w:cs="Times New Roman"/>
                <w:color w:val="000000" w:themeColor="text1"/>
                <w14:textFill>
                  <w14:solidFill>
                    <w14:schemeClr w14:val="tx1"/>
                  </w14:solidFill>
                </w14:textFill>
              </w:rPr>
            </w:pPr>
          </w:p>
          <w:p w14:paraId="7C087519">
            <w:pPr>
              <w:ind w:left="0" w:leftChars="0" w:firstLine="0" w:firstLineChars="0"/>
              <w:jc w:val="both"/>
              <w:rPr>
                <w:rFonts w:hint="default" w:ascii="Times New Roman" w:hAnsi="Times New Roman" w:eastAsia="宋体" w:cs="Times New Roman"/>
                <w:color w:val="000000" w:themeColor="text1"/>
                <w14:textFill>
                  <w14:solidFill>
                    <w14:schemeClr w14:val="tx1"/>
                  </w14:solidFill>
                </w14:textFill>
              </w:rPr>
            </w:pPr>
          </w:p>
          <w:p w14:paraId="7E6FB05E">
            <w:pPr>
              <w:ind w:left="0" w:leftChars="0" w:firstLine="0" w:firstLineChars="0"/>
              <w:jc w:val="both"/>
              <w:rPr>
                <w:rFonts w:hint="default" w:ascii="Times New Roman" w:hAnsi="Times New Roman" w:eastAsia="宋体" w:cs="Times New Roman"/>
                <w:color w:val="000000" w:themeColor="text1"/>
                <w14:textFill>
                  <w14:solidFill>
                    <w14:schemeClr w14:val="tx1"/>
                  </w14:solidFill>
                </w14:textFill>
              </w:rPr>
            </w:pPr>
          </w:p>
          <w:p w14:paraId="6A6CF590">
            <w:pPr>
              <w:ind w:left="0" w:leftChars="0" w:firstLine="0" w:firstLineChars="0"/>
              <w:jc w:val="both"/>
              <w:rPr>
                <w:rFonts w:hint="default" w:ascii="Times New Roman" w:hAnsi="Times New Roman" w:eastAsia="宋体" w:cs="Times New Roman"/>
                <w:color w:val="000000" w:themeColor="text1"/>
                <w14:textFill>
                  <w14:solidFill>
                    <w14:schemeClr w14:val="tx1"/>
                  </w14:solidFill>
                </w14:textFill>
              </w:rPr>
            </w:pPr>
          </w:p>
          <w:p w14:paraId="7121BA3B">
            <w:pPr>
              <w:ind w:left="0" w:leftChars="0" w:firstLine="0" w:firstLineChars="0"/>
              <w:jc w:val="both"/>
              <w:rPr>
                <w:rFonts w:hint="default" w:ascii="Times New Roman" w:hAnsi="Times New Roman" w:eastAsia="宋体" w:cs="Times New Roman"/>
                <w:color w:val="000000" w:themeColor="text1"/>
                <w14:textFill>
                  <w14:solidFill>
                    <w14:schemeClr w14:val="tx1"/>
                  </w14:solidFill>
                </w14:textFill>
              </w:rPr>
            </w:pPr>
          </w:p>
          <w:p w14:paraId="4571A109">
            <w:pPr>
              <w:ind w:left="0" w:leftChars="0" w:firstLine="0" w:firstLineChars="0"/>
              <w:jc w:val="both"/>
              <w:rPr>
                <w:rFonts w:hint="default" w:ascii="Times New Roman" w:hAnsi="Times New Roman" w:eastAsia="宋体" w:cs="Times New Roman"/>
                <w:color w:val="000000" w:themeColor="text1"/>
                <w14:textFill>
                  <w14:solidFill>
                    <w14:schemeClr w14:val="tx1"/>
                  </w14:solidFill>
                </w14:textFill>
              </w:rPr>
            </w:pPr>
          </w:p>
          <w:p w14:paraId="31C67AED">
            <w:pPr>
              <w:ind w:left="0" w:leftChars="0" w:firstLine="0" w:firstLineChars="0"/>
              <w:jc w:val="both"/>
              <w:rPr>
                <w:rFonts w:hint="default" w:ascii="Times New Roman" w:hAnsi="Times New Roman" w:eastAsia="宋体" w:cs="Times New Roman"/>
                <w:color w:val="000000" w:themeColor="text1"/>
                <w14:textFill>
                  <w14:solidFill>
                    <w14:schemeClr w14:val="tx1"/>
                  </w14:solidFill>
                </w14:textFill>
              </w:rPr>
            </w:pPr>
          </w:p>
          <w:p w14:paraId="25923E91">
            <w:pPr>
              <w:ind w:left="0" w:leftChars="0" w:firstLine="0" w:firstLineChars="0"/>
              <w:jc w:val="both"/>
              <w:rPr>
                <w:rFonts w:hint="default" w:ascii="Times New Roman" w:hAnsi="Times New Roman" w:eastAsia="宋体" w:cs="Times New Roman"/>
                <w:color w:val="000000" w:themeColor="text1"/>
                <w14:textFill>
                  <w14:solidFill>
                    <w14:schemeClr w14:val="tx1"/>
                  </w14:solidFill>
                </w14:textFill>
              </w:rPr>
            </w:pPr>
          </w:p>
          <w:p w14:paraId="2C388031">
            <w:pPr>
              <w:ind w:left="0" w:leftChars="0" w:firstLine="0" w:firstLineChars="0"/>
              <w:jc w:val="both"/>
              <w:rPr>
                <w:rFonts w:hint="default" w:ascii="Times New Roman" w:hAnsi="Times New Roman" w:eastAsia="宋体" w:cs="Times New Roman"/>
                <w:color w:val="000000" w:themeColor="text1"/>
                <w14:textFill>
                  <w14:solidFill>
                    <w14:schemeClr w14:val="tx1"/>
                  </w14:solidFill>
                </w14:textFill>
              </w:rPr>
            </w:pPr>
          </w:p>
          <w:p w14:paraId="3F02E467">
            <w:pPr>
              <w:ind w:left="0" w:leftChars="0" w:firstLine="0" w:firstLineChars="0"/>
              <w:jc w:val="both"/>
              <w:rPr>
                <w:rFonts w:hint="default" w:ascii="Times New Roman" w:hAnsi="Times New Roman" w:eastAsia="宋体" w:cs="Times New Roman"/>
                <w:color w:val="000000" w:themeColor="text1"/>
                <w14:textFill>
                  <w14:solidFill>
                    <w14:schemeClr w14:val="tx1"/>
                  </w14:solidFill>
                </w14:textFill>
              </w:rPr>
            </w:pPr>
          </w:p>
          <w:p w14:paraId="23B94C5C">
            <w:pPr>
              <w:ind w:left="0" w:leftChars="0" w:firstLine="0" w:firstLineChars="0"/>
              <w:jc w:val="both"/>
              <w:rPr>
                <w:rFonts w:hint="default" w:ascii="Times New Roman" w:hAnsi="Times New Roman" w:eastAsia="宋体" w:cs="Times New Roman"/>
                <w:color w:val="000000" w:themeColor="text1"/>
                <w14:textFill>
                  <w14:solidFill>
                    <w14:schemeClr w14:val="tx1"/>
                  </w14:solidFill>
                </w14:textFill>
              </w:rPr>
            </w:pPr>
          </w:p>
        </w:tc>
      </w:tr>
    </w:tbl>
    <w:p w14:paraId="739B3828">
      <w:pPr>
        <w:ind w:firstLine="480"/>
        <w:jc w:val="both"/>
        <w:rPr>
          <w:rFonts w:hint="default" w:ascii="Times New Roman" w:hAnsi="Times New Roman" w:eastAsia="宋体" w:cs="Times New Roman"/>
          <w:color w:val="000000" w:themeColor="text1"/>
          <w14:textFill>
            <w14:solidFill>
              <w14:schemeClr w14:val="tx1"/>
            </w14:solidFill>
          </w14:textFill>
        </w:rPr>
        <w:sectPr>
          <w:pgSz w:w="11907" w:h="16840"/>
          <w:pgMar w:top="1440" w:right="1797" w:bottom="1440" w:left="1797" w:header="851" w:footer="1077" w:gutter="0"/>
          <w:pgBorders>
            <w:top w:val="none" w:sz="0" w:space="0"/>
            <w:left w:val="none" w:sz="0" w:space="0"/>
            <w:bottom w:val="none" w:sz="0" w:space="0"/>
            <w:right w:val="none" w:sz="0" w:space="0"/>
          </w:pgBorders>
          <w:pgNumType w:fmt="decimal"/>
          <w:cols w:space="425" w:num="1"/>
          <w:docGrid w:linePitch="312" w:charSpace="0"/>
        </w:sectPr>
      </w:pPr>
    </w:p>
    <w:p w14:paraId="685D588E">
      <w:pPr>
        <w:pStyle w:val="2"/>
        <w:bidi w:val="0"/>
        <w:ind w:firstLine="3915" w:firstLineChars="1300"/>
        <w:jc w:val="both"/>
        <w:rPr>
          <w:rFonts w:hint="eastAsia" w:ascii="宋体" w:hAnsi="宋体" w:eastAsia="宋体" w:cs="宋体"/>
          <w:color w:val="000000" w:themeColor="text1"/>
          <w14:textFill>
            <w14:solidFill>
              <w14:schemeClr w14:val="tx1"/>
            </w14:solidFill>
          </w14:textFill>
        </w:rPr>
      </w:pPr>
      <w:bookmarkStart w:id="21" w:name="_Toc19229"/>
      <w:r>
        <w:rPr>
          <w:rFonts w:hint="eastAsia" w:ascii="宋体" w:hAnsi="宋体" w:eastAsia="宋体" w:cs="宋体"/>
          <w:color w:val="000000" w:themeColor="text1"/>
          <w14:textFill>
            <w14:solidFill>
              <w14:schemeClr w14:val="tx1"/>
            </w14:solidFill>
          </w14:textFill>
        </w:rPr>
        <w:t>六、生态环境保护措施监督检查清单</w:t>
      </w:r>
      <w:bookmarkEnd w:id="21"/>
    </w:p>
    <w:tbl>
      <w:tblPr>
        <w:tblStyle w:val="26"/>
        <w:tblW w:w="4999"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988"/>
        <w:gridCol w:w="4018"/>
        <w:gridCol w:w="1943"/>
        <w:gridCol w:w="3995"/>
        <w:gridCol w:w="2229"/>
      </w:tblGrid>
      <w:tr w14:paraId="40694F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717" w:type="pct"/>
            <w:vMerge w:val="restart"/>
            <w:tcBorders>
              <w:tl2br w:val="single" w:color="auto" w:sz="4" w:space="0"/>
            </w:tcBorders>
            <w:vAlign w:val="center"/>
          </w:tcPr>
          <w:p w14:paraId="09DC2D57">
            <w:pPr>
              <w:keepNext w:val="0"/>
              <w:keepLines w:val="0"/>
              <w:pageBreakBefore w:val="0"/>
              <w:widowControl w:val="0"/>
              <w:kinsoku/>
              <w:wordWrap/>
              <w:overflowPunct/>
              <w:topLinePunct w:val="0"/>
              <w:autoSpaceDE/>
              <w:autoSpaceDN/>
              <w:bidi w:val="0"/>
              <w:adjustRightInd/>
              <w:snapToGrid/>
              <w:spacing w:line="240" w:lineRule="auto"/>
              <w:jc w:val="right"/>
              <w:textAlignment w:val="auto"/>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内容</w:t>
            </w:r>
          </w:p>
          <w:p w14:paraId="3554807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要素</w:t>
            </w:r>
          </w:p>
        </w:tc>
        <w:tc>
          <w:tcPr>
            <w:tcW w:w="2055" w:type="pct"/>
            <w:gridSpan w:val="2"/>
            <w:vAlign w:val="center"/>
          </w:tcPr>
          <w:p w14:paraId="2CB1B88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施工期</w:t>
            </w:r>
          </w:p>
        </w:tc>
        <w:tc>
          <w:tcPr>
            <w:tcW w:w="2227" w:type="pct"/>
            <w:gridSpan w:val="2"/>
            <w:vAlign w:val="center"/>
          </w:tcPr>
          <w:p w14:paraId="40A5729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运营期</w:t>
            </w:r>
          </w:p>
        </w:tc>
      </w:tr>
      <w:tr w14:paraId="320273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717" w:type="pct"/>
            <w:vMerge w:val="continue"/>
            <w:vAlign w:val="center"/>
          </w:tcPr>
          <w:p w14:paraId="6C1BB82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b/>
                <w:bCs/>
                <w:color w:val="000000" w:themeColor="text1"/>
                <w:sz w:val="21"/>
                <w:szCs w:val="21"/>
                <w14:textFill>
                  <w14:solidFill>
                    <w14:schemeClr w14:val="tx1"/>
                  </w14:solidFill>
                </w14:textFill>
              </w:rPr>
            </w:pPr>
          </w:p>
        </w:tc>
        <w:tc>
          <w:tcPr>
            <w:tcW w:w="1433" w:type="pct"/>
            <w:vAlign w:val="center"/>
          </w:tcPr>
          <w:p w14:paraId="1568A53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环境保护措施</w:t>
            </w:r>
          </w:p>
        </w:tc>
        <w:tc>
          <w:tcPr>
            <w:tcW w:w="621" w:type="pct"/>
            <w:vAlign w:val="center"/>
          </w:tcPr>
          <w:p w14:paraId="3A780A5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验收要求</w:t>
            </w:r>
          </w:p>
        </w:tc>
        <w:tc>
          <w:tcPr>
            <w:tcW w:w="1425" w:type="pct"/>
            <w:vAlign w:val="center"/>
          </w:tcPr>
          <w:p w14:paraId="330D94A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环境保护措施</w:t>
            </w:r>
          </w:p>
        </w:tc>
        <w:tc>
          <w:tcPr>
            <w:tcW w:w="801" w:type="pct"/>
            <w:vAlign w:val="center"/>
          </w:tcPr>
          <w:p w14:paraId="05C83A8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验收要求</w:t>
            </w:r>
          </w:p>
        </w:tc>
      </w:tr>
      <w:tr w14:paraId="335F85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717" w:type="pct"/>
            <w:vAlign w:val="center"/>
          </w:tcPr>
          <w:p w14:paraId="79DF5F3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陆生生态</w:t>
            </w:r>
          </w:p>
        </w:tc>
        <w:tc>
          <w:tcPr>
            <w:tcW w:w="1433" w:type="pct"/>
            <w:vAlign w:val="center"/>
          </w:tcPr>
          <w:p w14:paraId="5DFB48D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cs="Times New Roman"/>
                <w:color w:val="000000" w:themeColor="text1"/>
                <w:sz w:val="21"/>
                <w:szCs w:val="21"/>
                <w:lang w:eastAsia="zh-CN"/>
                <w14:textFill>
                  <w14:solidFill>
                    <w14:schemeClr w14:val="tx1"/>
                  </w14:solidFill>
                </w14:textFill>
              </w:rPr>
              <w:t>（</w:t>
            </w:r>
            <w:r>
              <w:rPr>
                <w:rFonts w:hint="eastAsia" w:ascii="Times New Roman" w:hAnsi="Times New Roman" w:cs="Times New Roman"/>
                <w:color w:val="000000" w:themeColor="text1"/>
                <w:sz w:val="21"/>
                <w:szCs w:val="21"/>
                <w:lang w:val="en-US" w:eastAsia="zh-CN"/>
                <w14:textFill>
                  <w14:solidFill>
                    <w14:schemeClr w14:val="tx1"/>
                  </w14:solidFill>
                </w14:textFill>
              </w:rPr>
              <w:t>1</w:t>
            </w:r>
            <w:r>
              <w:rPr>
                <w:rFonts w:hint="eastAsia" w:ascii="Times New Roman" w:hAnsi="Times New Roman" w:cs="Times New Roman"/>
                <w:color w:val="000000" w:themeColor="text1"/>
                <w:sz w:val="21"/>
                <w:szCs w:val="21"/>
                <w:lang w:eastAsia="zh-CN"/>
                <w14:textFill>
                  <w14:solidFill>
                    <w14:schemeClr w14:val="tx1"/>
                  </w14:solidFill>
                </w14:textFill>
              </w:rPr>
              <w:t>）</w:t>
            </w:r>
            <w:r>
              <w:rPr>
                <w:rFonts w:hint="default" w:ascii="Times New Roman" w:hAnsi="Times New Roman" w:eastAsia="宋体" w:cs="Times New Roman"/>
                <w:color w:val="000000" w:themeColor="text1"/>
                <w:sz w:val="21"/>
                <w:szCs w:val="21"/>
                <w14:textFill>
                  <w14:solidFill>
                    <w14:schemeClr w14:val="tx1"/>
                  </w14:solidFill>
                </w14:textFill>
              </w:rPr>
              <w:t>在施工建设过程中，尽量减少施工占地及临时占地，最大限度</w:t>
            </w:r>
            <w:r>
              <w:rPr>
                <w:rFonts w:hint="eastAsia" w:ascii="Times New Roman" w:hAnsi="Times New Roman" w:cs="Times New Roman"/>
                <w:color w:val="000000" w:themeColor="text1"/>
                <w:sz w:val="21"/>
                <w:szCs w:val="21"/>
                <w:lang w:eastAsia="zh-CN"/>
                <w14:textFill>
                  <w14:solidFill>
                    <w14:schemeClr w14:val="tx1"/>
                  </w14:solidFill>
                </w14:textFill>
              </w:rPr>
              <w:t>地</w:t>
            </w:r>
            <w:r>
              <w:rPr>
                <w:rFonts w:hint="default" w:ascii="Times New Roman" w:hAnsi="Times New Roman" w:eastAsia="宋体" w:cs="Times New Roman"/>
                <w:color w:val="000000" w:themeColor="text1"/>
                <w:sz w:val="21"/>
                <w:szCs w:val="21"/>
                <w14:textFill>
                  <w14:solidFill>
                    <w14:schemeClr w14:val="tx1"/>
                  </w14:solidFill>
                </w14:textFill>
              </w:rPr>
              <w:t>减少对地表原貌的生态破坏。</w:t>
            </w:r>
          </w:p>
          <w:p w14:paraId="04D4E3E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（2）工程开工前，建设前应当对工程最终设计方案与环评方案进行梳理对比，构成重大变动的应当对变动内容进行环境影响评价并重新报批，构成一般变动的应当向有审批权限的生态环境主管部门进行备案。</w:t>
            </w:r>
          </w:p>
          <w:p w14:paraId="7FDBCD7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（3）施工过程中严格执行国家及云南省关于林地使用的相关法律法规，严格执行并办理林地使用手续方可开工建设。</w:t>
            </w:r>
          </w:p>
          <w:p w14:paraId="146DD0A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4）施工设计阶段必须进行施工组织设计，合理规划临时施工场地，严格选择施工附属设施的布置位置，驻地区应避让植被长势较好的植被区，如应避让乔木林地，植被尽可能保留，不改变林地性质，并远离线路附近的村庄，优化布置，减少占地。</w:t>
            </w:r>
          </w:p>
          <w:p w14:paraId="726F6D9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w:t>
            </w:r>
            <w:r>
              <w:rPr>
                <w:rFonts w:hint="eastAsia" w:ascii="Times New Roman" w:hAnsi="Times New Roman" w:cs="Times New Roman"/>
                <w:color w:val="000000" w:themeColor="text1"/>
                <w:sz w:val="21"/>
                <w:szCs w:val="21"/>
                <w:lang w:val="en-US" w:eastAsia="zh-CN"/>
                <w14:textFill>
                  <w14:solidFill>
                    <w14:schemeClr w14:val="tx1"/>
                  </w14:solidFill>
                </w14:textFill>
              </w:rPr>
              <w:t>5</w:t>
            </w:r>
            <w:r>
              <w:rPr>
                <w:rFonts w:hint="default" w:ascii="Times New Roman" w:hAnsi="Times New Roman" w:eastAsia="宋体" w:cs="Times New Roman"/>
                <w:color w:val="000000" w:themeColor="text1"/>
                <w:sz w:val="21"/>
                <w:szCs w:val="21"/>
                <w14:textFill>
                  <w14:solidFill>
                    <w14:schemeClr w14:val="tx1"/>
                  </w14:solidFill>
                </w14:textFill>
              </w:rPr>
              <w:t>）施工期临时用地应永临结合，优先利用荒地、劣地；临时占地采取隔离保护措施（如铺设草垫或棕垫），施工结束</w:t>
            </w:r>
            <w:r>
              <w:rPr>
                <w:rFonts w:hint="eastAsia" w:ascii="Times New Roman" w:hAnsi="Times New Roman" w:cs="Times New Roman"/>
                <w:color w:val="000000" w:themeColor="text1"/>
                <w:sz w:val="21"/>
                <w:szCs w:val="21"/>
                <w:lang w:eastAsia="zh-CN"/>
                <w14:textFill>
                  <w14:solidFill>
                    <w14:schemeClr w14:val="tx1"/>
                  </w14:solidFill>
                </w14:textFill>
              </w:rPr>
              <w:t>后</w:t>
            </w:r>
            <w:r>
              <w:rPr>
                <w:rFonts w:hint="default" w:ascii="Times New Roman" w:hAnsi="Times New Roman" w:eastAsia="宋体" w:cs="Times New Roman"/>
                <w:color w:val="000000" w:themeColor="text1"/>
                <w:sz w:val="21"/>
                <w:szCs w:val="21"/>
                <w14:textFill>
                  <w14:solidFill>
                    <w14:schemeClr w14:val="tx1"/>
                  </w14:solidFill>
                </w14:textFill>
              </w:rPr>
              <w:t>将多余砂石料、混凝土残渣等及时清除，做到“工完、料尽、场地清”。</w:t>
            </w:r>
          </w:p>
          <w:p w14:paraId="23F9A40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w:t>
            </w:r>
            <w:r>
              <w:rPr>
                <w:rFonts w:hint="eastAsia" w:ascii="Times New Roman" w:hAnsi="Times New Roman" w:cs="Times New Roman"/>
                <w:color w:val="000000" w:themeColor="text1"/>
                <w:sz w:val="21"/>
                <w:szCs w:val="21"/>
                <w:lang w:val="en-US" w:eastAsia="zh-CN"/>
                <w14:textFill>
                  <w14:solidFill>
                    <w14:schemeClr w14:val="tx1"/>
                  </w14:solidFill>
                </w14:textFill>
              </w:rPr>
              <w:t>6</w:t>
            </w:r>
            <w:r>
              <w:rPr>
                <w:rFonts w:hint="default" w:ascii="Times New Roman" w:hAnsi="Times New Roman" w:eastAsia="宋体" w:cs="Times New Roman"/>
                <w:color w:val="000000" w:themeColor="text1"/>
                <w:sz w:val="21"/>
                <w:szCs w:val="21"/>
                <w14:textFill>
                  <w14:solidFill>
                    <w14:schemeClr w14:val="tx1"/>
                  </w14:solidFill>
                </w14:textFill>
              </w:rPr>
              <w:t>）土石方开挖工程尽量避开雨季施工，土石方及时回填、夯实、平整，就地利用，不外弃。</w:t>
            </w:r>
          </w:p>
          <w:p w14:paraId="2DDC7F6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w:t>
            </w:r>
            <w:r>
              <w:rPr>
                <w:rFonts w:hint="eastAsia" w:ascii="Times New Roman" w:hAnsi="Times New Roman" w:cs="Times New Roman"/>
                <w:color w:val="000000" w:themeColor="text1"/>
                <w:sz w:val="21"/>
                <w:szCs w:val="21"/>
                <w:lang w:val="en-US" w:eastAsia="zh-CN"/>
                <w14:textFill>
                  <w14:solidFill>
                    <w14:schemeClr w14:val="tx1"/>
                  </w14:solidFill>
                </w14:textFill>
              </w:rPr>
              <w:t>7</w:t>
            </w:r>
            <w:r>
              <w:rPr>
                <w:rFonts w:hint="default" w:ascii="Times New Roman" w:hAnsi="Times New Roman" w:eastAsia="宋体" w:cs="Times New Roman"/>
                <w:color w:val="000000" w:themeColor="text1"/>
                <w:sz w:val="21"/>
                <w:szCs w:val="21"/>
                <w14:textFill>
                  <w14:solidFill>
                    <w14:schemeClr w14:val="tx1"/>
                  </w14:solidFill>
                </w14:textFill>
              </w:rPr>
              <w:t>）加强对施工人员的管理和生态环境保护宣传教育，严禁猎杀兽类，严禁捕蛇、打鸟、捉蛙、捉野鸡野兔等捕杀野生动物行为，严禁食用野生动物（野味）。增强工作人员环保意识，不购买、不食用野生动物及制品。</w:t>
            </w:r>
          </w:p>
          <w:p w14:paraId="2298658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w:t>
            </w:r>
            <w:r>
              <w:rPr>
                <w:rFonts w:hint="eastAsia" w:ascii="Times New Roman" w:hAnsi="Times New Roman" w:cs="Times New Roman"/>
                <w:color w:val="000000" w:themeColor="text1"/>
                <w:sz w:val="21"/>
                <w:szCs w:val="21"/>
                <w:lang w:val="en-US" w:eastAsia="zh-CN"/>
                <w14:textFill>
                  <w14:solidFill>
                    <w14:schemeClr w14:val="tx1"/>
                  </w14:solidFill>
                </w14:textFill>
              </w:rPr>
              <w:t>8</w:t>
            </w:r>
            <w:r>
              <w:rPr>
                <w:rFonts w:hint="default" w:ascii="Times New Roman" w:hAnsi="Times New Roman" w:eastAsia="宋体" w:cs="Times New Roman"/>
                <w:color w:val="000000" w:themeColor="text1"/>
                <w:sz w:val="21"/>
                <w:szCs w:val="21"/>
                <w14:textFill>
                  <w14:solidFill>
                    <w14:schemeClr w14:val="tx1"/>
                  </w14:solidFill>
                </w14:textFill>
              </w:rPr>
              <w:t>）在鸟类繁殖期（每年6</w:t>
            </w:r>
            <w:r>
              <w:rPr>
                <w:rFonts w:hint="eastAsia" w:ascii="Times New Roman" w:hAnsi="Times New Roman" w:cs="Times New Roman"/>
                <w:color w:val="000000" w:themeColor="text1"/>
                <w:sz w:val="21"/>
                <w:szCs w:val="21"/>
                <w:lang w:eastAsia="zh-CN"/>
                <w14:textFill>
                  <w14:solidFill>
                    <w14:schemeClr w14:val="tx1"/>
                  </w14:solidFill>
                </w14:textFill>
              </w:rPr>
              <w:t>—</w:t>
            </w:r>
            <w:r>
              <w:rPr>
                <w:rFonts w:hint="default" w:ascii="Times New Roman" w:hAnsi="Times New Roman" w:eastAsia="宋体" w:cs="Times New Roman"/>
                <w:color w:val="000000" w:themeColor="text1"/>
                <w:sz w:val="21"/>
                <w:szCs w:val="21"/>
                <w14:textFill>
                  <w14:solidFill>
                    <w14:schemeClr w14:val="tx1"/>
                  </w14:solidFill>
                </w14:textFill>
              </w:rPr>
              <w:t>8月），应尽量减少因施工噪声所引起的干扰鸟类繁殖的情况发生。</w:t>
            </w:r>
          </w:p>
          <w:p w14:paraId="5302CB2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w:t>
            </w:r>
            <w:r>
              <w:rPr>
                <w:rFonts w:hint="eastAsia" w:ascii="Times New Roman" w:hAnsi="Times New Roman" w:cs="Times New Roman"/>
                <w:color w:val="000000" w:themeColor="text1"/>
                <w:sz w:val="21"/>
                <w:szCs w:val="21"/>
                <w:lang w:val="en-US" w:eastAsia="zh-CN"/>
                <w14:textFill>
                  <w14:solidFill>
                    <w14:schemeClr w14:val="tx1"/>
                  </w14:solidFill>
                </w14:textFill>
              </w:rPr>
              <w:t>9</w:t>
            </w:r>
            <w:r>
              <w:rPr>
                <w:rFonts w:hint="default" w:ascii="Times New Roman" w:hAnsi="Times New Roman" w:eastAsia="宋体" w:cs="Times New Roman"/>
                <w:color w:val="000000" w:themeColor="text1"/>
                <w:sz w:val="21"/>
                <w:szCs w:val="21"/>
                <w14:textFill>
                  <w14:solidFill>
                    <w14:schemeClr w14:val="tx1"/>
                  </w14:solidFill>
                </w14:textFill>
              </w:rPr>
              <w:t>）施工过程中注意保护好表层土壤，用于施工结束后施工迹地的恢复。工程结束后应督促施工单位及时拆除临时建筑，清理和平整场地，恢复土层。</w:t>
            </w:r>
          </w:p>
          <w:p w14:paraId="1B8065C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eastAsia="zh-CN"/>
                <w14:textFill>
                  <w14:solidFill>
                    <w14:schemeClr w14:val="tx1"/>
                  </w14:solidFill>
                </w14:textFill>
              </w:rPr>
              <w:t>（</w:t>
            </w:r>
            <w:r>
              <w:rPr>
                <w:rFonts w:hint="eastAsia" w:ascii="Times New Roman" w:hAnsi="Times New Roman" w:cs="Times New Roman"/>
                <w:color w:val="000000" w:themeColor="text1"/>
                <w:sz w:val="21"/>
                <w:szCs w:val="21"/>
                <w:lang w:val="en-US" w:eastAsia="zh-CN"/>
                <w14:textFill>
                  <w14:solidFill>
                    <w14:schemeClr w14:val="tx1"/>
                  </w14:solidFill>
                </w14:textFill>
              </w:rPr>
              <w:t>10</w:t>
            </w:r>
            <w:r>
              <w:rPr>
                <w:rFonts w:hint="eastAsia" w:ascii="Times New Roman" w:hAnsi="Times New Roman" w:cs="Times New Roman"/>
                <w:color w:val="000000" w:themeColor="text1"/>
                <w:sz w:val="21"/>
                <w:szCs w:val="21"/>
                <w:lang w:eastAsia="zh-CN"/>
                <w14:textFill>
                  <w14:solidFill>
                    <w14:schemeClr w14:val="tx1"/>
                  </w14:solidFill>
                </w14:textFill>
              </w:rPr>
              <w:t>）</w:t>
            </w:r>
            <w:r>
              <w:rPr>
                <w:rFonts w:hint="default" w:ascii="Times New Roman" w:hAnsi="Times New Roman" w:eastAsia="宋体" w:cs="Times New Roman"/>
                <w:color w:val="000000" w:themeColor="text1"/>
                <w:sz w:val="21"/>
                <w:szCs w:val="21"/>
                <w14:textFill>
                  <w14:solidFill>
                    <w14:schemeClr w14:val="tx1"/>
                  </w14:solidFill>
                </w14:textFill>
              </w:rPr>
              <w:t>严格按照租地范围进行施工，划定最小施工范围，严格划定施工界限，禁止超范围占地，避免超计划占用林地、林木，严禁随意扩大占地范围，严禁施工人员砍伐、破坏工程占地区外的植被，严禁在征地范围外堆渣等作业，减小植被受影响面积。</w:t>
            </w:r>
          </w:p>
        </w:tc>
        <w:tc>
          <w:tcPr>
            <w:tcW w:w="621" w:type="pct"/>
            <w:vAlign w:val="center"/>
          </w:tcPr>
          <w:p w14:paraId="4F7BB94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施工迹地全部</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恢复</w:t>
            </w:r>
            <w:r>
              <w:rPr>
                <w:rFonts w:hint="default" w:ascii="Times New Roman" w:hAnsi="Times New Roman" w:eastAsia="宋体" w:cs="Times New Roman"/>
                <w:color w:val="000000" w:themeColor="text1"/>
                <w:sz w:val="21"/>
                <w:szCs w:val="21"/>
                <w14:textFill>
                  <w14:solidFill>
                    <w14:schemeClr w14:val="tx1"/>
                  </w14:solidFill>
                </w14:textFill>
              </w:rPr>
              <w:t>，水土流失得到有效控制。</w:t>
            </w:r>
          </w:p>
        </w:tc>
        <w:tc>
          <w:tcPr>
            <w:tcW w:w="1425" w:type="pct"/>
            <w:vAlign w:val="center"/>
          </w:tcPr>
          <w:p w14:paraId="5CA1F69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（1）项目建设应严格控制项目占地范围，按照项目规划布局进行建设，对评价区的硬叶常绿阔叶林进行严格保护、严禁对硬叶常绿阔叶林的破坏。</w:t>
            </w:r>
          </w:p>
          <w:p w14:paraId="353CF46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注意种植整地的方式。根据种植技术要求，采用沿地势坡向林下整地做床，相隔一定距离沿等高线开挖截排水沟，带状整地中间保留一定的原生植被，并采用减少地表径流的汇集，减少水土流失，也可以保水保肥。</w:t>
            </w:r>
          </w:p>
          <w:p w14:paraId="7B16ED1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（3）在运营</w:t>
            </w:r>
            <w:r>
              <w:rPr>
                <w:rFonts w:hint="eastAsia" w:ascii="Times New Roman" w:hAnsi="Times New Roman" w:cs="Times New Roman"/>
                <w:color w:val="000000" w:themeColor="text1"/>
                <w:sz w:val="21"/>
                <w:szCs w:val="21"/>
                <w:lang w:val="en-US" w:eastAsia="zh-CN"/>
                <w14:textFill>
                  <w14:solidFill>
                    <w14:schemeClr w14:val="tx1"/>
                  </w14:solidFill>
                </w14:textFill>
              </w:rPr>
              <w:t>期间</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减少对动物栖息地生境的破坏行为，</w:t>
            </w:r>
            <w:r>
              <w:rPr>
                <w:rFonts w:hint="eastAsia" w:ascii="Times New Roman" w:hAnsi="Times New Roman" w:cs="Times New Roman"/>
                <w:color w:val="000000" w:themeColor="text1"/>
                <w:sz w:val="21"/>
                <w:szCs w:val="21"/>
                <w:lang w:val="en-US" w:eastAsia="zh-CN"/>
                <w14:textFill>
                  <w14:solidFill>
                    <w14:schemeClr w14:val="tx1"/>
                  </w14:solidFill>
                </w14:textFill>
              </w:rPr>
              <w:t>加强</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人员管理，杜绝工作人员私自制造狩猎工具和捕杀野生动物；</w:t>
            </w:r>
          </w:p>
          <w:p w14:paraId="089FEA1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（4）严格运营期项目场区烟火管理，防止森林火灾的发生。</w:t>
            </w:r>
          </w:p>
          <w:p w14:paraId="67D1AC8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（5）加强工作人员对野生动物和生态环境的保护意识教育，若</w:t>
            </w:r>
            <w:r>
              <w:rPr>
                <w:rFonts w:hint="eastAsia" w:ascii="Times New Roman" w:hAnsi="Times New Roman" w:cs="Times New Roman"/>
                <w:color w:val="000000" w:themeColor="text1"/>
                <w:sz w:val="21"/>
                <w:szCs w:val="21"/>
                <w:lang w:val="en-US" w:eastAsia="zh-CN"/>
                <w14:textFill>
                  <w14:solidFill>
                    <w14:schemeClr w14:val="tx1"/>
                  </w14:solidFill>
                </w14:textFill>
              </w:rPr>
              <w:t>遇到</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幼兽或受伤的兽类，应交给林草局的专业人员，不得擅自处理；设置保护动物的警示牌。</w:t>
            </w:r>
          </w:p>
        </w:tc>
        <w:tc>
          <w:tcPr>
            <w:tcW w:w="801" w:type="pct"/>
            <w:vAlign w:val="center"/>
          </w:tcPr>
          <w:p w14:paraId="3FEBD9E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无</w:t>
            </w:r>
          </w:p>
        </w:tc>
      </w:tr>
      <w:tr w14:paraId="0BCB7D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717" w:type="pct"/>
            <w:vAlign w:val="center"/>
          </w:tcPr>
          <w:p w14:paraId="470142A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水生生态</w:t>
            </w:r>
          </w:p>
        </w:tc>
        <w:tc>
          <w:tcPr>
            <w:tcW w:w="1433" w:type="pct"/>
            <w:vAlign w:val="center"/>
          </w:tcPr>
          <w:p w14:paraId="3D82186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w:t>
            </w:r>
          </w:p>
        </w:tc>
        <w:tc>
          <w:tcPr>
            <w:tcW w:w="621" w:type="pct"/>
            <w:vAlign w:val="center"/>
          </w:tcPr>
          <w:p w14:paraId="126E392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w:t>
            </w:r>
          </w:p>
        </w:tc>
        <w:tc>
          <w:tcPr>
            <w:tcW w:w="1425" w:type="pct"/>
            <w:vAlign w:val="center"/>
          </w:tcPr>
          <w:p w14:paraId="4D09D2C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w:t>
            </w:r>
          </w:p>
        </w:tc>
        <w:tc>
          <w:tcPr>
            <w:tcW w:w="801" w:type="pct"/>
            <w:vAlign w:val="center"/>
          </w:tcPr>
          <w:p w14:paraId="327017C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w:t>
            </w:r>
          </w:p>
        </w:tc>
      </w:tr>
      <w:tr w14:paraId="23092B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717" w:type="pct"/>
            <w:vAlign w:val="center"/>
          </w:tcPr>
          <w:p w14:paraId="6149B71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地表水环境</w:t>
            </w:r>
          </w:p>
        </w:tc>
        <w:tc>
          <w:tcPr>
            <w:tcW w:w="1433" w:type="pct"/>
            <w:vAlign w:val="center"/>
          </w:tcPr>
          <w:p w14:paraId="4F91AA0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（1）施工人员不在项目区食宿，项目区内施工人员日常产生的洗手废水经收集后就近进入沉淀池或水池，回用于施工区域内降尘，不外排，不会对周围地表水环境造成影响。</w:t>
            </w:r>
          </w:p>
          <w:p w14:paraId="146F0DD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2）雨季径流：一片区雨水经设置的截排水沟收集后排入水池内（根据片区排入最近水池，共3个水池），沉淀后回用于项目区内洒水降尘，废水不外排；二片区雨水经设置的截排水沟收集后排入水池内（根据片区排入最近水池，共12个水池），沉淀后回用于项目区内洒水降尘，不外排。对周围地表水体影响较小。</w:t>
            </w:r>
          </w:p>
        </w:tc>
        <w:tc>
          <w:tcPr>
            <w:tcW w:w="621" w:type="pct"/>
            <w:vAlign w:val="center"/>
          </w:tcPr>
          <w:p w14:paraId="59B06E8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不外排</w:t>
            </w:r>
          </w:p>
        </w:tc>
        <w:tc>
          <w:tcPr>
            <w:tcW w:w="1425" w:type="pct"/>
            <w:vAlign w:val="center"/>
          </w:tcPr>
          <w:p w14:paraId="7F719FF0">
            <w:pPr>
              <w:keepNext w:val="0"/>
              <w:keepLines w:val="0"/>
              <w:pageBreakBefore w:val="0"/>
              <w:widowControl w:val="0"/>
              <w:numPr>
                <w:ilvl w:val="0"/>
                <w:numId w:val="10"/>
              </w:numPr>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生活污水：项目生活污水经隔油池，化粪池预处理后排入一体化污水处理设备处理，处理达到《农田灌溉水质标准》（GB 5084—2021）中的“旱地作物”标准后的废水排入水池，回用于项目区内灌溉，不外排；</w:t>
            </w:r>
          </w:p>
          <w:p w14:paraId="752D99C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（2）项目种植的蓝莓、三七、羊肚菌类均采用喷灌或滴灌的灌溉方式，能精准控制水量，有效避免径流。</w:t>
            </w:r>
          </w:p>
          <w:p w14:paraId="137CAB7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雨水进入施工期已建设截排水沟，经截排水沟汇入水池，回用于项目区灌溉。一片区雨水收集主要进入2#和3#水池，再通过管道抽回至其他水池后回用于项目区灌溉；二片区在种植区和道路区在地势低处设置截排水沟，靠近2#水池部分雨水流入截排水沟，经截排水沟汇入2#水池，其余部分收集进入6#、10#水池，沉淀后回用于项目区灌溉。</w:t>
            </w:r>
          </w:p>
        </w:tc>
        <w:tc>
          <w:tcPr>
            <w:tcW w:w="801" w:type="pct"/>
            <w:vAlign w:val="center"/>
          </w:tcPr>
          <w:p w14:paraId="64633B6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不外排</w:t>
            </w:r>
          </w:p>
        </w:tc>
      </w:tr>
      <w:tr w14:paraId="1F5384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717" w:type="pct"/>
            <w:vAlign w:val="center"/>
          </w:tcPr>
          <w:p w14:paraId="02E78D4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地下水及土壤环境</w:t>
            </w:r>
          </w:p>
        </w:tc>
        <w:tc>
          <w:tcPr>
            <w:tcW w:w="1433" w:type="pct"/>
            <w:vAlign w:val="center"/>
          </w:tcPr>
          <w:p w14:paraId="60B94AF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w:t>
            </w:r>
          </w:p>
        </w:tc>
        <w:tc>
          <w:tcPr>
            <w:tcW w:w="621" w:type="pct"/>
            <w:vAlign w:val="center"/>
          </w:tcPr>
          <w:p w14:paraId="2694ACA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w:t>
            </w:r>
          </w:p>
        </w:tc>
        <w:tc>
          <w:tcPr>
            <w:tcW w:w="1425" w:type="pct"/>
            <w:vAlign w:val="center"/>
          </w:tcPr>
          <w:p w14:paraId="6CF3802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w:t>
            </w:r>
          </w:p>
        </w:tc>
        <w:tc>
          <w:tcPr>
            <w:tcW w:w="801" w:type="pct"/>
            <w:vAlign w:val="center"/>
          </w:tcPr>
          <w:p w14:paraId="427EDCA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w:t>
            </w:r>
          </w:p>
        </w:tc>
      </w:tr>
      <w:tr w14:paraId="490826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717" w:type="pct"/>
            <w:vAlign w:val="center"/>
          </w:tcPr>
          <w:p w14:paraId="7F825C7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声环境</w:t>
            </w:r>
          </w:p>
        </w:tc>
        <w:tc>
          <w:tcPr>
            <w:tcW w:w="1433" w:type="pct"/>
            <w:vAlign w:val="center"/>
          </w:tcPr>
          <w:p w14:paraId="4A0DCC5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（1）对强噪声设备进行一定的隔声及减振处理，在不影响施工情况下将噪声设备尽量不集中安排，固定的机械设备尽量入棚操作。</w:t>
            </w:r>
          </w:p>
          <w:p w14:paraId="0136EF4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（2）使用低噪声机械设备，同时施工单位应设专人对设备进行定期保养和维护。</w:t>
            </w:r>
          </w:p>
          <w:p w14:paraId="494E097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（3）在进行物料运输时，应合理安排运输时间，经过敏感点时应低速、禁鸣。</w:t>
            </w:r>
          </w:p>
          <w:p w14:paraId="04FCDEC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（4）施工期间建设单位应与施工方签订环境管理责任书，具体落实施工期噪声防治措施，</w:t>
            </w:r>
            <w:r>
              <w:rPr>
                <w:rFonts w:hint="eastAsia" w:ascii="Times New Roman" w:hAnsi="Times New Roman" w:cs="Times New Roman"/>
                <w:color w:val="000000" w:themeColor="text1"/>
                <w:sz w:val="21"/>
                <w:szCs w:val="21"/>
                <w:lang w:val="en-US" w:eastAsia="zh-CN"/>
                <w14:textFill>
                  <w14:solidFill>
                    <w14:schemeClr w14:val="tx1"/>
                  </w14:solidFill>
                </w14:textFill>
              </w:rPr>
              <w:t>并</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加强与周围可能受影响单位的沟通，减轻对声环境的不利影响。</w:t>
            </w:r>
          </w:p>
        </w:tc>
        <w:tc>
          <w:tcPr>
            <w:tcW w:w="621" w:type="pct"/>
            <w:vAlign w:val="center"/>
          </w:tcPr>
          <w:p w14:paraId="05D8E43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噪声满足《建筑施工噪声排放标准》（GB12523-2025）的要求</w:t>
            </w:r>
            <w:r>
              <w:rPr>
                <w:rFonts w:hint="default" w:ascii="Times New Roman" w:hAnsi="Times New Roman" w:eastAsia="宋体" w:cs="Times New Roman"/>
                <w:color w:val="000000" w:themeColor="text1"/>
                <w:sz w:val="21"/>
                <w:szCs w:val="21"/>
                <w:lang w:eastAsia="zh-CN"/>
                <w14:textFill>
                  <w14:solidFill>
                    <w14:schemeClr w14:val="tx1"/>
                  </w14:solidFill>
                </w14:textFill>
              </w:rPr>
              <w:t>。</w:t>
            </w:r>
          </w:p>
        </w:tc>
        <w:tc>
          <w:tcPr>
            <w:tcW w:w="1425" w:type="pct"/>
            <w:vAlign w:val="center"/>
          </w:tcPr>
          <w:p w14:paraId="20C5087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项目运营期产生的噪声主要是苗木修剪设备、</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水肥中心配置肥料及</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灌溉系统水泵噪声</w:t>
            </w:r>
            <w:r>
              <w:rPr>
                <w:rFonts w:hint="eastAsia" w:ascii="Times New Roman" w:hAnsi="Times New Roman" w:cs="Times New Roman"/>
                <w:color w:val="000000" w:themeColor="text1"/>
                <w:sz w:val="21"/>
                <w:szCs w:val="21"/>
                <w:lang w:val="en-US" w:eastAsia="zh-CN"/>
                <w14:textFill>
                  <w14:solidFill>
                    <w14:schemeClr w14:val="tx1"/>
                  </w14:solidFill>
                </w14:textFill>
              </w:rPr>
              <w:t>、</w:t>
            </w:r>
            <w:r>
              <w:rPr>
                <w:rFonts w:hint="eastAsia" w:ascii="Times New Roman" w:hAnsi="Times New Roman" w:cs="Times New Roman"/>
                <w:color w:val="000000" w:themeColor="text1"/>
                <w:sz w:val="21"/>
                <w:szCs w:val="21"/>
                <w:lang w:val="en-US" w:eastAsia="zh-CN"/>
                <w14:textFill>
                  <w14:solidFill>
                    <w14:schemeClr w14:val="tx1"/>
                  </w14:solidFill>
                </w14:textFill>
              </w:rPr>
              <w:t>机动车交通噪声</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苗木修剪设备是间歇性运作，通用距离衰减后对周边环境影响较小；</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水肥中心配置肥料</w:t>
            </w:r>
            <w:r>
              <w:rPr>
                <w:rFonts w:hint="eastAsia" w:ascii="Times New Roman" w:hAnsi="Times New Roman" w:cs="Times New Roman"/>
                <w:color w:val="000000" w:themeColor="text1"/>
                <w:sz w:val="21"/>
                <w:szCs w:val="21"/>
                <w:lang w:val="en-US" w:eastAsia="zh-CN"/>
                <w14:textFill>
                  <w14:solidFill>
                    <w14:schemeClr w14:val="tx1"/>
                  </w14:solidFill>
                </w14:textFill>
              </w:rPr>
              <w:t>及</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水泵</w:t>
            </w:r>
            <w:r>
              <w:rPr>
                <w:rFonts w:hint="eastAsia" w:ascii="Times New Roman" w:hAnsi="Times New Roman" w:cs="Times New Roman"/>
                <w:color w:val="000000" w:themeColor="text1"/>
                <w:sz w:val="21"/>
                <w:szCs w:val="21"/>
                <w:lang w:val="en-US" w:eastAsia="zh-CN"/>
                <w14:textFill>
                  <w14:solidFill>
                    <w14:schemeClr w14:val="tx1"/>
                  </w14:solidFill>
                </w14:textFill>
              </w:rPr>
              <w:t>采取</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基础减振措施，通过距离衰减后对周边环境影响较小</w:t>
            </w:r>
            <w:r>
              <w:rPr>
                <w:rFonts w:hint="eastAsia" w:ascii="Times New Roman" w:hAnsi="Times New Roman"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机动车交通噪声通过采取低速行驶，减少鸣笛等措施后，再通过距离衰减后对周边环境影响较小。</w:t>
            </w:r>
          </w:p>
        </w:tc>
        <w:tc>
          <w:tcPr>
            <w:tcW w:w="801" w:type="pct"/>
            <w:vAlign w:val="center"/>
          </w:tcPr>
          <w:p w14:paraId="7266D89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厂界噪声</w:t>
            </w:r>
            <w:r>
              <w:rPr>
                <w:rFonts w:hint="eastAsia" w:ascii="Times New Roman" w:hAnsi="Times New Roman" w:cs="Times New Roman"/>
                <w:color w:val="000000" w:themeColor="text1"/>
                <w:sz w:val="21"/>
                <w:szCs w:val="21"/>
                <w:lang w:eastAsia="zh-CN"/>
                <w14:textFill>
                  <w14:solidFill>
                    <w14:schemeClr w14:val="tx1"/>
                  </w14:solidFill>
                </w14:textFill>
              </w:rPr>
              <w:t>达到</w:t>
            </w:r>
            <w:r>
              <w:rPr>
                <w:rFonts w:hint="default" w:ascii="Times New Roman" w:hAnsi="Times New Roman" w:eastAsia="宋体" w:cs="Times New Roman"/>
                <w:color w:val="000000" w:themeColor="text1"/>
                <w:sz w:val="21"/>
                <w:szCs w:val="21"/>
                <w14:textFill>
                  <w14:solidFill>
                    <w14:schemeClr w14:val="tx1"/>
                  </w14:solidFill>
                </w14:textFill>
              </w:rPr>
              <w:t>《工业企业厂界环境噪声排放标准》</w:t>
            </w:r>
            <w:r>
              <w:rPr>
                <w:rFonts w:hint="default" w:ascii="Times New Roman" w:hAnsi="Times New Roman" w:eastAsia="宋体" w:cs="Times New Roman"/>
                <w:color w:val="000000" w:themeColor="text1"/>
                <w:sz w:val="21"/>
                <w:szCs w:val="21"/>
                <w:lang w:eastAsia="zh-CN"/>
                <w14:textFill>
                  <w14:solidFill>
                    <w14:schemeClr w14:val="tx1"/>
                  </w14:solidFill>
                </w14:textFill>
              </w:rPr>
              <w:t>（</w:t>
            </w:r>
            <w:r>
              <w:rPr>
                <w:rFonts w:hint="default" w:ascii="Times New Roman" w:hAnsi="Times New Roman" w:eastAsia="宋体" w:cs="Times New Roman"/>
                <w:color w:val="000000" w:themeColor="text1"/>
                <w:sz w:val="21"/>
                <w:szCs w:val="21"/>
                <w14:textFill>
                  <w14:solidFill>
                    <w14:schemeClr w14:val="tx1"/>
                  </w14:solidFill>
                </w14:textFill>
              </w:rPr>
              <w:t>GB12348-2008</w:t>
            </w:r>
            <w:r>
              <w:rPr>
                <w:rFonts w:hint="default" w:ascii="Times New Roman" w:hAnsi="Times New Roman" w:eastAsia="宋体" w:cs="Times New Roman"/>
                <w:color w:val="000000" w:themeColor="text1"/>
                <w:sz w:val="21"/>
                <w:szCs w:val="21"/>
                <w:lang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1</w:t>
            </w:r>
            <w:r>
              <w:rPr>
                <w:rFonts w:hint="default" w:ascii="Times New Roman" w:hAnsi="Times New Roman" w:eastAsia="宋体" w:cs="Times New Roman"/>
                <w:color w:val="000000" w:themeColor="text1"/>
                <w:sz w:val="21"/>
                <w:szCs w:val="21"/>
                <w14:textFill>
                  <w14:solidFill>
                    <w14:schemeClr w14:val="tx1"/>
                  </w14:solidFill>
                </w14:textFill>
              </w:rPr>
              <w:t>类标准</w:t>
            </w:r>
          </w:p>
        </w:tc>
      </w:tr>
      <w:tr w14:paraId="735C9E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717" w:type="pct"/>
            <w:vAlign w:val="center"/>
          </w:tcPr>
          <w:p w14:paraId="3C3FC16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振动</w:t>
            </w:r>
          </w:p>
        </w:tc>
        <w:tc>
          <w:tcPr>
            <w:tcW w:w="1433" w:type="pct"/>
            <w:vAlign w:val="center"/>
          </w:tcPr>
          <w:p w14:paraId="2484D29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w:t>
            </w:r>
          </w:p>
        </w:tc>
        <w:tc>
          <w:tcPr>
            <w:tcW w:w="621" w:type="pct"/>
            <w:vAlign w:val="center"/>
          </w:tcPr>
          <w:p w14:paraId="7ACADFB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w:t>
            </w:r>
          </w:p>
        </w:tc>
        <w:tc>
          <w:tcPr>
            <w:tcW w:w="1425" w:type="pct"/>
            <w:vAlign w:val="center"/>
          </w:tcPr>
          <w:p w14:paraId="211056B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w:t>
            </w:r>
          </w:p>
        </w:tc>
        <w:tc>
          <w:tcPr>
            <w:tcW w:w="801" w:type="pct"/>
            <w:vAlign w:val="center"/>
          </w:tcPr>
          <w:p w14:paraId="644EC89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w:t>
            </w:r>
          </w:p>
        </w:tc>
      </w:tr>
      <w:tr w14:paraId="6383DC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717" w:type="pct"/>
            <w:vAlign w:val="center"/>
          </w:tcPr>
          <w:p w14:paraId="0D9800F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大气环境</w:t>
            </w:r>
          </w:p>
        </w:tc>
        <w:tc>
          <w:tcPr>
            <w:tcW w:w="1433" w:type="pct"/>
            <w:vAlign w:val="center"/>
          </w:tcPr>
          <w:p w14:paraId="5AE83D4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（1）施工扬尘污染防治措施</w:t>
            </w:r>
          </w:p>
          <w:p w14:paraId="27460FF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由于项目施工过程中产尘时段较为集中，结合施工粉尘排放特点，本次评价主要从以下方面加强施工区域抑尘措施，具体分述如下：</w:t>
            </w:r>
          </w:p>
          <w:p w14:paraId="5202115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1）合理控制施工周期，从源头削减施工扬尘的产生时长，施工活动结束后及时采取压实处理。</w:t>
            </w:r>
          </w:p>
          <w:p w14:paraId="5D020A9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2）对易产生扬尘的裸露施工面及土石方临时堆存区，施工单位应当加强洒水降尘频率。</w:t>
            </w:r>
          </w:p>
          <w:p w14:paraId="34B7AE9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3）施工区域内挖填土石方及时调运整地，尽量减少施工区域内土石方松散堆存，减少无组织粉尘起尘源头。</w:t>
            </w:r>
          </w:p>
          <w:p w14:paraId="2EF95B9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4</w:t>
            </w:r>
            <w:r>
              <w:rPr>
                <w:rFonts w:hint="default" w:ascii="Times New Roman" w:hAnsi="Times New Roman" w:eastAsia="宋体" w:cs="Times New Roman"/>
                <w:color w:val="000000" w:themeColor="text1"/>
                <w:sz w:val="21"/>
                <w:szCs w:val="21"/>
                <w14:textFill>
                  <w14:solidFill>
                    <w14:schemeClr w14:val="tx1"/>
                  </w14:solidFill>
                </w14:textFill>
              </w:rPr>
              <w:t>）施工运输车辆应控制车速，由于项目施工区不具备车辆出场冲洗条件，因此施工运输道路沿线主要采取适时洒水降尘等措施有效降低施工运输粉尘。</w:t>
            </w:r>
          </w:p>
          <w:p w14:paraId="46DF660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5</w:t>
            </w:r>
            <w:r>
              <w:rPr>
                <w:rFonts w:hint="default" w:ascii="Times New Roman" w:hAnsi="Times New Roman" w:eastAsia="宋体" w:cs="Times New Roman"/>
                <w:color w:val="000000" w:themeColor="text1"/>
                <w:sz w:val="21"/>
                <w:szCs w:val="21"/>
                <w14:textFill>
                  <w14:solidFill>
                    <w14:schemeClr w14:val="tx1"/>
                  </w14:solidFill>
                </w14:textFill>
              </w:rPr>
              <w:t>）遇气象预报5级以上大风或空气质量预报重度污染天气时，严禁土石方挖填及土石方调运等其他易产生扬尘污染的施工活动。</w:t>
            </w:r>
          </w:p>
          <w:p w14:paraId="26ED529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14:textFill>
                  <w14:solidFill>
                    <w14:schemeClr w14:val="tx1"/>
                  </w14:solidFill>
                </w14:textFill>
              </w:rPr>
              <w:t>）尾气污染防治措施</w:t>
            </w:r>
          </w:p>
          <w:p w14:paraId="0B2A224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针对施工机械、车辆尾气，本次评价要求运输车辆和以燃油为动力的施工机械应使用合格燃料，严禁使用劣质燃油</w:t>
            </w:r>
            <w:r>
              <w:rPr>
                <w:rFonts w:hint="eastAsia" w:ascii="Times New Roman" w:hAnsi="Times New Roman" w:cs="Times New Roman"/>
                <w:color w:val="000000" w:themeColor="text1"/>
                <w:sz w:val="21"/>
                <w:szCs w:val="21"/>
                <w:lang w:eastAsia="zh-CN"/>
                <w14:textFill>
                  <w14:solidFill>
                    <w14:schemeClr w14:val="tx1"/>
                  </w14:solidFill>
                </w14:textFill>
              </w:rPr>
              <w:t>；在</w:t>
            </w:r>
            <w:r>
              <w:rPr>
                <w:rFonts w:hint="default" w:ascii="Times New Roman" w:hAnsi="Times New Roman" w:eastAsia="宋体" w:cs="Times New Roman"/>
                <w:color w:val="000000" w:themeColor="text1"/>
                <w:sz w:val="21"/>
                <w:szCs w:val="21"/>
                <w14:textFill>
                  <w14:solidFill>
                    <w14:schemeClr w14:val="tx1"/>
                  </w14:solidFill>
                </w14:textFill>
              </w:rPr>
              <w:t>施工准备工作期间</w:t>
            </w:r>
            <w:r>
              <w:rPr>
                <w:rFonts w:hint="eastAsia" w:ascii="Times New Roman" w:hAnsi="Times New Roman" w:cs="Times New Roman"/>
                <w:color w:val="000000" w:themeColor="text1"/>
                <w:sz w:val="21"/>
                <w:szCs w:val="21"/>
                <w:lang w:eastAsia="zh-CN"/>
                <w14:textFill>
                  <w14:solidFill>
                    <w14:schemeClr w14:val="tx1"/>
                  </w14:solidFill>
                </w14:textFill>
              </w:rPr>
              <w:t>，要</w:t>
            </w:r>
            <w:r>
              <w:rPr>
                <w:rFonts w:hint="default" w:ascii="Times New Roman" w:hAnsi="Times New Roman" w:eastAsia="宋体" w:cs="Times New Roman"/>
                <w:color w:val="000000" w:themeColor="text1"/>
                <w:sz w:val="21"/>
                <w:szCs w:val="21"/>
                <w14:textFill>
                  <w14:solidFill>
                    <w14:schemeClr w14:val="tx1"/>
                  </w14:solidFill>
                </w14:textFill>
              </w:rPr>
              <w:t>做好施工车辆的维护保养，使其满足施工要求，日常加强对燃油机械设备的维护和保养，保持设备在正常良好的状态下工作；施工活动结束后需及时关闭燃油机械；保证施工区域内车辆行驶速度，减少怠速运行时间，以减少车辆尾气的排放。上述尾气处理措施从实际角度出发，通过注重日常管理后，可有效降低尾气排放对大气环境的不良影响。</w:t>
            </w:r>
          </w:p>
        </w:tc>
        <w:tc>
          <w:tcPr>
            <w:tcW w:w="621" w:type="pct"/>
            <w:vAlign w:val="center"/>
          </w:tcPr>
          <w:p w14:paraId="0E8D366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施工扬尘排放达到《大气污染物综合排放标准》</w:t>
            </w:r>
            <w:r>
              <w:rPr>
                <w:rFonts w:hint="eastAsia" w:ascii="Times New Roman" w:hAnsi="Times New Roman" w:cs="Times New Roman"/>
                <w:color w:val="000000" w:themeColor="text1"/>
                <w:sz w:val="21"/>
                <w:szCs w:val="21"/>
                <w:lang w:eastAsia="zh-CN"/>
                <w14:textFill>
                  <w14:solidFill>
                    <w14:schemeClr w14:val="tx1"/>
                  </w14:solidFill>
                </w14:textFill>
              </w:rPr>
              <w:t>（</w:t>
            </w:r>
            <w:r>
              <w:rPr>
                <w:rFonts w:hint="default" w:ascii="Times New Roman" w:hAnsi="Times New Roman" w:eastAsia="宋体" w:cs="Times New Roman"/>
                <w:color w:val="000000" w:themeColor="text1"/>
                <w:sz w:val="21"/>
                <w:szCs w:val="21"/>
                <w14:textFill>
                  <w14:solidFill>
                    <w14:schemeClr w14:val="tx1"/>
                  </w14:solidFill>
                </w14:textFill>
              </w:rPr>
              <w:t>GB16297-1996</w:t>
            </w:r>
            <w:r>
              <w:rPr>
                <w:rFonts w:hint="eastAsia" w:ascii="Times New Roman" w:hAnsi="Times New Roman" w:cs="Times New Roman"/>
                <w:color w:val="000000" w:themeColor="text1"/>
                <w:sz w:val="21"/>
                <w:szCs w:val="21"/>
                <w:lang w:eastAsia="zh-CN"/>
                <w14:textFill>
                  <w14:solidFill>
                    <w14:schemeClr w14:val="tx1"/>
                  </w14:solidFill>
                </w14:textFill>
              </w:rPr>
              <w:t>）</w:t>
            </w:r>
          </w:p>
          <w:p w14:paraId="205AB2E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要求</w:t>
            </w:r>
          </w:p>
        </w:tc>
        <w:tc>
          <w:tcPr>
            <w:tcW w:w="1425" w:type="pct"/>
            <w:vAlign w:val="center"/>
          </w:tcPr>
          <w:p w14:paraId="219351F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1</w:t>
            </w:r>
            <w:r>
              <w:rPr>
                <w:rFonts w:hint="default" w:ascii="Times New Roman" w:hAnsi="Times New Roman" w:eastAsia="宋体" w:cs="Times New Roman"/>
                <w:color w:val="000000" w:themeColor="text1"/>
                <w:sz w:val="21"/>
                <w:szCs w:val="21"/>
                <w:lang w:eastAsia="zh-CN"/>
                <w14:textFill>
                  <w14:solidFill>
                    <w14:schemeClr w14:val="tx1"/>
                  </w14:solidFill>
                </w14:textFill>
              </w:rPr>
              <w:t>）</w:t>
            </w:r>
            <w:r>
              <w:rPr>
                <w:rFonts w:hint="default" w:ascii="Times New Roman" w:hAnsi="Times New Roman" w:eastAsia="宋体" w:cs="Times New Roman"/>
                <w:color w:val="000000" w:themeColor="text1"/>
                <w:sz w:val="21"/>
                <w:szCs w:val="21"/>
                <w14:textFill>
                  <w14:solidFill>
                    <w14:schemeClr w14:val="tx1"/>
                  </w14:solidFill>
                </w14:textFill>
              </w:rPr>
              <w:t>项目运营期为降低项目</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种植</w:t>
            </w:r>
            <w:r>
              <w:rPr>
                <w:rFonts w:hint="default" w:ascii="Times New Roman" w:hAnsi="Times New Roman" w:eastAsia="宋体" w:cs="Times New Roman"/>
                <w:color w:val="000000" w:themeColor="text1"/>
                <w:sz w:val="21"/>
                <w:szCs w:val="21"/>
                <w14:textFill>
                  <w14:solidFill>
                    <w14:schemeClr w14:val="tx1"/>
                  </w14:solidFill>
                </w14:textFill>
              </w:rPr>
              <w:t>区域抚育管护阶段病虫害防治过程中农药喷洒异味，优先选择生物技术和物理技术防治病虫害，选用低毒低残留农药喷洒等措施后可显著降低运营期农药喷洒造成的大气污染。</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蓝莓、三七、羊肚菌种植方式为大棚种植，大棚可以有效阻挡一部分异味。</w:t>
            </w:r>
          </w:p>
          <w:p w14:paraId="6B2753C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color w:val="000000" w:themeColor="text1"/>
                <w:sz w:val="21"/>
                <w:szCs w:val="21"/>
                <w:lang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lang w:eastAsia="zh-CN"/>
                <w14:textFill>
                  <w14:solidFill>
                    <w14:schemeClr w14:val="tx1"/>
                  </w14:solidFill>
                </w14:textFill>
              </w:rPr>
              <w:t>）土地翻整、播种、管理过程中粉尘，产生量较小，呈无组织间断式排放，影响不大。</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种植、翻土施肥避免在大风天气进行，最大限度减少扬尘产生。</w:t>
            </w:r>
          </w:p>
          <w:p w14:paraId="5770BF9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3</w:t>
            </w:r>
            <w:r>
              <w:rPr>
                <w:rFonts w:hint="default" w:ascii="Times New Roman" w:hAnsi="Times New Roman" w:eastAsia="宋体" w:cs="Times New Roman"/>
                <w:color w:val="000000" w:themeColor="text1"/>
                <w:sz w:val="21"/>
                <w:szCs w:val="21"/>
                <w:lang w:eastAsia="zh-CN"/>
                <w14:textFill>
                  <w14:solidFill>
                    <w14:schemeClr w14:val="tx1"/>
                  </w14:solidFill>
                </w14:textFill>
              </w:rPr>
              <w:t>）运输车辆保养良好和使用高品质燃料情况下，尾气中污染物排放量较少，呈无组织排放，项目所在区域通风良好，汽车尾气对周围环境影响较小。</w:t>
            </w:r>
          </w:p>
        </w:tc>
        <w:tc>
          <w:tcPr>
            <w:tcW w:w="801" w:type="pct"/>
            <w:vAlign w:val="center"/>
          </w:tcPr>
          <w:p w14:paraId="126775B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影响较小</w:t>
            </w:r>
          </w:p>
        </w:tc>
      </w:tr>
      <w:tr w14:paraId="73B773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717" w:type="pct"/>
            <w:vAlign w:val="center"/>
          </w:tcPr>
          <w:p w14:paraId="31E2C48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固体废物</w:t>
            </w:r>
          </w:p>
        </w:tc>
        <w:tc>
          <w:tcPr>
            <w:tcW w:w="1433" w:type="pct"/>
            <w:vAlign w:val="center"/>
          </w:tcPr>
          <w:p w14:paraId="528844B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eastAsia="zh-CN"/>
                <w14:textFill>
                  <w14:solidFill>
                    <w14:schemeClr w14:val="tx1"/>
                  </w14:solidFill>
                </w14:textFill>
              </w:rPr>
              <w:t>（</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1）</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施工区域原有地表挖出的灌木杂草：直径≥5cm的外售给木炭加工和生物质燃料企业；直径＜5cm的就地切碎埋入土壤发酵做肥料，</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禁止在项目区内进行焚烧处置。</w:t>
            </w:r>
          </w:p>
          <w:p w14:paraId="75AA7C2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（2）生活垃圾：施工人员生活垃圾在施工区域集中收集并入附近村庄，由当地环卫部门</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统一</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清运处置做到日产日清。</w:t>
            </w:r>
          </w:p>
          <w:p w14:paraId="47D5CC8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（3）大棚建设产生的废弃材料大棚结构及顶棚覆盖过程中会产生少量的废弃材料</w:t>
            </w:r>
            <w:r>
              <w:rPr>
                <w:rFonts w:hint="default" w:ascii="Times New Roman" w:hAnsi="Times New Roman" w:eastAsia="宋体" w:cs="Times New Roman"/>
                <w:color w:val="000000" w:themeColor="text1"/>
                <w:sz w:val="21"/>
                <w:szCs w:val="21"/>
                <w14:textFill>
                  <w14:solidFill>
                    <w14:schemeClr w14:val="tx1"/>
                  </w14:solidFill>
                </w14:textFill>
              </w:rPr>
              <w:t>，集中收集运至就近生活垃圾中转站，委托环卫部门处置。</w:t>
            </w:r>
          </w:p>
          <w:p w14:paraId="1C3FF2F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（4）项目区整地过程中产生的土石方可全部就近调配用于项目区内低洼处土地平整，项目施工阶段无弃</w:t>
            </w:r>
            <w:r>
              <w:rPr>
                <w:rFonts w:hint="eastAsia" w:ascii="Times New Roman" w:hAnsi="Times New Roman" w:cs="Times New Roman"/>
                <w:color w:val="000000" w:themeColor="text1"/>
                <w:sz w:val="21"/>
                <w:szCs w:val="21"/>
                <w:lang w:val="en-US" w:eastAsia="zh-CN"/>
                <w14:textFill>
                  <w14:solidFill>
                    <w14:schemeClr w14:val="tx1"/>
                  </w14:solidFill>
                </w14:textFill>
              </w:rPr>
              <w:t>土石方</w:t>
            </w:r>
            <w:r>
              <w:rPr>
                <w:rFonts w:hint="default" w:ascii="Times New Roman" w:hAnsi="Times New Roman" w:eastAsia="宋体" w:cs="Times New Roman"/>
                <w:color w:val="000000" w:themeColor="text1"/>
                <w:sz w:val="21"/>
                <w:szCs w:val="21"/>
                <w14:textFill>
                  <w14:solidFill>
                    <w14:schemeClr w14:val="tx1"/>
                  </w14:solidFill>
                </w14:textFill>
              </w:rPr>
              <w:t>产生。</w:t>
            </w:r>
          </w:p>
        </w:tc>
        <w:tc>
          <w:tcPr>
            <w:tcW w:w="621" w:type="pct"/>
            <w:vAlign w:val="center"/>
          </w:tcPr>
          <w:p w14:paraId="56A13BE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处置率100%</w:t>
            </w:r>
          </w:p>
        </w:tc>
        <w:tc>
          <w:tcPr>
            <w:tcW w:w="1425" w:type="pct"/>
            <w:vAlign w:val="center"/>
          </w:tcPr>
          <w:p w14:paraId="5510AB5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color w:val="000000" w:themeColor="text1"/>
                <w:sz w:val="21"/>
                <w:szCs w:val="21"/>
                <w:lang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1</w:t>
            </w:r>
            <w:r>
              <w:rPr>
                <w:rFonts w:hint="default" w:ascii="Times New Roman" w:hAnsi="Times New Roman" w:eastAsia="宋体" w:cs="Times New Roman"/>
                <w:color w:val="000000" w:themeColor="text1"/>
                <w:sz w:val="21"/>
                <w:szCs w:val="21"/>
                <w:lang w:eastAsia="zh-CN"/>
                <w14:textFill>
                  <w14:solidFill>
                    <w14:schemeClr w14:val="tx1"/>
                  </w14:solidFill>
                </w14:textFill>
              </w:rPr>
              <w:t>）果木林修剪产生的残枝败叶，直径≥5cm的外售给木炭加工和生物质燃料企业</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禁止在项目区内进行焚烧处置</w:t>
            </w:r>
            <w:r>
              <w:rPr>
                <w:rFonts w:hint="default" w:ascii="Times New Roman" w:hAnsi="Times New Roman" w:eastAsia="宋体" w:cs="Times New Roman"/>
                <w:color w:val="000000" w:themeColor="text1"/>
                <w:sz w:val="21"/>
                <w:szCs w:val="21"/>
                <w:lang w:eastAsia="zh-CN"/>
                <w14:textFill>
                  <w14:solidFill>
                    <w14:schemeClr w14:val="tx1"/>
                  </w14:solidFill>
                </w14:textFill>
              </w:rPr>
              <w:t>；直径＜5cm的就地切碎埋入土壤做肥料</w:t>
            </w:r>
          </w:p>
          <w:p w14:paraId="024D100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（2）蓝莓苗栽植前拆除的废包装材料</w:t>
            </w:r>
            <w:r>
              <w:rPr>
                <w:rFonts w:hint="default" w:ascii="Times New Roman" w:hAnsi="Times New Roman" w:eastAsia="宋体" w:cs="Times New Roman"/>
                <w:color w:val="000000" w:themeColor="text1"/>
                <w:sz w:val="21"/>
                <w:szCs w:val="21"/>
                <w:lang w:eastAsia="zh-CN"/>
                <w14:textFill>
                  <w14:solidFill>
                    <w14:schemeClr w14:val="tx1"/>
                  </w14:solidFill>
                </w14:textFill>
              </w:rPr>
              <w:t>，在施工区域内集中收集，委托环卫部门</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清运</w:t>
            </w:r>
            <w:r>
              <w:rPr>
                <w:rFonts w:hint="default" w:ascii="Times New Roman" w:hAnsi="Times New Roman" w:eastAsia="宋体" w:cs="Times New Roman"/>
                <w:color w:val="000000" w:themeColor="text1"/>
                <w:sz w:val="21"/>
                <w:szCs w:val="21"/>
                <w:lang w:eastAsia="zh-CN"/>
                <w14:textFill>
                  <w14:solidFill>
                    <w14:schemeClr w14:val="tx1"/>
                  </w14:solidFill>
                </w14:textFill>
              </w:rPr>
              <w:t>处置。</w:t>
            </w:r>
          </w:p>
          <w:p w14:paraId="748EB77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color w:val="000000" w:themeColor="text1"/>
                <w:sz w:val="21"/>
                <w:szCs w:val="21"/>
                <w:lang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3</w:t>
            </w:r>
            <w:r>
              <w:rPr>
                <w:rFonts w:hint="default" w:ascii="Times New Roman" w:hAnsi="Times New Roman" w:eastAsia="宋体" w:cs="Times New Roman"/>
                <w:color w:val="000000" w:themeColor="text1"/>
                <w:sz w:val="21"/>
                <w:szCs w:val="21"/>
                <w:lang w:eastAsia="zh-CN"/>
                <w14:textFill>
                  <w14:solidFill>
                    <w14:schemeClr w14:val="tx1"/>
                  </w14:solidFill>
                </w14:textFill>
              </w:rPr>
              <w:t>）补植区挖除的未成活苗木</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和杂草</w:t>
            </w:r>
            <w:r>
              <w:rPr>
                <w:rFonts w:hint="default" w:ascii="Times New Roman" w:hAnsi="Times New Roman" w:eastAsia="宋体" w:cs="Times New Roman"/>
                <w:color w:val="000000" w:themeColor="text1"/>
                <w:sz w:val="21"/>
                <w:szCs w:val="21"/>
                <w:lang w:eastAsia="zh-CN"/>
                <w14:textFill>
                  <w14:solidFill>
                    <w14:schemeClr w14:val="tx1"/>
                  </w14:solidFill>
                </w14:textFill>
              </w:rPr>
              <w:t>，就地切碎埋入土壤发酵成肥料。</w:t>
            </w:r>
          </w:p>
          <w:p w14:paraId="2802C18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color w:val="000000" w:themeColor="text1"/>
                <w:sz w:val="21"/>
                <w:szCs w:val="21"/>
                <w:lang w:eastAsia="zh-CN"/>
                <w14:textFill>
                  <w14:solidFill>
                    <w14:schemeClr w14:val="tx1"/>
                  </w14:solidFill>
                </w14:textFill>
              </w:rPr>
              <w:t>（4）大棚主体及薄膜废弃物：项目种植过程中蓝莓、三七、羊肚菌种植使用大棚技术，因雨淋、日晒等自然因素和人为因素操作不当会造成大棚损坏，且大棚使用中容易老化，在这部分废弃物中，钢架等材料售卖给废旧资源回收单位；薄膜等塑料废弃物集中能回收利用的回收利用，不能回收利用的并入附近村庄生活垃圾收集点，由当地环卫部门统一清运处置。</w:t>
            </w:r>
          </w:p>
          <w:p w14:paraId="1657C02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color w:val="000000" w:themeColor="text1"/>
                <w:sz w:val="21"/>
                <w:szCs w:val="21"/>
                <w:lang w:eastAsia="zh-CN"/>
                <w14:textFill>
                  <w14:solidFill>
                    <w14:schemeClr w14:val="tx1"/>
                  </w14:solidFill>
                </w14:textFill>
              </w:rPr>
              <w:t>（5）水肥原料包装袋：收集后暂存于水肥中心，定期外售给废品回收站。</w:t>
            </w:r>
          </w:p>
          <w:p w14:paraId="73F70EA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color w:val="000000" w:themeColor="text1"/>
                <w:sz w:val="21"/>
                <w:szCs w:val="21"/>
                <w:lang w:eastAsia="zh-CN"/>
                <w14:textFill>
                  <w14:solidFill>
                    <w14:schemeClr w14:val="tx1"/>
                  </w14:solidFill>
                </w14:textFill>
              </w:rPr>
              <w:t>（6）农药包装袋：农药废包装容器在收集、运输、处置阶段应依据《农药包装废弃物回收处理管理办法》中</w:t>
            </w:r>
            <w:r>
              <w:rPr>
                <w:rFonts w:hint="eastAsia" w:ascii="Times New Roman" w:hAnsi="Times New Roman" w:cs="Times New Roman"/>
                <w:color w:val="000000" w:themeColor="text1"/>
                <w:sz w:val="21"/>
                <w:szCs w:val="21"/>
                <w:lang w:val="en-US" w:eastAsia="zh-CN"/>
                <w14:textFill>
                  <w14:solidFill>
                    <w14:schemeClr w14:val="tx1"/>
                  </w14:solidFill>
                </w14:textFill>
              </w:rPr>
              <w:t>的</w:t>
            </w:r>
            <w:r>
              <w:rPr>
                <w:rFonts w:hint="default" w:ascii="Times New Roman" w:hAnsi="Times New Roman" w:eastAsia="宋体" w:cs="Times New Roman"/>
                <w:color w:val="000000" w:themeColor="text1"/>
                <w:sz w:val="21"/>
                <w:szCs w:val="21"/>
                <w:lang w:eastAsia="zh-CN"/>
                <w14:textFill>
                  <w14:solidFill>
                    <w14:schemeClr w14:val="tx1"/>
                  </w14:solidFill>
                </w14:textFill>
              </w:rPr>
              <w:t>相关要求进行收集、运输、处置，项目农药</w:t>
            </w:r>
            <w:r>
              <w:rPr>
                <w:rFonts w:hint="eastAsia" w:ascii="Times New Roman" w:hAnsi="Times New Roman" w:cs="Times New Roman"/>
                <w:color w:val="000000" w:themeColor="text1"/>
                <w:sz w:val="21"/>
                <w:szCs w:val="21"/>
                <w:lang w:eastAsia="zh-CN"/>
                <w14:textFill>
                  <w14:solidFill>
                    <w14:schemeClr w14:val="tx1"/>
                  </w14:solidFill>
                </w14:textFill>
              </w:rPr>
              <w:t>配制</w:t>
            </w:r>
            <w:r>
              <w:rPr>
                <w:rFonts w:hint="default" w:ascii="Times New Roman" w:hAnsi="Times New Roman" w:eastAsia="宋体" w:cs="Times New Roman"/>
                <w:color w:val="000000" w:themeColor="text1"/>
                <w:sz w:val="21"/>
                <w:szCs w:val="21"/>
                <w:lang w:eastAsia="zh-CN"/>
                <w14:textFill>
                  <w14:solidFill>
                    <w14:schemeClr w14:val="tx1"/>
                  </w14:solidFill>
                </w14:textFill>
              </w:rPr>
              <w:t>过程中，农药瓶身反复冲洗配置，</w:t>
            </w:r>
            <w:r>
              <w:rPr>
                <w:rFonts w:hint="eastAsia" w:ascii="Times New Roman" w:hAnsi="Times New Roman" w:cs="Times New Roman"/>
                <w:color w:val="000000" w:themeColor="text1"/>
                <w:sz w:val="21"/>
                <w:szCs w:val="21"/>
                <w:lang w:val="en-US" w:eastAsia="zh-CN"/>
                <w14:textFill>
                  <w14:solidFill>
                    <w14:schemeClr w14:val="tx1"/>
                  </w14:solidFill>
                </w14:textFill>
              </w:rPr>
              <w:t>收集装入防渗密闭的塑料桶内后定期委托</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农药经营部回收处置。</w:t>
            </w:r>
          </w:p>
          <w:p w14:paraId="57CA32A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color w:val="000000" w:themeColor="text1"/>
                <w:sz w:val="21"/>
                <w:szCs w:val="21"/>
                <w:lang w:eastAsia="zh-CN"/>
                <w14:textFill>
                  <w14:solidFill>
                    <w14:schemeClr w14:val="tx1"/>
                  </w14:solidFill>
                </w14:textFill>
              </w:rPr>
              <w:t>（7）生活垃圾分类收集后暂存于垃圾收集点，并入附近村庄生活垃圾收集点统一处置。</w:t>
            </w:r>
          </w:p>
        </w:tc>
        <w:tc>
          <w:tcPr>
            <w:tcW w:w="801" w:type="pct"/>
            <w:vAlign w:val="center"/>
          </w:tcPr>
          <w:p w14:paraId="2DB1DFE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处置率100%</w:t>
            </w:r>
            <w:r>
              <w:rPr>
                <w:rFonts w:hint="default" w:ascii="Times New Roman" w:hAnsi="Times New Roman" w:eastAsia="宋体" w:cs="Times New Roman"/>
                <w:color w:val="000000" w:themeColor="text1"/>
                <w:sz w:val="21"/>
                <w:szCs w:val="21"/>
                <w:lang w:eastAsia="zh-CN"/>
                <w14:textFill>
                  <w14:solidFill>
                    <w14:schemeClr w14:val="tx1"/>
                  </w14:solidFill>
                </w14:textFill>
              </w:rPr>
              <w:t>。</w:t>
            </w:r>
          </w:p>
        </w:tc>
      </w:tr>
      <w:tr w14:paraId="5109A8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717" w:type="pct"/>
            <w:vAlign w:val="center"/>
          </w:tcPr>
          <w:p w14:paraId="2493520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电磁环境</w:t>
            </w:r>
          </w:p>
        </w:tc>
        <w:tc>
          <w:tcPr>
            <w:tcW w:w="1433" w:type="pct"/>
            <w:vAlign w:val="center"/>
          </w:tcPr>
          <w:p w14:paraId="1D19004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w:t>
            </w:r>
          </w:p>
        </w:tc>
        <w:tc>
          <w:tcPr>
            <w:tcW w:w="621" w:type="pct"/>
            <w:vAlign w:val="center"/>
          </w:tcPr>
          <w:p w14:paraId="3229460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w:t>
            </w:r>
          </w:p>
        </w:tc>
        <w:tc>
          <w:tcPr>
            <w:tcW w:w="1425" w:type="pct"/>
            <w:vAlign w:val="center"/>
          </w:tcPr>
          <w:p w14:paraId="3F2B303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w:t>
            </w:r>
          </w:p>
        </w:tc>
        <w:tc>
          <w:tcPr>
            <w:tcW w:w="801" w:type="pct"/>
            <w:vAlign w:val="center"/>
          </w:tcPr>
          <w:p w14:paraId="03C815A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w:t>
            </w:r>
          </w:p>
        </w:tc>
      </w:tr>
      <w:tr w14:paraId="2A1AE5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717" w:type="pct"/>
            <w:vAlign w:val="center"/>
          </w:tcPr>
          <w:p w14:paraId="6479B15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环境风险</w:t>
            </w:r>
          </w:p>
        </w:tc>
        <w:tc>
          <w:tcPr>
            <w:tcW w:w="1433" w:type="pct"/>
            <w:vAlign w:val="center"/>
          </w:tcPr>
          <w:p w14:paraId="46AF9F0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w:t>
            </w:r>
          </w:p>
        </w:tc>
        <w:tc>
          <w:tcPr>
            <w:tcW w:w="621" w:type="pct"/>
            <w:vAlign w:val="center"/>
          </w:tcPr>
          <w:p w14:paraId="6B10A08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w:t>
            </w:r>
          </w:p>
        </w:tc>
        <w:tc>
          <w:tcPr>
            <w:tcW w:w="1425" w:type="pct"/>
            <w:vAlign w:val="center"/>
          </w:tcPr>
          <w:p w14:paraId="77DF5CD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w:t>
            </w:r>
          </w:p>
        </w:tc>
        <w:tc>
          <w:tcPr>
            <w:tcW w:w="801" w:type="pct"/>
            <w:vAlign w:val="center"/>
          </w:tcPr>
          <w:p w14:paraId="1EC7921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r>
      <w:tr w14:paraId="709F00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717" w:type="pct"/>
            <w:vAlign w:val="center"/>
          </w:tcPr>
          <w:p w14:paraId="64F9EBC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环境监测</w:t>
            </w:r>
          </w:p>
        </w:tc>
        <w:tc>
          <w:tcPr>
            <w:tcW w:w="1433" w:type="pct"/>
            <w:vAlign w:val="center"/>
          </w:tcPr>
          <w:p w14:paraId="512B9A5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w:t>
            </w:r>
          </w:p>
        </w:tc>
        <w:tc>
          <w:tcPr>
            <w:tcW w:w="621" w:type="pct"/>
            <w:vAlign w:val="center"/>
          </w:tcPr>
          <w:p w14:paraId="6005F71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1425" w:type="pct"/>
            <w:vAlign w:val="center"/>
          </w:tcPr>
          <w:p w14:paraId="2801514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土壤：</w:t>
            </w:r>
          </w:p>
          <w:p w14:paraId="2151E87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b/>
                <w:bCs/>
                <w:color w:val="000000" w:themeColor="text1"/>
                <w:sz w:val="21"/>
                <w:szCs w:val="21"/>
                <w:lang w:eastAsia="zh-CN"/>
                <w14:textFill>
                  <w14:solidFill>
                    <w14:schemeClr w14:val="tx1"/>
                  </w14:solidFill>
                </w14:textFill>
              </w:rPr>
              <w:t>（</w:t>
            </w:r>
            <w:r>
              <w:rPr>
                <w:rFonts w:hint="eastAsia" w:ascii="Times New Roman" w:hAnsi="Times New Roman" w:eastAsia="宋体" w:cs="Times New Roman"/>
                <w:b/>
                <w:bCs/>
                <w:color w:val="000000" w:themeColor="text1"/>
                <w:sz w:val="21"/>
                <w:szCs w:val="21"/>
                <w:lang w:val="en-US" w:eastAsia="zh-CN"/>
                <w14:textFill>
                  <w14:solidFill>
                    <w14:schemeClr w14:val="tx1"/>
                  </w14:solidFill>
                </w14:textFill>
              </w:rPr>
              <w:t>1</w:t>
            </w:r>
            <w:r>
              <w:rPr>
                <w:rFonts w:hint="eastAsia" w:ascii="Times New Roman" w:hAnsi="Times New Roman" w:eastAsia="宋体" w:cs="Times New Roman"/>
                <w:b/>
                <w:bCs/>
                <w:color w:val="000000" w:themeColor="text1"/>
                <w:sz w:val="21"/>
                <w:szCs w:val="21"/>
                <w:lang w:eastAsia="zh-CN"/>
                <w14:textFill>
                  <w14:solidFill>
                    <w14:schemeClr w14:val="tx1"/>
                  </w14:solidFill>
                </w14:textFill>
              </w:rPr>
              <w:t>）</w:t>
            </w:r>
            <w:r>
              <w:rPr>
                <w:rFonts w:hint="default" w:ascii="Times New Roman" w:hAnsi="Times New Roman" w:eastAsia="宋体" w:cs="Times New Roman"/>
                <w:b/>
                <w:bCs/>
                <w:color w:val="000000" w:themeColor="text1"/>
                <w:sz w:val="21"/>
                <w:szCs w:val="21"/>
                <w14:textFill>
                  <w14:solidFill>
                    <w14:schemeClr w14:val="tx1"/>
                  </w14:solidFill>
                </w14:textFill>
              </w:rPr>
              <w:t>监测地点：</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峨山县大西农林种植基地种植</w:t>
            </w:r>
            <w:r>
              <w:rPr>
                <w:rFonts w:hint="eastAsia" w:ascii="Times New Roman" w:hAnsi="Times New Roman" w:cs="Times New Roman"/>
                <w:color w:val="000000" w:themeColor="text1"/>
                <w:sz w:val="21"/>
                <w:szCs w:val="21"/>
                <w:lang w:val="en-US" w:eastAsia="zh-CN"/>
                <w14:textFill>
                  <w14:solidFill>
                    <w14:schemeClr w14:val="tx1"/>
                  </w14:solidFill>
                </w14:textFill>
              </w:rPr>
              <w:t>区</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域</w:t>
            </w:r>
            <w:r>
              <w:rPr>
                <w:rFonts w:hint="eastAsia" w:ascii="Times New Roman" w:hAnsi="Times New Roman"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1283.88亩</w:t>
            </w:r>
            <w:r>
              <w:rPr>
                <w:rFonts w:hint="eastAsia" w:ascii="Times New Roman" w:hAnsi="Times New Roman"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p>
          <w:p w14:paraId="66777E8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lang w:eastAsia="zh-CN"/>
                <w14:textFill>
                  <w14:solidFill>
                    <w14:schemeClr w14:val="tx1"/>
                  </w14:solidFill>
                </w14:textFill>
              </w:rPr>
              <w:t>（</w:t>
            </w: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2</w:t>
            </w:r>
            <w:r>
              <w:rPr>
                <w:rFonts w:hint="default" w:ascii="Times New Roman" w:hAnsi="Times New Roman" w:eastAsia="宋体" w:cs="Times New Roman"/>
                <w:b/>
                <w:bCs/>
                <w:color w:val="000000" w:themeColor="text1"/>
                <w:sz w:val="21"/>
                <w:szCs w:val="21"/>
                <w:lang w:eastAsia="zh-CN"/>
                <w14:textFill>
                  <w14:solidFill>
                    <w14:schemeClr w14:val="tx1"/>
                  </w14:solidFill>
                </w14:textFill>
              </w:rPr>
              <w:t>）</w:t>
            </w:r>
            <w:r>
              <w:rPr>
                <w:rFonts w:hint="default" w:ascii="Times New Roman" w:hAnsi="Times New Roman" w:eastAsia="宋体" w:cs="Times New Roman"/>
                <w:b/>
                <w:bCs/>
                <w:color w:val="000000" w:themeColor="text1"/>
                <w:sz w:val="21"/>
                <w:szCs w:val="21"/>
                <w14:textFill>
                  <w14:solidFill>
                    <w14:schemeClr w14:val="tx1"/>
                  </w14:solidFill>
                </w14:textFill>
              </w:rPr>
              <w:t>监测因子：</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土壤环境质量农用地土壤污染风险管控标准（试行）</w:t>
            </w:r>
            <w:r>
              <w:rPr>
                <w:rFonts w:hint="eastAsia" w:ascii="Times New Roman" w:hAnsi="Times New Roman"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GB 15618—2018</w:t>
            </w:r>
            <w:r>
              <w:rPr>
                <w:rFonts w:hint="eastAsia" w:ascii="Times New Roman" w:hAnsi="Times New Roman"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表1内项目</w:t>
            </w:r>
          </w:p>
          <w:p w14:paraId="1305D98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lang w:eastAsia="zh-CN"/>
                <w14:textFill>
                  <w14:solidFill>
                    <w14:schemeClr w14:val="tx1"/>
                  </w14:solidFill>
                </w14:textFill>
              </w:rPr>
              <w:t>（</w:t>
            </w: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3</w:t>
            </w:r>
            <w:r>
              <w:rPr>
                <w:rFonts w:hint="default" w:ascii="Times New Roman" w:hAnsi="Times New Roman" w:eastAsia="宋体" w:cs="Times New Roman"/>
                <w:b/>
                <w:bCs/>
                <w:color w:val="000000" w:themeColor="text1"/>
                <w:sz w:val="21"/>
                <w:szCs w:val="21"/>
                <w:lang w:eastAsia="zh-CN"/>
                <w14:textFill>
                  <w14:solidFill>
                    <w14:schemeClr w14:val="tx1"/>
                  </w14:solidFill>
                </w14:textFill>
              </w:rPr>
              <w:t>）</w:t>
            </w:r>
            <w:r>
              <w:rPr>
                <w:rFonts w:hint="default" w:ascii="Times New Roman" w:hAnsi="Times New Roman" w:eastAsia="宋体" w:cs="Times New Roman"/>
                <w:b/>
                <w:bCs/>
                <w:color w:val="000000" w:themeColor="text1"/>
                <w:sz w:val="21"/>
                <w:szCs w:val="21"/>
                <w14:textFill>
                  <w14:solidFill>
                    <w14:schemeClr w14:val="tx1"/>
                  </w14:solidFill>
                </w14:textFill>
              </w:rPr>
              <w:t>监测频率：</w:t>
            </w:r>
            <w:r>
              <w:rPr>
                <w:rFonts w:hint="default" w:ascii="Times New Roman" w:hAnsi="Times New Roman" w:eastAsia="宋体" w:cs="Times New Roman"/>
                <w:color w:val="000000" w:themeColor="text1"/>
                <w:sz w:val="21"/>
                <w:szCs w:val="21"/>
                <w14:textFill>
                  <w14:solidFill>
                    <w14:schemeClr w14:val="tx1"/>
                  </w14:solidFill>
                </w14:textFill>
              </w:rPr>
              <w:t>运行后</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1</w:t>
            </w:r>
            <w:r>
              <w:rPr>
                <w:rFonts w:hint="default" w:ascii="Times New Roman" w:hAnsi="Times New Roman" w:eastAsia="宋体" w:cs="Times New Roman"/>
                <w:color w:val="000000" w:themeColor="text1"/>
                <w:sz w:val="21"/>
                <w:szCs w:val="21"/>
                <w14:textFill>
                  <w14:solidFill>
                    <w14:schemeClr w14:val="tx1"/>
                  </w14:solidFill>
                </w14:textFill>
              </w:rPr>
              <w:t>年/次</w:t>
            </w:r>
          </w:p>
        </w:tc>
        <w:tc>
          <w:tcPr>
            <w:tcW w:w="801" w:type="pct"/>
            <w:vAlign w:val="center"/>
          </w:tcPr>
          <w:p w14:paraId="74AF6E0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《土壤环境质量农用地土壤污染风险管控标准（试行）（GB15618-2018）》</w:t>
            </w:r>
          </w:p>
        </w:tc>
      </w:tr>
      <w:tr w14:paraId="107F43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717" w:type="pct"/>
            <w:vAlign w:val="center"/>
          </w:tcPr>
          <w:p w14:paraId="2FDD926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其他</w:t>
            </w:r>
          </w:p>
        </w:tc>
        <w:tc>
          <w:tcPr>
            <w:tcW w:w="1433" w:type="pct"/>
            <w:vAlign w:val="center"/>
          </w:tcPr>
          <w:p w14:paraId="2D44C07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（1）工程临时道路、临时堆场占地范围生态环境保护措施：</w:t>
            </w:r>
          </w:p>
          <w:p w14:paraId="1DB0861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施工场区布设应结合当地条件，因地制宜，合理规划堆料场。施工结束时，及时恢复临时占地范围的土地使用功能。从严控制管理用地，在施工结束后对临时设施进行恢复。具体如下：</w:t>
            </w:r>
          </w:p>
          <w:p w14:paraId="72A8334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①在工程的建设中施工单位应注意识别工程沿线保护动植物资源，加强保护动植物的保护和宣传工作，一旦在施工中遇到需要保护的动植物，应当立即向当地林业部门汇报，协商采取妥善的保护措施后才能进行下一步施工。</w:t>
            </w:r>
          </w:p>
          <w:p w14:paraId="1445F23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②管理措施</w:t>
            </w:r>
          </w:p>
          <w:p w14:paraId="6F095DF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从生态和环境的角度出发，建议项目开工建设前，应尽量做好相应的前期宣传和准备工作，在施工期严格落实水土保持措施，加强施工管理，尽量减少因植被破坏、水土流失、水质污染等对动植物带来的不利影响。</w:t>
            </w:r>
          </w:p>
          <w:p w14:paraId="7B6413E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（2）水土流失防治措施：</w:t>
            </w:r>
          </w:p>
          <w:p w14:paraId="77052AE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为减少施工期间的水土流失，本环评提出以下要求：</w:t>
            </w:r>
          </w:p>
          <w:p w14:paraId="68FB636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1）进行封闭性施工，严格控制施工范围；</w:t>
            </w:r>
          </w:p>
          <w:p w14:paraId="07C6E55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2）对工程进行合理设计，场区预先修建截排水沟，地表开挖尽量避开暴雨季节，做到分期分区开挖，使工程施工引起的难以避免的水土流失降至最低程度；</w:t>
            </w:r>
          </w:p>
          <w:p w14:paraId="6A7D9D6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3）合理选择施工工序。回填土方应分层碾压夯实；合理堆放建筑材料以及临时土方，及时拦挡以控制渣量流失；对需要防护的边坡覆土后及时进行绿化施工，减少地表裸露时间；</w:t>
            </w:r>
          </w:p>
          <w:p w14:paraId="5326AFE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4）合理选择施工工期。尽量避免在雨季进行各种基础开挖，在雨天施工时，为防止临时堆料及开挖裸露土质边坡坡面等被雨水冲刷，选用彩条布、塑料薄膜等进行覆盖；施工中应注意开挖后立即进行施工，暂时不施工的应进行表土覆盖；在施工过程中，如遇干燥天气，应对地表进行洒水，以免产生扬尘；</w:t>
            </w:r>
          </w:p>
          <w:p w14:paraId="0B070DA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5）严格控制运输流失。对出入场区的工程车辆要严格管理，严禁超载，防止因车辆超载而将物料洒落在运输途中；运输车辆必须加盖防护，不能超载；在工程区出口处设置洗车设施，工程车辆在驶出工程区时必须进行清洗，以防泥土带出工程区而造成区外水土流失和环境污染，严格控制运输流失；</w:t>
            </w:r>
          </w:p>
          <w:p w14:paraId="6CB92B4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6）开挖时剥离的表层土采取临时覆盖等防护措施，周边拟采用填土编织袋挡土墙进行临时拦挡，顶端采用塑料彩条布覆盖，挡土墙外侧设置临时排水沟；</w:t>
            </w:r>
          </w:p>
          <w:p w14:paraId="78E6343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7）施工期间可通过多方面措施减轻水土流失对大西水库和尼去本水库的影响，首先应合理选择施工时间，避开降雨天气；其次采取工程措施，如在道路坡脚修筑挡土墙增强土体稳定性，同时修建截排水沟与排水沟并设置水池收集雨水，以引导水流并沉淀泥沙；还可运用临时措施，在裸地覆盖防尘网减少雨水冲击，以及堆砌土袋作为小型施工或临时排水关键部位的临时挡墙。</w:t>
            </w:r>
          </w:p>
          <w:p w14:paraId="30F57F6E">
            <w:pPr>
              <w:pStyle w:val="8"/>
              <w:rPr>
                <w:rFonts w:hint="default"/>
                <w:color w:val="000000" w:themeColor="text1"/>
                <w:lang w:val="en-US" w:eastAsia="zh-CN"/>
                <w14:textFill>
                  <w14:solidFill>
                    <w14:schemeClr w14:val="tx1"/>
                  </w14:solidFill>
                </w14:textFill>
              </w:rPr>
            </w:pPr>
          </w:p>
        </w:tc>
        <w:tc>
          <w:tcPr>
            <w:tcW w:w="621" w:type="pct"/>
            <w:vAlign w:val="center"/>
          </w:tcPr>
          <w:p w14:paraId="29983A4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p>
        </w:tc>
        <w:tc>
          <w:tcPr>
            <w:tcW w:w="1425" w:type="pct"/>
            <w:vAlign w:val="center"/>
          </w:tcPr>
          <w:p w14:paraId="20D56A7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蓝莓、三七、羊肚菌、桃树、苹果树日常维护应做到以下措施：</w:t>
            </w:r>
          </w:p>
          <w:p w14:paraId="13AA79F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（1）科学施肥</w:t>
            </w:r>
          </w:p>
          <w:p w14:paraId="54CA5D3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合理选肥：依据水果生长需求和土壤肥力，优先选用有机肥、生物肥等绿色肥料，减少化肥用量。</w:t>
            </w:r>
          </w:p>
          <w:p w14:paraId="07BA470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精准施肥：运用测土配方施肥技术，根据土壤测试结果和养分需求确定合理施肥量与时间，避免过量和盲目施肥。</w:t>
            </w:r>
          </w:p>
          <w:p w14:paraId="5089F50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改进方法：采用深施、分层施肥等提高肥料利用率，减少流失浪费。</w:t>
            </w:r>
          </w:p>
          <w:p w14:paraId="2D038F3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（2）合理使用农药</w:t>
            </w:r>
          </w:p>
          <w:p w14:paraId="492DA38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综合防治：采用农业、物理、生物防治等措施减少农药用量，如轮作、间作、套种改善土壤生态，黄板、蓝板、性诱剂诱杀害虫，利用天敌、生物农药控制病虫害。</w:t>
            </w:r>
          </w:p>
          <w:p w14:paraId="5549AA4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精准施药：根据病虫害发生情况和农药特性确定合理施药剂量与时间，避免过量和盲目施药。</w:t>
            </w:r>
          </w:p>
          <w:p w14:paraId="588C8AA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选低毒低残留农药：优先选择低毒、低残留品种，减少对环境和人体健康危害。</w:t>
            </w:r>
          </w:p>
        </w:tc>
        <w:tc>
          <w:tcPr>
            <w:tcW w:w="801" w:type="pct"/>
            <w:vAlign w:val="center"/>
          </w:tcPr>
          <w:p w14:paraId="523AE3C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p>
        </w:tc>
      </w:tr>
    </w:tbl>
    <w:p w14:paraId="0051207D">
      <w:pPr>
        <w:pStyle w:val="25"/>
        <w:jc w:val="both"/>
        <w:rPr>
          <w:rFonts w:hint="default" w:ascii="Times New Roman" w:hAnsi="Times New Roman" w:eastAsia="宋体" w:cs="Times New Roman"/>
          <w:color w:val="000000" w:themeColor="text1"/>
          <w:sz w:val="21"/>
          <w:szCs w:val="21"/>
          <w14:textFill>
            <w14:solidFill>
              <w14:schemeClr w14:val="tx1"/>
            </w14:solidFill>
          </w14:textFill>
        </w:rPr>
        <w:sectPr>
          <w:pgSz w:w="16840" w:h="11907" w:orient="landscape"/>
          <w:pgMar w:top="1797" w:right="1440" w:bottom="1797" w:left="1440" w:header="851" w:footer="1077" w:gutter="0"/>
          <w:pgBorders>
            <w:top w:val="none" w:sz="0" w:space="0"/>
            <w:left w:val="none" w:sz="0" w:space="0"/>
            <w:bottom w:val="none" w:sz="0" w:space="0"/>
            <w:right w:val="none" w:sz="0" w:space="0"/>
          </w:pgBorders>
          <w:pgNumType w:fmt="decimal"/>
          <w:cols w:space="425" w:num="1"/>
          <w:docGrid w:linePitch="312" w:charSpace="0"/>
        </w:sectPr>
      </w:pPr>
    </w:p>
    <w:p w14:paraId="3E1A83D7">
      <w:pPr>
        <w:pStyle w:val="2"/>
        <w:bidi w:val="0"/>
        <w:ind w:firstLine="3313" w:firstLineChars="1100"/>
        <w:jc w:val="both"/>
        <w:rPr>
          <w:rFonts w:hint="default" w:ascii="Times New Roman" w:hAnsi="Times New Roman" w:eastAsia="宋体" w:cs="Times New Roman"/>
          <w:b/>
          <w:bCs/>
          <w:snapToGrid w:val="0"/>
          <w:color w:val="000000" w:themeColor="text1"/>
          <w:szCs w:val="30"/>
          <w14:textFill>
            <w14:solidFill>
              <w14:schemeClr w14:val="tx1"/>
            </w14:solidFill>
          </w14:textFill>
        </w:rPr>
      </w:pPr>
      <w:bookmarkStart w:id="22" w:name="_Toc87899404"/>
      <w:bookmarkStart w:id="23" w:name="_Toc27571"/>
      <w:r>
        <w:rPr>
          <w:rFonts w:hint="eastAsia" w:ascii="宋体" w:hAnsi="宋体" w:eastAsia="宋体" w:cs="宋体"/>
          <w:color w:val="000000" w:themeColor="text1"/>
          <w14:textFill>
            <w14:solidFill>
              <w14:schemeClr w14:val="tx1"/>
            </w14:solidFill>
          </w14:textFill>
        </w:rPr>
        <w:t>七、结论</w:t>
      </w:r>
      <w:bookmarkEnd w:id="22"/>
      <w:bookmarkEnd w:id="23"/>
    </w:p>
    <w:tbl>
      <w:tblPr>
        <w:tblStyle w:val="26"/>
        <w:tblW w:w="928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289"/>
      </w:tblGrid>
      <w:tr w14:paraId="68B160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197" w:hRule="atLeast"/>
          <w:jc w:val="center"/>
        </w:trPr>
        <w:tc>
          <w:tcPr>
            <w:tcW w:w="9289" w:type="dxa"/>
          </w:tcPr>
          <w:p w14:paraId="4AD6D616">
            <w:pPr>
              <w:bidi w:val="0"/>
              <w:jc w:val="both"/>
              <w:rPr>
                <w:rFonts w:hint="default" w:ascii="Times New Roman" w:hAnsi="Times New Roman" w:cs="Times New Roman"/>
                <w:b/>
                <w:bCs/>
                <w:color w:val="000000" w:themeColor="text1"/>
                <w:lang w:val="en-US" w:eastAsia="zh-CN"/>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一、项目建设可行性分析：</w:t>
            </w:r>
          </w:p>
          <w:p w14:paraId="47984388">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项目的建设符合国家产业政策，符合地方相关规划，选址布局合理；项目针对“三废”合理</w:t>
            </w:r>
            <w:r>
              <w:rPr>
                <w:rFonts w:hint="eastAsia" w:ascii="Times New Roman" w:hAnsi="Times New Roman" w:cs="Times New Roman"/>
                <w:color w:val="000000" w:themeColor="text1"/>
                <w:lang w:val="en-US" w:eastAsia="zh-CN"/>
                <w14:textFill>
                  <w14:solidFill>
                    <w14:schemeClr w14:val="tx1"/>
                  </w14:solidFill>
                </w14:textFill>
              </w:rPr>
              <w:t>地</w:t>
            </w:r>
            <w:r>
              <w:rPr>
                <w:rFonts w:hint="default" w:ascii="Times New Roman" w:hAnsi="Times New Roman" w:cs="Times New Roman"/>
                <w:color w:val="000000" w:themeColor="text1"/>
                <w:lang w:val="en-US" w:eastAsia="zh-CN"/>
                <w14:textFill>
                  <w14:solidFill>
                    <w14:schemeClr w14:val="tx1"/>
                  </w14:solidFill>
                </w14:textFill>
              </w:rPr>
              <w:t>采取了环保措施，各项指标均能满足相关规范措施的要求和标准，所以对环境影响是在许可围内的，对环境影响不大。</w:t>
            </w:r>
          </w:p>
          <w:p w14:paraId="1A5DD949">
            <w:pPr>
              <w:bidi w:val="0"/>
              <w:jc w:val="both"/>
              <w:rPr>
                <w:rFonts w:hint="default" w:ascii="Times New Roman" w:hAnsi="Times New Roman" w:cs="Times New Roman"/>
                <w:b/>
                <w:bCs/>
                <w:color w:val="000000" w:themeColor="text1"/>
                <w:lang w:val="en-US" w:eastAsia="zh-CN"/>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二、施工期环境分析结论：</w:t>
            </w:r>
          </w:p>
          <w:p w14:paraId="5CA85A52">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项目施工期污染源主要是扬尘、施工废水、施工噪声、废弃材料、施工人员产生的生活垃圾等。在落实本次环评提出的措施前提下，项目施工扬尘可以得到有效控制，能够达标排放；废水均能回用，均不外排；项目施工场地场界噪声能够达标排放。项目施工期间只要严格执行文明施工条例，对所产生的污染物进行合理的处理处置后，项目施工</w:t>
            </w:r>
            <w:r>
              <w:rPr>
                <w:rFonts w:hint="eastAsia" w:ascii="Times New Roman" w:hAnsi="Times New Roman" w:cs="Times New Roman"/>
                <w:color w:val="000000" w:themeColor="text1"/>
                <w:lang w:val="en-US" w:eastAsia="zh-CN"/>
                <w14:textFill>
                  <w14:solidFill>
                    <w14:schemeClr w14:val="tx1"/>
                  </w14:solidFill>
                </w14:textFill>
              </w:rPr>
              <w:t>期间</w:t>
            </w:r>
            <w:r>
              <w:rPr>
                <w:rFonts w:hint="default" w:ascii="Times New Roman" w:hAnsi="Times New Roman" w:cs="Times New Roman"/>
                <w:color w:val="000000" w:themeColor="text1"/>
                <w:lang w:val="en-US" w:eastAsia="zh-CN"/>
                <w14:textFill>
                  <w14:solidFill>
                    <w14:schemeClr w14:val="tx1"/>
                  </w14:solidFill>
                </w14:textFill>
              </w:rPr>
              <w:t>对环境影响较小。</w:t>
            </w:r>
          </w:p>
          <w:p w14:paraId="41020BA2">
            <w:pPr>
              <w:bidi w:val="0"/>
              <w:jc w:val="both"/>
              <w:rPr>
                <w:rFonts w:hint="default" w:ascii="Times New Roman" w:hAnsi="Times New Roman" w:cs="Times New Roman"/>
                <w:b/>
                <w:bCs/>
                <w:color w:val="000000" w:themeColor="text1"/>
                <w:lang w:val="en-US" w:eastAsia="zh-CN"/>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三、运营期环境影响分析结论：</w:t>
            </w:r>
          </w:p>
          <w:p w14:paraId="2D15AA4E">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项目运营期所产生废水、固废、噪声均得到有效处理，对环境影响不大。建设单位按本环评要求在项目运行过程中严格执行环境管理和监测计划，项目运营期在落实本报告提出的环保措施的前提下，各项污染物可以达标排放或处置合理，项目的运营不会改变当地环境质量现状，因此，项目建设对周围环境的影响能够控制在可接受范围内，从环境保护的角度分析，本项目的建设是可行的；从环境影响的角度分析，本项目的建设是可行的。</w:t>
            </w:r>
          </w:p>
          <w:p w14:paraId="538A6CA4">
            <w:pPr>
              <w:bidi w:val="0"/>
              <w:jc w:val="both"/>
              <w:rPr>
                <w:rFonts w:hint="default" w:ascii="Times New Roman" w:hAnsi="Times New Roman" w:cs="Times New Roman"/>
                <w:b/>
                <w:bCs/>
                <w:color w:val="000000" w:themeColor="text1"/>
                <w:lang w:val="en-US" w:eastAsia="zh-CN"/>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四、要求：</w:t>
            </w:r>
          </w:p>
          <w:p w14:paraId="04E327E3">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1、建立健全完善的环境管理制度，并严格按照相关管理制度执行。</w:t>
            </w:r>
          </w:p>
          <w:p w14:paraId="2CBB2AC1">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2、严格落实本环评报告中提出的相应环保措施。</w:t>
            </w:r>
          </w:p>
          <w:p w14:paraId="5C8DC394">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3、项目在日常管理制度中加强环保管理的内容，包括：对相关人员进行有关环境保护的宣传培训，如节约用水、垃圾分类袋装等；加强环境保护意识教育，在施工期和营运期建立相应环境保护管理制度，同时设兼职的环境管理人员，负责监督环境管理制度的执行</w:t>
            </w:r>
            <w:r>
              <w:rPr>
                <w:rFonts w:hint="eastAsia" w:ascii="Times New Roman" w:hAnsi="Times New Roman" w:cs="Times New Roman"/>
                <w:color w:val="000000" w:themeColor="text1"/>
                <w:lang w:val="en-US" w:eastAsia="zh-CN"/>
                <w14:textFill>
                  <w14:solidFill>
                    <w14:schemeClr w14:val="tx1"/>
                  </w14:solidFill>
                </w14:textFill>
              </w:rPr>
              <w:t>，在</w:t>
            </w:r>
            <w:r>
              <w:rPr>
                <w:rFonts w:hint="default" w:ascii="Times New Roman" w:hAnsi="Times New Roman" w:cs="Times New Roman"/>
                <w:color w:val="000000" w:themeColor="text1"/>
                <w:lang w:val="en-US" w:eastAsia="zh-CN"/>
                <w14:textFill>
                  <w14:solidFill>
                    <w14:schemeClr w14:val="tx1"/>
                  </w14:solidFill>
                </w14:textFill>
              </w:rPr>
              <w:t>项目设计和建设时，应落实各项环保投资。</w:t>
            </w:r>
          </w:p>
          <w:p w14:paraId="108A4363">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4、项目必须严格按照《建设项目竣工环境保护验收暂行办法》（国环规环评</w:t>
            </w:r>
            <w:r>
              <w:rPr>
                <w:rFonts w:hint="eastAsia" w:ascii="Times New Roman" w:hAnsi="Times New Roman" w:cs="Times New Roman"/>
                <w:color w:val="000000" w:themeColor="text1"/>
                <w:lang w:val="en-US" w:eastAsia="zh-CN"/>
                <w14:textFill>
                  <w14:solidFill>
                    <w14:schemeClr w14:val="tx1"/>
                  </w14:solidFill>
                </w14:textFill>
              </w:rPr>
              <w:t>〔2017〕4号</w:t>
            </w:r>
            <w:r>
              <w:rPr>
                <w:rFonts w:hint="default" w:ascii="Times New Roman" w:hAnsi="Times New Roman" w:cs="Times New Roman"/>
                <w:color w:val="000000" w:themeColor="text1"/>
                <w:lang w:val="en-US" w:eastAsia="zh-CN"/>
                <w14:textFill>
                  <w14:solidFill>
                    <w14:schemeClr w14:val="tx1"/>
                  </w14:solidFill>
                </w14:textFill>
              </w:rPr>
              <w:t>），项目竣工后，验收合格后方可正式投入运营。</w:t>
            </w:r>
          </w:p>
          <w:p w14:paraId="5FD2DB9E">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5、</w:t>
            </w:r>
            <w:r>
              <w:rPr>
                <w:rFonts w:hint="eastAsia" w:ascii="Times New Roman" w:hAnsi="Times New Roman" w:cs="Times New Roman"/>
                <w:color w:val="000000" w:themeColor="text1"/>
                <w:lang w:val="en-US" w:eastAsia="zh-CN"/>
                <w14:textFill>
                  <w14:solidFill>
                    <w14:schemeClr w14:val="tx1"/>
                  </w14:solidFill>
                </w14:textFill>
              </w:rPr>
              <w:t>项目区内</w:t>
            </w:r>
            <w:r>
              <w:rPr>
                <w:rFonts w:hint="default" w:ascii="Times New Roman" w:hAnsi="Times New Roman" w:cs="Times New Roman"/>
                <w:color w:val="000000" w:themeColor="text1"/>
                <w:lang w:val="en-US" w:eastAsia="zh-CN"/>
                <w14:textFill>
                  <w14:solidFill>
                    <w14:schemeClr w14:val="tx1"/>
                  </w14:solidFill>
                </w14:textFill>
              </w:rPr>
              <w:t>废水禁止偷排</w:t>
            </w:r>
            <w:r>
              <w:rPr>
                <w:rFonts w:hint="eastAsia"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cs="Times New Roman"/>
                <w:color w:val="000000" w:themeColor="text1"/>
                <w:lang w:val="en-US" w:eastAsia="zh-CN"/>
                <w14:textFill>
                  <w14:solidFill>
                    <w14:schemeClr w14:val="tx1"/>
                  </w14:solidFill>
                </w14:textFill>
              </w:rPr>
              <w:t>漏排进入大西水库、尼</w:t>
            </w:r>
            <w:r>
              <w:rPr>
                <w:rFonts w:hint="default" w:ascii="Times New Roman" w:hAnsi="Times New Roman" w:cs="Times New Roman"/>
                <w:color w:val="000000" w:themeColor="text1"/>
                <w:lang w:val="en-US" w:eastAsia="zh-CN"/>
                <w14:textFill>
                  <w14:solidFill>
                    <w14:schemeClr w14:val="tx1"/>
                  </w14:solidFill>
                </w14:textFill>
              </w:rPr>
              <w:t>去本水库等周边地表水体。</w:t>
            </w:r>
          </w:p>
          <w:p w14:paraId="22EECE49">
            <w:pPr>
              <w:bidi w:val="0"/>
              <w:jc w:val="both"/>
              <w:rPr>
                <w:rFonts w:hint="default" w:ascii="Times New Roman" w:hAnsi="Times New Roman" w:cs="Times New Roman"/>
                <w:b/>
                <w:bCs/>
                <w:color w:val="000000" w:themeColor="text1"/>
                <w:lang w:val="en-US" w:eastAsia="zh-CN"/>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五、建议：</w:t>
            </w:r>
          </w:p>
          <w:p w14:paraId="7C5E6803">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1、加强环境管理，制定相应的环境管理规章制度，</w:t>
            </w:r>
            <w:r>
              <w:rPr>
                <w:rFonts w:hint="eastAsia" w:ascii="Times New Roman" w:hAnsi="Times New Roman" w:cs="Times New Roman"/>
                <w:color w:val="000000" w:themeColor="text1"/>
                <w:lang w:val="en-US" w:eastAsia="zh-CN"/>
                <w14:textFill>
                  <w14:solidFill>
                    <w14:schemeClr w14:val="tx1"/>
                  </w14:solidFill>
                </w14:textFill>
              </w:rPr>
              <w:t>防止</w:t>
            </w:r>
            <w:r>
              <w:rPr>
                <w:rFonts w:hint="default" w:ascii="Times New Roman" w:hAnsi="Times New Roman" w:cs="Times New Roman"/>
                <w:color w:val="000000" w:themeColor="text1"/>
                <w:lang w:val="en-US" w:eastAsia="zh-CN"/>
                <w14:textFill>
                  <w14:solidFill>
                    <w14:schemeClr w14:val="tx1"/>
                  </w14:solidFill>
                </w14:textFill>
              </w:rPr>
              <w:t>意外事故发生。</w:t>
            </w:r>
          </w:p>
          <w:p w14:paraId="6645BC3A">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2、加强宣传教育，</w:t>
            </w:r>
            <w:r>
              <w:rPr>
                <w:rFonts w:hint="eastAsia" w:ascii="Times New Roman" w:hAnsi="Times New Roman" w:cs="Times New Roman"/>
                <w:color w:val="000000" w:themeColor="text1"/>
                <w:lang w:val="en-US" w:eastAsia="zh-CN"/>
                <w14:textFill>
                  <w14:solidFill>
                    <w14:schemeClr w14:val="tx1"/>
                  </w14:solidFill>
                </w14:textFill>
              </w:rPr>
              <w:t>增强</w:t>
            </w:r>
            <w:r>
              <w:rPr>
                <w:rFonts w:hint="default" w:ascii="Times New Roman" w:hAnsi="Times New Roman" w:cs="Times New Roman"/>
                <w:color w:val="000000" w:themeColor="text1"/>
                <w:lang w:val="en-US" w:eastAsia="zh-CN"/>
                <w14:textFill>
                  <w14:solidFill>
                    <w14:schemeClr w14:val="tx1"/>
                  </w14:solidFill>
                </w14:textFill>
              </w:rPr>
              <w:t>员工</w:t>
            </w:r>
            <w:r>
              <w:rPr>
                <w:rFonts w:hint="eastAsia" w:ascii="Times New Roman" w:hAnsi="Times New Roman" w:cs="Times New Roman"/>
                <w:color w:val="000000" w:themeColor="text1"/>
                <w:lang w:val="en-US" w:eastAsia="zh-CN"/>
                <w14:textFill>
                  <w14:solidFill>
                    <w14:schemeClr w14:val="tx1"/>
                  </w14:solidFill>
                </w14:textFill>
              </w:rPr>
              <w:t>环保</w:t>
            </w:r>
            <w:r>
              <w:rPr>
                <w:rFonts w:hint="default" w:ascii="Times New Roman" w:hAnsi="Times New Roman" w:cs="Times New Roman"/>
                <w:color w:val="000000" w:themeColor="text1"/>
                <w:lang w:val="en-US" w:eastAsia="zh-CN"/>
                <w14:textFill>
                  <w14:solidFill>
                    <w14:schemeClr w14:val="tx1"/>
                  </w14:solidFill>
                </w14:textFill>
              </w:rPr>
              <w:t>安全意识。</w:t>
            </w:r>
          </w:p>
          <w:p w14:paraId="1CBB21BE">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3、加强对各种污染防治设施的运行管理，定期维护检修，确保其正常稳定运行。</w:t>
            </w:r>
          </w:p>
          <w:p w14:paraId="7231702D">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4、项目运营时需制定严格的防火、防爆制度，定期对生产人员进行</w:t>
            </w:r>
            <w:r>
              <w:rPr>
                <w:rFonts w:hint="eastAsia" w:ascii="Times New Roman" w:hAnsi="Times New Roman" w:cs="Times New Roman"/>
                <w:color w:val="000000" w:themeColor="text1"/>
                <w:lang w:val="en-US" w:eastAsia="zh-CN"/>
                <w14:textFill>
                  <w14:solidFill>
                    <w14:schemeClr w14:val="tx1"/>
                  </w14:solidFill>
                </w14:textFill>
              </w:rPr>
              <w:t>消防</w:t>
            </w:r>
            <w:r>
              <w:rPr>
                <w:rFonts w:hint="default" w:ascii="Times New Roman" w:hAnsi="Times New Roman" w:cs="Times New Roman"/>
                <w:color w:val="000000" w:themeColor="text1"/>
                <w:lang w:val="en-US" w:eastAsia="zh-CN"/>
                <w14:textFill>
                  <w14:solidFill>
                    <w14:schemeClr w14:val="tx1"/>
                  </w14:solidFill>
                </w14:textFill>
              </w:rPr>
              <w:t>安全教育，明确消防责任人，同时建立安全监督机制，进行安全考核等。</w:t>
            </w:r>
          </w:p>
          <w:p w14:paraId="6839BBDE">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5、固体废物要做到分类收集，及时处理，禁止乱堆乱放。</w:t>
            </w:r>
          </w:p>
        </w:tc>
      </w:tr>
    </w:tbl>
    <w:p w14:paraId="6E83FBB4">
      <w:pPr>
        <w:pStyle w:val="58"/>
        <w:jc w:val="both"/>
        <w:rPr>
          <w:rFonts w:hint="default" w:ascii="Times New Roman" w:hAnsi="Times New Roman" w:eastAsia="宋体" w:cs="Times New Roman"/>
          <w:color w:val="000000" w:themeColor="text1"/>
          <w14:textFill>
            <w14:solidFill>
              <w14:schemeClr w14:val="tx1"/>
            </w14:solidFill>
          </w14:textFill>
        </w:rPr>
      </w:pPr>
    </w:p>
    <w:sectPr>
      <w:pgSz w:w="11906" w:h="16838"/>
      <w:pgMar w:top="1440" w:right="1800" w:bottom="1440" w:left="1800" w:header="851" w:footer="1077" w:gutter="0"/>
      <w:pgBorders>
        <w:top w:val="none" w:sz="0" w:space="0"/>
        <w:left w:val="none" w:sz="0" w:space="0"/>
        <w:bottom w:val="none" w:sz="0" w:space="0"/>
        <w:right w:val="none" w:sz="0" w:space="0"/>
      </w:pgBorders>
      <w:pgNumType w:fmt="decimal"/>
      <w:cols w:space="425"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laska">
    <w:altName w:val="Lucida Sans Unicode"/>
    <w:panose1 w:val="00000000000000000000"/>
    <w:charset w:val="00"/>
    <w:family w:val="swiss"/>
    <w:pitch w:val="default"/>
    <w:sig w:usb0="00000000" w:usb1="00000000" w:usb2="00000000" w:usb3="00000000" w:csb0="00000017" w:csb1="00000000"/>
  </w:font>
  <w:font w:name="Lucida Sans Unicode">
    <w:panose1 w:val="020B0602030504020204"/>
    <w:charset w:val="00"/>
    <w:family w:val="auto"/>
    <w:pitch w:val="default"/>
    <w:sig w:usb0="80001AFF" w:usb1="0000396B" w:usb2="00000000" w:usb3="00000000" w:csb0="200000BF" w:csb1="D7F70000"/>
  </w:font>
  <w:font w:name="宋体ā">
    <w:altName w:val="宋体"/>
    <w:panose1 w:val="00000000000000000000"/>
    <w:charset w:val="86"/>
    <w:family w:val="roman"/>
    <w:pitch w:val="default"/>
    <w:sig w:usb0="00000000" w:usb1="00000000" w:usb2="00000010" w:usb3="00000000" w:csb0="00040000"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Wingdings 2">
    <w:panose1 w:val="05020102010507070707"/>
    <w:charset w:val="02"/>
    <w:family w:val="roman"/>
    <w:pitch w:val="default"/>
    <w:sig w:usb0="00000000" w:usb1="00000000" w:usb2="00000000" w:usb3="00000000" w:csb0="80000000" w:csb1="00000000"/>
  </w:font>
  <w:font w:name="Cambria Math">
    <w:panose1 w:val="02040503050406030204"/>
    <w:charset w:val="00"/>
    <w:family w:val="auto"/>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兰亭黑_GBK">
    <w:panose1 w:val="02000000000000000000"/>
    <w:charset w:val="86"/>
    <w:family w:val="auto"/>
    <w:pitch w:val="default"/>
    <w:sig w:usb0="800002BF" w:usb1="38CF7CFA" w:usb2="00000016"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33A19">
    <w:pPr>
      <w:pStyle w:val="15"/>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ADA03C">
    <w:pPr>
      <w:pStyle w:val="15"/>
      <w:ind w:right="360" w:firstLine="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72C30E">
    <w:pPr>
      <w:pStyle w:val="15"/>
      <w:ind w:right="360" w:firstLine="360"/>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EA110B">
    <w:pPr>
      <w:pStyle w:val="15"/>
      <w:ind w:right="360" w:firstLine="36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CBE700">
                          <w:pPr>
                            <w:pStyle w:val="15"/>
                            <w:ind w:firstLine="560"/>
                            <w:rPr>
                              <w:rStyle w:val="31"/>
                              <w:rFonts w:hint="default" w:ascii="Times New Roman" w:hAnsi="Times New Roman" w:cs="Times New Roman"/>
                              <w:sz w:val="24"/>
                              <w:szCs w:val="24"/>
                            </w:rPr>
                          </w:pPr>
                          <w:r>
                            <w:rPr>
                              <w:rStyle w:val="31"/>
                              <w:rFonts w:hint="default" w:ascii="Times New Roman" w:hAnsi="Times New Roman" w:cs="Times New Roman"/>
                              <w:sz w:val="24"/>
                              <w:szCs w:val="24"/>
                            </w:rPr>
                            <w:t xml:space="preserve">—  </w:t>
                          </w:r>
                          <w:r>
                            <w:rPr>
                              <w:rStyle w:val="31"/>
                              <w:rFonts w:hint="default" w:ascii="Times New Roman" w:hAnsi="Times New Roman" w:cs="Times New Roman"/>
                              <w:sz w:val="24"/>
                              <w:szCs w:val="24"/>
                            </w:rPr>
                            <w:fldChar w:fldCharType="begin"/>
                          </w:r>
                          <w:r>
                            <w:rPr>
                              <w:rStyle w:val="31"/>
                              <w:rFonts w:hint="default" w:ascii="Times New Roman" w:hAnsi="Times New Roman" w:cs="Times New Roman"/>
                              <w:sz w:val="24"/>
                              <w:szCs w:val="24"/>
                            </w:rPr>
                            <w:instrText xml:space="preserve">PAGE  </w:instrText>
                          </w:r>
                          <w:r>
                            <w:rPr>
                              <w:rStyle w:val="31"/>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22</w:t>
                          </w:r>
                          <w:r>
                            <w:rPr>
                              <w:rStyle w:val="31"/>
                              <w:rFonts w:hint="default" w:ascii="Times New Roman" w:hAnsi="Times New Roman" w:cs="Times New Roman"/>
                              <w:sz w:val="24"/>
                              <w:szCs w:val="24"/>
                            </w:rPr>
                            <w:fldChar w:fldCharType="end"/>
                          </w:r>
                          <w:r>
                            <w:rPr>
                              <w:rStyle w:val="31"/>
                              <w:rFonts w:hint="default" w:ascii="Times New Roman" w:hAnsi="Times New Roman" w:cs="Times New Roman"/>
                              <w:sz w:val="24"/>
                              <w:szCs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30CBE700">
                    <w:pPr>
                      <w:pStyle w:val="15"/>
                      <w:ind w:firstLine="560"/>
                      <w:rPr>
                        <w:rStyle w:val="31"/>
                        <w:rFonts w:hint="default" w:ascii="Times New Roman" w:hAnsi="Times New Roman" w:cs="Times New Roman"/>
                        <w:sz w:val="24"/>
                        <w:szCs w:val="24"/>
                      </w:rPr>
                    </w:pPr>
                    <w:r>
                      <w:rPr>
                        <w:rStyle w:val="31"/>
                        <w:rFonts w:hint="default" w:ascii="Times New Roman" w:hAnsi="Times New Roman" w:cs="Times New Roman"/>
                        <w:sz w:val="24"/>
                        <w:szCs w:val="24"/>
                      </w:rPr>
                      <w:t xml:space="preserve">—  </w:t>
                    </w:r>
                    <w:r>
                      <w:rPr>
                        <w:rStyle w:val="31"/>
                        <w:rFonts w:hint="default" w:ascii="Times New Roman" w:hAnsi="Times New Roman" w:cs="Times New Roman"/>
                        <w:sz w:val="24"/>
                        <w:szCs w:val="24"/>
                      </w:rPr>
                      <w:fldChar w:fldCharType="begin"/>
                    </w:r>
                    <w:r>
                      <w:rPr>
                        <w:rStyle w:val="31"/>
                        <w:rFonts w:hint="default" w:ascii="Times New Roman" w:hAnsi="Times New Roman" w:cs="Times New Roman"/>
                        <w:sz w:val="24"/>
                        <w:szCs w:val="24"/>
                      </w:rPr>
                      <w:instrText xml:space="preserve">PAGE  </w:instrText>
                    </w:r>
                    <w:r>
                      <w:rPr>
                        <w:rStyle w:val="31"/>
                        <w:rFonts w:hint="default" w:ascii="Times New Roman" w:hAnsi="Times New Roman" w:cs="Times New Roman"/>
                        <w:sz w:val="24"/>
                        <w:szCs w:val="24"/>
                      </w:rPr>
                      <w:fldChar w:fldCharType="separate"/>
                    </w:r>
                    <w:r>
                      <w:rPr>
                        <w:rStyle w:val="31"/>
                        <w:rFonts w:hint="default" w:ascii="Times New Roman" w:hAnsi="Times New Roman" w:cs="Times New Roman"/>
                        <w:sz w:val="24"/>
                        <w:szCs w:val="24"/>
                      </w:rPr>
                      <w:t>22</w:t>
                    </w:r>
                    <w:r>
                      <w:rPr>
                        <w:rStyle w:val="31"/>
                        <w:rFonts w:hint="default" w:ascii="Times New Roman" w:hAnsi="Times New Roman" w:cs="Times New Roman"/>
                        <w:sz w:val="24"/>
                        <w:szCs w:val="24"/>
                      </w:rPr>
                      <w:fldChar w:fldCharType="end"/>
                    </w:r>
                    <w:r>
                      <w:rPr>
                        <w:rStyle w:val="31"/>
                        <w:rFonts w:hint="default" w:ascii="Times New Roman" w:hAnsi="Times New Roman" w:cs="Times New Roman"/>
                        <w:sz w:val="24"/>
                        <w:szCs w:val="24"/>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E93972">
    <w:pPr>
      <w:tabs>
        <w:tab w:val="left" w:pos="658"/>
      </w:tabs>
      <w:ind w:left="480" w:firstLine="0" w:firstLineChars="0"/>
      <w:rPr>
        <w:rFonts w:hint="eastAsia" w:eastAsia="宋体"/>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16600A"/>
    <w:multiLevelType w:val="singleLevel"/>
    <w:tmpl w:val="9A16600A"/>
    <w:lvl w:ilvl="0" w:tentative="0">
      <w:start w:val="3"/>
      <w:numFmt w:val="chineseCounting"/>
      <w:suff w:val="nothing"/>
      <w:lvlText w:val="%1、"/>
      <w:lvlJc w:val="left"/>
      <w:rPr>
        <w:rFonts w:hint="eastAsia"/>
      </w:rPr>
    </w:lvl>
  </w:abstractNum>
  <w:abstractNum w:abstractNumId="1">
    <w:nsid w:val="A73BDA7A"/>
    <w:multiLevelType w:val="singleLevel"/>
    <w:tmpl w:val="A73BDA7A"/>
    <w:lvl w:ilvl="0" w:tentative="0">
      <w:start w:val="2"/>
      <w:numFmt w:val="decimal"/>
      <w:suff w:val="nothing"/>
      <w:lvlText w:val="%1）"/>
      <w:lvlJc w:val="left"/>
      <w:pPr>
        <w:ind w:left="280"/>
      </w:pPr>
    </w:lvl>
  </w:abstractNum>
  <w:abstractNum w:abstractNumId="2">
    <w:nsid w:val="AD6E040F"/>
    <w:multiLevelType w:val="singleLevel"/>
    <w:tmpl w:val="AD6E040F"/>
    <w:lvl w:ilvl="0" w:tentative="0">
      <w:start w:val="1"/>
      <w:numFmt w:val="decimal"/>
      <w:suff w:val="nothing"/>
      <w:lvlText w:val="（%1）"/>
      <w:lvlJc w:val="left"/>
    </w:lvl>
  </w:abstractNum>
  <w:abstractNum w:abstractNumId="3">
    <w:nsid w:val="BCEB3577"/>
    <w:multiLevelType w:val="singleLevel"/>
    <w:tmpl w:val="BCEB3577"/>
    <w:lvl w:ilvl="0" w:tentative="0">
      <w:start w:val="2"/>
      <w:numFmt w:val="decimal"/>
      <w:suff w:val="nothing"/>
      <w:lvlText w:val="%1、"/>
      <w:lvlJc w:val="left"/>
    </w:lvl>
  </w:abstractNum>
  <w:abstractNum w:abstractNumId="4">
    <w:nsid w:val="C0049BF3"/>
    <w:multiLevelType w:val="singleLevel"/>
    <w:tmpl w:val="C0049BF3"/>
    <w:lvl w:ilvl="0" w:tentative="0">
      <w:start w:val="4"/>
      <w:numFmt w:val="chineseCounting"/>
      <w:suff w:val="nothing"/>
      <w:lvlText w:val="%1、"/>
      <w:lvlJc w:val="left"/>
      <w:rPr>
        <w:rFonts w:hint="eastAsia"/>
      </w:rPr>
    </w:lvl>
  </w:abstractNum>
  <w:abstractNum w:abstractNumId="5">
    <w:nsid w:val="C3D917AF"/>
    <w:multiLevelType w:val="singleLevel"/>
    <w:tmpl w:val="C3D917AF"/>
    <w:lvl w:ilvl="0" w:tentative="0">
      <w:start w:val="1"/>
      <w:numFmt w:val="bullet"/>
      <w:pStyle w:val="12"/>
      <w:lvlText w:val=""/>
      <w:lvlJc w:val="left"/>
      <w:pPr>
        <w:tabs>
          <w:tab w:val="left" w:pos="2040"/>
        </w:tabs>
        <w:ind w:left="2040" w:hanging="360"/>
      </w:pPr>
      <w:rPr>
        <w:rFonts w:hint="default" w:ascii="Wingdings" w:hAnsi="Wingdings"/>
      </w:rPr>
    </w:lvl>
  </w:abstractNum>
  <w:abstractNum w:abstractNumId="6">
    <w:nsid w:val="DB38E350"/>
    <w:multiLevelType w:val="singleLevel"/>
    <w:tmpl w:val="DB38E350"/>
    <w:lvl w:ilvl="0" w:tentative="0">
      <w:start w:val="5"/>
      <w:numFmt w:val="decimal"/>
      <w:suff w:val="nothing"/>
      <w:lvlText w:val="%1、"/>
      <w:lvlJc w:val="left"/>
    </w:lvl>
  </w:abstractNum>
  <w:abstractNum w:abstractNumId="7">
    <w:nsid w:val="4AAED86D"/>
    <w:multiLevelType w:val="singleLevel"/>
    <w:tmpl w:val="4AAED86D"/>
    <w:lvl w:ilvl="0" w:tentative="0">
      <w:start w:val="4"/>
      <w:numFmt w:val="decimal"/>
      <w:suff w:val="nothing"/>
      <w:lvlText w:val="（%1）"/>
      <w:lvlJc w:val="left"/>
    </w:lvl>
  </w:abstractNum>
  <w:abstractNum w:abstractNumId="8">
    <w:nsid w:val="602BEB52"/>
    <w:multiLevelType w:val="singleLevel"/>
    <w:tmpl w:val="602BEB52"/>
    <w:lvl w:ilvl="0" w:tentative="0">
      <w:start w:val="14"/>
      <w:numFmt w:val="decimal"/>
      <w:suff w:val="space"/>
      <w:lvlText w:val="第%1条"/>
      <w:lvlJc w:val="left"/>
    </w:lvl>
  </w:abstractNum>
  <w:abstractNum w:abstractNumId="9">
    <w:nsid w:val="76798C63"/>
    <w:multiLevelType w:val="singleLevel"/>
    <w:tmpl w:val="76798C63"/>
    <w:lvl w:ilvl="0" w:tentative="0">
      <w:start w:val="1"/>
      <w:numFmt w:val="decimal"/>
      <w:suff w:val="nothing"/>
      <w:lvlText w:val="%1、"/>
      <w:lvlJc w:val="left"/>
      <w:rPr>
        <w:rFonts w:hint="default" w:ascii="宋体" w:hAnsi="宋体" w:eastAsia="宋体" w:cs="宋体"/>
        <w:sz w:val="24"/>
        <w:szCs w:val="24"/>
      </w:rPr>
    </w:lvl>
  </w:abstractNum>
  <w:num w:numId="1">
    <w:abstractNumId w:val="5"/>
  </w:num>
  <w:num w:numId="2">
    <w:abstractNumId w:val="8"/>
  </w:num>
  <w:num w:numId="3">
    <w:abstractNumId w:val="4"/>
  </w:num>
  <w:num w:numId="4">
    <w:abstractNumId w:val="3"/>
  </w:num>
  <w:num w:numId="5">
    <w:abstractNumId w:val="7"/>
  </w:num>
  <w:num w:numId="6">
    <w:abstractNumId w:val="0"/>
  </w:num>
  <w:num w:numId="7">
    <w:abstractNumId w:val="9"/>
  </w:num>
  <w:num w:numId="8">
    <w:abstractNumId w:val="6"/>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420"/>
  <w:doNotHyphenateCaps/>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ZmZWJmYTVlNjkyMzBiZDM1MzVkNjA4NDEyMjY0MDAifQ=="/>
  </w:docVars>
  <w:rsids>
    <w:rsidRoot w:val="00172A27"/>
    <w:rsid w:val="00001CED"/>
    <w:rsid w:val="00001E5B"/>
    <w:rsid w:val="00001E67"/>
    <w:rsid w:val="00003CD8"/>
    <w:rsid w:val="00014580"/>
    <w:rsid w:val="00014965"/>
    <w:rsid w:val="0001523A"/>
    <w:rsid w:val="00015296"/>
    <w:rsid w:val="00015BED"/>
    <w:rsid w:val="00016ECB"/>
    <w:rsid w:val="000172B0"/>
    <w:rsid w:val="00025BBF"/>
    <w:rsid w:val="000269F6"/>
    <w:rsid w:val="00027F34"/>
    <w:rsid w:val="00031939"/>
    <w:rsid w:val="000324E2"/>
    <w:rsid w:val="000325A5"/>
    <w:rsid w:val="0003290A"/>
    <w:rsid w:val="00032AF6"/>
    <w:rsid w:val="00032D25"/>
    <w:rsid w:val="00032FB6"/>
    <w:rsid w:val="00036A0B"/>
    <w:rsid w:val="00043999"/>
    <w:rsid w:val="00044554"/>
    <w:rsid w:val="00044735"/>
    <w:rsid w:val="00046D46"/>
    <w:rsid w:val="00047824"/>
    <w:rsid w:val="0005219D"/>
    <w:rsid w:val="00053907"/>
    <w:rsid w:val="00054C29"/>
    <w:rsid w:val="0005568F"/>
    <w:rsid w:val="00055B2E"/>
    <w:rsid w:val="00055D78"/>
    <w:rsid w:val="00057125"/>
    <w:rsid w:val="000575F7"/>
    <w:rsid w:val="0006153D"/>
    <w:rsid w:val="00061B1F"/>
    <w:rsid w:val="000645D6"/>
    <w:rsid w:val="0006513A"/>
    <w:rsid w:val="0006610D"/>
    <w:rsid w:val="000664DB"/>
    <w:rsid w:val="00067DF8"/>
    <w:rsid w:val="0007127D"/>
    <w:rsid w:val="00071AE5"/>
    <w:rsid w:val="00074783"/>
    <w:rsid w:val="00074B17"/>
    <w:rsid w:val="00076C5F"/>
    <w:rsid w:val="00077AA5"/>
    <w:rsid w:val="000801E0"/>
    <w:rsid w:val="0008208D"/>
    <w:rsid w:val="00082A29"/>
    <w:rsid w:val="0008331D"/>
    <w:rsid w:val="000839FC"/>
    <w:rsid w:val="00083C18"/>
    <w:rsid w:val="00084A2D"/>
    <w:rsid w:val="00086E0C"/>
    <w:rsid w:val="00090628"/>
    <w:rsid w:val="00092847"/>
    <w:rsid w:val="00092899"/>
    <w:rsid w:val="00097CC9"/>
    <w:rsid w:val="00097D67"/>
    <w:rsid w:val="000A178E"/>
    <w:rsid w:val="000A22F0"/>
    <w:rsid w:val="000A3D2C"/>
    <w:rsid w:val="000A3EB5"/>
    <w:rsid w:val="000A4AA0"/>
    <w:rsid w:val="000A557E"/>
    <w:rsid w:val="000A578D"/>
    <w:rsid w:val="000B058F"/>
    <w:rsid w:val="000B0DE8"/>
    <w:rsid w:val="000B23A6"/>
    <w:rsid w:val="000B693F"/>
    <w:rsid w:val="000C09AC"/>
    <w:rsid w:val="000C0A63"/>
    <w:rsid w:val="000C107A"/>
    <w:rsid w:val="000C437E"/>
    <w:rsid w:val="000D0E12"/>
    <w:rsid w:val="000D1489"/>
    <w:rsid w:val="000D73D2"/>
    <w:rsid w:val="000E28B9"/>
    <w:rsid w:val="000E5F16"/>
    <w:rsid w:val="000F1132"/>
    <w:rsid w:val="000F1482"/>
    <w:rsid w:val="000F3AF7"/>
    <w:rsid w:val="000F3DA9"/>
    <w:rsid w:val="000F4319"/>
    <w:rsid w:val="000F4452"/>
    <w:rsid w:val="000F51BA"/>
    <w:rsid w:val="000F5B42"/>
    <w:rsid w:val="000F649A"/>
    <w:rsid w:val="000F6DA1"/>
    <w:rsid w:val="000F701B"/>
    <w:rsid w:val="0010088C"/>
    <w:rsid w:val="0010145F"/>
    <w:rsid w:val="00101DEF"/>
    <w:rsid w:val="00103C3E"/>
    <w:rsid w:val="00104A64"/>
    <w:rsid w:val="001056A0"/>
    <w:rsid w:val="00106614"/>
    <w:rsid w:val="0010719F"/>
    <w:rsid w:val="00107919"/>
    <w:rsid w:val="00110DF1"/>
    <w:rsid w:val="001134F5"/>
    <w:rsid w:val="0011465C"/>
    <w:rsid w:val="00115279"/>
    <w:rsid w:val="00117459"/>
    <w:rsid w:val="0011749A"/>
    <w:rsid w:val="00124725"/>
    <w:rsid w:val="0012641C"/>
    <w:rsid w:val="00127A68"/>
    <w:rsid w:val="00132DD2"/>
    <w:rsid w:val="0013477A"/>
    <w:rsid w:val="00140B13"/>
    <w:rsid w:val="00141B68"/>
    <w:rsid w:val="0014289A"/>
    <w:rsid w:val="00143C00"/>
    <w:rsid w:val="00143F3E"/>
    <w:rsid w:val="00144EE7"/>
    <w:rsid w:val="00145EB9"/>
    <w:rsid w:val="001466DA"/>
    <w:rsid w:val="00153400"/>
    <w:rsid w:val="00154DE1"/>
    <w:rsid w:val="0015573A"/>
    <w:rsid w:val="00155B40"/>
    <w:rsid w:val="00157435"/>
    <w:rsid w:val="00160038"/>
    <w:rsid w:val="00163E37"/>
    <w:rsid w:val="00163EEA"/>
    <w:rsid w:val="00164805"/>
    <w:rsid w:val="0016577C"/>
    <w:rsid w:val="00166BCB"/>
    <w:rsid w:val="00167A07"/>
    <w:rsid w:val="00170431"/>
    <w:rsid w:val="0017046A"/>
    <w:rsid w:val="001704A3"/>
    <w:rsid w:val="001704B2"/>
    <w:rsid w:val="0017107A"/>
    <w:rsid w:val="0017504D"/>
    <w:rsid w:val="00177422"/>
    <w:rsid w:val="001817E7"/>
    <w:rsid w:val="00181EF4"/>
    <w:rsid w:val="0018205E"/>
    <w:rsid w:val="00184F10"/>
    <w:rsid w:val="001854E3"/>
    <w:rsid w:val="00185546"/>
    <w:rsid w:val="00185AEE"/>
    <w:rsid w:val="0019074C"/>
    <w:rsid w:val="0019146B"/>
    <w:rsid w:val="00193FA8"/>
    <w:rsid w:val="00194398"/>
    <w:rsid w:val="00194776"/>
    <w:rsid w:val="00195594"/>
    <w:rsid w:val="00197A71"/>
    <w:rsid w:val="001A299F"/>
    <w:rsid w:val="001A5526"/>
    <w:rsid w:val="001A66E8"/>
    <w:rsid w:val="001A7D2A"/>
    <w:rsid w:val="001A7DA8"/>
    <w:rsid w:val="001A7E21"/>
    <w:rsid w:val="001A7F29"/>
    <w:rsid w:val="001B06EB"/>
    <w:rsid w:val="001B0C41"/>
    <w:rsid w:val="001B574C"/>
    <w:rsid w:val="001C0023"/>
    <w:rsid w:val="001C0AF9"/>
    <w:rsid w:val="001C155A"/>
    <w:rsid w:val="001C48C0"/>
    <w:rsid w:val="001C54B3"/>
    <w:rsid w:val="001C5BFF"/>
    <w:rsid w:val="001C627A"/>
    <w:rsid w:val="001C6DE9"/>
    <w:rsid w:val="001D047D"/>
    <w:rsid w:val="001D1246"/>
    <w:rsid w:val="001D1E7C"/>
    <w:rsid w:val="001D2222"/>
    <w:rsid w:val="001D22F0"/>
    <w:rsid w:val="001D6726"/>
    <w:rsid w:val="001E119E"/>
    <w:rsid w:val="001E1BB6"/>
    <w:rsid w:val="001E4D26"/>
    <w:rsid w:val="001E4D74"/>
    <w:rsid w:val="001E7B23"/>
    <w:rsid w:val="001F19F3"/>
    <w:rsid w:val="001F20FE"/>
    <w:rsid w:val="001F3347"/>
    <w:rsid w:val="001F4440"/>
    <w:rsid w:val="001F52BB"/>
    <w:rsid w:val="001F5D90"/>
    <w:rsid w:val="001F69E4"/>
    <w:rsid w:val="0020154A"/>
    <w:rsid w:val="00202925"/>
    <w:rsid w:val="0020633C"/>
    <w:rsid w:val="00206A65"/>
    <w:rsid w:val="00206B4A"/>
    <w:rsid w:val="00210031"/>
    <w:rsid w:val="00212580"/>
    <w:rsid w:val="00212D31"/>
    <w:rsid w:val="002130C7"/>
    <w:rsid w:val="00213427"/>
    <w:rsid w:val="0021521B"/>
    <w:rsid w:val="00216774"/>
    <w:rsid w:val="00216C6C"/>
    <w:rsid w:val="0022089D"/>
    <w:rsid w:val="002218A8"/>
    <w:rsid w:val="0022306D"/>
    <w:rsid w:val="00226574"/>
    <w:rsid w:val="00226688"/>
    <w:rsid w:val="0022754D"/>
    <w:rsid w:val="002278EC"/>
    <w:rsid w:val="00227938"/>
    <w:rsid w:val="002320B0"/>
    <w:rsid w:val="00233F4D"/>
    <w:rsid w:val="002357C7"/>
    <w:rsid w:val="00235D82"/>
    <w:rsid w:val="002367C4"/>
    <w:rsid w:val="00237FAC"/>
    <w:rsid w:val="002424B4"/>
    <w:rsid w:val="00242BA5"/>
    <w:rsid w:val="0024389F"/>
    <w:rsid w:val="00243CD9"/>
    <w:rsid w:val="002459E2"/>
    <w:rsid w:val="00247B97"/>
    <w:rsid w:val="00247FA6"/>
    <w:rsid w:val="00250491"/>
    <w:rsid w:val="00252174"/>
    <w:rsid w:val="0025410E"/>
    <w:rsid w:val="0025679E"/>
    <w:rsid w:val="00260C68"/>
    <w:rsid w:val="00262088"/>
    <w:rsid w:val="0026335E"/>
    <w:rsid w:val="002648B0"/>
    <w:rsid w:val="0026551D"/>
    <w:rsid w:val="0027062D"/>
    <w:rsid w:val="002722D9"/>
    <w:rsid w:val="0027314D"/>
    <w:rsid w:val="002735C0"/>
    <w:rsid w:val="00274724"/>
    <w:rsid w:val="00275271"/>
    <w:rsid w:val="0027535E"/>
    <w:rsid w:val="00275AA6"/>
    <w:rsid w:val="00275CC9"/>
    <w:rsid w:val="00276FCA"/>
    <w:rsid w:val="002803FB"/>
    <w:rsid w:val="002807D5"/>
    <w:rsid w:val="002826D4"/>
    <w:rsid w:val="00282CCD"/>
    <w:rsid w:val="00283DEA"/>
    <w:rsid w:val="00284672"/>
    <w:rsid w:val="002859ED"/>
    <w:rsid w:val="00285C55"/>
    <w:rsid w:val="0028746A"/>
    <w:rsid w:val="00287822"/>
    <w:rsid w:val="00287BA3"/>
    <w:rsid w:val="002913F6"/>
    <w:rsid w:val="00291F68"/>
    <w:rsid w:val="002928FE"/>
    <w:rsid w:val="00294CA7"/>
    <w:rsid w:val="00297800"/>
    <w:rsid w:val="002A168C"/>
    <w:rsid w:val="002A2A41"/>
    <w:rsid w:val="002A2C48"/>
    <w:rsid w:val="002A2F78"/>
    <w:rsid w:val="002A3EED"/>
    <w:rsid w:val="002A4A39"/>
    <w:rsid w:val="002A52C8"/>
    <w:rsid w:val="002A59F0"/>
    <w:rsid w:val="002A5A17"/>
    <w:rsid w:val="002A6425"/>
    <w:rsid w:val="002B49E2"/>
    <w:rsid w:val="002B7B00"/>
    <w:rsid w:val="002B7C44"/>
    <w:rsid w:val="002C10CB"/>
    <w:rsid w:val="002C1388"/>
    <w:rsid w:val="002C3C6A"/>
    <w:rsid w:val="002C77B5"/>
    <w:rsid w:val="002D1061"/>
    <w:rsid w:val="002D3CCA"/>
    <w:rsid w:val="002D42DB"/>
    <w:rsid w:val="002D46D6"/>
    <w:rsid w:val="002D6B63"/>
    <w:rsid w:val="002E1F3A"/>
    <w:rsid w:val="002E298A"/>
    <w:rsid w:val="002E47E0"/>
    <w:rsid w:val="002E7772"/>
    <w:rsid w:val="002F02A4"/>
    <w:rsid w:val="002F272B"/>
    <w:rsid w:val="002F47B6"/>
    <w:rsid w:val="002F6815"/>
    <w:rsid w:val="002F694F"/>
    <w:rsid w:val="002F7C6D"/>
    <w:rsid w:val="00301230"/>
    <w:rsid w:val="003027E4"/>
    <w:rsid w:val="00302E32"/>
    <w:rsid w:val="0030332C"/>
    <w:rsid w:val="00303FEB"/>
    <w:rsid w:val="00312296"/>
    <w:rsid w:val="003132A9"/>
    <w:rsid w:val="0031340E"/>
    <w:rsid w:val="00316464"/>
    <w:rsid w:val="0031664A"/>
    <w:rsid w:val="003166D7"/>
    <w:rsid w:val="0031778C"/>
    <w:rsid w:val="0032073A"/>
    <w:rsid w:val="00321D8E"/>
    <w:rsid w:val="003237DE"/>
    <w:rsid w:val="00324399"/>
    <w:rsid w:val="0032754B"/>
    <w:rsid w:val="0032779D"/>
    <w:rsid w:val="0033051C"/>
    <w:rsid w:val="0033098B"/>
    <w:rsid w:val="003333CA"/>
    <w:rsid w:val="00334132"/>
    <w:rsid w:val="0033413D"/>
    <w:rsid w:val="00334370"/>
    <w:rsid w:val="00334406"/>
    <w:rsid w:val="00334996"/>
    <w:rsid w:val="003361A5"/>
    <w:rsid w:val="00336969"/>
    <w:rsid w:val="00336C52"/>
    <w:rsid w:val="0034049C"/>
    <w:rsid w:val="00341B3E"/>
    <w:rsid w:val="00341B42"/>
    <w:rsid w:val="0034395D"/>
    <w:rsid w:val="00344995"/>
    <w:rsid w:val="00344C7C"/>
    <w:rsid w:val="00345154"/>
    <w:rsid w:val="0034560E"/>
    <w:rsid w:val="00345DB1"/>
    <w:rsid w:val="00350523"/>
    <w:rsid w:val="00352975"/>
    <w:rsid w:val="00352E9C"/>
    <w:rsid w:val="0035498B"/>
    <w:rsid w:val="00355293"/>
    <w:rsid w:val="00356868"/>
    <w:rsid w:val="00356EBF"/>
    <w:rsid w:val="003570CB"/>
    <w:rsid w:val="003607B3"/>
    <w:rsid w:val="0036485B"/>
    <w:rsid w:val="00365DAF"/>
    <w:rsid w:val="00366A69"/>
    <w:rsid w:val="00366E02"/>
    <w:rsid w:val="00367B95"/>
    <w:rsid w:val="003704E2"/>
    <w:rsid w:val="00371863"/>
    <w:rsid w:val="00373699"/>
    <w:rsid w:val="00373B0D"/>
    <w:rsid w:val="00373FC0"/>
    <w:rsid w:val="00376988"/>
    <w:rsid w:val="00380EFA"/>
    <w:rsid w:val="00381A72"/>
    <w:rsid w:val="003822F6"/>
    <w:rsid w:val="00382E03"/>
    <w:rsid w:val="0038469F"/>
    <w:rsid w:val="00387298"/>
    <w:rsid w:val="00391441"/>
    <w:rsid w:val="00391BAC"/>
    <w:rsid w:val="00392C62"/>
    <w:rsid w:val="00393897"/>
    <w:rsid w:val="00393AF8"/>
    <w:rsid w:val="0039647F"/>
    <w:rsid w:val="003976CF"/>
    <w:rsid w:val="003A143B"/>
    <w:rsid w:val="003A1948"/>
    <w:rsid w:val="003A3F69"/>
    <w:rsid w:val="003A459D"/>
    <w:rsid w:val="003A47E6"/>
    <w:rsid w:val="003A6FF9"/>
    <w:rsid w:val="003A7369"/>
    <w:rsid w:val="003A791E"/>
    <w:rsid w:val="003B047A"/>
    <w:rsid w:val="003B152A"/>
    <w:rsid w:val="003B1605"/>
    <w:rsid w:val="003B2B42"/>
    <w:rsid w:val="003B545B"/>
    <w:rsid w:val="003C0AC6"/>
    <w:rsid w:val="003C1336"/>
    <w:rsid w:val="003C1A18"/>
    <w:rsid w:val="003C5F95"/>
    <w:rsid w:val="003C728B"/>
    <w:rsid w:val="003D0D9A"/>
    <w:rsid w:val="003D1AA7"/>
    <w:rsid w:val="003D2415"/>
    <w:rsid w:val="003D3EE9"/>
    <w:rsid w:val="003E0A0C"/>
    <w:rsid w:val="003E3C1B"/>
    <w:rsid w:val="003E7681"/>
    <w:rsid w:val="003F053D"/>
    <w:rsid w:val="003F0809"/>
    <w:rsid w:val="003F611C"/>
    <w:rsid w:val="003F6332"/>
    <w:rsid w:val="003F7534"/>
    <w:rsid w:val="003F755C"/>
    <w:rsid w:val="003F7AF3"/>
    <w:rsid w:val="0040043C"/>
    <w:rsid w:val="00402CFB"/>
    <w:rsid w:val="004033EC"/>
    <w:rsid w:val="0040526C"/>
    <w:rsid w:val="00405DA2"/>
    <w:rsid w:val="00406F01"/>
    <w:rsid w:val="004101DE"/>
    <w:rsid w:val="00411584"/>
    <w:rsid w:val="00411A3D"/>
    <w:rsid w:val="00411B36"/>
    <w:rsid w:val="00411E83"/>
    <w:rsid w:val="004121D7"/>
    <w:rsid w:val="00413FC7"/>
    <w:rsid w:val="00414023"/>
    <w:rsid w:val="0041507E"/>
    <w:rsid w:val="0041582A"/>
    <w:rsid w:val="00416D50"/>
    <w:rsid w:val="004175D7"/>
    <w:rsid w:val="00417772"/>
    <w:rsid w:val="004209EB"/>
    <w:rsid w:val="00420E6A"/>
    <w:rsid w:val="004218B3"/>
    <w:rsid w:val="00423268"/>
    <w:rsid w:val="00425A38"/>
    <w:rsid w:val="00433776"/>
    <w:rsid w:val="00433CA9"/>
    <w:rsid w:val="004344E4"/>
    <w:rsid w:val="0043521D"/>
    <w:rsid w:val="00441645"/>
    <w:rsid w:val="0044184A"/>
    <w:rsid w:val="00442024"/>
    <w:rsid w:val="0044254C"/>
    <w:rsid w:val="00442A23"/>
    <w:rsid w:val="004439D4"/>
    <w:rsid w:val="00443E7A"/>
    <w:rsid w:val="00443F6A"/>
    <w:rsid w:val="00444516"/>
    <w:rsid w:val="00445D0E"/>
    <w:rsid w:val="00450A17"/>
    <w:rsid w:val="00450C1D"/>
    <w:rsid w:val="0045350A"/>
    <w:rsid w:val="004541AD"/>
    <w:rsid w:val="00454F20"/>
    <w:rsid w:val="004570C5"/>
    <w:rsid w:val="00457198"/>
    <w:rsid w:val="004577C2"/>
    <w:rsid w:val="00461A2E"/>
    <w:rsid w:val="00461F19"/>
    <w:rsid w:val="004628E3"/>
    <w:rsid w:val="004657AC"/>
    <w:rsid w:val="00466321"/>
    <w:rsid w:val="00466CA7"/>
    <w:rsid w:val="004672AF"/>
    <w:rsid w:val="004727B0"/>
    <w:rsid w:val="0047475E"/>
    <w:rsid w:val="0047564E"/>
    <w:rsid w:val="00476656"/>
    <w:rsid w:val="00476818"/>
    <w:rsid w:val="00480247"/>
    <w:rsid w:val="0048081D"/>
    <w:rsid w:val="00481080"/>
    <w:rsid w:val="0048117E"/>
    <w:rsid w:val="00481A71"/>
    <w:rsid w:val="004848A9"/>
    <w:rsid w:val="004855F6"/>
    <w:rsid w:val="004864A7"/>
    <w:rsid w:val="004866E4"/>
    <w:rsid w:val="00486F0C"/>
    <w:rsid w:val="00487CBE"/>
    <w:rsid w:val="0049389A"/>
    <w:rsid w:val="00494670"/>
    <w:rsid w:val="004A0EB4"/>
    <w:rsid w:val="004A3823"/>
    <w:rsid w:val="004A4B37"/>
    <w:rsid w:val="004A59BB"/>
    <w:rsid w:val="004A7773"/>
    <w:rsid w:val="004B3E1F"/>
    <w:rsid w:val="004B3F71"/>
    <w:rsid w:val="004B43A3"/>
    <w:rsid w:val="004B4C49"/>
    <w:rsid w:val="004B58A5"/>
    <w:rsid w:val="004B5D57"/>
    <w:rsid w:val="004B63D9"/>
    <w:rsid w:val="004B6564"/>
    <w:rsid w:val="004C0204"/>
    <w:rsid w:val="004C07DD"/>
    <w:rsid w:val="004C0882"/>
    <w:rsid w:val="004C1AEE"/>
    <w:rsid w:val="004C1EEC"/>
    <w:rsid w:val="004C2B8A"/>
    <w:rsid w:val="004C55BE"/>
    <w:rsid w:val="004C7E24"/>
    <w:rsid w:val="004D26C9"/>
    <w:rsid w:val="004D2B96"/>
    <w:rsid w:val="004D4DE7"/>
    <w:rsid w:val="004D5E92"/>
    <w:rsid w:val="004D601C"/>
    <w:rsid w:val="004D6320"/>
    <w:rsid w:val="004E2013"/>
    <w:rsid w:val="004E448F"/>
    <w:rsid w:val="004E5B30"/>
    <w:rsid w:val="004E7DC0"/>
    <w:rsid w:val="004F0779"/>
    <w:rsid w:val="004F1230"/>
    <w:rsid w:val="004F173F"/>
    <w:rsid w:val="004F177C"/>
    <w:rsid w:val="004F2DCE"/>
    <w:rsid w:val="004F4D19"/>
    <w:rsid w:val="004F5A78"/>
    <w:rsid w:val="004F7CDB"/>
    <w:rsid w:val="004F7E3E"/>
    <w:rsid w:val="005039CB"/>
    <w:rsid w:val="0050558F"/>
    <w:rsid w:val="005057E0"/>
    <w:rsid w:val="00505E4C"/>
    <w:rsid w:val="00506286"/>
    <w:rsid w:val="00506C5F"/>
    <w:rsid w:val="00510813"/>
    <w:rsid w:val="005109EC"/>
    <w:rsid w:val="00511858"/>
    <w:rsid w:val="00511DE0"/>
    <w:rsid w:val="00512425"/>
    <w:rsid w:val="005124E2"/>
    <w:rsid w:val="00513030"/>
    <w:rsid w:val="00517A38"/>
    <w:rsid w:val="00517F02"/>
    <w:rsid w:val="00520D22"/>
    <w:rsid w:val="005216D3"/>
    <w:rsid w:val="00524547"/>
    <w:rsid w:val="005258A2"/>
    <w:rsid w:val="005261A9"/>
    <w:rsid w:val="00527CEB"/>
    <w:rsid w:val="00530F7C"/>
    <w:rsid w:val="00534567"/>
    <w:rsid w:val="00534F43"/>
    <w:rsid w:val="00535A84"/>
    <w:rsid w:val="00536889"/>
    <w:rsid w:val="00542E07"/>
    <w:rsid w:val="00543825"/>
    <w:rsid w:val="00544502"/>
    <w:rsid w:val="00554A7B"/>
    <w:rsid w:val="0055572C"/>
    <w:rsid w:val="0056064F"/>
    <w:rsid w:val="00560F6B"/>
    <w:rsid w:val="00561B84"/>
    <w:rsid w:val="00565611"/>
    <w:rsid w:val="00571D98"/>
    <w:rsid w:val="005720AE"/>
    <w:rsid w:val="0057763E"/>
    <w:rsid w:val="00577E44"/>
    <w:rsid w:val="0058030D"/>
    <w:rsid w:val="00582045"/>
    <w:rsid w:val="00583C82"/>
    <w:rsid w:val="00584D7B"/>
    <w:rsid w:val="005851A0"/>
    <w:rsid w:val="00586823"/>
    <w:rsid w:val="005876C3"/>
    <w:rsid w:val="005906C9"/>
    <w:rsid w:val="00590AE3"/>
    <w:rsid w:val="005918F1"/>
    <w:rsid w:val="00595ABC"/>
    <w:rsid w:val="00597FBA"/>
    <w:rsid w:val="005A0223"/>
    <w:rsid w:val="005A06B7"/>
    <w:rsid w:val="005A1759"/>
    <w:rsid w:val="005A1D4E"/>
    <w:rsid w:val="005A2CC5"/>
    <w:rsid w:val="005A30EE"/>
    <w:rsid w:val="005A3123"/>
    <w:rsid w:val="005A5A58"/>
    <w:rsid w:val="005A6839"/>
    <w:rsid w:val="005A6C2B"/>
    <w:rsid w:val="005B032D"/>
    <w:rsid w:val="005B26CA"/>
    <w:rsid w:val="005B41CC"/>
    <w:rsid w:val="005B61C5"/>
    <w:rsid w:val="005B6B6D"/>
    <w:rsid w:val="005C256B"/>
    <w:rsid w:val="005C3570"/>
    <w:rsid w:val="005C6699"/>
    <w:rsid w:val="005C6BD0"/>
    <w:rsid w:val="005D0369"/>
    <w:rsid w:val="005D3A92"/>
    <w:rsid w:val="005D4D69"/>
    <w:rsid w:val="005D53FE"/>
    <w:rsid w:val="005D7A0F"/>
    <w:rsid w:val="005E0438"/>
    <w:rsid w:val="005E1791"/>
    <w:rsid w:val="005E2CE6"/>
    <w:rsid w:val="005E6324"/>
    <w:rsid w:val="005E7A42"/>
    <w:rsid w:val="005F0F51"/>
    <w:rsid w:val="005F15F6"/>
    <w:rsid w:val="005F228B"/>
    <w:rsid w:val="005F29CD"/>
    <w:rsid w:val="005F4A4F"/>
    <w:rsid w:val="005F4DFB"/>
    <w:rsid w:val="005F5D0A"/>
    <w:rsid w:val="005F673A"/>
    <w:rsid w:val="005F6A51"/>
    <w:rsid w:val="005F6B7F"/>
    <w:rsid w:val="005F6CC0"/>
    <w:rsid w:val="00603E5B"/>
    <w:rsid w:val="00604538"/>
    <w:rsid w:val="00604BC8"/>
    <w:rsid w:val="006053A7"/>
    <w:rsid w:val="00606BB4"/>
    <w:rsid w:val="006102E2"/>
    <w:rsid w:val="00615B4C"/>
    <w:rsid w:val="00615B5D"/>
    <w:rsid w:val="0061770D"/>
    <w:rsid w:val="006209C9"/>
    <w:rsid w:val="0062146F"/>
    <w:rsid w:val="006245F6"/>
    <w:rsid w:val="006259AB"/>
    <w:rsid w:val="0063013E"/>
    <w:rsid w:val="006343AF"/>
    <w:rsid w:val="00635C2E"/>
    <w:rsid w:val="0063634A"/>
    <w:rsid w:val="0064020B"/>
    <w:rsid w:val="0064250D"/>
    <w:rsid w:val="00651E92"/>
    <w:rsid w:val="006535EB"/>
    <w:rsid w:val="00655B94"/>
    <w:rsid w:val="00660709"/>
    <w:rsid w:val="00663016"/>
    <w:rsid w:val="0066578F"/>
    <w:rsid w:val="00666417"/>
    <w:rsid w:val="00666FBF"/>
    <w:rsid w:val="00673F1B"/>
    <w:rsid w:val="006741BC"/>
    <w:rsid w:val="00674605"/>
    <w:rsid w:val="006748B8"/>
    <w:rsid w:val="00675E2A"/>
    <w:rsid w:val="00680831"/>
    <w:rsid w:val="00682C3A"/>
    <w:rsid w:val="0068535B"/>
    <w:rsid w:val="00685ADA"/>
    <w:rsid w:val="00685BAF"/>
    <w:rsid w:val="00687137"/>
    <w:rsid w:val="0068736E"/>
    <w:rsid w:val="006923D5"/>
    <w:rsid w:val="0069290A"/>
    <w:rsid w:val="006936F5"/>
    <w:rsid w:val="0069489A"/>
    <w:rsid w:val="0069543A"/>
    <w:rsid w:val="0069587B"/>
    <w:rsid w:val="00695CA0"/>
    <w:rsid w:val="00696EEA"/>
    <w:rsid w:val="00697032"/>
    <w:rsid w:val="006975AC"/>
    <w:rsid w:val="00697F4A"/>
    <w:rsid w:val="006A15FB"/>
    <w:rsid w:val="006A1A2B"/>
    <w:rsid w:val="006A3C7F"/>
    <w:rsid w:val="006A48F2"/>
    <w:rsid w:val="006A4C1C"/>
    <w:rsid w:val="006A5F51"/>
    <w:rsid w:val="006A6998"/>
    <w:rsid w:val="006A72BF"/>
    <w:rsid w:val="006B2309"/>
    <w:rsid w:val="006B332A"/>
    <w:rsid w:val="006B33BD"/>
    <w:rsid w:val="006B4BC2"/>
    <w:rsid w:val="006B5EF4"/>
    <w:rsid w:val="006B6D35"/>
    <w:rsid w:val="006C3282"/>
    <w:rsid w:val="006C3F75"/>
    <w:rsid w:val="006C5F59"/>
    <w:rsid w:val="006D170E"/>
    <w:rsid w:val="006D1ED7"/>
    <w:rsid w:val="006D2421"/>
    <w:rsid w:val="006D6C2F"/>
    <w:rsid w:val="006E06AF"/>
    <w:rsid w:val="006E279E"/>
    <w:rsid w:val="006E4C7E"/>
    <w:rsid w:val="006E63C0"/>
    <w:rsid w:val="006F1789"/>
    <w:rsid w:val="006F34E5"/>
    <w:rsid w:val="006F4569"/>
    <w:rsid w:val="006F519B"/>
    <w:rsid w:val="006F530E"/>
    <w:rsid w:val="006F64B6"/>
    <w:rsid w:val="00700256"/>
    <w:rsid w:val="0070414C"/>
    <w:rsid w:val="0070503A"/>
    <w:rsid w:val="00706C5D"/>
    <w:rsid w:val="007118E6"/>
    <w:rsid w:val="00714104"/>
    <w:rsid w:val="00715992"/>
    <w:rsid w:val="00720022"/>
    <w:rsid w:val="0072065E"/>
    <w:rsid w:val="00720E84"/>
    <w:rsid w:val="007225C9"/>
    <w:rsid w:val="00723CF9"/>
    <w:rsid w:val="00725C9E"/>
    <w:rsid w:val="00725D1E"/>
    <w:rsid w:val="00730ACF"/>
    <w:rsid w:val="00731BCC"/>
    <w:rsid w:val="00733241"/>
    <w:rsid w:val="007335E3"/>
    <w:rsid w:val="00734D0B"/>
    <w:rsid w:val="00734F64"/>
    <w:rsid w:val="00735417"/>
    <w:rsid w:val="00735CB2"/>
    <w:rsid w:val="00735CD7"/>
    <w:rsid w:val="00736064"/>
    <w:rsid w:val="0073695D"/>
    <w:rsid w:val="00736A49"/>
    <w:rsid w:val="007370DC"/>
    <w:rsid w:val="00737295"/>
    <w:rsid w:val="007421C8"/>
    <w:rsid w:val="0075342E"/>
    <w:rsid w:val="00754034"/>
    <w:rsid w:val="00754BF1"/>
    <w:rsid w:val="00755A30"/>
    <w:rsid w:val="00755D3A"/>
    <w:rsid w:val="00755E1C"/>
    <w:rsid w:val="00756556"/>
    <w:rsid w:val="007567DC"/>
    <w:rsid w:val="0076132B"/>
    <w:rsid w:val="007623AE"/>
    <w:rsid w:val="0076624F"/>
    <w:rsid w:val="00770B19"/>
    <w:rsid w:val="0077436C"/>
    <w:rsid w:val="00774FA0"/>
    <w:rsid w:val="00774FF6"/>
    <w:rsid w:val="00776620"/>
    <w:rsid w:val="00777B6D"/>
    <w:rsid w:val="00781AB5"/>
    <w:rsid w:val="007823F9"/>
    <w:rsid w:val="00782C98"/>
    <w:rsid w:val="0078405C"/>
    <w:rsid w:val="00784855"/>
    <w:rsid w:val="00784E21"/>
    <w:rsid w:val="00784F39"/>
    <w:rsid w:val="0078545C"/>
    <w:rsid w:val="00787DA1"/>
    <w:rsid w:val="00790696"/>
    <w:rsid w:val="007906C4"/>
    <w:rsid w:val="007916C7"/>
    <w:rsid w:val="007930CD"/>
    <w:rsid w:val="007940EA"/>
    <w:rsid w:val="00794932"/>
    <w:rsid w:val="007967E8"/>
    <w:rsid w:val="00797DBD"/>
    <w:rsid w:val="007A4CAF"/>
    <w:rsid w:val="007A63F2"/>
    <w:rsid w:val="007A68D7"/>
    <w:rsid w:val="007A7666"/>
    <w:rsid w:val="007A7E7A"/>
    <w:rsid w:val="007B04DF"/>
    <w:rsid w:val="007B0D74"/>
    <w:rsid w:val="007B6528"/>
    <w:rsid w:val="007B68DE"/>
    <w:rsid w:val="007B7E40"/>
    <w:rsid w:val="007C1475"/>
    <w:rsid w:val="007C1857"/>
    <w:rsid w:val="007C1A86"/>
    <w:rsid w:val="007C4664"/>
    <w:rsid w:val="007C49AB"/>
    <w:rsid w:val="007C514F"/>
    <w:rsid w:val="007D0F95"/>
    <w:rsid w:val="007D2D6C"/>
    <w:rsid w:val="007D395F"/>
    <w:rsid w:val="007D419C"/>
    <w:rsid w:val="007D551C"/>
    <w:rsid w:val="007D5C5C"/>
    <w:rsid w:val="007D63B8"/>
    <w:rsid w:val="007D6D30"/>
    <w:rsid w:val="007D7591"/>
    <w:rsid w:val="007D7ECB"/>
    <w:rsid w:val="007E08F9"/>
    <w:rsid w:val="007E25A1"/>
    <w:rsid w:val="007E4BD2"/>
    <w:rsid w:val="007E5C58"/>
    <w:rsid w:val="007E6E0A"/>
    <w:rsid w:val="007E7145"/>
    <w:rsid w:val="007F3916"/>
    <w:rsid w:val="007F4E70"/>
    <w:rsid w:val="007F5EEE"/>
    <w:rsid w:val="007F6835"/>
    <w:rsid w:val="007F6A7C"/>
    <w:rsid w:val="00800C92"/>
    <w:rsid w:val="00800E82"/>
    <w:rsid w:val="00801179"/>
    <w:rsid w:val="00802479"/>
    <w:rsid w:val="00804732"/>
    <w:rsid w:val="008047E8"/>
    <w:rsid w:val="00805372"/>
    <w:rsid w:val="00805B7B"/>
    <w:rsid w:val="00806917"/>
    <w:rsid w:val="00810906"/>
    <w:rsid w:val="00810F7D"/>
    <w:rsid w:val="00811F82"/>
    <w:rsid w:val="0081293E"/>
    <w:rsid w:val="00814FFB"/>
    <w:rsid w:val="00820568"/>
    <w:rsid w:val="008210B8"/>
    <w:rsid w:val="00821D52"/>
    <w:rsid w:val="00822B65"/>
    <w:rsid w:val="0082380B"/>
    <w:rsid w:val="00825094"/>
    <w:rsid w:val="00826A80"/>
    <w:rsid w:val="00830E88"/>
    <w:rsid w:val="00831A80"/>
    <w:rsid w:val="008332C8"/>
    <w:rsid w:val="00833743"/>
    <w:rsid w:val="008340A4"/>
    <w:rsid w:val="008344FE"/>
    <w:rsid w:val="00834741"/>
    <w:rsid w:val="00836370"/>
    <w:rsid w:val="00836799"/>
    <w:rsid w:val="00837028"/>
    <w:rsid w:val="00837131"/>
    <w:rsid w:val="008379F1"/>
    <w:rsid w:val="00840AD3"/>
    <w:rsid w:val="008422FA"/>
    <w:rsid w:val="008424A3"/>
    <w:rsid w:val="00845F57"/>
    <w:rsid w:val="0084600C"/>
    <w:rsid w:val="0084762A"/>
    <w:rsid w:val="00850015"/>
    <w:rsid w:val="00851383"/>
    <w:rsid w:val="008521E0"/>
    <w:rsid w:val="008525B0"/>
    <w:rsid w:val="00862615"/>
    <w:rsid w:val="008644E2"/>
    <w:rsid w:val="00867CBC"/>
    <w:rsid w:val="00867DA3"/>
    <w:rsid w:val="0087003E"/>
    <w:rsid w:val="00870AB9"/>
    <w:rsid w:val="0087114A"/>
    <w:rsid w:val="008713B4"/>
    <w:rsid w:val="00872522"/>
    <w:rsid w:val="00872A90"/>
    <w:rsid w:val="00874B9B"/>
    <w:rsid w:val="008753FF"/>
    <w:rsid w:val="00876C30"/>
    <w:rsid w:val="00876F6C"/>
    <w:rsid w:val="00877017"/>
    <w:rsid w:val="008773C0"/>
    <w:rsid w:val="0087742D"/>
    <w:rsid w:val="00880364"/>
    <w:rsid w:val="00881841"/>
    <w:rsid w:val="0088228D"/>
    <w:rsid w:val="00883FEF"/>
    <w:rsid w:val="00885430"/>
    <w:rsid w:val="00886621"/>
    <w:rsid w:val="008866FA"/>
    <w:rsid w:val="00886C4C"/>
    <w:rsid w:val="0088711C"/>
    <w:rsid w:val="008916F0"/>
    <w:rsid w:val="00892ECF"/>
    <w:rsid w:val="00892EEA"/>
    <w:rsid w:val="00892F06"/>
    <w:rsid w:val="00894285"/>
    <w:rsid w:val="00894902"/>
    <w:rsid w:val="00897333"/>
    <w:rsid w:val="008A312C"/>
    <w:rsid w:val="008A40AE"/>
    <w:rsid w:val="008A414B"/>
    <w:rsid w:val="008A4E19"/>
    <w:rsid w:val="008A4F41"/>
    <w:rsid w:val="008A551D"/>
    <w:rsid w:val="008A574F"/>
    <w:rsid w:val="008A67C5"/>
    <w:rsid w:val="008B22E1"/>
    <w:rsid w:val="008B3B2A"/>
    <w:rsid w:val="008B3C78"/>
    <w:rsid w:val="008B4AE9"/>
    <w:rsid w:val="008B6752"/>
    <w:rsid w:val="008B7DA3"/>
    <w:rsid w:val="008C17DD"/>
    <w:rsid w:val="008C30AD"/>
    <w:rsid w:val="008C3AA4"/>
    <w:rsid w:val="008C3BBC"/>
    <w:rsid w:val="008D068E"/>
    <w:rsid w:val="008D0EC8"/>
    <w:rsid w:val="008D0F7A"/>
    <w:rsid w:val="008D50F0"/>
    <w:rsid w:val="008D5B2A"/>
    <w:rsid w:val="008D63BE"/>
    <w:rsid w:val="008D6F41"/>
    <w:rsid w:val="008D73EB"/>
    <w:rsid w:val="008E0CFF"/>
    <w:rsid w:val="008E1A12"/>
    <w:rsid w:val="008E378A"/>
    <w:rsid w:val="008E5343"/>
    <w:rsid w:val="008E5D6B"/>
    <w:rsid w:val="008E6810"/>
    <w:rsid w:val="008E689B"/>
    <w:rsid w:val="008E6D6C"/>
    <w:rsid w:val="008E76F0"/>
    <w:rsid w:val="008F0707"/>
    <w:rsid w:val="008F0ABC"/>
    <w:rsid w:val="008F15FE"/>
    <w:rsid w:val="008F2A94"/>
    <w:rsid w:val="008F39CD"/>
    <w:rsid w:val="008F497B"/>
    <w:rsid w:val="008F5187"/>
    <w:rsid w:val="008F700A"/>
    <w:rsid w:val="008F709C"/>
    <w:rsid w:val="0090113C"/>
    <w:rsid w:val="0090312B"/>
    <w:rsid w:val="009032A7"/>
    <w:rsid w:val="00904961"/>
    <w:rsid w:val="0090507D"/>
    <w:rsid w:val="00905AEE"/>
    <w:rsid w:val="009078CF"/>
    <w:rsid w:val="00912F58"/>
    <w:rsid w:val="00913B88"/>
    <w:rsid w:val="0091736D"/>
    <w:rsid w:val="009175C9"/>
    <w:rsid w:val="00920B4F"/>
    <w:rsid w:val="00924A7D"/>
    <w:rsid w:val="00931001"/>
    <w:rsid w:val="0093135B"/>
    <w:rsid w:val="00931832"/>
    <w:rsid w:val="00931863"/>
    <w:rsid w:val="00933412"/>
    <w:rsid w:val="00933524"/>
    <w:rsid w:val="00934DCF"/>
    <w:rsid w:val="00935154"/>
    <w:rsid w:val="009401D6"/>
    <w:rsid w:val="00940AEE"/>
    <w:rsid w:val="00941C1B"/>
    <w:rsid w:val="0094278D"/>
    <w:rsid w:val="00943197"/>
    <w:rsid w:val="0094665A"/>
    <w:rsid w:val="0095308A"/>
    <w:rsid w:val="00955024"/>
    <w:rsid w:val="00955AEE"/>
    <w:rsid w:val="00956EE6"/>
    <w:rsid w:val="00956F14"/>
    <w:rsid w:val="009620FD"/>
    <w:rsid w:val="0096247A"/>
    <w:rsid w:val="00964AD1"/>
    <w:rsid w:val="00965F4B"/>
    <w:rsid w:val="009669A2"/>
    <w:rsid w:val="00970F8A"/>
    <w:rsid w:val="00971FB5"/>
    <w:rsid w:val="00972D2A"/>
    <w:rsid w:val="0097428C"/>
    <w:rsid w:val="00974621"/>
    <w:rsid w:val="00975491"/>
    <w:rsid w:val="00975997"/>
    <w:rsid w:val="00975CC5"/>
    <w:rsid w:val="00976328"/>
    <w:rsid w:val="00976B4E"/>
    <w:rsid w:val="00984458"/>
    <w:rsid w:val="00985283"/>
    <w:rsid w:val="00985F85"/>
    <w:rsid w:val="00987322"/>
    <w:rsid w:val="00993B4A"/>
    <w:rsid w:val="00994ADA"/>
    <w:rsid w:val="00994F9E"/>
    <w:rsid w:val="009A0F3B"/>
    <w:rsid w:val="009A5BDB"/>
    <w:rsid w:val="009A72C7"/>
    <w:rsid w:val="009A7504"/>
    <w:rsid w:val="009A753C"/>
    <w:rsid w:val="009B0897"/>
    <w:rsid w:val="009B4F65"/>
    <w:rsid w:val="009B51B5"/>
    <w:rsid w:val="009B55A6"/>
    <w:rsid w:val="009B69E1"/>
    <w:rsid w:val="009C02E0"/>
    <w:rsid w:val="009C05F6"/>
    <w:rsid w:val="009C2A58"/>
    <w:rsid w:val="009C5F94"/>
    <w:rsid w:val="009D0852"/>
    <w:rsid w:val="009D1883"/>
    <w:rsid w:val="009D1FBF"/>
    <w:rsid w:val="009D5367"/>
    <w:rsid w:val="009D6802"/>
    <w:rsid w:val="009E399C"/>
    <w:rsid w:val="009E43C1"/>
    <w:rsid w:val="009E60AD"/>
    <w:rsid w:val="009E7E95"/>
    <w:rsid w:val="009F116F"/>
    <w:rsid w:val="009F329E"/>
    <w:rsid w:val="009F4086"/>
    <w:rsid w:val="009F4867"/>
    <w:rsid w:val="009F651B"/>
    <w:rsid w:val="009F7ED3"/>
    <w:rsid w:val="00A00F5D"/>
    <w:rsid w:val="00A027A8"/>
    <w:rsid w:val="00A02D97"/>
    <w:rsid w:val="00A02E9C"/>
    <w:rsid w:val="00A03607"/>
    <w:rsid w:val="00A03D8A"/>
    <w:rsid w:val="00A047FF"/>
    <w:rsid w:val="00A04FEF"/>
    <w:rsid w:val="00A05B5D"/>
    <w:rsid w:val="00A122CD"/>
    <w:rsid w:val="00A12A32"/>
    <w:rsid w:val="00A13D07"/>
    <w:rsid w:val="00A1413A"/>
    <w:rsid w:val="00A14248"/>
    <w:rsid w:val="00A14947"/>
    <w:rsid w:val="00A15CA2"/>
    <w:rsid w:val="00A23489"/>
    <w:rsid w:val="00A234CD"/>
    <w:rsid w:val="00A23DC5"/>
    <w:rsid w:val="00A251D5"/>
    <w:rsid w:val="00A325B5"/>
    <w:rsid w:val="00A34028"/>
    <w:rsid w:val="00A35568"/>
    <w:rsid w:val="00A37056"/>
    <w:rsid w:val="00A417AB"/>
    <w:rsid w:val="00A41EC0"/>
    <w:rsid w:val="00A4358F"/>
    <w:rsid w:val="00A46F67"/>
    <w:rsid w:val="00A4777D"/>
    <w:rsid w:val="00A50A87"/>
    <w:rsid w:val="00A50B41"/>
    <w:rsid w:val="00A5217F"/>
    <w:rsid w:val="00A52271"/>
    <w:rsid w:val="00A52A56"/>
    <w:rsid w:val="00A54AA1"/>
    <w:rsid w:val="00A54C06"/>
    <w:rsid w:val="00A568FF"/>
    <w:rsid w:val="00A61496"/>
    <w:rsid w:val="00A61833"/>
    <w:rsid w:val="00A61A5A"/>
    <w:rsid w:val="00A624C6"/>
    <w:rsid w:val="00A632D4"/>
    <w:rsid w:val="00A63CEC"/>
    <w:rsid w:val="00A67431"/>
    <w:rsid w:val="00A7031E"/>
    <w:rsid w:val="00A728B1"/>
    <w:rsid w:val="00A757B8"/>
    <w:rsid w:val="00A763DE"/>
    <w:rsid w:val="00A803D6"/>
    <w:rsid w:val="00A804DA"/>
    <w:rsid w:val="00A80D20"/>
    <w:rsid w:val="00A81282"/>
    <w:rsid w:val="00A83767"/>
    <w:rsid w:val="00A8713F"/>
    <w:rsid w:val="00A91167"/>
    <w:rsid w:val="00A9171C"/>
    <w:rsid w:val="00A92FFD"/>
    <w:rsid w:val="00A930C7"/>
    <w:rsid w:val="00A93CF6"/>
    <w:rsid w:val="00A95975"/>
    <w:rsid w:val="00A961AD"/>
    <w:rsid w:val="00A9708D"/>
    <w:rsid w:val="00A97C4B"/>
    <w:rsid w:val="00AA1221"/>
    <w:rsid w:val="00AA2C17"/>
    <w:rsid w:val="00AA4172"/>
    <w:rsid w:val="00AA4377"/>
    <w:rsid w:val="00AA4BCE"/>
    <w:rsid w:val="00AA5C85"/>
    <w:rsid w:val="00AA7CA5"/>
    <w:rsid w:val="00AA7CD6"/>
    <w:rsid w:val="00AB0D05"/>
    <w:rsid w:val="00AB1914"/>
    <w:rsid w:val="00AB2AF0"/>
    <w:rsid w:val="00AB334F"/>
    <w:rsid w:val="00AB36F8"/>
    <w:rsid w:val="00AB5330"/>
    <w:rsid w:val="00AB63BA"/>
    <w:rsid w:val="00AB7747"/>
    <w:rsid w:val="00AB788B"/>
    <w:rsid w:val="00AC1269"/>
    <w:rsid w:val="00AC2484"/>
    <w:rsid w:val="00AC2532"/>
    <w:rsid w:val="00AC2E63"/>
    <w:rsid w:val="00AC32A9"/>
    <w:rsid w:val="00AC4E46"/>
    <w:rsid w:val="00AC5178"/>
    <w:rsid w:val="00AD1507"/>
    <w:rsid w:val="00AD176F"/>
    <w:rsid w:val="00AD5A70"/>
    <w:rsid w:val="00AD706A"/>
    <w:rsid w:val="00AD738B"/>
    <w:rsid w:val="00AE1BF4"/>
    <w:rsid w:val="00AE2141"/>
    <w:rsid w:val="00AE31DD"/>
    <w:rsid w:val="00AE5D97"/>
    <w:rsid w:val="00AE6794"/>
    <w:rsid w:val="00AE6AD7"/>
    <w:rsid w:val="00AE7ACF"/>
    <w:rsid w:val="00AF06D0"/>
    <w:rsid w:val="00AF16DC"/>
    <w:rsid w:val="00AF3A2E"/>
    <w:rsid w:val="00B01110"/>
    <w:rsid w:val="00B0194A"/>
    <w:rsid w:val="00B02262"/>
    <w:rsid w:val="00B02542"/>
    <w:rsid w:val="00B0309C"/>
    <w:rsid w:val="00B03A29"/>
    <w:rsid w:val="00B03CEC"/>
    <w:rsid w:val="00B05842"/>
    <w:rsid w:val="00B103F8"/>
    <w:rsid w:val="00B1209F"/>
    <w:rsid w:val="00B12AD0"/>
    <w:rsid w:val="00B12BB0"/>
    <w:rsid w:val="00B15D6D"/>
    <w:rsid w:val="00B16387"/>
    <w:rsid w:val="00B2225C"/>
    <w:rsid w:val="00B236CB"/>
    <w:rsid w:val="00B24F30"/>
    <w:rsid w:val="00B2577F"/>
    <w:rsid w:val="00B25F93"/>
    <w:rsid w:val="00B26AB5"/>
    <w:rsid w:val="00B277A0"/>
    <w:rsid w:val="00B31ABF"/>
    <w:rsid w:val="00B326AF"/>
    <w:rsid w:val="00B326F7"/>
    <w:rsid w:val="00B335AE"/>
    <w:rsid w:val="00B34A20"/>
    <w:rsid w:val="00B36EFE"/>
    <w:rsid w:val="00B37CE1"/>
    <w:rsid w:val="00B40ACF"/>
    <w:rsid w:val="00B437CC"/>
    <w:rsid w:val="00B452DA"/>
    <w:rsid w:val="00B46BAA"/>
    <w:rsid w:val="00B46EAA"/>
    <w:rsid w:val="00B47895"/>
    <w:rsid w:val="00B50B5F"/>
    <w:rsid w:val="00B50C13"/>
    <w:rsid w:val="00B54128"/>
    <w:rsid w:val="00B55826"/>
    <w:rsid w:val="00B5598D"/>
    <w:rsid w:val="00B566AC"/>
    <w:rsid w:val="00B57CFE"/>
    <w:rsid w:val="00B60426"/>
    <w:rsid w:val="00B6110D"/>
    <w:rsid w:val="00B622DD"/>
    <w:rsid w:val="00B625D1"/>
    <w:rsid w:val="00B63522"/>
    <w:rsid w:val="00B64EA2"/>
    <w:rsid w:val="00B70F84"/>
    <w:rsid w:val="00B72F41"/>
    <w:rsid w:val="00B74220"/>
    <w:rsid w:val="00B76F1D"/>
    <w:rsid w:val="00B84C25"/>
    <w:rsid w:val="00B85C48"/>
    <w:rsid w:val="00B92A19"/>
    <w:rsid w:val="00B9544C"/>
    <w:rsid w:val="00B96191"/>
    <w:rsid w:val="00BA0863"/>
    <w:rsid w:val="00BA0880"/>
    <w:rsid w:val="00BA17F9"/>
    <w:rsid w:val="00BA2077"/>
    <w:rsid w:val="00BA27A0"/>
    <w:rsid w:val="00BA29E9"/>
    <w:rsid w:val="00BA3BD9"/>
    <w:rsid w:val="00BA468E"/>
    <w:rsid w:val="00BA589D"/>
    <w:rsid w:val="00BB0425"/>
    <w:rsid w:val="00BB3542"/>
    <w:rsid w:val="00BB3618"/>
    <w:rsid w:val="00BB55A8"/>
    <w:rsid w:val="00BB60A9"/>
    <w:rsid w:val="00BC0C0A"/>
    <w:rsid w:val="00BC0C9E"/>
    <w:rsid w:val="00BC14F3"/>
    <w:rsid w:val="00BC1711"/>
    <w:rsid w:val="00BC1E43"/>
    <w:rsid w:val="00BC32DC"/>
    <w:rsid w:val="00BC7DF1"/>
    <w:rsid w:val="00BD1B51"/>
    <w:rsid w:val="00BD40D7"/>
    <w:rsid w:val="00BD47F6"/>
    <w:rsid w:val="00BE1B9C"/>
    <w:rsid w:val="00BE25F6"/>
    <w:rsid w:val="00BE312D"/>
    <w:rsid w:val="00BE3FCA"/>
    <w:rsid w:val="00BE4A96"/>
    <w:rsid w:val="00BE5D53"/>
    <w:rsid w:val="00BE6436"/>
    <w:rsid w:val="00BE6FA2"/>
    <w:rsid w:val="00BE7AE2"/>
    <w:rsid w:val="00BE7C2F"/>
    <w:rsid w:val="00BF17F7"/>
    <w:rsid w:val="00BF1C6E"/>
    <w:rsid w:val="00BF1DE4"/>
    <w:rsid w:val="00BF2270"/>
    <w:rsid w:val="00C00D9B"/>
    <w:rsid w:val="00C05719"/>
    <w:rsid w:val="00C07F88"/>
    <w:rsid w:val="00C10578"/>
    <w:rsid w:val="00C107C2"/>
    <w:rsid w:val="00C11C31"/>
    <w:rsid w:val="00C12B3F"/>
    <w:rsid w:val="00C12BB4"/>
    <w:rsid w:val="00C13DEA"/>
    <w:rsid w:val="00C15A94"/>
    <w:rsid w:val="00C1728D"/>
    <w:rsid w:val="00C17D62"/>
    <w:rsid w:val="00C21627"/>
    <w:rsid w:val="00C21FDC"/>
    <w:rsid w:val="00C2344E"/>
    <w:rsid w:val="00C24EE7"/>
    <w:rsid w:val="00C2596A"/>
    <w:rsid w:val="00C271BE"/>
    <w:rsid w:val="00C27425"/>
    <w:rsid w:val="00C328FE"/>
    <w:rsid w:val="00C33A05"/>
    <w:rsid w:val="00C34465"/>
    <w:rsid w:val="00C357F0"/>
    <w:rsid w:val="00C36E43"/>
    <w:rsid w:val="00C3710D"/>
    <w:rsid w:val="00C40273"/>
    <w:rsid w:val="00C42500"/>
    <w:rsid w:val="00C4354B"/>
    <w:rsid w:val="00C4409D"/>
    <w:rsid w:val="00C455BE"/>
    <w:rsid w:val="00C4587B"/>
    <w:rsid w:val="00C51E5F"/>
    <w:rsid w:val="00C52A30"/>
    <w:rsid w:val="00C53C6D"/>
    <w:rsid w:val="00C56242"/>
    <w:rsid w:val="00C57174"/>
    <w:rsid w:val="00C5761B"/>
    <w:rsid w:val="00C57719"/>
    <w:rsid w:val="00C60025"/>
    <w:rsid w:val="00C60C9C"/>
    <w:rsid w:val="00C613FF"/>
    <w:rsid w:val="00C61E4B"/>
    <w:rsid w:val="00C62E3A"/>
    <w:rsid w:val="00C64082"/>
    <w:rsid w:val="00C64503"/>
    <w:rsid w:val="00C64A1F"/>
    <w:rsid w:val="00C64BFF"/>
    <w:rsid w:val="00C64D1A"/>
    <w:rsid w:val="00C660A3"/>
    <w:rsid w:val="00C672B9"/>
    <w:rsid w:val="00C67491"/>
    <w:rsid w:val="00C67CDB"/>
    <w:rsid w:val="00C715C5"/>
    <w:rsid w:val="00C73424"/>
    <w:rsid w:val="00C76027"/>
    <w:rsid w:val="00C763C9"/>
    <w:rsid w:val="00C80057"/>
    <w:rsid w:val="00C82C79"/>
    <w:rsid w:val="00C84753"/>
    <w:rsid w:val="00C870ED"/>
    <w:rsid w:val="00C90203"/>
    <w:rsid w:val="00C910E6"/>
    <w:rsid w:val="00C91611"/>
    <w:rsid w:val="00C922E6"/>
    <w:rsid w:val="00C9249C"/>
    <w:rsid w:val="00C97100"/>
    <w:rsid w:val="00C978EB"/>
    <w:rsid w:val="00CA1856"/>
    <w:rsid w:val="00CA3585"/>
    <w:rsid w:val="00CA3D5A"/>
    <w:rsid w:val="00CA465D"/>
    <w:rsid w:val="00CA48C6"/>
    <w:rsid w:val="00CA4C7C"/>
    <w:rsid w:val="00CA4DBB"/>
    <w:rsid w:val="00CB0183"/>
    <w:rsid w:val="00CB1EA3"/>
    <w:rsid w:val="00CB3657"/>
    <w:rsid w:val="00CB37AB"/>
    <w:rsid w:val="00CB552C"/>
    <w:rsid w:val="00CB5DE4"/>
    <w:rsid w:val="00CB6A9E"/>
    <w:rsid w:val="00CB7B0D"/>
    <w:rsid w:val="00CC41B4"/>
    <w:rsid w:val="00CC4C3C"/>
    <w:rsid w:val="00CC561D"/>
    <w:rsid w:val="00CC6181"/>
    <w:rsid w:val="00CC6D11"/>
    <w:rsid w:val="00CD19AE"/>
    <w:rsid w:val="00CD2BCD"/>
    <w:rsid w:val="00CD36AA"/>
    <w:rsid w:val="00CD3791"/>
    <w:rsid w:val="00CD43AB"/>
    <w:rsid w:val="00CD65B0"/>
    <w:rsid w:val="00CD751E"/>
    <w:rsid w:val="00CE02CD"/>
    <w:rsid w:val="00CE10E9"/>
    <w:rsid w:val="00CE1CAE"/>
    <w:rsid w:val="00CE2344"/>
    <w:rsid w:val="00CE4E60"/>
    <w:rsid w:val="00CE4E72"/>
    <w:rsid w:val="00CE7B40"/>
    <w:rsid w:val="00CF4242"/>
    <w:rsid w:val="00CF50C6"/>
    <w:rsid w:val="00D0072E"/>
    <w:rsid w:val="00D012FF"/>
    <w:rsid w:val="00D03BA4"/>
    <w:rsid w:val="00D043FD"/>
    <w:rsid w:val="00D061C0"/>
    <w:rsid w:val="00D06CAD"/>
    <w:rsid w:val="00D11724"/>
    <w:rsid w:val="00D12228"/>
    <w:rsid w:val="00D1234E"/>
    <w:rsid w:val="00D1372C"/>
    <w:rsid w:val="00D14809"/>
    <w:rsid w:val="00D15727"/>
    <w:rsid w:val="00D16332"/>
    <w:rsid w:val="00D16E38"/>
    <w:rsid w:val="00D16EC0"/>
    <w:rsid w:val="00D20E5E"/>
    <w:rsid w:val="00D21A0E"/>
    <w:rsid w:val="00D22633"/>
    <w:rsid w:val="00D23CFD"/>
    <w:rsid w:val="00D24972"/>
    <w:rsid w:val="00D2515E"/>
    <w:rsid w:val="00D26E86"/>
    <w:rsid w:val="00D26FDC"/>
    <w:rsid w:val="00D2702B"/>
    <w:rsid w:val="00D274F4"/>
    <w:rsid w:val="00D27D9B"/>
    <w:rsid w:val="00D308ED"/>
    <w:rsid w:val="00D31EA8"/>
    <w:rsid w:val="00D32EF2"/>
    <w:rsid w:val="00D3453C"/>
    <w:rsid w:val="00D37C82"/>
    <w:rsid w:val="00D4035F"/>
    <w:rsid w:val="00D4502A"/>
    <w:rsid w:val="00D45504"/>
    <w:rsid w:val="00D46260"/>
    <w:rsid w:val="00D465B4"/>
    <w:rsid w:val="00D51229"/>
    <w:rsid w:val="00D536AC"/>
    <w:rsid w:val="00D545F2"/>
    <w:rsid w:val="00D56178"/>
    <w:rsid w:val="00D56CF0"/>
    <w:rsid w:val="00D56F5C"/>
    <w:rsid w:val="00D57B8F"/>
    <w:rsid w:val="00D616A7"/>
    <w:rsid w:val="00D64259"/>
    <w:rsid w:val="00D6441E"/>
    <w:rsid w:val="00D663E7"/>
    <w:rsid w:val="00D66409"/>
    <w:rsid w:val="00D704B1"/>
    <w:rsid w:val="00D70B63"/>
    <w:rsid w:val="00D72B92"/>
    <w:rsid w:val="00D72ED4"/>
    <w:rsid w:val="00D73DE8"/>
    <w:rsid w:val="00D73F61"/>
    <w:rsid w:val="00D74327"/>
    <w:rsid w:val="00D754C0"/>
    <w:rsid w:val="00D76EA6"/>
    <w:rsid w:val="00D7768F"/>
    <w:rsid w:val="00D776A2"/>
    <w:rsid w:val="00D801C4"/>
    <w:rsid w:val="00D82061"/>
    <w:rsid w:val="00D83187"/>
    <w:rsid w:val="00D85247"/>
    <w:rsid w:val="00D877E2"/>
    <w:rsid w:val="00D87CEC"/>
    <w:rsid w:val="00D90510"/>
    <w:rsid w:val="00D90827"/>
    <w:rsid w:val="00D90836"/>
    <w:rsid w:val="00D90C71"/>
    <w:rsid w:val="00D92027"/>
    <w:rsid w:val="00D92954"/>
    <w:rsid w:val="00D94807"/>
    <w:rsid w:val="00D95896"/>
    <w:rsid w:val="00D95A45"/>
    <w:rsid w:val="00D95CC6"/>
    <w:rsid w:val="00DA14ED"/>
    <w:rsid w:val="00DA1872"/>
    <w:rsid w:val="00DA2DA3"/>
    <w:rsid w:val="00DA5198"/>
    <w:rsid w:val="00DA6615"/>
    <w:rsid w:val="00DA76AE"/>
    <w:rsid w:val="00DB181E"/>
    <w:rsid w:val="00DB1C7A"/>
    <w:rsid w:val="00DB2983"/>
    <w:rsid w:val="00DB343D"/>
    <w:rsid w:val="00DB43FF"/>
    <w:rsid w:val="00DB4887"/>
    <w:rsid w:val="00DB538A"/>
    <w:rsid w:val="00DB5579"/>
    <w:rsid w:val="00DB5CFE"/>
    <w:rsid w:val="00DB5D63"/>
    <w:rsid w:val="00DC125E"/>
    <w:rsid w:val="00DC3E32"/>
    <w:rsid w:val="00DC473E"/>
    <w:rsid w:val="00DC612D"/>
    <w:rsid w:val="00DC7216"/>
    <w:rsid w:val="00DC72A6"/>
    <w:rsid w:val="00DC764F"/>
    <w:rsid w:val="00DD11FE"/>
    <w:rsid w:val="00DD2113"/>
    <w:rsid w:val="00DD265E"/>
    <w:rsid w:val="00DD5ED9"/>
    <w:rsid w:val="00DD6815"/>
    <w:rsid w:val="00DE0979"/>
    <w:rsid w:val="00DE0CA1"/>
    <w:rsid w:val="00DE3152"/>
    <w:rsid w:val="00DE3706"/>
    <w:rsid w:val="00DE6D50"/>
    <w:rsid w:val="00DE6DF3"/>
    <w:rsid w:val="00DE73F0"/>
    <w:rsid w:val="00DF1930"/>
    <w:rsid w:val="00DF1E56"/>
    <w:rsid w:val="00DF28A8"/>
    <w:rsid w:val="00DF4FC6"/>
    <w:rsid w:val="00DF514A"/>
    <w:rsid w:val="00DF67B5"/>
    <w:rsid w:val="00E03352"/>
    <w:rsid w:val="00E0358D"/>
    <w:rsid w:val="00E05B6A"/>
    <w:rsid w:val="00E06327"/>
    <w:rsid w:val="00E13877"/>
    <w:rsid w:val="00E1477F"/>
    <w:rsid w:val="00E17F66"/>
    <w:rsid w:val="00E203E4"/>
    <w:rsid w:val="00E2064B"/>
    <w:rsid w:val="00E207FE"/>
    <w:rsid w:val="00E20826"/>
    <w:rsid w:val="00E25239"/>
    <w:rsid w:val="00E25AC8"/>
    <w:rsid w:val="00E265B1"/>
    <w:rsid w:val="00E2668C"/>
    <w:rsid w:val="00E275B0"/>
    <w:rsid w:val="00E31E7A"/>
    <w:rsid w:val="00E32C87"/>
    <w:rsid w:val="00E34196"/>
    <w:rsid w:val="00E358AB"/>
    <w:rsid w:val="00E35DB4"/>
    <w:rsid w:val="00E36678"/>
    <w:rsid w:val="00E411A3"/>
    <w:rsid w:val="00E412D0"/>
    <w:rsid w:val="00E4293D"/>
    <w:rsid w:val="00E43C53"/>
    <w:rsid w:val="00E447F3"/>
    <w:rsid w:val="00E44EB3"/>
    <w:rsid w:val="00E463C5"/>
    <w:rsid w:val="00E47CDB"/>
    <w:rsid w:val="00E501CB"/>
    <w:rsid w:val="00E5097F"/>
    <w:rsid w:val="00E53069"/>
    <w:rsid w:val="00E566BC"/>
    <w:rsid w:val="00E60982"/>
    <w:rsid w:val="00E60C8D"/>
    <w:rsid w:val="00E6162F"/>
    <w:rsid w:val="00E63077"/>
    <w:rsid w:val="00E6311B"/>
    <w:rsid w:val="00E64979"/>
    <w:rsid w:val="00E65D97"/>
    <w:rsid w:val="00E67CDA"/>
    <w:rsid w:val="00E67EFD"/>
    <w:rsid w:val="00E702DC"/>
    <w:rsid w:val="00E71FFB"/>
    <w:rsid w:val="00E76D1D"/>
    <w:rsid w:val="00E777E6"/>
    <w:rsid w:val="00E806F8"/>
    <w:rsid w:val="00E82E24"/>
    <w:rsid w:val="00E87752"/>
    <w:rsid w:val="00E8779A"/>
    <w:rsid w:val="00E8793B"/>
    <w:rsid w:val="00E90F81"/>
    <w:rsid w:val="00E91A6D"/>
    <w:rsid w:val="00E9242D"/>
    <w:rsid w:val="00E93C72"/>
    <w:rsid w:val="00E9507A"/>
    <w:rsid w:val="00EA0485"/>
    <w:rsid w:val="00EA1726"/>
    <w:rsid w:val="00EA247A"/>
    <w:rsid w:val="00EA3310"/>
    <w:rsid w:val="00EB041C"/>
    <w:rsid w:val="00EB1C3D"/>
    <w:rsid w:val="00EB20B6"/>
    <w:rsid w:val="00EB2670"/>
    <w:rsid w:val="00EB3DCB"/>
    <w:rsid w:val="00EB6330"/>
    <w:rsid w:val="00EC03C2"/>
    <w:rsid w:val="00EC2777"/>
    <w:rsid w:val="00EC4395"/>
    <w:rsid w:val="00EC46A4"/>
    <w:rsid w:val="00EC5874"/>
    <w:rsid w:val="00EC5F71"/>
    <w:rsid w:val="00ED192D"/>
    <w:rsid w:val="00ED30B4"/>
    <w:rsid w:val="00ED31F5"/>
    <w:rsid w:val="00ED4058"/>
    <w:rsid w:val="00ED5248"/>
    <w:rsid w:val="00ED73B4"/>
    <w:rsid w:val="00ED79E0"/>
    <w:rsid w:val="00EE0B02"/>
    <w:rsid w:val="00EE1017"/>
    <w:rsid w:val="00EE127F"/>
    <w:rsid w:val="00EE1DC2"/>
    <w:rsid w:val="00EE26F0"/>
    <w:rsid w:val="00EE6164"/>
    <w:rsid w:val="00EE76DF"/>
    <w:rsid w:val="00EF0B3B"/>
    <w:rsid w:val="00EF2759"/>
    <w:rsid w:val="00EF45EB"/>
    <w:rsid w:val="00EF5099"/>
    <w:rsid w:val="00EF5E33"/>
    <w:rsid w:val="00F00075"/>
    <w:rsid w:val="00F023CD"/>
    <w:rsid w:val="00F02D39"/>
    <w:rsid w:val="00F04AE1"/>
    <w:rsid w:val="00F07822"/>
    <w:rsid w:val="00F10516"/>
    <w:rsid w:val="00F121AA"/>
    <w:rsid w:val="00F12249"/>
    <w:rsid w:val="00F13C7C"/>
    <w:rsid w:val="00F15199"/>
    <w:rsid w:val="00F15C95"/>
    <w:rsid w:val="00F22985"/>
    <w:rsid w:val="00F23CFA"/>
    <w:rsid w:val="00F241AB"/>
    <w:rsid w:val="00F255C6"/>
    <w:rsid w:val="00F31382"/>
    <w:rsid w:val="00F3334E"/>
    <w:rsid w:val="00F3372B"/>
    <w:rsid w:val="00F34D1C"/>
    <w:rsid w:val="00F352D2"/>
    <w:rsid w:val="00F35829"/>
    <w:rsid w:val="00F42868"/>
    <w:rsid w:val="00F43828"/>
    <w:rsid w:val="00F43C13"/>
    <w:rsid w:val="00F465A7"/>
    <w:rsid w:val="00F47932"/>
    <w:rsid w:val="00F50B7C"/>
    <w:rsid w:val="00F5202D"/>
    <w:rsid w:val="00F52A8D"/>
    <w:rsid w:val="00F52CF6"/>
    <w:rsid w:val="00F53481"/>
    <w:rsid w:val="00F53808"/>
    <w:rsid w:val="00F54496"/>
    <w:rsid w:val="00F560CA"/>
    <w:rsid w:val="00F561B7"/>
    <w:rsid w:val="00F56E3B"/>
    <w:rsid w:val="00F61097"/>
    <w:rsid w:val="00F62066"/>
    <w:rsid w:val="00F62C26"/>
    <w:rsid w:val="00F65F69"/>
    <w:rsid w:val="00F661DC"/>
    <w:rsid w:val="00F66C22"/>
    <w:rsid w:val="00F673CA"/>
    <w:rsid w:val="00F74345"/>
    <w:rsid w:val="00F74441"/>
    <w:rsid w:val="00F75177"/>
    <w:rsid w:val="00F75AD8"/>
    <w:rsid w:val="00F77F30"/>
    <w:rsid w:val="00F81A61"/>
    <w:rsid w:val="00F82589"/>
    <w:rsid w:val="00F82B19"/>
    <w:rsid w:val="00F84607"/>
    <w:rsid w:val="00F85CAA"/>
    <w:rsid w:val="00F8658E"/>
    <w:rsid w:val="00F90AA7"/>
    <w:rsid w:val="00F9127A"/>
    <w:rsid w:val="00F9212D"/>
    <w:rsid w:val="00F92C15"/>
    <w:rsid w:val="00F93E7C"/>
    <w:rsid w:val="00F946BE"/>
    <w:rsid w:val="00F95BB5"/>
    <w:rsid w:val="00F97DB5"/>
    <w:rsid w:val="00F97DDF"/>
    <w:rsid w:val="00FA301A"/>
    <w:rsid w:val="00FA406A"/>
    <w:rsid w:val="00FA4095"/>
    <w:rsid w:val="00FA5CB6"/>
    <w:rsid w:val="00FA7C0E"/>
    <w:rsid w:val="00FB11FA"/>
    <w:rsid w:val="00FB13B3"/>
    <w:rsid w:val="00FB281C"/>
    <w:rsid w:val="00FB2A5A"/>
    <w:rsid w:val="00FB3795"/>
    <w:rsid w:val="00FC06A2"/>
    <w:rsid w:val="00FC2AC0"/>
    <w:rsid w:val="00FC66AC"/>
    <w:rsid w:val="00FD18F4"/>
    <w:rsid w:val="00FD191C"/>
    <w:rsid w:val="00FD4781"/>
    <w:rsid w:val="00FD4DB7"/>
    <w:rsid w:val="00FD6654"/>
    <w:rsid w:val="00FD6BC6"/>
    <w:rsid w:val="00FD74B4"/>
    <w:rsid w:val="00FE0FF4"/>
    <w:rsid w:val="00FE2B47"/>
    <w:rsid w:val="00FE2CC8"/>
    <w:rsid w:val="00FE661F"/>
    <w:rsid w:val="00FF16F0"/>
    <w:rsid w:val="00FF31A5"/>
    <w:rsid w:val="00FF5411"/>
    <w:rsid w:val="00FF55F1"/>
    <w:rsid w:val="00FF5823"/>
    <w:rsid w:val="00FF6677"/>
    <w:rsid w:val="00FF6AE7"/>
    <w:rsid w:val="00FF6FCE"/>
    <w:rsid w:val="00FF7518"/>
    <w:rsid w:val="00FF7FD8"/>
    <w:rsid w:val="010D1221"/>
    <w:rsid w:val="016C3584"/>
    <w:rsid w:val="016C7665"/>
    <w:rsid w:val="01AE3368"/>
    <w:rsid w:val="01B000B2"/>
    <w:rsid w:val="01C34939"/>
    <w:rsid w:val="01C81F50"/>
    <w:rsid w:val="01E11FEF"/>
    <w:rsid w:val="01FB1318"/>
    <w:rsid w:val="020A2568"/>
    <w:rsid w:val="025078D7"/>
    <w:rsid w:val="026B3007"/>
    <w:rsid w:val="02A227A1"/>
    <w:rsid w:val="02C3163C"/>
    <w:rsid w:val="02F72AEC"/>
    <w:rsid w:val="03045021"/>
    <w:rsid w:val="031B02A5"/>
    <w:rsid w:val="0381040F"/>
    <w:rsid w:val="03E05869"/>
    <w:rsid w:val="03E80687"/>
    <w:rsid w:val="045F22D7"/>
    <w:rsid w:val="04AB0032"/>
    <w:rsid w:val="04E13A54"/>
    <w:rsid w:val="05002D34"/>
    <w:rsid w:val="05157BA2"/>
    <w:rsid w:val="051756C8"/>
    <w:rsid w:val="052A53FB"/>
    <w:rsid w:val="05314149"/>
    <w:rsid w:val="054E4D41"/>
    <w:rsid w:val="05742AC8"/>
    <w:rsid w:val="0574733A"/>
    <w:rsid w:val="061B4D44"/>
    <w:rsid w:val="06201021"/>
    <w:rsid w:val="062E4A77"/>
    <w:rsid w:val="06352F05"/>
    <w:rsid w:val="063E7D85"/>
    <w:rsid w:val="0644382F"/>
    <w:rsid w:val="064A387B"/>
    <w:rsid w:val="068154EF"/>
    <w:rsid w:val="06B23176"/>
    <w:rsid w:val="06B37672"/>
    <w:rsid w:val="06B50E10"/>
    <w:rsid w:val="06F2019A"/>
    <w:rsid w:val="070875E0"/>
    <w:rsid w:val="071023CF"/>
    <w:rsid w:val="071D689A"/>
    <w:rsid w:val="07293586"/>
    <w:rsid w:val="07295285"/>
    <w:rsid w:val="07770C56"/>
    <w:rsid w:val="07AF3996"/>
    <w:rsid w:val="07F4584C"/>
    <w:rsid w:val="08000695"/>
    <w:rsid w:val="08070CE4"/>
    <w:rsid w:val="08230A4F"/>
    <w:rsid w:val="08421F33"/>
    <w:rsid w:val="08515BF6"/>
    <w:rsid w:val="086F75C9"/>
    <w:rsid w:val="08B66FA6"/>
    <w:rsid w:val="08CE306E"/>
    <w:rsid w:val="08CE679B"/>
    <w:rsid w:val="08EE767B"/>
    <w:rsid w:val="08FF7A5E"/>
    <w:rsid w:val="09043664"/>
    <w:rsid w:val="09063A89"/>
    <w:rsid w:val="092217DD"/>
    <w:rsid w:val="093A7294"/>
    <w:rsid w:val="0940325C"/>
    <w:rsid w:val="09547AF8"/>
    <w:rsid w:val="09570459"/>
    <w:rsid w:val="09921934"/>
    <w:rsid w:val="09A92667"/>
    <w:rsid w:val="09DF6422"/>
    <w:rsid w:val="0A392AF6"/>
    <w:rsid w:val="0A474359"/>
    <w:rsid w:val="0A617F01"/>
    <w:rsid w:val="0A884AC2"/>
    <w:rsid w:val="0A937191"/>
    <w:rsid w:val="0AA3501D"/>
    <w:rsid w:val="0AC37758"/>
    <w:rsid w:val="0AD656DD"/>
    <w:rsid w:val="0ADF0A36"/>
    <w:rsid w:val="0AE34574"/>
    <w:rsid w:val="0AE95411"/>
    <w:rsid w:val="0B224DC6"/>
    <w:rsid w:val="0B3F7726"/>
    <w:rsid w:val="0B6D4294"/>
    <w:rsid w:val="0B9423AE"/>
    <w:rsid w:val="0BA92DF2"/>
    <w:rsid w:val="0BB91287"/>
    <w:rsid w:val="0BBD63BF"/>
    <w:rsid w:val="0BCB0FBA"/>
    <w:rsid w:val="0BD27BF6"/>
    <w:rsid w:val="0BE3650F"/>
    <w:rsid w:val="0BFA364D"/>
    <w:rsid w:val="0C22507E"/>
    <w:rsid w:val="0C4B5C57"/>
    <w:rsid w:val="0C526FE5"/>
    <w:rsid w:val="0C8E44C1"/>
    <w:rsid w:val="0CBD11F3"/>
    <w:rsid w:val="0CBD4DA7"/>
    <w:rsid w:val="0CEC568C"/>
    <w:rsid w:val="0D0C53E6"/>
    <w:rsid w:val="0D1E3CD2"/>
    <w:rsid w:val="0D3D37F2"/>
    <w:rsid w:val="0D444B80"/>
    <w:rsid w:val="0D557111"/>
    <w:rsid w:val="0D6A5CB7"/>
    <w:rsid w:val="0D6C2329"/>
    <w:rsid w:val="0D9B0DE1"/>
    <w:rsid w:val="0DCB4A37"/>
    <w:rsid w:val="0DDC6E3D"/>
    <w:rsid w:val="0E110D06"/>
    <w:rsid w:val="0E303356"/>
    <w:rsid w:val="0E386C82"/>
    <w:rsid w:val="0E3D295E"/>
    <w:rsid w:val="0E4E30FB"/>
    <w:rsid w:val="0E954F8D"/>
    <w:rsid w:val="0E990EFC"/>
    <w:rsid w:val="0EAF6971"/>
    <w:rsid w:val="0EB75826"/>
    <w:rsid w:val="0EC36BB8"/>
    <w:rsid w:val="0ED84DDF"/>
    <w:rsid w:val="0EDD34DE"/>
    <w:rsid w:val="0EE70047"/>
    <w:rsid w:val="0EED2893"/>
    <w:rsid w:val="0F024CF3"/>
    <w:rsid w:val="0F052F22"/>
    <w:rsid w:val="0F083839"/>
    <w:rsid w:val="0F13775A"/>
    <w:rsid w:val="0F144A26"/>
    <w:rsid w:val="0F166D2F"/>
    <w:rsid w:val="0F1A19FB"/>
    <w:rsid w:val="0F4B2744"/>
    <w:rsid w:val="0F4D75A3"/>
    <w:rsid w:val="0F4F5A5E"/>
    <w:rsid w:val="0F5C08A7"/>
    <w:rsid w:val="0F9A112B"/>
    <w:rsid w:val="0F9F77D6"/>
    <w:rsid w:val="0FE35145"/>
    <w:rsid w:val="0FED59A3"/>
    <w:rsid w:val="103406D9"/>
    <w:rsid w:val="104A4BA3"/>
    <w:rsid w:val="105C6685"/>
    <w:rsid w:val="1067241C"/>
    <w:rsid w:val="106D2F64"/>
    <w:rsid w:val="107D6F0B"/>
    <w:rsid w:val="10AD5132"/>
    <w:rsid w:val="10B63710"/>
    <w:rsid w:val="10B65D95"/>
    <w:rsid w:val="10D510E7"/>
    <w:rsid w:val="10FE5C36"/>
    <w:rsid w:val="1109680C"/>
    <w:rsid w:val="111C2F7A"/>
    <w:rsid w:val="113013DE"/>
    <w:rsid w:val="114D134F"/>
    <w:rsid w:val="115E7CF3"/>
    <w:rsid w:val="11660B07"/>
    <w:rsid w:val="11665A0D"/>
    <w:rsid w:val="1175349A"/>
    <w:rsid w:val="117A3117"/>
    <w:rsid w:val="117D4B05"/>
    <w:rsid w:val="1193356B"/>
    <w:rsid w:val="11F428F3"/>
    <w:rsid w:val="120174E4"/>
    <w:rsid w:val="122B06C2"/>
    <w:rsid w:val="12307DC9"/>
    <w:rsid w:val="12411620"/>
    <w:rsid w:val="125E1917"/>
    <w:rsid w:val="126D0E84"/>
    <w:rsid w:val="127D1CDA"/>
    <w:rsid w:val="129701FA"/>
    <w:rsid w:val="12B66520"/>
    <w:rsid w:val="1336140F"/>
    <w:rsid w:val="13421B62"/>
    <w:rsid w:val="13467E71"/>
    <w:rsid w:val="13497394"/>
    <w:rsid w:val="136A013D"/>
    <w:rsid w:val="137B2AC8"/>
    <w:rsid w:val="138F0B1F"/>
    <w:rsid w:val="13951726"/>
    <w:rsid w:val="139B74C4"/>
    <w:rsid w:val="13B86315"/>
    <w:rsid w:val="13C54541"/>
    <w:rsid w:val="14151024"/>
    <w:rsid w:val="14186D67"/>
    <w:rsid w:val="14396509"/>
    <w:rsid w:val="1447165C"/>
    <w:rsid w:val="14503C07"/>
    <w:rsid w:val="145C6C53"/>
    <w:rsid w:val="146B333A"/>
    <w:rsid w:val="146D2C0E"/>
    <w:rsid w:val="147A32FF"/>
    <w:rsid w:val="14883EEC"/>
    <w:rsid w:val="149B66DD"/>
    <w:rsid w:val="15015A4D"/>
    <w:rsid w:val="15080B89"/>
    <w:rsid w:val="150D0739"/>
    <w:rsid w:val="150F571E"/>
    <w:rsid w:val="154A113D"/>
    <w:rsid w:val="156D4E90"/>
    <w:rsid w:val="15775641"/>
    <w:rsid w:val="157B75AD"/>
    <w:rsid w:val="158212AB"/>
    <w:rsid w:val="1585667E"/>
    <w:rsid w:val="15BB5BFB"/>
    <w:rsid w:val="15CC605B"/>
    <w:rsid w:val="15D770BE"/>
    <w:rsid w:val="15DD380C"/>
    <w:rsid w:val="1674297A"/>
    <w:rsid w:val="16815ED3"/>
    <w:rsid w:val="16E73C61"/>
    <w:rsid w:val="16F443E0"/>
    <w:rsid w:val="17022978"/>
    <w:rsid w:val="173619DD"/>
    <w:rsid w:val="17593C57"/>
    <w:rsid w:val="17735226"/>
    <w:rsid w:val="1780297E"/>
    <w:rsid w:val="17C74D2B"/>
    <w:rsid w:val="17C81AF1"/>
    <w:rsid w:val="1828643D"/>
    <w:rsid w:val="18441ED8"/>
    <w:rsid w:val="1859300A"/>
    <w:rsid w:val="185C1918"/>
    <w:rsid w:val="18706970"/>
    <w:rsid w:val="18713E12"/>
    <w:rsid w:val="188B3FAB"/>
    <w:rsid w:val="188E62B6"/>
    <w:rsid w:val="18986835"/>
    <w:rsid w:val="18BD7EDC"/>
    <w:rsid w:val="18DE4658"/>
    <w:rsid w:val="18E92A80"/>
    <w:rsid w:val="18ED6A14"/>
    <w:rsid w:val="19067AD5"/>
    <w:rsid w:val="193D16FC"/>
    <w:rsid w:val="19CA465F"/>
    <w:rsid w:val="19EE343F"/>
    <w:rsid w:val="1A1C66C0"/>
    <w:rsid w:val="1A42393B"/>
    <w:rsid w:val="1A8C5DB8"/>
    <w:rsid w:val="1A9055BC"/>
    <w:rsid w:val="1AA616FE"/>
    <w:rsid w:val="1AA90ECC"/>
    <w:rsid w:val="1B001DD6"/>
    <w:rsid w:val="1B046F80"/>
    <w:rsid w:val="1B2C7D13"/>
    <w:rsid w:val="1B3267B5"/>
    <w:rsid w:val="1B3E3557"/>
    <w:rsid w:val="1B530684"/>
    <w:rsid w:val="1B6D10C6"/>
    <w:rsid w:val="1B7B70B4"/>
    <w:rsid w:val="1B854CE1"/>
    <w:rsid w:val="1BB74E72"/>
    <w:rsid w:val="1BC25DC8"/>
    <w:rsid w:val="1C024584"/>
    <w:rsid w:val="1C161DDD"/>
    <w:rsid w:val="1C4640A3"/>
    <w:rsid w:val="1C4E7008"/>
    <w:rsid w:val="1C5E7925"/>
    <w:rsid w:val="1C817B9F"/>
    <w:rsid w:val="1C827313"/>
    <w:rsid w:val="1C8431EB"/>
    <w:rsid w:val="1C887FC8"/>
    <w:rsid w:val="1C9A0C60"/>
    <w:rsid w:val="1CB735C0"/>
    <w:rsid w:val="1CBD66FD"/>
    <w:rsid w:val="1CC932F4"/>
    <w:rsid w:val="1CD41F89"/>
    <w:rsid w:val="1CF62247"/>
    <w:rsid w:val="1D4604A0"/>
    <w:rsid w:val="1D4D5611"/>
    <w:rsid w:val="1D5F6196"/>
    <w:rsid w:val="1D6132A5"/>
    <w:rsid w:val="1D8E56D5"/>
    <w:rsid w:val="1DBE272D"/>
    <w:rsid w:val="1DBE44DB"/>
    <w:rsid w:val="1DC1221D"/>
    <w:rsid w:val="1DC57C6E"/>
    <w:rsid w:val="1DE877AA"/>
    <w:rsid w:val="1E1E31CB"/>
    <w:rsid w:val="1E6D0747"/>
    <w:rsid w:val="1E7A43DA"/>
    <w:rsid w:val="1E7B17A7"/>
    <w:rsid w:val="1E933BB9"/>
    <w:rsid w:val="1EB277FE"/>
    <w:rsid w:val="1EBF675C"/>
    <w:rsid w:val="1F047C04"/>
    <w:rsid w:val="1F093E7B"/>
    <w:rsid w:val="1FAD0CAB"/>
    <w:rsid w:val="1FB6463E"/>
    <w:rsid w:val="1FD1595F"/>
    <w:rsid w:val="1FD2426D"/>
    <w:rsid w:val="1FE7539E"/>
    <w:rsid w:val="202866BE"/>
    <w:rsid w:val="202F6C59"/>
    <w:rsid w:val="206E7D9A"/>
    <w:rsid w:val="20963CB8"/>
    <w:rsid w:val="20B07FB6"/>
    <w:rsid w:val="20BB73F7"/>
    <w:rsid w:val="20C62F49"/>
    <w:rsid w:val="20E82680"/>
    <w:rsid w:val="20F057B8"/>
    <w:rsid w:val="20F12E19"/>
    <w:rsid w:val="210545FD"/>
    <w:rsid w:val="213B74B1"/>
    <w:rsid w:val="213B7AE6"/>
    <w:rsid w:val="214E3DC8"/>
    <w:rsid w:val="2153128C"/>
    <w:rsid w:val="215A2310"/>
    <w:rsid w:val="21613AFB"/>
    <w:rsid w:val="21631045"/>
    <w:rsid w:val="21780237"/>
    <w:rsid w:val="2188102E"/>
    <w:rsid w:val="21954931"/>
    <w:rsid w:val="21BA145D"/>
    <w:rsid w:val="21BE2CFB"/>
    <w:rsid w:val="21DE318A"/>
    <w:rsid w:val="21EF5B80"/>
    <w:rsid w:val="22121299"/>
    <w:rsid w:val="22364F87"/>
    <w:rsid w:val="22576990"/>
    <w:rsid w:val="226F628F"/>
    <w:rsid w:val="22943A5C"/>
    <w:rsid w:val="229C4EAB"/>
    <w:rsid w:val="22C8411F"/>
    <w:rsid w:val="22E06DFF"/>
    <w:rsid w:val="23367168"/>
    <w:rsid w:val="237E26A8"/>
    <w:rsid w:val="23977CA8"/>
    <w:rsid w:val="239A7798"/>
    <w:rsid w:val="23AD629B"/>
    <w:rsid w:val="23DE58D7"/>
    <w:rsid w:val="23E728C6"/>
    <w:rsid w:val="23E80503"/>
    <w:rsid w:val="240B2444"/>
    <w:rsid w:val="24104883"/>
    <w:rsid w:val="2412732E"/>
    <w:rsid w:val="242B71EB"/>
    <w:rsid w:val="244C4F57"/>
    <w:rsid w:val="246A3ACB"/>
    <w:rsid w:val="2470325D"/>
    <w:rsid w:val="248D4C07"/>
    <w:rsid w:val="24A04F23"/>
    <w:rsid w:val="24CD76F9"/>
    <w:rsid w:val="24CF521F"/>
    <w:rsid w:val="24E75281"/>
    <w:rsid w:val="25021BBD"/>
    <w:rsid w:val="2507108D"/>
    <w:rsid w:val="250E5D48"/>
    <w:rsid w:val="25252334"/>
    <w:rsid w:val="252D53FE"/>
    <w:rsid w:val="256A4F48"/>
    <w:rsid w:val="257C245E"/>
    <w:rsid w:val="25C145A0"/>
    <w:rsid w:val="25EC2D81"/>
    <w:rsid w:val="25EE5B79"/>
    <w:rsid w:val="26127ABA"/>
    <w:rsid w:val="26445799"/>
    <w:rsid w:val="264528BD"/>
    <w:rsid w:val="265E685B"/>
    <w:rsid w:val="26880CE5"/>
    <w:rsid w:val="26A06F6E"/>
    <w:rsid w:val="26B97F35"/>
    <w:rsid w:val="270952E7"/>
    <w:rsid w:val="271C4339"/>
    <w:rsid w:val="27263A85"/>
    <w:rsid w:val="27455C6D"/>
    <w:rsid w:val="276E2ACE"/>
    <w:rsid w:val="27833A62"/>
    <w:rsid w:val="279770C0"/>
    <w:rsid w:val="27A1015D"/>
    <w:rsid w:val="27AB16E4"/>
    <w:rsid w:val="27BC6787"/>
    <w:rsid w:val="27D15DD1"/>
    <w:rsid w:val="281A4658"/>
    <w:rsid w:val="28247630"/>
    <w:rsid w:val="284771FA"/>
    <w:rsid w:val="285C6DCA"/>
    <w:rsid w:val="2869172C"/>
    <w:rsid w:val="28722A91"/>
    <w:rsid w:val="287C173D"/>
    <w:rsid w:val="28814571"/>
    <w:rsid w:val="28A76295"/>
    <w:rsid w:val="28A935C0"/>
    <w:rsid w:val="2920429C"/>
    <w:rsid w:val="29206EB8"/>
    <w:rsid w:val="293C6397"/>
    <w:rsid w:val="294213D2"/>
    <w:rsid w:val="29752839"/>
    <w:rsid w:val="297D349C"/>
    <w:rsid w:val="298760C9"/>
    <w:rsid w:val="298955F8"/>
    <w:rsid w:val="298B46A0"/>
    <w:rsid w:val="29B669AE"/>
    <w:rsid w:val="29E325E0"/>
    <w:rsid w:val="2A452503"/>
    <w:rsid w:val="2A5D507B"/>
    <w:rsid w:val="2A862BE7"/>
    <w:rsid w:val="2AF21C68"/>
    <w:rsid w:val="2AFC2D4C"/>
    <w:rsid w:val="2B1240B8"/>
    <w:rsid w:val="2B3202B6"/>
    <w:rsid w:val="2B564581"/>
    <w:rsid w:val="2B5E554F"/>
    <w:rsid w:val="2B5E72FD"/>
    <w:rsid w:val="2B88437A"/>
    <w:rsid w:val="2BA016C4"/>
    <w:rsid w:val="2BA60E72"/>
    <w:rsid w:val="2BA936A8"/>
    <w:rsid w:val="2BB45844"/>
    <w:rsid w:val="2BC25ADE"/>
    <w:rsid w:val="2C0C4FAB"/>
    <w:rsid w:val="2C1005F7"/>
    <w:rsid w:val="2C297423"/>
    <w:rsid w:val="2C315A5A"/>
    <w:rsid w:val="2C80254B"/>
    <w:rsid w:val="2C8E6106"/>
    <w:rsid w:val="2C8F6197"/>
    <w:rsid w:val="2CA31215"/>
    <w:rsid w:val="2CAC1C66"/>
    <w:rsid w:val="2CBC42DB"/>
    <w:rsid w:val="2CC66E03"/>
    <w:rsid w:val="2CCF1CB5"/>
    <w:rsid w:val="2CD77367"/>
    <w:rsid w:val="2D23435A"/>
    <w:rsid w:val="2D26488F"/>
    <w:rsid w:val="2D2A09B7"/>
    <w:rsid w:val="2D432185"/>
    <w:rsid w:val="2D5E11CC"/>
    <w:rsid w:val="2D60377E"/>
    <w:rsid w:val="2D613652"/>
    <w:rsid w:val="2D9E56F5"/>
    <w:rsid w:val="2DD613CD"/>
    <w:rsid w:val="2E0F5EA0"/>
    <w:rsid w:val="2E1556DF"/>
    <w:rsid w:val="2E1D02BD"/>
    <w:rsid w:val="2E1E238F"/>
    <w:rsid w:val="2E667F96"/>
    <w:rsid w:val="2E6C1D31"/>
    <w:rsid w:val="2E766953"/>
    <w:rsid w:val="2E8226AB"/>
    <w:rsid w:val="2E875C48"/>
    <w:rsid w:val="2E8F2385"/>
    <w:rsid w:val="2E8F2FB8"/>
    <w:rsid w:val="2E9470D0"/>
    <w:rsid w:val="2EA77F24"/>
    <w:rsid w:val="2EDC6EB7"/>
    <w:rsid w:val="2F2C6F0D"/>
    <w:rsid w:val="2F332FD5"/>
    <w:rsid w:val="2F3740ED"/>
    <w:rsid w:val="2F486884"/>
    <w:rsid w:val="2F5B24F0"/>
    <w:rsid w:val="2F7610DD"/>
    <w:rsid w:val="2F832C79"/>
    <w:rsid w:val="2FCC2123"/>
    <w:rsid w:val="2FDE0A0C"/>
    <w:rsid w:val="2FEF2D58"/>
    <w:rsid w:val="2FFB1F66"/>
    <w:rsid w:val="301705C5"/>
    <w:rsid w:val="301B3A0F"/>
    <w:rsid w:val="303317E2"/>
    <w:rsid w:val="30580BC9"/>
    <w:rsid w:val="30594C9F"/>
    <w:rsid w:val="30735592"/>
    <w:rsid w:val="308E41E1"/>
    <w:rsid w:val="30A13F74"/>
    <w:rsid w:val="30A94086"/>
    <w:rsid w:val="30B11C7D"/>
    <w:rsid w:val="30D42828"/>
    <w:rsid w:val="30D8212E"/>
    <w:rsid w:val="3102072B"/>
    <w:rsid w:val="311D6658"/>
    <w:rsid w:val="311E2ED7"/>
    <w:rsid w:val="315C449C"/>
    <w:rsid w:val="31744F26"/>
    <w:rsid w:val="317D49BC"/>
    <w:rsid w:val="319B4849"/>
    <w:rsid w:val="319E43E2"/>
    <w:rsid w:val="31B23A98"/>
    <w:rsid w:val="31B82709"/>
    <w:rsid w:val="31EF5B8B"/>
    <w:rsid w:val="32024A41"/>
    <w:rsid w:val="323D7C6C"/>
    <w:rsid w:val="32400B34"/>
    <w:rsid w:val="324E1E79"/>
    <w:rsid w:val="324F5BF1"/>
    <w:rsid w:val="32646CC1"/>
    <w:rsid w:val="32886631"/>
    <w:rsid w:val="32935ADE"/>
    <w:rsid w:val="329E6876"/>
    <w:rsid w:val="32A9413D"/>
    <w:rsid w:val="32AC4ADB"/>
    <w:rsid w:val="32B47BC9"/>
    <w:rsid w:val="32D234C8"/>
    <w:rsid w:val="32FE0C29"/>
    <w:rsid w:val="3335354B"/>
    <w:rsid w:val="3364306A"/>
    <w:rsid w:val="33A819B6"/>
    <w:rsid w:val="33B01AC5"/>
    <w:rsid w:val="33D934D4"/>
    <w:rsid w:val="33FE2F6A"/>
    <w:rsid w:val="342F7A89"/>
    <w:rsid w:val="343706EB"/>
    <w:rsid w:val="343F6D1F"/>
    <w:rsid w:val="345F3590"/>
    <w:rsid w:val="34615AF8"/>
    <w:rsid w:val="34C226AB"/>
    <w:rsid w:val="34D310B7"/>
    <w:rsid w:val="350E3B42"/>
    <w:rsid w:val="355359F9"/>
    <w:rsid w:val="357019A0"/>
    <w:rsid w:val="358D0F0B"/>
    <w:rsid w:val="35BA204C"/>
    <w:rsid w:val="35C47C6C"/>
    <w:rsid w:val="35D419B0"/>
    <w:rsid w:val="35F85AFB"/>
    <w:rsid w:val="360350D9"/>
    <w:rsid w:val="36074A7F"/>
    <w:rsid w:val="36121410"/>
    <w:rsid w:val="362E6F77"/>
    <w:rsid w:val="36797671"/>
    <w:rsid w:val="368A71F8"/>
    <w:rsid w:val="368F2A60"/>
    <w:rsid w:val="36923549"/>
    <w:rsid w:val="3697701D"/>
    <w:rsid w:val="36B75FBF"/>
    <w:rsid w:val="36E4393C"/>
    <w:rsid w:val="36FB4891"/>
    <w:rsid w:val="3717342F"/>
    <w:rsid w:val="37661A13"/>
    <w:rsid w:val="37692E75"/>
    <w:rsid w:val="376C10A2"/>
    <w:rsid w:val="376E6B1A"/>
    <w:rsid w:val="378A6C1F"/>
    <w:rsid w:val="37B25189"/>
    <w:rsid w:val="37D03331"/>
    <w:rsid w:val="37DA4DEE"/>
    <w:rsid w:val="37EC4573"/>
    <w:rsid w:val="37EE37B7"/>
    <w:rsid w:val="381B0F9C"/>
    <w:rsid w:val="38521C45"/>
    <w:rsid w:val="38526AFA"/>
    <w:rsid w:val="38741ED2"/>
    <w:rsid w:val="38A57E82"/>
    <w:rsid w:val="38AC16A8"/>
    <w:rsid w:val="38BB7B3D"/>
    <w:rsid w:val="38D95CEA"/>
    <w:rsid w:val="38E057F5"/>
    <w:rsid w:val="38E946AF"/>
    <w:rsid w:val="38F12CD3"/>
    <w:rsid w:val="38F94775"/>
    <w:rsid w:val="390508F4"/>
    <w:rsid w:val="390F4B99"/>
    <w:rsid w:val="392971ED"/>
    <w:rsid w:val="393F076E"/>
    <w:rsid w:val="398048E2"/>
    <w:rsid w:val="39873EC3"/>
    <w:rsid w:val="399901D9"/>
    <w:rsid w:val="399D36E6"/>
    <w:rsid w:val="39EB27F6"/>
    <w:rsid w:val="3A0472C2"/>
    <w:rsid w:val="3A263172"/>
    <w:rsid w:val="3A330458"/>
    <w:rsid w:val="3A34778C"/>
    <w:rsid w:val="3A4023AD"/>
    <w:rsid w:val="3A9934B1"/>
    <w:rsid w:val="3AA229ED"/>
    <w:rsid w:val="3AA82343"/>
    <w:rsid w:val="3AAB6C4F"/>
    <w:rsid w:val="3ABE4296"/>
    <w:rsid w:val="3AE7786E"/>
    <w:rsid w:val="3B3763D1"/>
    <w:rsid w:val="3B4474A0"/>
    <w:rsid w:val="3B5F6EA5"/>
    <w:rsid w:val="3B6C3370"/>
    <w:rsid w:val="3B6E27C1"/>
    <w:rsid w:val="3B6E72B0"/>
    <w:rsid w:val="3BD17677"/>
    <w:rsid w:val="3C035F84"/>
    <w:rsid w:val="3C4046E4"/>
    <w:rsid w:val="3C4B377E"/>
    <w:rsid w:val="3C62051E"/>
    <w:rsid w:val="3C666012"/>
    <w:rsid w:val="3C7D1A3B"/>
    <w:rsid w:val="3C7E77FF"/>
    <w:rsid w:val="3C9B215F"/>
    <w:rsid w:val="3CB76BD1"/>
    <w:rsid w:val="3CDA245A"/>
    <w:rsid w:val="3CEE0A37"/>
    <w:rsid w:val="3D1C043D"/>
    <w:rsid w:val="3D29776B"/>
    <w:rsid w:val="3D477BF1"/>
    <w:rsid w:val="3D766ACE"/>
    <w:rsid w:val="3DA74B34"/>
    <w:rsid w:val="3DCB25D0"/>
    <w:rsid w:val="3DE01025"/>
    <w:rsid w:val="3DE2791A"/>
    <w:rsid w:val="3DF5589F"/>
    <w:rsid w:val="3E481343"/>
    <w:rsid w:val="3E5C147A"/>
    <w:rsid w:val="3E6840FF"/>
    <w:rsid w:val="3E7738B9"/>
    <w:rsid w:val="3E77440F"/>
    <w:rsid w:val="3E8B7AFC"/>
    <w:rsid w:val="3EBC460F"/>
    <w:rsid w:val="3F073ADC"/>
    <w:rsid w:val="3F660E74"/>
    <w:rsid w:val="3F7F7B16"/>
    <w:rsid w:val="3FB13A48"/>
    <w:rsid w:val="3FBB2540"/>
    <w:rsid w:val="3FD057D6"/>
    <w:rsid w:val="3FEE6527"/>
    <w:rsid w:val="4004001B"/>
    <w:rsid w:val="4021514C"/>
    <w:rsid w:val="40302BBE"/>
    <w:rsid w:val="403326AF"/>
    <w:rsid w:val="40754A75"/>
    <w:rsid w:val="407A6407"/>
    <w:rsid w:val="40EA3F4D"/>
    <w:rsid w:val="40F63E08"/>
    <w:rsid w:val="40F82226"/>
    <w:rsid w:val="40F956A6"/>
    <w:rsid w:val="4114603C"/>
    <w:rsid w:val="412A243B"/>
    <w:rsid w:val="41700EC9"/>
    <w:rsid w:val="41874A60"/>
    <w:rsid w:val="418F74B8"/>
    <w:rsid w:val="41A7426B"/>
    <w:rsid w:val="41B676E4"/>
    <w:rsid w:val="41C310BB"/>
    <w:rsid w:val="41C31810"/>
    <w:rsid w:val="41FB043B"/>
    <w:rsid w:val="421502BE"/>
    <w:rsid w:val="423A3BCC"/>
    <w:rsid w:val="42462B6D"/>
    <w:rsid w:val="429E561F"/>
    <w:rsid w:val="429F402B"/>
    <w:rsid w:val="42A40C9B"/>
    <w:rsid w:val="42A45AE6"/>
    <w:rsid w:val="42AC04F6"/>
    <w:rsid w:val="42B76458"/>
    <w:rsid w:val="42BE04AF"/>
    <w:rsid w:val="42D25330"/>
    <w:rsid w:val="42EE0B0F"/>
    <w:rsid w:val="433A6FE6"/>
    <w:rsid w:val="4350713C"/>
    <w:rsid w:val="435D72A6"/>
    <w:rsid w:val="436653E0"/>
    <w:rsid w:val="43761101"/>
    <w:rsid w:val="43925E19"/>
    <w:rsid w:val="43B365E4"/>
    <w:rsid w:val="44127779"/>
    <w:rsid w:val="441546EA"/>
    <w:rsid w:val="445915A6"/>
    <w:rsid w:val="44625310"/>
    <w:rsid w:val="446F0C5F"/>
    <w:rsid w:val="4485284A"/>
    <w:rsid w:val="4487121B"/>
    <w:rsid w:val="44BA28D6"/>
    <w:rsid w:val="44CD14E0"/>
    <w:rsid w:val="44D37FBC"/>
    <w:rsid w:val="44D910CB"/>
    <w:rsid w:val="44E07809"/>
    <w:rsid w:val="44E4479F"/>
    <w:rsid w:val="44EA2677"/>
    <w:rsid w:val="451B0B36"/>
    <w:rsid w:val="451E00D3"/>
    <w:rsid w:val="45244CBC"/>
    <w:rsid w:val="45352A25"/>
    <w:rsid w:val="4545710C"/>
    <w:rsid w:val="45804C1C"/>
    <w:rsid w:val="458946E9"/>
    <w:rsid w:val="458E2C2A"/>
    <w:rsid w:val="45985A08"/>
    <w:rsid w:val="45A71B75"/>
    <w:rsid w:val="4646138E"/>
    <w:rsid w:val="466C2476"/>
    <w:rsid w:val="466E4440"/>
    <w:rsid w:val="46865276"/>
    <w:rsid w:val="469004E9"/>
    <w:rsid w:val="46D3790A"/>
    <w:rsid w:val="46D955A7"/>
    <w:rsid w:val="46E9766A"/>
    <w:rsid w:val="46EC3E4E"/>
    <w:rsid w:val="46FF1807"/>
    <w:rsid w:val="47133957"/>
    <w:rsid w:val="47172E93"/>
    <w:rsid w:val="474E6F58"/>
    <w:rsid w:val="4779329E"/>
    <w:rsid w:val="47A06FC8"/>
    <w:rsid w:val="47A07E0C"/>
    <w:rsid w:val="47B9793D"/>
    <w:rsid w:val="47E524E0"/>
    <w:rsid w:val="4856518C"/>
    <w:rsid w:val="48627FD5"/>
    <w:rsid w:val="48643D4D"/>
    <w:rsid w:val="486C49B0"/>
    <w:rsid w:val="4870272E"/>
    <w:rsid w:val="48A169EB"/>
    <w:rsid w:val="48B872A1"/>
    <w:rsid w:val="48C23A8F"/>
    <w:rsid w:val="48D60DEA"/>
    <w:rsid w:val="48FA71E9"/>
    <w:rsid w:val="49722EEC"/>
    <w:rsid w:val="49CB3958"/>
    <w:rsid w:val="49D4558B"/>
    <w:rsid w:val="49D722FD"/>
    <w:rsid w:val="49DC7715"/>
    <w:rsid w:val="4A023139"/>
    <w:rsid w:val="4A347F6C"/>
    <w:rsid w:val="4A407EA2"/>
    <w:rsid w:val="4A5E20DB"/>
    <w:rsid w:val="4A604A59"/>
    <w:rsid w:val="4A7B576F"/>
    <w:rsid w:val="4ADF76BB"/>
    <w:rsid w:val="4B1B26BD"/>
    <w:rsid w:val="4B296A00"/>
    <w:rsid w:val="4B7C595F"/>
    <w:rsid w:val="4B9C3105"/>
    <w:rsid w:val="4BAD5A0B"/>
    <w:rsid w:val="4BBA0128"/>
    <w:rsid w:val="4BDA4326"/>
    <w:rsid w:val="4BEB5EDF"/>
    <w:rsid w:val="4BF944CE"/>
    <w:rsid w:val="4BFC24EE"/>
    <w:rsid w:val="4BFF5B3B"/>
    <w:rsid w:val="4C1D1ABF"/>
    <w:rsid w:val="4C4A0649"/>
    <w:rsid w:val="4C5440D8"/>
    <w:rsid w:val="4CB30DFF"/>
    <w:rsid w:val="4CCE384D"/>
    <w:rsid w:val="4CE470D3"/>
    <w:rsid w:val="4D021D86"/>
    <w:rsid w:val="4D275349"/>
    <w:rsid w:val="4D2C454C"/>
    <w:rsid w:val="4D334221"/>
    <w:rsid w:val="4D4001BD"/>
    <w:rsid w:val="4D4B1038"/>
    <w:rsid w:val="4D5D01DD"/>
    <w:rsid w:val="4D8F6A66"/>
    <w:rsid w:val="4DA85CCB"/>
    <w:rsid w:val="4DAD1CF2"/>
    <w:rsid w:val="4DBF1A26"/>
    <w:rsid w:val="4DEC4FB0"/>
    <w:rsid w:val="4DED01E1"/>
    <w:rsid w:val="4E075D8A"/>
    <w:rsid w:val="4E2B62B5"/>
    <w:rsid w:val="4E2C3356"/>
    <w:rsid w:val="4E2E3FCE"/>
    <w:rsid w:val="4E3F014B"/>
    <w:rsid w:val="4E6070A5"/>
    <w:rsid w:val="4E636855"/>
    <w:rsid w:val="4E6A3478"/>
    <w:rsid w:val="4E767DB5"/>
    <w:rsid w:val="4E8D742E"/>
    <w:rsid w:val="4EB41FBA"/>
    <w:rsid w:val="4EED4EAC"/>
    <w:rsid w:val="4F7B42F6"/>
    <w:rsid w:val="4FC62A8C"/>
    <w:rsid w:val="4FDB2CC5"/>
    <w:rsid w:val="4FE20F0D"/>
    <w:rsid w:val="4FE45405"/>
    <w:rsid w:val="4FF43C08"/>
    <w:rsid w:val="50140013"/>
    <w:rsid w:val="503446A1"/>
    <w:rsid w:val="50504C4B"/>
    <w:rsid w:val="50590FB2"/>
    <w:rsid w:val="506600AC"/>
    <w:rsid w:val="506A211C"/>
    <w:rsid w:val="50770396"/>
    <w:rsid w:val="509C6E7C"/>
    <w:rsid w:val="510A5F90"/>
    <w:rsid w:val="514A216C"/>
    <w:rsid w:val="51525C71"/>
    <w:rsid w:val="515C50B9"/>
    <w:rsid w:val="5162104E"/>
    <w:rsid w:val="51AB1FF8"/>
    <w:rsid w:val="51C70EA9"/>
    <w:rsid w:val="51CD2963"/>
    <w:rsid w:val="51DA30CA"/>
    <w:rsid w:val="51E44342"/>
    <w:rsid w:val="52340F50"/>
    <w:rsid w:val="52475700"/>
    <w:rsid w:val="52900834"/>
    <w:rsid w:val="52B30D4C"/>
    <w:rsid w:val="52B96A43"/>
    <w:rsid w:val="52C8137C"/>
    <w:rsid w:val="52CD6993"/>
    <w:rsid w:val="52D4387D"/>
    <w:rsid w:val="52F43F1F"/>
    <w:rsid w:val="53047830"/>
    <w:rsid w:val="530C22F2"/>
    <w:rsid w:val="532A7941"/>
    <w:rsid w:val="535F3A8F"/>
    <w:rsid w:val="53690833"/>
    <w:rsid w:val="53705B7C"/>
    <w:rsid w:val="537F0CA9"/>
    <w:rsid w:val="539772A1"/>
    <w:rsid w:val="53A039CC"/>
    <w:rsid w:val="53A1505A"/>
    <w:rsid w:val="54063E08"/>
    <w:rsid w:val="54106B37"/>
    <w:rsid w:val="54332825"/>
    <w:rsid w:val="543437E8"/>
    <w:rsid w:val="5460574C"/>
    <w:rsid w:val="54901501"/>
    <w:rsid w:val="54A6728A"/>
    <w:rsid w:val="54C56319"/>
    <w:rsid w:val="553E76D4"/>
    <w:rsid w:val="55410BF9"/>
    <w:rsid w:val="55456CB4"/>
    <w:rsid w:val="55560EC1"/>
    <w:rsid w:val="55603AEE"/>
    <w:rsid w:val="557E675B"/>
    <w:rsid w:val="55937A20"/>
    <w:rsid w:val="559B174B"/>
    <w:rsid w:val="55A229B0"/>
    <w:rsid w:val="55CE0CF4"/>
    <w:rsid w:val="563F1955"/>
    <w:rsid w:val="56671F84"/>
    <w:rsid w:val="567848EE"/>
    <w:rsid w:val="56B22A9C"/>
    <w:rsid w:val="57122BC6"/>
    <w:rsid w:val="571A1F2B"/>
    <w:rsid w:val="57607DD5"/>
    <w:rsid w:val="576820FA"/>
    <w:rsid w:val="577940EB"/>
    <w:rsid w:val="579F6535"/>
    <w:rsid w:val="57B72A76"/>
    <w:rsid w:val="57BA2BBE"/>
    <w:rsid w:val="57D01658"/>
    <w:rsid w:val="57FB365A"/>
    <w:rsid w:val="57FE5470"/>
    <w:rsid w:val="5806097D"/>
    <w:rsid w:val="5854364D"/>
    <w:rsid w:val="585F62DF"/>
    <w:rsid w:val="58882214"/>
    <w:rsid w:val="58C415F8"/>
    <w:rsid w:val="58CD4FF7"/>
    <w:rsid w:val="58D97E3F"/>
    <w:rsid w:val="58FB178C"/>
    <w:rsid w:val="59036C6A"/>
    <w:rsid w:val="591E7E07"/>
    <w:rsid w:val="59284923"/>
    <w:rsid w:val="59440708"/>
    <w:rsid w:val="59513E7A"/>
    <w:rsid w:val="59561490"/>
    <w:rsid w:val="596E6915"/>
    <w:rsid w:val="59771406"/>
    <w:rsid w:val="59C02DAD"/>
    <w:rsid w:val="5A3C747D"/>
    <w:rsid w:val="5A47702B"/>
    <w:rsid w:val="5A61633E"/>
    <w:rsid w:val="5A871B1D"/>
    <w:rsid w:val="5A91720B"/>
    <w:rsid w:val="5AA61FA3"/>
    <w:rsid w:val="5ABC1BAC"/>
    <w:rsid w:val="5ABE2233"/>
    <w:rsid w:val="5AF4588D"/>
    <w:rsid w:val="5B27221F"/>
    <w:rsid w:val="5B276D18"/>
    <w:rsid w:val="5B7B3430"/>
    <w:rsid w:val="5BA74C10"/>
    <w:rsid w:val="5BAA17E8"/>
    <w:rsid w:val="5BB560BF"/>
    <w:rsid w:val="5BD448EE"/>
    <w:rsid w:val="5BDF5D95"/>
    <w:rsid w:val="5BE2525D"/>
    <w:rsid w:val="5BF172E7"/>
    <w:rsid w:val="5C0C53B9"/>
    <w:rsid w:val="5C172A58"/>
    <w:rsid w:val="5C1D57F3"/>
    <w:rsid w:val="5C2E1802"/>
    <w:rsid w:val="5C60422C"/>
    <w:rsid w:val="5C7C278E"/>
    <w:rsid w:val="5C8E7193"/>
    <w:rsid w:val="5C995F8E"/>
    <w:rsid w:val="5CD31049"/>
    <w:rsid w:val="5CE021C7"/>
    <w:rsid w:val="5CEA406B"/>
    <w:rsid w:val="5D086F45"/>
    <w:rsid w:val="5D104520"/>
    <w:rsid w:val="5D2364E0"/>
    <w:rsid w:val="5D502E0A"/>
    <w:rsid w:val="5D5A52C7"/>
    <w:rsid w:val="5D656145"/>
    <w:rsid w:val="5D67767A"/>
    <w:rsid w:val="5D7A5C74"/>
    <w:rsid w:val="5DBA5079"/>
    <w:rsid w:val="5DF87A0F"/>
    <w:rsid w:val="5E4F4700"/>
    <w:rsid w:val="5E5341F0"/>
    <w:rsid w:val="5E5531FA"/>
    <w:rsid w:val="5E6379D2"/>
    <w:rsid w:val="5E6C7060"/>
    <w:rsid w:val="5EA83EFF"/>
    <w:rsid w:val="5EC549C2"/>
    <w:rsid w:val="5EE102B9"/>
    <w:rsid w:val="5EEB267A"/>
    <w:rsid w:val="5EEE216B"/>
    <w:rsid w:val="5F1A2B43"/>
    <w:rsid w:val="5F504F58"/>
    <w:rsid w:val="5F742670"/>
    <w:rsid w:val="5FB837BB"/>
    <w:rsid w:val="5FC92290"/>
    <w:rsid w:val="5FEC48FC"/>
    <w:rsid w:val="6043407E"/>
    <w:rsid w:val="605A40AA"/>
    <w:rsid w:val="605E53B0"/>
    <w:rsid w:val="606A3A73"/>
    <w:rsid w:val="609872D3"/>
    <w:rsid w:val="6105554A"/>
    <w:rsid w:val="610B7004"/>
    <w:rsid w:val="61461DEA"/>
    <w:rsid w:val="617D1584"/>
    <w:rsid w:val="619012B7"/>
    <w:rsid w:val="61A86601"/>
    <w:rsid w:val="61AC72EC"/>
    <w:rsid w:val="61B97280"/>
    <w:rsid w:val="61BF1B9C"/>
    <w:rsid w:val="61E57855"/>
    <w:rsid w:val="61FD5788"/>
    <w:rsid w:val="6220263B"/>
    <w:rsid w:val="62364782"/>
    <w:rsid w:val="624C3601"/>
    <w:rsid w:val="6298403E"/>
    <w:rsid w:val="62B66AFB"/>
    <w:rsid w:val="62DE4DC9"/>
    <w:rsid w:val="62E32EC0"/>
    <w:rsid w:val="62EC69C1"/>
    <w:rsid w:val="62F55A1E"/>
    <w:rsid w:val="63290163"/>
    <w:rsid w:val="633B16F7"/>
    <w:rsid w:val="63513C84"/>
    <w:rsid w:val="636C7B02"/>
    <w:rsid w:val="63827325"/>
    <w:rsid w:val="63910911"/>
    <w:rsid w:val="639B133B"/>
    <w:rsid w:val="63A86D8C"/>
    <w:rsid w:val="63C139AA"/>
    <w:rsid w:val="63D40BE9"/>
    <w:rsid w:val="63E0211F"/>
    <w:rsid w:val="64356146"/>
    <w:rsid w:val="64696CBA"/>
    <w:rsid w:val="648917DD"/>
    <w:rsid w:val="64B61449"/>
    <w:rsid w:val="64E57B6C"/>
    <w:rsid w:val="64E8140A"/>
    <w:rsid w:val="650D2D07"/>
    <w:rsid w:val="65373578"/>
    <w:rsid w:val="655D5954"/>
    <w:rsid w:val="65BF216B"/>
    <w:rsid w:val="65DA3948"/>
    <w:rsid w:val="65E836B7"/>
    <w:rsid w:val="65ED517D"/>
    <w:rsid w:val="664052AE"/>
    <w:rsid w:val="665E3732"/>
    <w:rsid w:val="66817D3D"/>
    <w:rsid w:val="66862C89"/>
    <w:rsid w:val="67102157"/>
    <w:rsid w:val="67193AFD"/>
    <w:rsid w:val="67220BBC"/>
    <w:rsid w:val="673F2C7A"/>
    <w:rsid w:val="67703441"/>
    <w:rsid w:val="679A279F"/>
    <w:rsid w:val="67AB6E4B"/>
    <w:rsid w:val="67BA568B"/>
    <w:rsid w:val="67BC2E06"/>
    <w:rsid w:val="67F26828"/>
    <w:rsid w:val="67F3434E"/>
    <w:rsid w:val="681C1AF7"/>
    <w:rsid w:val="681F6961"/>
    <w:rsid w:val="682066C8"/>
    <w:rsid w:val="68420E31"/>
    <w:rsid w:val="684D1CB0"/>
    <w:rsid w:val="68522367"/>
    <w:rsid w:val="68610A2F"/>
    <w:rsid w:val="68805514"/>
    <w:rsid w:val="68C44A8C"/>
    <w:rsid w:val="68CC52CB"/>
    <w:rsid w:val="68D51CA5"/>
    <w:rsid w:val="68D57F11"/>
    <w:rsid w:val="68F55EA4"/>
    <w:rsid w:val="69215E56"/>
    <w:rsid w:val="692A1FF1"/>
    <w:rsid w:val="693D7EBD"/>
    <w:rsid w:val="69482477"/>
    <w:rsid w:val="69493CE0"/>
    <w:rsid w:val="694A70A4"/>
    <w:rsid w:val="694B30CB"/>
    <w:rsid w:val="694E2071"/>
    <w:rsid w:val="697A3B33"/>
    <w:rsid w:val="697D65C5"/>
    <w:rsid w:val="699E2456"/>
    <w:rsid w:val="69BE4A75"/>
    <w:rsid w:val="69C37EA1"/>
    <w:rsid w:val="69CC61E8"/>
    <w:rsid w:val="69E44896"/>
    <w:rsid w:val="69E571AD"/>
    <w:rsid w:val="6A0E36C1"/>
    <w:rsid w:val="6A426A15"/>
    <w:rsid w:val="6A430159"/>
    <w:rsid w:val="6A4E1DCC"/>
    <w:rsid w:val="6A6D7E16"/>
    <w:rsid w:val="6AAD2EDA"/>
    <w:rsid w:val="6AB853DB"/>
    <w:rsid w:val="6ABA7BB9"/>
    <w:rsid w:val="6AD2649C"/>
    <w:rsid w:val="6AD4162A"/>
    <w:rsid w:val="6AE91814"/>
    <w:rsid w:val="6AEB4C68"/>
    <w:rsid w:val="6B0F76F1"/>
    <w:rsid w:val="6B1765A5"/>
    <w:rsid w:val="6B322639"/>
    <w:rsid w:val="6B52032A"/>
    <w:rsid w:val="6B6F1F3D"/>
    <w:rsid w:val="6B7C465A"/>
    <w:rsid w:val="6B7D19DD"/>
    <w:rsid w:val="6BF7640B"/>
    <w:rsid w:val="6C007039"/>
    <w:rsid w:val="6C1F3963"/>
    <w:rsid w:val="6C306F9D"/>
    <w:rsid w:val="6C475313"/>
    <w:rsid w:val="6C537AB1"/>
    <w:rsid w:val="6C615D2A"/>
    <w:rsid w:val="6C636C38"/>
    <w:rsid w:val="6C762DCD"/>
    <w:rsid w:val="6C971717"/>
    <w:rsid w:val="6CC30C03"/>
    <w:rsid w:val="6CCC0B6E"/>
    <w:rsid w:val="6CD867D6"/>
    <w:rsid w:val="6CDF7BCE"/>
    <w:rsid w:val="6D040B54"/>
    <w:rsid w:val="6D0C5910"/>
    <w:rsid w:val="6D366A6F"/>
    <w:rsid w:val="6D432C98"/>
    <w:rsid w:val="6D563AE0"/>
    <w:rsid w:val="6D785A21"/>
    <w:rsid w:val="6DB34098"/>
    <w:rsid w:val="6DB545B6"/>
    <w:rsid w:val="6DC26C9C"/>
    <w:rsid w:val="6E005526"/>
    <w:rsid w:val="6E1E4C52"/>
    <w:rsid w:val="6E4375A0"/>
    <w:rsid w:val="6E445623"/>
    <w:rsid w:val="6E514CED"/>
    <w:rsid w:val="6E5D4C17"/>
    <w:rsid w:val="6E79491A"/>
    <w:rsid w:val="6E953292"/>
    <w:rsid w:val="6EB563D5"/>
    <w:rsid w:val="6ECA590F"/>
    <w:rsid w:val="6ED924EF"/>
    <w:rsid w:val="6EDF562C"/>
    <w:rsid w:val="6EEC6222"/>
    <w:rsid w:val="6EF47329"/>
    <w:rsid w:val="6F134DCC"/>
    <w:rsid w:val="6F225983"/>
    <w:rsid w:val="6F3649DD"/>
    <w:rsid w:val="6F4D07E7"/>
    <w:rsid w:val="6F745D74"/>
    <w:rsid w:val="6FB72B3F"/>
    <w:rsid w:val="6FBC771B"/>
    <w:rsid w:val="6FD81A6C"/>
    <w:rsid w:val="6FF869A5"/>
    <w:rsid w:val="6FFC5590"/>
    <w:rsid w:val="70301DA3"/>
    <w:rsid w:val="706D1DD0"/>
    <w:rsid w:val="707A560C"/>
    <w:rsid w:val="70803B49"/>
    <w:rsid w:val="70856B87"/>
    <w:rsid w:val="70943FBF"/>
    <w:rsid w:val="70A00DEB"/>
    <w:rsid w:val="70B700AB"/>
    <w:rsid w:val="70C9505A"/>
    <w:rsid w:val="70D527EE"/>
    <w:rsid w:val="70DA0EB4"/>
    <w:rsid w:val="70DC1E23"/>
    <w:rsid w:val="70F058CE"/>
    <w:rsid w:val="70F33611"/>
    <w:rsid w:val="712B2DAA"/>
    <w:rsid w:val="714D39D8"/>
    <w:rsid w:val="71535E5D"/>
    <w:rsid w:val="715B5300"/>
    <w:rsid w:val="715F4BD7"/>
    <w:rsid w:val="71A36DE5"/>
    <w:rsid w:val="71B615C9"/>
    <w:rsid w:val="71D27F8A"/>
    <w:rsid w:val="71F744C6"/>
    <w:rsid w:val="71F960CF"/>
    <w:rsid w:val="7238655B"/>
    <w:rsid w:val="726133C3"/>
    <w:rsid w:val="72707ACC"/>
    <w:rsid w:val="72E579AE"/>
    <w:rsid w:val="731F5D5E"/>
    <w:rsid w:val="73253323"/>
    <w:rsid w:val="734844B1"/>
    <w:rsid w:val="73530396"/>
    <w:rsid w:val="736305DA"/>
    <w:rsid w:val="73697BBA"/>
    <w:rsid w:val="73B70925"/>
    <w:rsid w:val="73C33588"/>
    <w:rsid w:val="73DE2356"/>
    <w:rsid w:val="74084724"/>
    <w:rsid w:val="741C4C2C"/>
    <w:rsid w:val="741E793C"/>
    <w:rsid w:val="74277859"/>
    <w:rsid w:val="74687E72"/>
    <w:rsid w:val="746960C4"/>
    <w:rsid w:val="7481459E"/>
    <w:rsid w:val="74A415D5"/>
    <w:rsid w:val="74A76BEC"/>
    <w:rsid w:val="74DD3B22"/>
    <w:rsid w:val="74ED5167"/>
    <w:rsid w:val="74F879D9"/>
    <w:rsid w:val="75045DEC"/>
    <w:rsid w:val="75196866"/>
    <w:rsid w:val="751D6629"/>
    <w:rsid w:val="75231E73"/>
    <w:rsid w:val="75587EE6"/>
    <w:rsid w:val="758C287C"/>
    <w:rsid w:val="758D75E2"/>
    <w:rsid w:val="7590371F"/>
    <w:rsid w:val="75997113"/>
    <w:rsid w:val="75C25B32"/>
    <w:rsid w:val="75DE663D"/>
    <w:rsid w:val="75E63744"/>
    <w:rsid w:val="760E58AB"/>
    <w:rsid w:val="761A519B"/>
    <w:rsid w:val="762349F2"/>
    <w:rsid w:val="762B04A8"/>
    <w:rsid w:val="76592168"/>
    <w:rsid w:val="765D3A06"/>
    <w:rsid w:val="76A100CB"/>
    <w:rsid w:val="76BE1FCB"/>
    <w:rsid w:val="76CF1607"/>
    <w:rsid w:val="76DB05EA"/>
    <w:rsid w:val="76DD5043"/>
    <w:rsid w:val="771B741D"/>
    <w:rsid w:val="771F0CBB"/>
    <w:rsid w:val="772C162A"/>
    <w:rsid w:val="77304C77"/>
    <w:rsid w:val="77432A08"/>
    <w:rsid w:val="77762421"/>
    <w:rsid w:val="777960CC"/>
    <w:rsid w:val="777F175A"/>
    <w:rsid w:val="77903967"/>
    <w:rsid w:val="779C230C"/>
    <w:rsid w:val="77A45665"/>
    <w:rsid w:val="77C74EAF"/>
    <w:rsid w:val="77E7494D"/>
    <w:rsid w:val="780622FB"/>
    <w:rsid w:val="780D6D66"/>
    <w:rsid w:val="780F09F4"/>
    <w:rsid w:val="78105B2F"/>
    <w:rsid w:val="781B214B"/>
    <w:rsid w:val="781E71C5"/>
    <w:rsid w:val="78463EA7"/>
    <w:rsid w:val="7852453E"/>
    <w:rsid w:val="785726D7"/>
    <w:rsid w:val="7867549A"/>
    <w:rsid w:val="78713799"/>
    <w:rsid w:val="78782D79"/>
    <w:rsid w:val="78972AD3"/>
    <w:rsid w:val="789A0AEB"/>
    <w:rsid w:val="789C4F47"/>
    <w:rsid w:val="78A5569D"/>
    <w:rsid w:val="78A90480"/>
    <w:rsid w:val="78D12489"/>
    <w:rsid w:val="78F9553C"/>
    <w:rsid w:val="79382508"/>
    <w:rsid w:val="79811327"/>
    <w:rsid w:val="79AF7246"/>
    <w:rsid w:val="79B25E17"/>
    <w:rsid w:val="79C36BB6"/>
    <w:rsid w:val="79D317BB"/>
    <w:rsid w:val="7A3507F6"/>
    <w:rsid w:val="7A364017"/>
    <w:rsid w:val="7A807CC3"/>
    <w:rsid w:val="7A8265E1"/>
    <w:rsid w:val="7A837F9D"/>
    <w:rsid w:val="7A8D23E0"/>
    <w:rsid w:val="7AA70357"/>
    <w:rsid w:val="7ACC115A"/>
    <w:rsid w:val="7AE213CC"/>
    <w:rsid w:val="7B212B22"/>
    <w:rsid w:val="7B551CF7"/>
    <w:rsid w:val="7B686D42"/>
    <w:rsid w:val="7B841746"/>
    <w:rsid w:val="7BBF481B"/>
    <w:rsid w:val="7BC208CA"/>
    <w:rsid w:val="7BDF0A19"/>
    <w:rsid w:val="7BE21BD4"/>
    <w:rsid w:val="7BE93E18"/>
    <w:rsid w:val="7BED27A7"/>
    <w:rsid w:val="7C007E8D"/>
    <w:rsid w:val="7C63164A"/>
    <w:rsid w:val="7C720FA2"/>
    <w:rsid w:val="7C7574EF"/>
    <w:rsid w:val="7C833A9B"/>
    <w:rsid w:val="7CAB6372"/>
    <w:rsid w:val="7CDC31AB"/>
    <w:rsid w:val="7CE56CE9"/>
    <w:rsid w:val="7D0239FF"/>
    <w:rsid w:val="7D4E29FF"/>
    <w:rsid w:val="7D5A58C9"/>
    <w:rsid w:val="7D5E40CD"/>
    <w:rsid w:val="7D693BED"/>
    <w:rsid w:val="7D715B76"/>
    <w:rsid w:val="7D8A0E59"/>
    <w:rsid w:val="7DDC0909"/>
    <w:rsid w:val="7DEE3196"/>
    <w:rsid w:val="7E10358D"/>
    <w:rsid w:val="7E1B6D74"/>
    <w:rsid w:val="7E350DC4"/>
    <w:rsid w:val="7E4436FD"/>
    <w:rsid w:val="7E4F7D96"/>
    <w:rsid w:val="7E6009B2"/>
    <w:rsid w:val="7EAF0B77"/>
    <w:rsid w:val="7EC54522"/>
    <w:rsid w:val="7EEE75E6"/>
    <w:rsid w:val="7EF63909"/>
    <w:rsid w:val="7EF96296"/>
    <w:rsid w:val="7F121106"/>
    <w:rsid w:val="7F2C666B"/>
    <w:rsid w:val="7F5158A3"/>
    <w:rsid w:val="7F69754E"/>
    <w:rsid w:val="7F74731F"/>
    <w:rsid w:val="7FC71EF0"/>
    <w:rsid w:val="7FDF22E3"/>
    <w:rsid w:val="7FE47E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ocked="1"/>
    <w:lsdException w:qFormat="1" w:unhideWhenUsed="0" w:uiPriority="0" w:semiHidden="0" w:name="heading 3" w:locked="1"/>
    <w:lsdException w:qFormat="1" w:uiPriority="0"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ocked="1"/>
    <w:lsdException w:qFormat="1" w:unhideWhenUsed="0" w:uiPriority="39" w:semiHidden="0" w:name="toc 2" w:locked="1"/>
    <w:lsdException w:qFormat="1" w:unhideWhenUsed="0" w:uiPriority="39"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ocked="1"/>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unhideWhenUsed="0" w:uiPriority="0" w:semiHidden="0" w:name="Salutation"/>
    <w:lsdException w:qFormat="1" w:unhideWhenUsed="0" w:uiPriority="0"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ocked="1"/>
    <w:lsdException w:qFormat="1" w:unhideWhenUsed="0" w:uiPriority="0" w:semiHidden="0" w:name="Emphasis" w:locked="1"/>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39" w:semiHidden="0" w:name="Table Grid"/>
    <w:lsdException w:qFormat="1"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宋体" w:hAnsi="宋体" w:eastAsia="宋体" w:cs="宋体"/>
      <w:kern w:val="2"/>
      <w:sz w:val="24"/>
      <w:szCs w:val="24"/>
      <w:lang w:val="en-US" w:eastAsia="zh-CN" w:bidi="ar-SA"/>
    </w:rPr>
  </w:style>
  <w:style w:type="paragraph" w:styleId="2">
    <w:name w:val="heading 1"/>
    <w:basedOn w:val="1"/>
    <w:next w:val="1"/>
    <w:qFormat/>
    <w:uiPriority w:val="0"/>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3">
    <w:name w:val="heading 2"/>
    <w:basedOn w:val="1"/>
    <w:next w:val="1"/>
    <w:qFormat/>
    <w:locked/>
    <w:uiPriority w:val="0"/>
    <w:pPr>
      <w:keepNext/>
      <w:keepLines/>
      <w:spacing w:before="260" w:after="260" w:line="500" w:lineRule="exact"/>
      <w:ind w:firstLine="640" w:firstLineChars="200"/>
      <w:outlineLvl w:val="1"/>
    </w:pPr>
    <w:rPr>
      <w:rFonts w:ascii="Arial" w:hAnsi="Arial" w:eastAsia="黑体"/>
      <w:bCs/>
      <w:sz w:val="32"/>
      <w:szCs w:val="32"/>
    </w:rPr>
  </w:style>
  <w:style w:type="paragraph" w:styleId="4">
    <w:name w:val="heading 3"/>
    <w:basedOn w:val="1"/>
    <w:next w:val="1"/>
    <w:qFormat/>
    <w:locked/>
    <w:uiPriority w:val="0"/>
    <w:pPr>
      <w:spacing w:before="100" w:beforeAutospacing="1" w:after="100" w:afterAutospacing="1"/>
      <w:jc w:val="left"/>
      <w:outlineLvl w:val="2"/>
    </w:pPr>
    <w:rPr>
      <w:rFonts w:hint="eastAsia" w:ascii="宋体" w:hAnsi="宋体" w:eastAsia="宋体" w:cs="宋体"/>
      <w:b/>
      <w:kern w:val="0"/>
      <w:sz w:val="27"/>
      <w:szCs w:val="27"/>
      <w:lang w:val="en-US" w:eastAsia="zh-CN" w:bidi="ar"/>
    </w:rPr>
  </w:style>
  <w:style w:type="paragraph" w:styleId="5">
    <w:name w:val="heading 4"/>
    <w:basedOn w:val="1"/>
    <w:next w:val="1"/>
    <w:unhideWhenUsed/>
    <w:qFormat/>
    <w:locked/>
    <w:uiPriority w:val="0"/>
    <w:pPr>
      <w:keepNext/>
      <w:keepLines/>
      <w:spacing w:before="280" w:after="290" w:line="372" w:lineRule="auto"/>
      <w:outlineLvl w:val="3"/>
    </w:pPr>
    <w:rPr>
      <w:rFonts w:ascii="Arial" w:hAnsi="Arial" w:eastAsia="黑体"/>
      <w:b/>
      <w:sz w:val="28"/>
    </w:rPr>
  </w:style>
  <w:style w:type="character" w:default="1" w:styleId="29">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pPr>
  </w:style>
  <w:style w:type="paragraph" w:styleId="7">
    <w:name w:val="annotation text"/>
    <w:basedOn w:val="1"/>
    <w:link w:val="53"/>
    <w:semiHidden/>
    <w:qFormat/>
    <w:uiPriority w:val="0"/>
    <w:pPr>
      <w:jc w:val="left"/>
    </w:pPr>
    <w:rPr>
      <w:kern w:val="0"/>
      <w:sz w:val="20"/>
    </w:rPr>
  </w:style>
  <w:style w:type="paragraph" w:styleId="8">
    <w:name w:val="Body Text"/>
    <w:basedOn w:val="1"/>
    <w:next w:val="1"/>
    <w:link w:val="44"/>
    <w:qFormat/>
    <w:uiPriority w:val="0"/>
    <w:pPr>
      <w:widowControl/>
      <w:snapToGrid w:val="0"/>
      <w:spacing w:before="60" w:after="160" w:line="259" w:lineRule="auto"/>
      <w:ind w:right="113"/>
    </w:pPr>
    <w:rPr>
      <w:kern w:val="0"/>
      <w:sz w:val="18"/>
      <w:szCs w:val="18"/>
    </w:rPr>
  </w:style>
  <w:style w:type="paragraph" w:styleId="9">
    <w:name w:val="Body Text Indent"/>
    <w:basedOn w:val="1"/>
    <w:link w:val="55"/>
    <w:semiHidden/>
    <w:qFormat/>
    <w:uiPriority w:val="0"/>
    <w:pPr>
      <w:spacing w:after="120"/>
      <w:ind w:left="420" w:leftChars="200"/>
    </w:pPr>
  </w:style>
  <w:style w:type="paragraph" w:styleId="10">
    <w:name w:val="toc 3"/>
    <w:basedOn w:val="1"/>
    <w:next w:val="1"/>
    <w:qFormat/>
    <w:locked/>
    <w:uiPriority w:val="39"/>
    <w:pPr>
      <w:ind w:left="840" w:leftChars="400"/>
    </w:pPr>
  </w:style>
  <w:style w:type="paragraph" w:styleId="11">
    <w:name w:val="Plain Text"/>
    <w:basedOn w:val="1"/>
    <w:next w:val="1"/>
    <w:qFormat/>
    <w:uiPriority w:val="0"/>
    <w:rPr>
      <w:rFonts w:ascii="宋体" w:hAnsi="Courier New"/>
    </w:rPr>
  </w:style>
  <w:style w:type="paragraph" w:styleId="12">
    <w:name w:val="List Bullet 5"/>
    <w:basedOn w:val="1"/>
    <w:qFormat/>
    <w:uiPriority w:val="0"/>
    <w:pPr>
      <w:numPr>
        <w:ilvl w:val="0"/>
        <w:numId w:val="1"/>
      </w:numPr>
    </w:pPr>
  </w:style>
  <w:style w:type="paragraph" w:styleId="13">
    <w:name w:val="Date"/>
    <w:basedOn w:val="1"/>
    <w:next w:val="1"/>
    <w:link w:val="46"/>
    <w:qFormat/>
    <w:uiPriority w:val="0"/>
    <w:pPr>
      <w:ind w:left="100" w:leftChars="2500"/>
    </w:pPr>
    <w:rPr>
      <w:kern w:val="0"/>
      <w:sz w:val="20"/>
    </w:rPr>
  </w:style>
  <w:style w:type="paragraph" w:styleId="14">
    <w:name w:val="Balloon Text"/>
    <w:basedOn w:val="1"/>
    <w:link w:val="52"/>
    <w:semiHidden/>
    <w:qFormat/>
    <w:uiPriority w:val="0"/>
    <w:rPr>
      <w:sz w:val="18"/>
      <w:szCs w:val="18"/>
    </w:rPr>
  </w:style>
  <w:style w:type="paragraph" w:styleId="15">
    <w:name w:val="footer"/>
    <w:basedOn w:val="1"/>
    <w:next w:val="1"/>
    <w:link w:val="43"/>
    <w:qFormat/>
    <w:uiPriority w:val="0"/>
    <w:pPr>
      <w:tabs>
        <w:tab w:val="center" w:pos="4153"/>
        <w:tab w:val="right" w:pos="8306"/>
      </w:tabs>
      <w:snapToGrid w:val="0"/>
      <w:jc w:val="left"/>
    </w:pPr>
    <w:rPr>
      <w:sz w:val="18"/>
      <w:szCs w:val="18"/>
    </w:rPr>
  </w:style>
  <w:style w:type="paragraph" w:styleId="16">
    <w:name w:val="header"/>
    <w:basedOn w:val="1"/>
    <w:link w:val="42"/>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locked/>
    <w:uiPriority w:val="39"/>
  </w:style>
  <w:style w:type="paragraph" w:styleId="18">
    <w:name w:val="List"/>
    <w:basedOn w:val="1"/>
    <w:next w:val="1"/>
    <w:qFormat/>
    <w:uiPriority w:val="0"/>
    <w:pPr>
      <w:adjustRightInd w:val="0"/>
      <w:snapToGrid w:val="0"/>
      <w:jc w:val="center"/>
      <w:textAlignment w:val="baseline"/>
    </w:pPr>
    <w:rPr>
      <w:rFonts w:ascii="仿宋_GB2312" w:hAnsi="Alaska" w:eastAsia="仿宋_GB2312"/>
    </w:rPr>
  </w:style>
  <w:style w:type="paragraph" w:styleId="19">
    <w:name w:val="Body Text Indent 3"/>
    <w:basedOn w:val="1"/>
    <w:qFormat/>
    <w:uiPriority w:val="0"/>
    <w:pPr>
      <w:spacing w:after="120"/>
      <w:ind w:left="420" w:leftChars="200"/>
    </w:pPr>
    <w:rPr>
      <w:sz w:val="16"/>
      <w:szCs w:val="16"/>
    </w:rPr>
  </w:style>
  <w:style w:type="paragraph" w:styleId="20">
    <w:name w:val="toc 2"/>
    <w:basedOn w:val="1"/>
    <w:next w:val="1"/>
    <w:qFormat/>
    <w:locked/>
    <w:uiPriority w:val="39"/>
    <w:pPr>
      <w:ind w:left="420" w:leftChars="200"/>
    </w:pPr>
  </w:style>
  <w:style w:type="paragraph" w:styleId="21">
    <w:name w:val="Normal (Web)"/>
    <w:basedOn w:val="1"/>
    <w:link w:val="45"/>
    <w:qFormat/>
    <w:uiPriority w:val="0"/>
    <w:pPr>
      <w:widowControl/>
      <w:spacing w:before="100" w:beforeAutospacing="1" w:after="100" w:afterAutospacing="1"/>
      <w:jc w:val="left"/>
    </w:pPr>
    <w:rPr>
      <w:kern w:val="0"/>
    </w:rPr>
  </w:style>
  <w:style w:type="paragraph" w:styleId="22">
    <w:name w:val="Title"/>
    <w:basedOn w:val="1"/>
    <w:next w:val="1"/>
    <w:qFormat/>
    <w:locked/>
    <w:uiPriority w:val="0"/>
    <w:pPr>
      <w:spacing w:before="240" w:after="60"/>
      <w:jc w:val="center"/>
      <w:outlineLvl w:val="0"/>
    </w:pPr>
    <w:rPr>
      <w:rFonts w:ascii="Arial" w:hAnsi="Arial"/>
      <w:b/>
      <w:bCs/>
      <w:kern w:val="0"/>
      <w:sz w:val="32"/>
      <w:szCs w:val="32"/>
    </w:rPr>
  </w:style>
  <w:style w:type="paragraph" w:styleId="23">
    <w:name w:val="annotation subject"/>
    <w:basedOn w:val="7"/>
    <w:next w:val="7"/>
    <w:link w:val="56"/>
    <w:semiHidden/>
    <w:qFormat/>
    <w:uiPriority w:val="0"/>
    <w:rPr>
      <w:b/>
      <w:bCs/>
    </w:rPr>
  </w:style>
  <w:style w:type="paragraph" w:styleId="24">
    <w:name w:val="Body Text First Indent"/>
    <w:basedOn w:val="8"/>
    <w:next w:val="1"/>
    <w:unhideWhenUsed/>
    <w:qFormat/>
    <w:uiPriority w:val="0"/>
    <w:pPr>
      <w:ind w:firstLine="420" w:firstLineChars="100"/>
    </w:pPr>
    <w:rPr>
      <w:sz w:val="21"/>
      <w:szCs w:val="24"/>
    </w:rPr>
  </w:style>
  <w:style w:type="paragraph" w:styleId="25">
    <w:name w:val="Body Text First Indent 2"/>
    <w:basedOn w:val="1"/>
    <w:next w:val="24"/>
    <w:qFormat/>
    <w:uiPriority w:val="0"/>
    <w:pPr>
      <w:spacing w:after="120" w:afterLines="0"/>
      <w:ind w:left="420" w:leftChars="200" w:firstLine="420"/>
    </w:pPr>
    <w:rPr>
      <w:sz w:val="21"/>
      <w:szCs w:val="24"/>
    </w:rPr>
  </w:style>
  <w:style w:type="table" w:styleId="27">
    <w:name w:val="Table Grid"/>
    <w:basedOn w:val="2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28">
    <w:name w:val="Table Theme"/>
    <w:basedOn w:val="26"/>
    <w:semiHidden/>
    <w:unhideWhenUsed/>
    <w:qFormat/>
    <w:uiPriority w:val="0"/>
    <w:pPr>
      <w:widowControl w:val="0"/>
      <w:spacing w:line="360" w:lineRule="auto"/>
      <w:ind w:firstLine="20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basedOn w:val="29"/>
    <w:qFormat/>
    <w:locked/>
    <w:uiPriority w:val="0"/>
    <w:rPr>
      <w:b/>
    </w:rPr>
  </w:style>
  <w:style w:type="character" w:styleId="31">
    <w:name w:val="page number"/>
    <w:basedOn w:val="29"/>
    <w:qFormat/>
    <w:uiPriority w:val="0"/>
  </w:style>
  <w:style w:type="character" w:styleId="32">
    <w:name w:val="Hyperlink"/>
    <w:basedOn w:val="29"/>
    <w:unhideWhenUsed/>
    <w:qFormat/>
    <w:uiPriority w:val="99"/>
    <w:rPr>
      <w:color w:val="0563C1" w:themeColor="hyperlink"/>
      <w:u w:val="single"/>
      <w14:textFill>
        <w14:solidFill>
          <w14:schemeClr w14:val="hlink"/>
        </w14:solidFill>
      </w14:textFill>
    </w:rPr>
  </w:style>
  <w:style w:type="character" w:styleId="33">
    <w:name w:val="annotation reference"/>
    <w:semiHidden/>
    <w:qFormat/>
    <w:uiPriority w:val="0"/>
    <w:rPr>
      <w:sz w:val="21"/>
    </w:rPr>
  </w:style>
  <w:style w:type="paragraph" w:customStyle="1" w:styleId="34">
    <w:name w:val="明显引用1"/>
    <w:next w:val="1"/>
    <w:autoRedefine/>
    <w:qFormat/>
    <w:uiPriority w:val="0"/>
    <w:pPr>
      <w:wordWrap w:val="0"/>
      <w:spacing w:before="360" w:after="360"/>
      <w:ind w:left="950" w:right="950"/>
      <w:jc w:val="center"/>
    </w:pPr>
    <w:rPr>
      <w:rFonts w:ascii="Times New Roman" w:hAnsi="Times New Roman" w:eastAsia="宋体" w:cs="Times New Roman"/>
      <w:i/>
      <w:sz w:val="21"/>
      <w:lang w:val="en-US" w:eastAsia="zh-CN" w:bidi="ar-SA"/>
    </w:rPr>
  </w:style>
  <w:style w:type="paragraph" w:customStyle="1" w:styleId="35">
    <w:name w:val="样式 标题 1 + 四号 段前: 0 磅 段后: 0 磅 行距: 1.5 倍行距"/>
    <w:basedOn w:val="36"/>
    <w:next w:val="37"/>
    <w:qFormat/>
    <w:uiPriority w:val="0"/>
    <w:pPr>
      <w:spacing w:line="360" w:lineRule="auto"/>
      <w:jc w:val="center"/>
    </w:pPr>
    <w:rPr>
      <w:sz w:val="28"/>
    </w:rPr>
  </w:style>
  <w:style w:type="paragraph" w:customStyle="1" w:styleId="36">
    <w:name w:val="报告表正文"/>
    <w:basedOn w:val="1"/>
    <w:qFormat/>
    <w:uiPriority w:val="0"/>
    <w:pPr>
      <w:wordWrap w:val="0"/>
      <w:topLinePunct/>
      <w:adjustRightInd w:val="0"/>
      <w:ind w:firstLine="488"/>
      <w:jc w:val="left"/>
      <w:textAlignment w:val="baseline"/>
    </w:pPr>
    <w:rPr>
      <w:rFonts w:eastAsia="Times New Roman"/>
      <w:kern w:val="0"/>
      <w:sz w:val="20"/>
      <w:szCs w:val="20"/>
    </w:rPr>
  </w:style>
  <w:style w:type="paragraph" w:customStyle="1" w:styleId="37">
    <w:name w:val="文本正文"/>
    <w:basedOn w:val="1"/>
    <w:qFormat/>
    <w:uiPriority w:val="0"/>
    <w:pPr>
      <w:snapToGrid w:val="0"/>
      <w:spacing w:line="360" w:lineRule="auto"/>
      <w:ind w:firstLine="510"/>
      <w:jc w:val="left"/>
    </w:pPr>
    <w:rPr>
      <w:spacing w:val="4"/>
      <w:kern w:val="24"/>
      <w:szCs w:val="24"/>
      <w:lang w:val="zh-CN"/>
    </w:rPr>
  </w:style>
  <w:style w:type="paragraph" w:customStyle="1" w:styleId="38">
    <w:name w:val="Default"/>
    <w:basedOn w:val="39"/>
    <w:qFormat/>
    <w:uiPriority w:val="0"/>
    <w:pPr>
      <w:widowControl w:val="0"/>
      <w:autoSpaceDE w:val="0"/>
      <w:autoSpaceDN w:val="0"/>
      <w:adjustRightInd w:val="0"/>
    </w:pPr>
    <w:rPr>
      <w:rFonts w:ascii="宋体ā" w:hAnsi="Calibri" w:eastAsia="宋体ā" w:cs="宋体ā"/>
      <w:color w:val="000000"/>
      <w:sz w:val="24"/>
      <w:szCs w:val="24"/>
      <w:lang w:val="en-US" w:eastAsia="zh-CN" w:bidi="ar-SA"/>
    </w:rPr>
  </w:style>
  <w:style w:type="paragraph" w:customStyle="1" w:styleId="39">
    <w:name w:val="纯文本1"/>
    <w:basedOn w:val="1"/>
    <w:qFormat/>
    <w:uiPriority w:val="0"/>
    <w:pPr>
      <w:widowControl/>
      <w:adjustRightInd w:val="0"/>
      <w:textAlignment w:val="baseline"/>
    </w:pPr>
    <w:rPr>
      <w:rFonts w:ascii="宋体" w:hAnsi="Courier New"/>
      <w:kern w:val="0"/>
      <w:szCs w:val="20"/>
      <w:lang w:eastAsia="en-US" w:bidi="en-US"/>
    </w:rPr>
  </w:style>
  <w:style w:type="paragraph" w:customStyle="1" w:styleId="40">
    <w:name w:val="样式 正文文本缩进 + 行距: 1.5 倍行距"/>
    <w:basedOn w:val="9"/>
    <w:qFormat/>
    <w:uiPriority w:val="0"/>
    <w:pPr>
      <w:spacing w:line="360" w:lineRule="auto"/>
      <w:ind w:left="0" w:leftChars="0" w:firstLine="560" w:firstLineChars="200"/>
    </w:pPr>
    <w:rPr>
      <w:rFonts w:cs="宋体"/>
      <w:b/>
      <w:bCs/>
      <w:sz w:val="28"/>
      <w:szCs w:val="20"/>
    </w:rPr>
  </w:style>
  <w:style w:type="paragraph" w:customStyle="1" w:styleId="41">
    <w:name w:val="样式 小四"/>
    <w:qFormat/>
    <w:uiPriority w:val="0"/>
    <w:pPr>
      <w:widowControl w:val="0"/>
    </w:pPr>
    <w:rPr>
      <w:rFonts w:ascii="宋体" w:hAnsi="Times New Roman" w:eastAsia="宋体" w:cs="Times New Roman"/>
      <w:kern w:val="2"/>
      <w:sz w:val="24"/>
      <w:szCs w:val="22"/>
      <w:lang w:val="en-US" w:eastAsia="zh-CN" w:bidi="ar-SA"/>
    </w:rPr>
  </w:style>
  <w:style w:type="character" w:customStyle="1" w:styleId="42">
    <w:name w:val="页眉 字符"/>
    <w:link w:val="16"/>
    <w:qFormat/>
    <w:locked/>
    <w:uiPriority w:val="0"/>
    <w:rPr>
      <w:rFonts w:cs="Times New Roman"/>
      <w:sz w:val="18"/>
      <w:szCs w:val="18"/>
    </w:rPr>
  </w:style>
  <w:style w:type="character" w:customStyle="1" w:styleId="43">
    <w:name w:val="页脚 字符"/>
    <w:link w:val="15"/>
    <w:qFormat/>
    <w:locked/>
    <w:uiPriority w:val="0"/>
    <w:rPr>
      <w:rFonts w:cs="Times New Roman"/>
      <w:sz w:val="18"/>
      <w:szCs w:val="18"/>
    </w:rPr>
  </w:style>
  <w:style w:type="character" w:customStyle="1" w:styleId="44">
    <w:name w:val="正文文本 字符"/>
    <w:link w:val="8"/>
    <w:qFormat/>
    <w:locked/>
    <w:uiPriority w:val="0"/>
    <w:rPr>
      <w:sz w:val="18"/>
    </w:rPr>
  </w:style>
  <w:style w:type="character" w:customStyle="1" w:styleId="45">
    <w:name w:val="普通(网站) 字符"/>
    <w:link w:val="21"/>
    <w:qFormat/>
    <w:locked/>
    <w:uiPriority w:val="0"/>
    <w:rPr>
      <w:rFonts w:ascii="宋体" w:hAnsi="宋体" w:eastAsia="宋体"/>
      <w:sz w:val="24"/>
    </w:rPr>
  </w:style>
  <w:style w:type="character" w:customStyle="1" w:styleId="46">
    <w:name w:val="日期 字符1"/>
    <w:link w:val="13"/>
    <w:qFormat/>
    <w:locked/>
    <w:uiPriority w:val="0"/>
    <w:rPr>
      <w:rFonts w:ascii="Times New Roman" w:hAnsi="Times New Roman" w:eastAsia="宋体"/>
      <w:sz w:val="24"/>
    </w:rPr>
  </w:style>
  <w:style w:type="character" w:customStyle="1" w:styleId="47">
    <w:name w:val="日期 字符"/>
    <w:semiHidden/>
    <w:qFormat/>
    <w:uiPriority w:val="0"/>
    <w:rPr>
      <w:rFonts w:ascii="Times New Roman" w:hAnsi="Times New Roman" w:eastAsia="宋体" w:cs="Times New Roman"/>
      <w:sz w:val="24"/>
      <w:szCs w:val="24"/>
    </w:rPr>
  </w:style>
  <w:style w:type="character" w:customStyle="1" w:styleId="48">
    <w:name w:val="正文文本 字符1"/>
    <w:semiHidden/>
    <w:qFormat/>
    <w:uiPriority w:val="0"/>
    <w:rPr>
      <w:rFonts w:ascii="Times New Roman" w:hAnsi="Times New Roman" w:eastAsia="宋体" w:cs="Times New Roman"/>
      <w:sz w:val="24"/>
      <w:szCs w:val="24"/>
    </w:rPr>
  </w:style>
  <w:style w:type="paragraph" w:customStyle="1" w:styleId="49">
    <w:name w:val="普通(网站)2"/>
    <w:basedOn w:val="1"/>
    <w:qFormat/>
    <w:uiPriority w:val="0"/>
    <w:pPr>
      <w:widowControl/>
      <w:spacing w:before="100" w:beforeAutospacing="1" w:after="100" w:afterAutospacing="1"/>
      <w:jc w:val="left"/>
    </w:pPr>
    <w:rPr>
      <w:szCs w:val="20"/>
    </w:rPr>
  </w:style>
  <w:style w:type="character" w:customStyle="1" w:styleId="50">
    <w:name w:val="表格 Char"/>
    <w:link w:val="51"/>
    <w:qFormat/>
    <w:locked/>
    <w:uiPriority w:val="0"/>
    <w:rPr>
      <w:rFonts w:ascii="宋体"/>
      <w:sz w:val="21"/>
    </w:rPr>
  </w:style>
  <w:style w:type="paragraph" w:customStyle="1" w:styleId="51">
    <w:name w:val="表格"/>
    <w:basedOn w:val="1"/>
    <w:link w:val="50"/>
    <w:qFormat/>
    <w:uiPriority w:val="0"/>
    <w:pPr>
      <w:adjustRightInd w:val="0"/>
      <w:snapToGrid w:val="0"/>
      <w:spacing w:beforeLines="10" w:afterLines="10" w:line="259" w:lineRule="auto"/>
      <w:jc w:val="center"/>
    </w:pPr>
    <w:rPr>
      <w:kern w:val="0"/>
      <w:sz w:val="20"/>
      <w:szCs w:val="21"/>
    </w:rPr>
  </w:style>
  <w:style w:type="character" w:customStyle="1" w:styleId="52">
    <w:name w:val="批注框文本 字符"/>
    <w:link w:val="14"/>
    <w:semiHidden/>
    <w:qFormat/>
    <w:locked/>
    <w:uiPriority w:val="0"/>
    <w:rPr>
      <w:rFonts w:ascii="Times New Roman" w:hAnsi="Times New Roman" w:eastAsia="宋体" w:cs="Times New Roman"/>
      <w:sz w:val="18"/>
      <w:szCs w:val="18"/>
    </w:rPr>
  </w:style>
  <w:style w:type="character" w:customStyle="1" w:styleId="53">
    <w:name w:val="批注文字 字符"/>
    <w:link w:val="7"/>
    <w:qFormat/>
    <w:locked/>
    <w:uiPriority w:val="0"/>
    <w:rPr>
      <w:rFonts w:ascii="Times New Roman" w:hAnsi="Times New Roman" w:eastAsia="宋体"/>
      <w:sz w:val="24"/>
    </w:rPr>
  </w:style>
  <w:style w:type="character" w:customStyle="1" w:styleId="54">
    <w:name w:val="批注文字 字符1"/>
    <w:semiHidden/>
    <w:qFormat/>
    <w:uiPriority w:val="0"/>
    <w:rPr>
      <w:rFonts w:ascii="Times New Roman" w:hAnsi="Times New Roman" w:eastAsia="宋体" w:cs="Times New Roman"/>
      <w:sz w:val="24"/>
      <w:szCs w:val="24"/>
    </w:rPr>
  </w:style>
  <w:style w:type="character" w:customStyle="1" w:styleId="55">
    <w:name w:val="正文文本缩进 字符"/>
    <w:link w:val="9"/>
    <w:semiHidden/>
    <w:qFormat/>
    <w:locked/>
    <w:uiPriority w:val="0"/>
    <w:rPr>
      <w:rFonts w:ascii="Times New Roman" w:hAnsi="Times New Roman" w:eastAsia="宋体" w:cs="Times New Roman"/>
      <w:sz w:val="24"/>
      <w:szCs w:val="24"/>
    </w:rPr>
  </w:style>
  <w:style w:type="character" w:customStyle="1" w:styleId="56">
    <w:name w:val="批注主题 字符"/>
    <w:link w:val="23"/>
    <w:semiHidden/>
    <w:qFormat/>
    <w:locked/>
    <w:uiPriority w:val="0"/>
    <w:rPr>
      <w:rFonts w:ascii="Times New Roman" w:hAnsi="Times New Roman" w:eastAsia="宋体" w:cs="Times New Roman"/>
      <w:b/>
      <w:bCs/>
      <w:kern w:val="2"/>
      <w:sz w:val="24"/>
      <w:szCs w:val="24"/>
    </w:rPr>
  </w:style>
  <w:style w:type="character" w:customStyle="1" w:styleId="57">
    <w:name w:val="普通(网站) Char"/>
    <w:qFormat/>
    <w:locked/>
    <w:uiPriority w:val="0"/>
    <w:rPr>
      <w:rFonts w:ascii="宋体" w:hAnsi="宋体" w:eastAsia="宋体"/>
      <w:sz w:val="24"/>
    </w:rPr>
  </w:style>
  <w:style w:type="paragraph" w:customStyle="1" w:styleId="58">
    <w:name w:val="表头"/>
    <w:basedOn w:val="1"/>
    <w:link w:val="60"/>
    <w:qFormat/>
    <w:uiPriority w:val="0"/>
    <w:pPr>
      <w:adjustRightInd w:val="0"/>
      <w:snapToGrid w:val="0"/>
      <w:ind w:firstLine="0" w:firstLineChars="0"/>
      <w:jc w:val="center"/>
    </w:pPr>
    <w:rPr>
      <w:rFonts w:ascii="黑体" w:hAnsi="黑体" w:eastAsia="黑体" w:cs="黑体"/>
      <w:b/>
    </w:rPr>
  </w:style>
  <w:style w:type="paragraph" w:customStyle="1" w:styleId="59">
    <w:name w:val="表内容"/>
    <w:basedOn w:val="1"/>
    <w:link w:val="61"/>
    <w:qFormat/>
    <w:uiPriority w:val="0"/>
    <w:pPr>
      <w:adjustRightInd w:val="0"/>
      <w:snapToGrid w:val="0"/>
      <w:spacing w:line="240" w:lineRule="auto"/>
      <w:ind w:firstLine="0" w:firstLineChars="0"/>
    </w:pPr>
    <w:rPr>
      <w:sz w:val="21"/>
      <w:szCs w:val="21"/>
    </w:rPr>
  </w:style>
  <w:style w:type="character" w:customStyle="1" w:styleId="60">
    <w:name w:val="表头 字符"/>
    <w:basedOn w:val="29"/>
    <w:link w:val="58"/>
    <w:qFormat/>
    <w:uiPriority w:val="0"/>
    <w:rPr>
      <w:rFonts w:ascii="黑体" w:hAnsi="黑体" w:eastAsia="黑体" w:cs="黑体"/>
      <w:b/>
      <w:kern w:val="2"/>
      <w:sz w:val="24"/>
      <w:szCs w:val="24"/>
    </w:rPr>
  </w:style>
  <w:style w:type="character" w:customStyle="1" w:styleId="61">
    <w:name w:val="表内容 字符"/>
    <w:basedOn w:val="29"/>
    <w:link w:val="59"/>
    <w:qFormat/>
    <w:uiPriority w:val="0"/>
    <w:rPr>
      <w:rFonts w:ascii="宋体" w:hAnsi="宋体" w:cs="宋体"/>
      <w:kern w:val="2"/>
      <w:sz w:val="21"/>
      <w:szCs w:val="21"/>
    </w:rPr>
  </w:style>
  <w:style w:type="paragraph" w:customStyle="1" w:styleId="62">
    <w:name w:val="Char Char Char Char Char Char Char Char Char Char Char Char Char Char Char Char Char Char Char"/>
    <w:basedOn w:val="1"/>
    <w:semiHidden/>
    <w:qFormat/>
    <w:uiPriority w:val="0"/>
    <w:pPr>
      <w:spacing w:line="240" w:lineRule="auto"/>
      <w:ind w:firstLine="0" w:firstLineChars="0"/>
    </w:pPr>
    <w:rPr>
      <w:rFonts w:ascii="Times New Roman" w:hAnsi="Times New Roman" w:cs="Times New Roman"/>
      <w:sz w:val="21"/>
    </w:rPr>
  </w:style>
  <w:style w:type="paragraph" w:customStyle="1" w:styleId="63">
    <w:name w:val="标题1"/>
    <w:basedOn w:val="1"/>
    <w:link w:val="65"/>
    <w:qFormat/>
    <w:uiPriority w:val="0"/>
    <w:pPr>
      <w:spacing w:before="50" w:beforeLines="50" w:after="50" w:afterLines="50"/>
      <w:ind w:firstLine="0" w:firstLineChars="0"/>
    </w:pPr>
    <w:rPr>
      <w:rFonts w:ascii="黑体" w:hAnsi="黑体" w:eastAsia="黑体" w:cs="黑体"/>
      <w:b/>
      <w:sz w:val="32"/>
      <w:szCs w:val="32"/>
    </w:rPr>
  </w:style>
  <w:style w:type="paragraph" w:customStyle="1" w:styleId="64">
    <w:name w:val="标题2"/>
    <w:basedOn w:val="1"/>
    <w:link w:val="66"/>
    <w:qFormat/>
    <w:uiPriority w:val="0"/>
    <w:pPr>
      <w:spacing w:before="50" w:beforeLines="50" w:after="50" w:afterLines="50"/>
      <w:ind w:firstLine="0" w:firstLineChars="0"/>
    </w:pPr>
    <w:rPr>
      <w:rFonts w:ascii="黑体" w:hAnsi="黑体" w:eastAsia="黑体" w:cs="黑体"/>
      <w:b/>
      <w:bCs/>
      <w:sz w:val="28"/>
      <w:szCs w:val="28"/>
    </w:rPr>
  </w:style>
  <w:style w:type="character" w:customStyle="1" w:styleId="65">
    <w:name w:val="标题1 字符"/>
    <w:basedOn w:val="29"/>
    <w:link w:val="63"/>
    <w:qFormat/>
    <w:uiPriority w:val="0"/>
    <w:rPr>
      <w:rFonts w:ascii="黑体" w:hAnsi="黑体" w:eastAsia="黑体" w:cs="黑体"/>
      <w:b/>
      <w:kern w:val="2"/>
      <w:sz w:val="32"/>
      <w:szCs w:val="32"/>
    </w:rPr>
  </w:style>
  <w:style w:type="character" w:customStyle="1" w:styleId="66">
    <w:name w:val="标题2 字符"/>
    <w:basedOn w:val="29"/>
    <w:link w:val="64"/>
    <w:qFormat/>
    <w:uiPriority w:val="0"/>
    <w:rPr>
      <w:rFonts w:ascii="黑体" w:hAnsi="黑体" w:eastAsia="黑体" w:cs="黑体"/>
      <w:b/>
      <w:bCs/>
      <w:kern w:val="2"/>
      <w:sz w:val="28"/>
      <w:szCs w:val="28"/>
    </w:rPr>
  </w:style>
  <w:style w:type="paragraph" w:customStyle="1" w:styleId="67">
    <w:name w:val="标题3"/>
    <w:basedOn w:val="1"/>
    <w:link w:val="68"/>
    <w:qFormat/>
    <w:uiPriority w:val="0"/>
    <w:pPr>
      <w:autoSpaceDE w:val="0"/>
      <w:autoSpaceDN w:val="0"/>
      <w:adjustRightInd w:val="0"/>
      <w:snapToGrid w:val="0"/>
      <w:ind w:firstLine="0" w:firstLineChars="0"/>
      <w:jc w:val="left"/>
      <w:outlineLvl w:val="2"/>
    </w:pPr>
    <w:rPr>
      <w:rFonts w:ascii="黑体" w:hAnsi="黑体" w:eastAsia="黑体" w:cs="黑体"/>
      <w:b/>
      <w:kern w:val="0"/>
    </w:rPr>
  </w:style>
  <w:style w:type="character" w:customStyle="1" w:styleId="68">
    <w:name w:val="标题3 字符"/>
    <w:basedOn w:val="29"/>
    <w:link w:val="67"/>
    <w:qFormat/>
    <w:uiPriority w:val="0"/>
    <w:rPr>
      <w:rFonts w:ascii="黑体" w:hAnsi="黑体" w:eastAsia="黑体" w:cs="黑体"/>
      <w:b/>
      <w:sz w:val="24"/>
      <w:szCs w:val="24"/>
    </w:rPr>
  </w:style>
  <w:style w:type="paragraph" w:customStyle="1" w:styleId="69">
    <w:name w:val="1正文"/>
    <w:basedOn w:val="1"/>
    <w:qFormat/>
    <w:uiPriority w:val="0"/>
    <w:pPr>
      <w:adjustRightInd w:val="0"/>
      <w:snapToGrid w:val="0"/>
    </w:pPr>
  </w:style>
  <w:style w:type="paragraph" w:customStyle="1" w:styleId="70">
    <w:name w:val="大风丫口正文"/>
    <w:basedOn w:val="1"/>
    <w:link w:val="71"/>
    <w:qFormat/>
    <w:uiPriority w:val="0"/>
    <w:rPr>
      <w:rFonts w:ascii="Times New Roman" w:hAnsi="Times New Roman" w:cs="Times New Roman"/>
      <w:spacing w:val="10"/>
      <w:szCs w:val="21"/>
    </w:rPr>
  </w:style>
  <w:style w:type="character" w:customStyle="1" w:styleId="71">
    <w:name w:val="大风丫口正文 Char"/>
    <w:link w:val="70"/>
    <w:qFormat/>
    <w:uiPriority w:val="0"/>
    <w:rPr>
      <w:spacing w:val="10"/>
      <w:kern w:val="2"/>
      <w:sz w:val="24"/>
      <w:szCs w:val="21"/>
    </w:rPr>
  </w:style>
  <w:style w:type="paragraph" w:customStyle="1" w:styleId="72">
    <w:name w:val="TOC Heading"/>
    <w:basedOn w:val="2"/>
    <w:next w:val="1"/>
    <w:unhideWhenUsed/>
    <w:qFormat/>
    <w:uiPriority w:val="39"/>
    <w:pPr>
      <w:keepLines/>
      <w:widowControl/>
      <w:overflowPunct/>
      <w:snapToGrid/>
      <w:spacing w:before="240" w:after="0"/>
      <w:ind w:left="0" w:firstLine="0" w:firstLineChars="0"/>
      <w:jc w:val="left"/>
      <w:outlineLvl w:val="9"/>
    </w:pPr>
    <w:rPr>
      <w:rFonts w:asciiTheme="majorHAnsi" w:hAnsiTheme="majorHAnsi" w:eastAsiaTheme="majorEastAsia" w:cstheme="majorBidi"/>
      <w:b w:val="0"/>
      <w:bCs w:val="0"/>
      <w:color w:val="2F5597" w:themeColor="accent1" w:themeShade="BF"/>
      <w:kern w:val="0"/>
      <w:sz w:val="32"/>
      <w:szCs w:val="32"/>
    </w:rPr>
  </w:style>
  <w:style w:type="paragraph" w:customStyle="1" w:styleId="73">
    <w:name w:val="表格内容"/>
    <w:basedOn w:val="74"/>
    <w:next w:val="1"/>
    <w:qFormat/>
    <w:uiPriority w:val="0"/>
    <w:pPr>
      <w:spacing w:line="240" w:lineRule="auto"/>
      <w:ind w:firstLine="0" w:firstLineChars="0"/>
      <w:jc w:val="center"/>
    </w:pPr>
    <w:rPr>
      <w:rFonts w:hint="eastAsia" w:ascii="Times New Roman" w:hAnsi="Times New Roman" w:eastAsia="宋体"/>
      <w:sz w:val="21"/>
    </w:rPr>
  </w:style>
  <w:style w:type="paragraph" w:customStyle="1" w:styleId="74">
    <w:name w:val="表格标题"/>
    <w:basedOn w:val="1"/>
    <w:next w:val="1"/>
    <w:autoRedefine/>
    <w:qFormat/>
    <w:uiPriority w:val="0"/>
    <w:pPr>
      <w:spacing w:line="240" w:lineRule="auto"/>
      <w:ind w:firstLine="0" w:firstLineChars="0"/>
      <w:jc w:val="center"/>
    </w:pPr>
    <w:rPr>
      <w:rFonts w:hint="eastAsia"/>
      <w:b/>
      <w:sz w:val="21"/>
    </w:rPr>
  </w:style>
  <w:style w:type="paragraph" w:customStyle="1" w:styleId="75">
    <w:name w:val="Normal Indent1"/>
    <w:basedOn w:val="1"/>
    <w:autoRedefine/>
    <w:qFormat/>
    <w:uiPriority w:val="0"/>
    <w:pPr>
      <w:ind w:firstLine="420"/>
    </w:pPr>
  </w:style>
  <w:style w:type="paragraph" w:customStyle="1" w:styleId="76">
    <w:name w:val="p0"/>
    <w:basedOn w:val="1"/>
    <w:qFormat/>
    <w:uiPriority w:val="0"/>
    <w:pPr>
      <w:widowControl/>
      <w:jc w:val="left"/>
    </w:pPr>
    <w:rPr>
      <w:sz w:val="20"/>
    </w:rPr>
  </w:style>
  <w:style w:type="table" w:customStyle="1" w:styleId="77">
    <w:name w:val="Table Normal"/>
    <w:unhideWhenUsed/>
    <w:qFormat/>
    <w:uiPriority w:val="2"/>
    <w:tblPr>
      <w:tblCellMar>
        <w:top w:w="0" w:type="dxa"/>
        <w:left w:w="0" w:type="dxa"/>
        <w:bottom w:w="0" w:type="dxa"/>
        <w:right w:w="0" w:type="dxa"/>
      </w:tblCellMar>
    </w:tblPr>
  </w:style>
  <w:style w:type="paragraph" w:customStyle="1" w:styleId="78">
    <w:name w:val="小标题"/>
    <w:basedOn w:val="1"/>
    <w:qFormat/>
    <w:uiPriority w:val="0"/>
    <w:pPr>
      <w:ind w:firstLine="0" w:firstLineChars="0"/>
    </w:pPr>
    <w:rPr>
      <w:rFonts w:hint="eastAsia"/>
      <w:b/>
    </w:rPr>
  </w:style>
  <w:style w:type="paragraph" w:customStyle="1" w:styleId="79">
    <w:name w:val="Table Text"/>
    <w:basedOn w:val="1"/>
    <w:semiHidden/>
    <w:qFormat/>
    <w:uiPriority w:val="0"/>
    <w:rPr>
      <w:rFonts w:ascii="宋体" w:hAnsi="宋体" w:eastAsia="宋体" w:cs="宋体"/>
      <w:sz w:val="20"/>
      <w:szCs w:val="20"/>
      <w:lang w:val="en-US" w:eastAsia="en-US" w:bidi="ar-SA"/>
    </w:rPr>
  </w:style>
  <w:style w:type="paragraph" w:customStyle="1" w:styleId="80">
    <w:name w:val="Table Paragraph"/>
    <w:basedOn w:val="1"/>
    <w:qFormat/>
    <w:uiPriority w:val="1"/>
    <w:pPr>
      <w:jc w:val="center"/>
    </w:pPr>
    <w:rPr>
      <w:rFonts w:ascii="宋体" w:hAnsi="宋体" w:eastAsia="宋体" w:cs="宋体"/>
      <w:lang w:val="zh-CN" w:eastAsia="zh-CN" w:bidi="zh-CN"/>
    </w:rPr>
  </w:style>
  <w:style w:type="paragraph" w:customStyle="1" w:styleId="81">
    <w:name w:val="段落"/>
    <w:basedOn w:val="1"/>
    <w:qFormat/>
    <w:uiPriority w:val="0"/>
    <w:pPr>
      <w:tabs>
        <w:tab w:val="left" w:pos="1021"/>
      </w:tabs>
      <w:spacing w:line="360" w:lineRule="auto"/>
    </w:pPr>
    <w:rPr>
      <w:rFonts w:eastAsia="宋体"/>
      <w:color w:val="FF0000"/>
      <w:kern w:val="24"/>
      <w:szCs w:val="24"/>
    </w:rPr>
  </w:style>
  <w:style w:type="paragraph" w:customStyle="1" w:styleId="82">
    <w:name w:val="兴滇正文2"/>
    <w:basedOn w:val="8"/>
    <w:next w:val="83"/>
    <w:qFormat/>
    <w:uiPriority w:val="0"/>
    <w:pPr>
      <w:jc w:val="left"/>
    </w:pPr>
    <w:rPr>
      <w:color w:val="000000"/>
      <w:kern w:val="0"/>
      <w:sz w:val="28"/>
      <w:szCs w:val="20"/>
    </w:rPr>
  </w:style>
  <w:style w:type="paragraph" w:customStyle="1" w:styleId="83">
    <w:name w:val="兴滇正文"/>
    <w:basedOn w:val="1"/>
    <w:qFormat/>
    <w:uiPriority w:val="0"/>
    <w:pPr>
      <w:ind w:firstLine="200" w:firstLineChars="200"/>
    </w:pPr>
    <w:rPr>
      <w:color w:val="000000"/>
      <w:sz w:val="28"/>
      <w:szCs w:val="20"/>
      <w:lang w:val="zh-CN"/>
    </w:rPr>
  </w:style>
  <w:style w:type="paragraph" w:customStyle="1" w:styleId="84">
    <w:name w:val="_Style 13"/>
    <w:qFormat/>
    <w:uiPriority w:val="0"/>
    <w:pPr>
      <w:spacing w:before="120" w:after="120" w:line="288" w:lineRule="auto"/>
      <w:ind w:left="0"/>
      <w:jc w:val="left"/>
    </w:pPr>
    <w:rPr>
      <w:rFonts w:ascii="Arial" w:hAnsi="Arial" w:eastAsia="等线" w:cs="Arial"/>
      <w:sz w:val="22"/>
      <w:szCs w:val="22"/>
    </w:rPr>
  </w:style>
  <w:style w:type="paragraph" w:styleId="85">
    <w:name w:val="List Paragraph"/>
    <w:basedOn w:val="1"/>
    <w:autoRedefine/>
    <w:qFormat/>
    <w:uiPriority w:val="34"/>
    <w:pPr>
      <w:ind w:firstLine="420" w:firstLineChars="200"/>
    </w:pPr>
  </w:style>
  <w:style w:type="paragraph" w:customStyle="1" w:styleId="86">
    <w:name w:val="正文1"/>
    <w:basedOn w:val="1"/>
    <w:next w:val="1"/>
    <w:qFormat/>
    <w:uiPriority w:val="0"/>
  </w:style>
  <w:style w:type="character" w:customStyle="1" w:styleId="87">
    <w:name w:val="font41"/>
    <w:basedOn w:val="29"/>
    <w:qFormat/>
    <w:uiPriority w:val="0"/>
    <w:rPr>
      <w:rFonts w:hint="default" w:ascii="Times New Roman" w:hAnsi="Times New Roman" w:cs="Times New Roman"/>
      <w:color w:val="000000"/>
      <w:sz w:val="21"/>
      <w:szCs w:val="21"/>
      <w:u w:val="none"/>
    </w:rPr>
  </w:style>
  <w:style w:type="character" w:customStyle="1" w:styleId="88">
    <w:name w:val="font51"/>
    <w:basedOn w:val="29"/>
    <w:qFormat/>
    <w:uiPriority w:val="0"/>
    <w:rPr>
      <w:rFonts w:hint="default" w:ascii="Times New Roman" w:hAnsi="Times New Roman" w:cs="Times New Roman"/>
      <w:color w:val="000000"/>
      <w:sz w:val="21"/>
      <w:szCs w:val="21"/>
      <w:u w:val="none"/>
      <w:vertAlign w:val="superscript"/>
    </w:rPr>
  </w:style>
  <w:style w:type="character" w:customStyle="1" w:styleId="89">
    <w:name w:val="font11"/>
    <w:basedOn w:val="29"/>
    <w:qFormat/>
    <w:uiPriority w:val="0"/>
    <w:rPr>
      <w:rFonts w:hint="eastAsia" w:ascii="宋体" w:hAnsi="宋体" w:eastAsia="宋体" w:cs="宋体"/>
      <w:color w:val="000000"/>
      <w:sz w:val="21"/>
      <w:szCs w:val="21"/>
      <w:u w:val="none"/>
    </w:rPr>
  </w:style>
  <w:style w:type="character" w:customStyle="1" w:styleId="90">
    <w:name w:val="font61"/>
    <w:basedOn w:val="29"/>
    <w:qFormat/>
    <w:uiPriority w:val="0"/>
    <w:rPr>
      <w:rFonts w:hint="default" w:ascii="Times New Roman" w:hAnsi="Times New Roman" w:cs="Times New Roman"/>
      <w:color w:val="000000"/>
      <w:sz w:val="21"/>
      <w:szCs w:val="21"/>
      <w:u w:val="none"/>
      <w:vertAlign w:val="subscript"/>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4" Type="http://schemas.openxmlformats.org/officeDocument/2006/relationships/fontTable" Target="fontTable.xml"/><Relationship Id="rId23" Type="http://schemas.openxmlformats.org/officeDocument/2006/relationships/customXml" Target="../customXml/item2.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10.png"/><Relationship Id="rId2" Type="http://schemas.openxmlformats.org/officeDocument/2006/relationships/settings" Target="settings.xml"/><Relationship Id="rId19" Type="http://schemas.openxmlformats.org/officeDocument/2006/relationships/image" Target="media/image9.png"/><Relationship Id="rId18" Type="http://schemas.openxmlformats.org/officeDocument/2006/relationships/image" Target="media/image8.png"/><Relationship Id="rId17" Type="http://schemas.openxmlformats.org/officeDocument/2006/relationships/image" Target="media/image7.png"/><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extobjs>
    <extobj name="ECB019B1-382A-4266-B25C-5B523AA43C14-1">
      <extobjdata type="ECB019B1-382A-4266-B25C-5B523AA43C14" data="ewoJIkZpbGVJZCIgOiAiNDgwODgxMjkyNDUwIiwKCSJHcm91cElkIiA6ICI2OTg1NTYxNjciLAoJIkltYWdlIiA6ICJpVkJPUncwS0dnb0FBQUFOU1VoRVVnQUFBODBBQUFIdENBWUFBQUFqaFp6cUFBQUFBWE5TUjBJQXJzNGM2UUFBSUFCSlJFRlVlSnpzM1hsOFZOWDV4L0h2bWNuS3Znb29Lc2dPSWNtRXFpemlpcUlzWWhFUlFYRzN0U0pVRksxYW9lS0tZdDJxMXJyOVJORXFGWVdpTEdweEIxa3lrWDBYV1NxeUJRR3p6NXpmSDg3Y3ppUXpJVUNTU2NMbi9YcjExYmx6Yis1OXB1WE0zT2VlYzU0akFR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"/>
    </extobj>
    <extobj name="ECB019B1-382A-4266-B25C-5B523AA43C14-2">
      <extobjdata type="ECB019B1-382A-4266-B25C-5B523AA43C14" data="ewoJIkZpbGVJZCIgOiAiNDgwODgxMjkyNDUwIiwKCSJHcm91cElkIiA6ICI2OTg1NTYxNjciLAoJIkltYWdlIiA6ICJpVkJPUncwS0dnb0FBQUFOU1VoRVVnQUFBdGtBQUFIdENBWUFBQURNVG1LNEFBQUFBWE5TUjBJQXJzNGM2UUFBSUFCSlJFRlVlSnpzM1hsOFZOWGR4L0h2bVptRUpJWTlyQVlOSUNLSUlRa0NGUlZRTER3cVZnclZxbzlRZDBSVWZFVHJRdEZTVUt3VldSUVZWSW9GUVd1TGlodUtBblZCMWlRRVpGZTJBQ0l4UWdDenozbitjT1oySmhzQkpwa0VQdS9YeTlkcjdqSnpmNE81ZDM3MzNITitSd0l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"/>
    </extobj>
    <extobj name="ECB019B1-382A-4266-B25C-5B523AA43C14-3">
      <extobjdata type="ECB019B1-382A-4266-B25C-5B523AA43C14" data="ewoJIkZpbGVJZCIgOiAiNDQyODU1NjcxNTAzIiwKCSJHcm91cElkIiA6ICI2OTg1NTYxNjciLAoJIkltYWdlIiA6ICJpVkJPUncwS0dnb0FBQUFOU1VoRVVnQUFCWUFBQUFDY0NBWUFBQURHZlE5cEFBQUFBWE5TUjBJQXJzNGM2UUFBSUFCSlJFRlVlSnp0M1h1Y1RmWCt4L0gzMnJQbmFwUkx4T0dVeUMzRmpDUnlTYm9ubEVTcEtNY2xPY21sb2lRVVA2bGNLcEdRQ0trT3FRaVZYRU9FTVRNTXhpa3h1WTNMTUdObXorekwrdjNSN0gxbW16MVh3NHc5citmajRaSFo2N3ZYL3U3cU05KzFQdXY3L1h3bE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RBWmU3L0FWNXJkYXovLzdyK0FBQUFBRWxGVGtTdVFtQ0MiLAoJIlRoZW1lIiA6ICIiLAoJIlR5cGUiIDogImZsb3ciLAoJIlVzZXJJZCIgOiAiNjE5NTI3NTkyIiwKCSJWZXJzaW9uIiA6ICIiCn0K"/>
    </extobj>
    <extobj name="ECB019B1-382A-4266-B25C-5B523AA43C14-4">
      <extobjdata type="ECB019B1-382A-4266-B25C-5B523AA43C14" data="ewoJIkZpbGVJZCIgOiAiNDQ5MTkzMjM3MjIzIiwKCSJHcm91cElkIiA6ICI2OTg1NTYxNjciLAoJIkltYWdlIiA6ICJpVkJPUncwS0dnb0FBQUFOU1VoRVVnQUFCRllBQUFMQkNBWUFBQUJ5Y3lXbkFBQUFBWE5TUjBJQXJzNGM2UUFBSUFCSlJFRlVlSnpzM1hkMFZHWGl4dkhuVGtralFNQWdTRE5JNkNZa0ZFRlVSRkFVRU5TSVhWREFEZ2cvWVZld2krNjZvT0tDdWl5eUtHQUJiS3hZc0NDaXJpTFNVb0RRbE5BRVlvQkFRdXJNM044ZlpxNFpNb0V3QkNhQjcrY2N6NW01YmQ2SnZIZnVmZTViSk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DQUU5VC9EN0REK2VTQi8zVjFBQUFBQUVsRlRrU3VRbUNDIiwKCSJUaGVtZSIgOiAiIiwKCSJUeXBlIiA6ICJmbG93IiwKCSJVc2VySWQiIDogIjYxOTUyNzU5MiIsCgkiVmVyc2lvbiIgOiAiODMiCn0K"/>
    </extobj>
    <extobj name="ECB019B1-382A-4266-B25C-5B523AA43C14-5">
      <extobjdata type="ECB019B1-382A-4266-B25C-5B523AA43C14" data="ewoJIkZpbGVJZCIgOiAiNDQ5MjE1MjQ1NjA3IiwKCSJHcm91cElkIiA6ICI2OTg1NTYxNjciLAoJIkltYWdlIiA6ICJpVkJPUncwS0dnb0FBQUFOU1VoRVVnQUFCa0FBQUFDY0NBWUFBQUFuSUdmSkFBQUFBWE5TUjBJQXJzNGM2UUFBSUFCSlJFRlVlSnpzM1hkNEZGWGJCdkI3ZGpjTkFna2g5QlpLZ0ZBQ0NVMTZVUUZCUUdrR1VMb2dndEtsU2hPUXJnaUNLRTJhSUtpSUFvb1FTcVFHUWdwRm1vUWVnVUFhYVZ2bSsrUGJQZTlPZGpjOXBOMi82L0o2c3pPemsxbmVuRDB6NXpubmVRQ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TURHL0FGd0hZZHFkN1ZCRUFBQUFBQkpSVTVFcmtKZ2dnPT0iLAoJIlRoZW1lIiA6ICIiLAoJIlR5cGUiIDogImZsb3ciLAoJIlVzZXJJZCIgOiAiNjE5NTI3NTkyIiwKCSJWZXJzaW9uIiA6ICIyMyIKfQo="/>
    </extobj>
    <extobj name="ECB019B1-382A-4266-B25C-5B523AA43C14-6">
      <extobjdata type="ECB019B1-382A-4266-B25C-5B523AA43C14" data="ewoJIkZpbGVJZCIgOiAiNDQyODUxODYwMDE1IiwKCSJHcm91cElkIiA6ICI2OTg1NTYxNjciLAoJIkltYWdlIiA6ICJpVkJPUncwS0dnb0FBQUFOU1VoRVVnQUFCWG9BQUFDY0NBWUFBQURCRXhNNUFBQUFBWE5TUjBJQXJzNGM2UUFBSUFCSlJFRlVlSnpzM1hkWUZPZmFCdkI3dHRCRUVFV0RIUlJVN0dBc1JEUW45aGcxbGh3VGpScGppeHBOTUZaU2pNYXVpY1lTYSt4R1l6U21XSWsxUnNVdWdvaGRWR0pGUUN5VUxmUDljWGJuMjluR2draVIrM2RkdVE2N083czc2OWwzWitaNW4vZDVBQ0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JQmMvUi9Gb2xGdHpENFBYQUFBQUFCSlJVNUVya0pnZ2c9PSIsCgkiVGhlbWUiIDogIiIsCgkiVHlwZSIgOiAiZmxvdyIsCgkiVXNlcklkIiA6ICI2MTk1Mjc1OTIiLAoJIlZlcnNpb24iIDogIjIzIgp9Cg=="/>
    </extobj>
  </extobjs>
</s:customData>
</file>

<file path=customXml/item2.xml><?xml version="1.0" encoding="utf-8"?>
<contractReview xmlns="http://schemas.wps.cn/vas-ai-hub/contract-review">
  <reviewItems>
    <reviewItem>
      <errorID>f7e522a7-6829-4ddd-bc1a-3e5b33e753f8</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745A21D7</paraID>
      <start>83</start>
      <end>86</end>
      <status>ignored</status>
      <modifiedWord/>
      <trackRevisions>false</trackRevisions>
    </reviewItem>
    <reviewItem>
      <errorID>30d2aa98-e2ca-431e-9b7d-67957424be77</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745A21D7</paraID>
      <start>109</start>
      <end>112</end>
      <status>ignored</status>
      <modifiedWord/>
      <trackRevisions>false</trackRevisions>
    </reviewItem>
    <reviewItem>
      <errorID>b04d4c82-f6ef-4684-94a6-3cb91b69c4fe</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745A21D7</paraID>
      <start>175</start>
      <end>178</end>
      <status>ignored</status>
      <modifiedWord/>
      <trackRevisions>false</trackRevisions>
    </reviewItem>
    <reviewItem>
      <errorID>fecc910e-9222-4baf-9197-cc32a75c4f80</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745A21D7</paraID>
      <start>196</start>
      <end>199</end>
      <status>ignored</status>
      <modifiedWord/>
      <trackRevisions>false</trackRevisions>
    </reviewItem>
    <reviewItem>
      <errorID>04e0144b-528d-4cdd-8705-2c2b9f128d19</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745A21D7</paraID>
      <start>247</start>
      <end>250</end>
      <status>ignored</status>
      <modifiedWord/>
      <trackRevisions>false</trackRevisions>
    </reviewItem>
    <reviewItem>
      <errorID>9b49db7c-09ce-453c-8a29-626ce615c3b5</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5D4899D8</paraID>
      <start>52</start>
      <end>55</end>
      <status>ignored</status>
      <modifiedWord/>
      <trackRevisions>false</trackRevisions>
    </reviewItem>
    <reviewItem>
      <errorID>4137da59-4186-4b66-84ba-931f1f0e525e</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5D4899D8</paraID>
      <start>233</start>
      <end>236</end>
      <status>ignored</status>
      <modifiedWord/>
      <trackRevisions>false</trackRevisions>
    </reviewItem>
    <reviewItem>
      <errorID>85bc1eba-e274-4e4a-b5a2-22af25f2dfa2</errorID>
      <errorWord>（</errorWord>
      <group>L1_Punc</group>
      <groupName>标点问题</groupName>
      <ability>L2_Punc_CN</ability>
      <abilityName>标点符号问题</abilityName>
      <candidateList/>
      <explain>同一形式括号套用。</explain>
      <paraID>6FA428CE</paraID>
      <start>116</start>
      <end>117</end>
      <status>ignored</status>
      <modifiedWord/>
      <trackRevisions>false</trackRevisions>
    </reviewItem>
    <reviewItem>
      <errorID>e5a978be-1e68-44e2-8e2a-25919c577fa9</errorID>
      <errorWord>）</errorWord>
      <group>L1_Punc</group>
      <groupName>标点问题</groupName>
      <ability>L2_Punc_CN</ability>
      <abilityName>标点符号问题</abilityName>
      <candidateList/>
      <explain>同一形式括号套用。</explain>
      <paraID>6FA428CE</paraID>
      <start>126</start>
      <end>127</end>
      <status>ignored</status>
      <modifiedWord/>
      <trackRevisions>false</trackRevisions>
    </reviewItem>
    <reviewItem>
      <errorID>39721218-42c9-4ed5-9a1d-965bb1ad3568</errorID>
      <errorWord>》</errorWord>
      <group>L1_Word</group>
      <groupName>字词问题</groupName>
      <ability>L2_Typo</ability>
      <abilityName>字词错误</abilityName>
      <candidateList>
        <item>》和</item>
      </candidateList>
      <explain/>
      <paraID>43C33767</paraID>
      <start>17</start>
      <end>18</end>
      <status>ignored</status>
      <modifiedWord/>
      <trackRevisions>false</trackRevisions>
    </reviewItem>
    <reviewItem>
      <errorID>343a4a75-3f6f-40a4-b807-2c9d5189e983</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43C33767</paraID>
      <start>123</start>
      <end>124</end>
      <status>ignored</status>
      <modifiedWord/>
      <trackRevisions>false</trackRevisions>
    </reviewItem>
    <reviewItem>
      <errorID>ff679939-2e3b-4d90-a374-8c2b9632b060</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3B6BD048</paraID>
      <start>0</start>
      <end>3</end>
      <status>ignored</status>
      <modifiedWord/>
      <trackRevisions>false</trackRevisions>
    </reviewItem>
    <reviewItem>
      <errorID>f21e4afe-ac30-437f-916e-9d22afd36d56</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4B33DCEE</paraID>
      <start>3</start>
      <end>6</end>
      <status>ignored</status>
      <modifiedWord/>
      <trackRevisions>false</trackRevisions>
    </reviewItem>
    <reviewItem>
      <errorID>0bc6ca58-6f08-45e9-a51c-2e522e2177dd</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70590475</paraID>
      <start>0</start>
      <end>3</end>
      <status>ignored</status>
      <modifiedWord/>
      <trackRevisions>false</trackRevisions>
    </reviewItem>
    <reviewItem>
      <errorID>0a3709a6-60a7-44b7-a68c-d9496eb3fd91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17637617</paraID>
      <start>0</start>
      <end>2</end>
      <status>ignored</status>
      <modifiedWord/>
      <trackRevisions>false</trackRevisions>
    </reviewItem>
    <reviewItem>
      <errorID>50806e74-ea09-42fd-ac4d-81bcb2b71670</errorID>
      <errorWord>、</errorWord>
      <group>L1_Word</group>
      <groupName>字词问题</groupName>
      <ability>L2_Typo</ability>
      <abilityName>字词错误</abilityName>
      <candidateList>
        <item>、中</item>
      </candidateList>
      <explain/>
      <paraID>23BD875E</paraID>
      <start>9</start>
      <end>10</end>
      <status>ignored</status>
      <modifiedWord/>
      <trackRevisions>false</trackRevisions>
    </reviewItem>
    <reviewItem>
      <errorID>b9893b51-9d9a-4388-985c-3ff4b663fdb3</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653F0C8F</paraID>
      <start>18</start>
      <end>21</end>
      <status>ignored</status>
      <modifiedWord/>
      <trackRevisions>false</trackRevisions>
    </reviewItem>
    <reviewItem>
      <errorID>8e7810ce-93a1-43e1-975f-1e47c90116a6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797DDBEE</paraID>
      <start>0</start>
      <end>2</end>
      <status>ignored</status>
      <modifiedWord/>
      <trackRevisions>false</trackRevisions>
    </reviewItem>
    <reviewItem>
      <errorID>354da5c2-c51b-4770-bd65-67eb7992e71b</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11F8B800</paraID>
      <start>33</start>
      <end>36</end>
      <status>ignored</status>
      <modifiedWord/>
      <trackRevisions>false</trackRevisions>
    </reviewItem>
    <reviewItem>
      <errorID>2dd55f56-5b85-4b69-96df-51f8cd37d47d</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11F8B800</paraID>
      <start>129</start>
      <end>132</end>
      <status>ignored</status>
      <modifiedWord/>
      <trackRevisions>false</trackRevisions>
    </reviewItem>
    <reviewItem>
      <errorID>dde4a34f-81ac-496b-9a01-4601b7c47f9b</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7CAC967E</paraID>
      <start>5</start>
      <end>8</end>
      <status>ignored</status>
      <modifiedWord/>
      <trackRevisions>false</trackRevisions>
    </reviewItem>
    <reviewItem>
      <errorID>17aac4dc-cc12-4161-b6f6-3d75492ab643</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7CAC967E</paraID>
      <start>22</start>
      <end>25</end>
      <status>ignored</status>
      <modifiedWord/>
      <trackRevisions>false</trackRevisions>
    </reviewItem>
    <reviewItem>
      <errorID>3ab6086e-52a1-432c-a386-08e424c5bc00</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7CAC967E</paraID>
      <start>80</start>
      <end>83</end>
      <status>ignored</status>
      <modifiedWord/>
      <trackRevisions>false</trackRevisions>
    </reviewItem>
    <reviewItem>
      <errorID>30a86cdb-0a8f-430f-b6fa-c5b1a11f9407</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7CAC967E</paraID>
      <start>95</start>
      <end>98</end>
      <status>ignored</status>
      <modifiedWord/>
      <trackRevisions>false</trackRevisions>
    </reviewItem>
    <reviewItem>
      <errorID>7db2ed28-2997-4088-91d3-bfaaf3cdb979</errorID>
      <errorWord>；</errorWord>
      <group>L1_Word</group>
      <groupName>字词问题</groupName>
      <ability>L2_Typo</ability>
      <abilityName>字词错误</abilityName>
      <candidateList>
        <item>；新</item>
      </candidateList>
      <explain/>
      <paraID>444655D6</paraID>
      <start>56</start>
      <end>58</end>
      <status>modified</status>
      <modifiedWord>；新</modifiedWord>
      <trackRevisions>false</trackRevisions>
    </reviewItem>
    <reviewItem>
      <errorID>9aa60280-0d3c-4e04-bc4c-4105473f302e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6CF6F5DF</paraID>
      <start>25</start>
      <end>26</end>
      <status>ignored</status>
      <modifiedWord/>
      <trackRevisions>false</trackRevisions>
    </reviewItem>
    <reviewItem>
      <errorID>9c21ca26-b9ec-4f82-88a2-d580339d875b</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6CF6F5DF</paraID>
      <start>34</start>
      <end>37</end>
      <status>ignored</status>
      <modifiedWord/>
      <trackRevisions>false</trackRevisions>
    </reviewItem>
    <reviewItem>
      <errorID>13212e8e-4424-418b-a809-6ca61cc5ec5d</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660F216B</paraID>
      <start>243</start>
      <end>246</end>
      <status>ignored</status>
      <modifiedWord/>
      <trackRevisions>false</trackRevisions>
    </reviewItem>
    <reviewItem>
      <errorID>8af9bca7-153f-4f96-aac6-f6d84e6ada74</errorID>
      <errorWord>改善</errorWord>
      <group>L1_Grammar</group>
      <groupName>语法问题</groupName>
      <ability>L2_Grammar</ability>
      <abilityName>语法错误</abilityName>
      <candidateList>
        <item>缓解</item>
      </candidateList>
      <explain>“改善～压力”搭配不当，建议修改为“缓解～压力”。</explain>
      <paraID>30E037E2</paraID>
      <start>100</start>
      <end>102</end>
      <status>ignored</status>
      <modifiedWord/>
      <trackRevisions>false</trackRevisions>
    </reviewItem>
    <reviewItem>
      <errorID>450cdbb8-5a35-4ce1-aa50-89df7d188f0a</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 9FE10EE</paraID>
      <start>5</start>
      <end>8</end>
      <status>ignored</status>
      <modifiedWord/>
      <trackRevisions>false</trackRevisions>
    </reviewItem>
    <reviewItem>
      <errorID>e372615c-de5d-4e0e-99f0-bb05684908b9</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 9FE10EE</paraID>
      <start>34</start>
      <end>37</end>
      <status>ignored</status>
      <modifiedWord/>
      <trackRevisions>false</trackRevisions>
    </reviewItem>
    <reviewItem>
      <errorID>92232509-ee48-4eef-aec1-35cb04847819</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 9FE10EE</paraID>
      <start>52</start>
      <end>55</end>
      <status>ignored</status>
      <modifiedWord/>
      <trackRevisions>false</trackRevisions>
    </reviewItem>
    <reviewItem>
      <errorID>cdd5737e-79ae-473d-94ae-8a27d4b22778</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 9FE10EE</paraID>
      <start>62</start>
      <end>65</end>
      <status>ignored</status>
      <modifiedWord/>
      <trackRevisions>false</trackRevisions>
    </reviewItem>
    <reviewItem>
      <errorID>779e159e-f00e-43b3-87e6-004289e8023a</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 B5A1CBC</paraID>
      <start>11</start>
      <end>14</end>
      <status>ignored</status>
      <modifiedWord/>
      <trackRevisions>false</trackRevisions>
    </reviewItem>
    <reviewItem>
      <errorID>40ee451d-1b1f-4303-a044-7709a025c47d</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5DF23066</paraID>
      <start>0</start>
      <end>3</end>
      <status>ignored</status>
      <modifiedWord/>
      <trackRevisions>false</trackRevisions>
    </reviewItem>
    <reviewItem>
      <errorID>c72ee510-07c7-4fd2-8b61-f2e9c7acceed</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1F43A0D8</paraID>
      <start>5</start>
      <end>8</end>
      <status>ignored</status>
      <modifiedWord/>
      <trackRevisions>false</trackRevisions>
    </reviewItem>
    <reviewItem>
      <errorID>f881b768-4139-45d3-b0e2-eb00dd9542b9</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18DA18D1</paraID>
      <start>0</start>
      <end>3</end>
      <status>ignored</status>
      <modifiedWord/>
      <trackRevisions>false</trackRevisions>
    </reviewItem>
    <reviewItem>
      <errorID>76bbd98f-acc0-48db-8220-c44c1af5ba1c</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666CCB90</paraID>
      <start>0</start>
      <end>3</end>
      <status>ignored</status>
      <modifiedWord/>
      <trackRevisions>false</trackRevisions>
    </reviewItem>
    <reviewItem>
      <errorID>4fd81d9b-be4d-41b3-894a-060274c30969</errorID>
      <errorWord>》</errorWord>
      <group>L1_Word</group>
      <groupName>字词问题</groupName>
      <ability>L2_Typo</ability>
      <abilityName>字词错误</abilityName>
      <candidateList>
        <item>》和</item>
      </candidateList>
      <explain/>
      <paraID>44280AA3</paraID>
      <start>50</start>
      <end>51</end>
      <status>ignored</status>
      <modifiedWord/>
      <trackRevisions>false</trackRevisions>
    </reviewItem>
    <reviewItem>
      <errorID>f5d9f0c4-7517-40ab-90f4-5aa8f0bd282d</errorID>
      <errorWord>国家林业局</errorWord>
      <group>L1_Knowledge</group>
      <groupName>知识性问题</groupName>
      <ability>L2_Organization</ability>
      <abilityName>机构检查</abilityName>
      <candidateList>
        <item>国家林业和草原局</item>
      </candidateList>
      <explain>2018年3月，中共中央印发了《深化党和国家机构改革方案》，将国家林业局的职责，整合到新组建的国家林业和草原局。</explain>
      <paraID>44280AA3</paraID>
      <start>75</start>
      <end>80</end>
      <status>ignored</status>
      <modifiedWord/>
      <trackRevisions>false</trackRevisions>
    </reviewItem>
    <reviewItem>
      <errorID>d74eef54-6145-4ae0-96a9-45a78204637f</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2EDF293A</paraID>
      <start>4</start>
      <end>7</end>
      <status>ignored</status>
      <modifiedWord/>
      <trackRevisions>false</trackRevisions>
    </reviewItem>
    <reviewItem>
      <errorID>70f8d1d5-d4dc-4213-8d8c-9e2805e8f4f4</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2EDF293A</paraID>
      <start>21</start>
      <end>24</end>
      <status>ignored</status>
      <modifiedWord/>
      <trackRevisions>false</trackRevisions>
    </reviewItem>
    <reviewItem>
      <errorID>954be933-e38c-4f07-891e-7b9ba0b1c6b1</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2EDF293A</paraID>
      <start>79</start>
      <end>82</end>
      <status>ignored</status>
      <modifiedWord/>
      <trackRevisions>false</trackRevisions>
    </reviewItem>
    <reviewItem>
      <errorID>2027ce8a-e098-4c53-9136-ac44c376d154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4FCA212B</paraID>
      <start>0</start>
      <end>2</end>
      <status>ignored</status>
      <modifiedWord/>
      <trackRevisions>false</trackRevisions>
    </reviewItem>
    <reviewItem>
      <errorID>1aacccdc-446c-4d45-ae92-69143694eb41</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44C73B92</paraID>
      <start>5</start>
      <end>8</end>
      <status>ignored</status>
      <modifiedWord/>
      <trackRevisions>false</trackRevisions>
    </reviewItem>
    <reviewItem>
      <errorID>d5bc8ecc-bb16-48b7-925d-04f2c9c1133d</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44C73B92</paraID>
      <start>22</start>
      <end>25</end>
      <status>ignored</status>
      <modifiedWord/>
      <trackRevisions>false</trackRevisions>
    </reviewItem>
    <reviewItem>
      <errorID>05eb4077-752b-4e2e-aba4-2b144ebd1940</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  8716E8</paraID>
      <start>4</start>
      <end>7</end>
      <status>ignored</status>
      <modifiedWord/>
      <trackRevisions>false</trackRevisions>
    </reviewItem>
    <reviewItem>
      <errorID>abc3c9ee-8060-4e67-a3f4-b2229cbf73c4</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  8716E8</paraID>
      <start>19</start>
      <end>22</end>
      <status>ignored</status>
      <modifiedWord/>
      <trackRevisions>false</trackRevisions>
    </reviewItem>
    <reviewItem>
      <errorID>26a48ddd-3b40-451c-be2e-481dd25bc68e</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2395808F</paraID>
      <start>4</start>
      <end>7</end>
      <status>ignored</status>
      <modifiedWord/>
      <trackRevisions>false</trackRevisions>
    </reviewItem>
    <reviewItem>
      <errorID>f169bc83-cd01-4647-a8bf-bdbc5da8cd49</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2395808F</paraID>
      <start>19</start>
      <end>22</end>
      <status>ignored</status>
      <modifiedWord/>
      <trackRevisions>false</trackRevisions>
    </reviewItem>
    <reviewItem>
      <errorID>3f53d545-cd33-478c-a423-b75ccabcfc36</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7F8D7550</paraID>
      <start>4</start>
      <end>7</end>
      <status>ignored</status>
      <modifiedWord/>
      <trackRevisions>false</trackRevisions>
    </reviewItem>
    <reviewItem>
      <errorID>8e410d0b-8d6f-456b-9ba4-2d2a9d655619</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5A46151D</paraID>
      <start>4</start>
      <end>7</end>
      <status>ignored</status>
      <modifiedWord/>
      <trackRevisions>false</trackRevisions>
    </reviewItem>
    <reviewItem>
      <errorID>d62d59a1-cb5c-404e-8f3e-8e6761ca9c8a</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5A46151D</paraID>
      <start>21</start>
      <end>24</end>
      <status>ignored</status>
      <modifiedWord/>
      <trackRevisions>false</trackRevisions>
    </reviewItem>
    <reviewItem>
      <errorID>fae0acb4-a9ea-455f-b144-77abb6d56b62</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177E6232</paraID>
      <start>4</start>
      <end>7</end>
      <status>ignored</status>
      <modifiedWord/>
      <trackRevisions>false</trackRevisions>
    </reviewItem>
    <reviewItem>
      <errorID>8db656c4-8f68-477e-9473-c3b4138671eb</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6C7DF9CD</paraID>
      <start>5</start>
      <end>8</end>
      <status>ignored</status>
      <modifiedWord/>
      <trackRevisions>false</trackRevisions>
    </reviewItem>
    <reviewItem>
      <errorID>76a800c7-9325-4a36-b908-b73a81238758</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6C7DF9CD</paraID>
      <start>20</start>
      <end>23</end>
      <status>ignored</status>
      <modifiedWord/>
      <trackRevisions>false</trackRevisions>
    </reviewItem>
    <reviewItem>
      <errorID>159ccf83-087d-45d3-ba67-db71eb9353c6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1952CB03</paraID>
      <start>0</start>
      <end>2</end>
      <status>ignored</status>
      <modifiedWord/>
      <trackRevisions>false</trackRevisions>
    </reviewItem>
    <reviewItem>
      <errorID>4cc2686a-e58b-448b-a4bf-2ee5925665c1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619C68E8</paraID>
      <start>0</start>
      <end>2</end>
      <status>ignored</status>
      <modifiedWord/>
      <trackRevisions>false</trackRevisions>
    </reviewItem>
    <reviewItem>
      <errorID>7d5e7e18-bfd3-4ea7-9a0d-5462e754ee0c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1115C60B</paraID>
      <start>0</start>
      <end>2</end>
      <status>ignored</status>
      <modifiedWord/>
      <trackRevisions>false</trackRevisions>
    </reviewItem>
    <reviewItem>
      <errorID>775b4ac7-ebf3-4e23-8fb3-fc0bf7265289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4DB9A59B</paraID>
      <start>0</start>
      <end>2</end>
      <status>ignored</status>
      <modifiedWord/>
      <trackRevisions>false</trackRevisions>
    </reviewItem>
    <reviewItem>
      <errorID>723c37a9-3368-47ec-a5a4-304de3d1c528</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1E107CC7</paraID>
      <start>106</start>
      <end>109</end>
      <status>ignored</status>
      <modifiedWord/>
      <trackRevisions>false</trackRevisions>
    </reviewItem>
    <reviewItem>
      <errorID>1da9c5b1-c0a2-4679-9db0-4c39a209b6fc</errorID>
      <errorWord>湿地保护和恢复</errorWord>
      <group>L1_Political</group>
      <groupName>政治性问题</groupName>
      <ability>L2_Keyword</ability>
      <abilityName>固定表述</abilityName>
      <candidateList>
        <item>湿地保护修复</item>
      </candidateList>
      <explain>词汇“湿地保护修复”在特定场景下为固定表述形式，请确认此处的“湿地保护和恢复”是否存在不当。</explain>
      <paraID>3973C7D3</paraID>
      <start>333</start>
      <end>340</end>
      <status>ignored</status>
      <modifiedWord/>
      <trackRevisions>false</trackRevisions>
    </reviewItem>
    <reviewItem>
      <errorID>071ebc36-cd54-479c-9052-6275e7f4296d</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3A0E30F6</paraID>
      <start>76</start>
      <end>79</end>
      <status>ignored</status>
      <modifiedWord/>
      <trackRevisions>false</trackRevisions>
    </reviewItem>
    <reviewItem>
      <errorID>2b4bed46-e0fd-4590-b67d-c1f4bbc68620</errorID>
      <errorWord>森林草原防火</errorWord>
      <group>L1_Political</group>
      <groupName>政治性问题</groupName>
      <ability>L2_Keyword</ability>
      <abilityName>固定表述</abilityName>
      <candidateList>
        <item>森林草原防灭火</item>
      </candidateList>
      <explain>词汇“森林草原防灭火”在特定场景下为固定表述形式，请确认此处的“森林草原防火”是否存在不当。</explain>
      <paraID>37AFBD75</paraID>
      <start>4</start>
      <end>10</end>
      <status>ignored</status>
      <modifiedWord/>
      <trackRevisions>false</trackRevisions>
    </reviewItem>
    <reviewItem>
      <errorID>db1a0d9a-3e3c-4265-b419-711de1551a36</errorID>
      <errorWord>森林草原防火</errorWord>
      <group>L1_Political</group>
      <groupName>政治性问题</groupName>
      <ability>L2_Keyword</ability>
      <abilityName>固定表述</abilityName>
      <candidateList>
        <item>森林草原防灭火</item>
      </candidateList>
      <explain>词汇“森林草原防灭火”在特定场景下为固定表述形式，请确认此处的“森林草原防火”是否存在不当。</explain>
      <paraID>509785E4</paraID>
      <start>49</start>
      <end>55</end>
      <status>ignored</status>
      <modifiedWord/>
      <trackRevisions>false</trackRevisions>
    </reviewItem>
    <reviewItem>
      <errorID>aa2265f8-5204-445f-9f75-1e2fe48a21b7</errorID>
      <errorWord>象扩散</errorWord>
      <group>L1_Word</group>
      <groupName>字词问题</groupName>
      <ability>L2_Typo</ability>
      <abilityName>字词错误</abilityName>
      <candidateList>
        <item>像扩散</item>
      </candidateList>
      <explain/>
      <paraID>509785E4</paraID>
      <start>201</start>
      <end>204</end>
      <status>ignored</status>
      <modifiedWord/>
      <trackRevisions>false</trackRevisions>
    </reviewItem>
    <reviewItem>
      <errorID>6f445cf7-91ba-4d46-a7f5-0561d6d7f391</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19C51947</paraID>
      <start>4</start>
      <end>7</end>
      <status>ignored</status>
      <modifiedWord/>
      <trackRevisions>false</trackRevisions>
    </reviewItem>
    <reviewItem>
      <errorID>7ef43238-a8ed-4024-98f8-1292d97218e1</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45CE71AE</paraID>
      <start>0</start>
      <end>2</end>
      <status>ignored</status>
      <modifiedWord/>
      <trackRevisions>false</trackRevisions>
    </reviewItem>
    <reviewItem>
      <errorID>4452467f-d5c2-44b0-b89a-2fa951c24769</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7F0D8A89</paraID>
      <start>5</start>
      <end>8</end>
      <status>ignored</status>
      <modifiedWord/>
      <trackRevisions>false</trackRevisions>
    </reviewItem>
    <reviewItem>
      <errorID>e8aec3dd-233b-4e32-8626-be3ac4d8455a</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5E5AB16F</paraID>
      <start>4</start>
      <end>7</end>
      <status>ignored</status>
      <modifiedWord/>
      <trackRevisions>false</trackRevisions>
    </reviewItem>
    <reviewItem>
      <errorID>056a7014-afc6-4666-a7e9-ccd73829100b</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1E0B4858</paraID>
      <start>4</start>
      <end>7</end>
      <status>ignored</status>
      <modifiedWord/>
      <trackRevisions>false</trackRevisions>
    </reviewItem>
    <reviewItem>
      <errorID>931ec5f7-ce3c-4c7e-a7a0-d73478f947ea</errorID>
      <errorWord>管理办法》中</errorWord>
      <group>L1_Word</group>
      <groupName>字词问题</groupName>
      <ability>L2_Typo</ability>
      <abilityName>字词错误</abilityName>
      <candidateList>
        <item>管理办法》</item>
      </candidateList>
      <explain/>
      <paraID>6A6A9815</paraID>
      <start>978</start>
      <end>984</end>
      <status>ignored</status>
      <modifiedWord/>
      <trackRevisions>false</trackRevisions>
    </reviewItem>
    <reviewItem>
      <errorID>831ef50c-8270-46d2-998a-7c55172525d9</errorID>
      <errorWord>，</errorWord>
      <group>L1_Word</group>
      <groupName>字词问题</groupName>
      <ability>L2_Typo</ability>
      <abilityName>字词错误</abilityName>
      <candidateList>
        <item>，在</item>
      </candidateList>
      <explain/>
      <paraID>6A6A9815</paraID>
      <start>999</start>
      <end>1001</end>
      <status>modified</status>
      <modifiedWord>，在</modifiedWord>
      <trackRevisions>false</trackRevisions>
    </reviewItem>
    <reviewItem>
      <errorID>3b351e27-b4b9-4855-ba1d-9b5274e031a9</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3D4E4BF9</paraID>
      <start>4</start>
      <end>7</end>
      <status>ignored</status>
      <modifiedWord/>
      <trackRevisions>false</trackRevisions>
    </reviewItem>
    <reviewItem>
      <errorID>3205753c-4714-4874-90fb-20a1da6bc37d</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7926D410</paraID>
      <start>4</start>
      <end>7</end>
      <status>ignored</status>
      <modifiedWord/>
      <trackRevisions>false</trackRevisions>
    </reviewItem>
    <reviewItem>
      <errorID>facfbd56-2cb0-4d0f-b06b-b9c8350e257e</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52A7261</paraID>
      <start>0</start>
      <end>2</end>
      <status>ignored</status>
      <modifiedWord/>
      <trackRevisions>false</trackRevisions>
    </reviewItem>
    <reviewItem>
      <errorID>bed60823-272f-4dee-939f-5ed52302ce68</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69DBB1E5</paraID>
      <start>4</start>
      <end>7</end>
      <status>ignored</status>
      <modifiedWord/>
      <trackRevisions>false</trackRevisions>
    </reviewItem>
    <reviewItem>
      <errorID>855d6736-a04a-4107-ac39-c0fffdf5ead5</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19531AAB</paraID>
      <start>4</start>
      <end>7</end>
      <status>ignored</status>
      <modifiedWord/>
      <trackRevisions>false</trackRevisions>
    </reviewItem>
    <reviewItem>
      <errorID>8044f2eb-56d1-43e1-aa82-b40e013a2615</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6BE1AB2B</paraID>
      <start>4</start>
      <end>7</end>
      <status>ignored</status>
      <modifiedWord/>
      <trackRevisions>false</trackRevisions>
    </reviewItem>
    <reviewItem>
      <errorID>ca5856d1-1411-4e09-a660-f5ffc8b95a66</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3D96B522</paraID>
      <start>4</start>
      <end>7</end>
      <status>ignored</status>
      <modifiedWord/>
      <trackRevisions>false</trackRevisions>
    </reviewItem>
    <reviewItem>
      <errorID>f0afb237-07fd-47ae-b540-b0c0b4bd48f1</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4036674F</paraID>
      <start>4</start>
      <end>7</end>
      <status>ignored</status>
      <modifiedWord/>
      <trackRevisions>false</trackRevisions>
    </reviewItem>
    <reviewItem>
      <errorID>49cd9610-898e-40b2-9a32-c27c9d464f69</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29A8930F</paraID>
      <start>0</start>
      <end>3</end>
      <status>ignored</status>
      <modifiedWord/>
      <trackRevisions>false</trackRevisions>
    </reviewItem>
    <reviewItem>
      <errorID>4faaf014-d647-4105-8e1f-6c3e8dfe7c41</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2FFF182B</paraID>
      <start>7</start>
      <end>10</end>
      <status>ignored</status>
      <modifiedWord/>
      <trackRevisions>false</trackRevisions>
    </reviewItem>
    <reviewItem>
      <errorID>052b8c6e-b779-4942-8ff0-42094e2022f6</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7CFE0004</paraID>
      <start>7</start>
      <end>10</end>
      <status>ignored</status>
      <modifiedWord/>
      <trackRevisions>false</trackRevisions>
    </reviewItem>
    <reviewItem>
      <errorID>33a4039f-ea01-428a-ac0f-d390668d0425</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7CFE0004</paraID>
      <start>24</start>
      <end>27</end>
      <status>ignored</status>
      <modifiedWord/>
      <trackRevisions>false</trackRevisions>
    </reviewItem>
    <reviewItem>
      <errorID>c7e9c1de-f02f-4415-bca5-deacffb86e62</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7CFE0004</paraID>
      <start>76</start>
      <end>79</end>
      <status>ignored</status>
      <modifiedWord/>
      <trackRevisions>false</trackRevisions>
    </reviewItem>
    <reviewItem>
      <errorID>80b2483e-c088-4667-a90f-1eb31813a5a5</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31517594</paraID>
      <start>7</start>
      <end>10</end>
      <status>ignored</status>
      <modifiedWord/>
      <trackRevisions>false</trackRevisions>
    </reviewItem>
    <reviewItem>
      <errorID>1fda4a45-041d-44b3-9e39-8727858a4113</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31517594</paraID>
      <start>24</start>
      <end>27</end>
      <status>ignored</status>
      <modifiedWord/>
      <trackRevisions>false</trackRevisions>
    </reviewItem>
    <reviewItem>
      <errorID>a69ebad0-057c-4fe7-a708-fae91160ad33</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363B0BB0</paraID>
      <start>0</start>
      <end>3</end>
      <status>ignored</status>
      <modifiedWord/>
      <trackRevisions>false</trackRevisions>
    </reviewItem>
    <reviewItem>
      <errorID>eb8c079c-6cb3-48b4-b266-13a081b1664d</errorID>
      <errorWord>管理办法》中</errorWord>
      <group>L1_Word</group>
      <groupName>字词问题</groupName>
      <ability>L2_Typo</ability>
      <abilityName>字词错误</abilityName>
      <candidateList>
        <item>管理办法》</item>
      </candidateList>
      <explain/>
      <paraID>54A5E1ED</paraID>
      <start>620</start>
      <end>626</end>
      <status>ignored</status>
      <modifiedWord/>
      <trackRevisions>false</trackRevisions>
    </reviewItem>
    <reviewItem>
      <errorID>346892c4-6376-49a9-8a3d-72410777722b</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6505BFCF</paraID>
      <start>0</start>
      <end>3</end>
      <status>ignored</status>
      <modifiedWord/>
      <trackRevisions>false</trackRevisions>
    </reviewItem>
    <reviewItem>
      <errorID>718f8a65-3801-4371-ab88-ef9d6a586f35</errorID>
      <errorWord>配置</errorWord>
      <group>L1_Word</group>
      <groupName>字词问题</groupName>
      <ability>L2_Typo</ability>
      <abilityName>字词错误</abilityName>
      <candidateList>
        <item>配制</item>
      </candidateList>
      <explain/>
      <paraID> 4A807DC</paraID>
      <start>637</start>
      <end>639</end>
      <status>modified</status>
      <modifiedWord>配制</modifiedWord>
      <trackRevisions>false</trackRevisions>
    </reviewItem>
    <reviewItem>
      <errorID>9525999f-1d4d-4321-b5d5-da316184f2ab</errorID>
      <errorWord>管理办法》中</errorWord>
      <group>L1_Word</group>
      <groupName>字词问题</groupName>
      <ability>L2_Typo</ability>
      <abilityName>字词错误</abilityName>
      <candidateList>
        <item>管理办法》</item>
      </candidateList>
      <explain/>
      <paraID>1AE4B1C2</paraID>
      <start>33</start>
      <end>39</end>
      <status>ignored</status>
      <modifiedWord/>
      <trackRevisions>false</trackRevisions>
    </reviewItem>
    <reviewItem>
      <errorID>42de5bfd-d394-4271-969e-d0c9c6caf7f9</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1721452D</paraID>
      <start>0</start>
      <end>3</end>
      <status>ignored</status>
      <modifiedWord/>
      <trackRevisions>false</trackRevisions>
    </reviewItem>
    <reviewItem>
      <errorID>3eb717cb-798d-4ba2-9604-dd4bc187dc0c</errorID>
      <errorWord>管理办法》中</errorWord>
      <group>L1_Word</group>
      <groupName>字词问题</groupName>
      <ability>L2_Typo</ability>
      <abilityName>字词错误</abilityName>
      <candidateList>
        <item>管理办法》</item>
      </candidateList>
      <explain/>
      <paraID>6DE79A79</paraID>
      <start>613</start>
      <end>619</end>
      <status>ignored</status>
      <modifiedWord/>
      <trackRevisions>false</trackRevisions>
    </reviewItem>
    <reviewItem>
      <errorID>540257da-4f6a-4c53-bd4a-e61caebbdd8f</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5DB9A920</paraID>
      <start>0</start>
      <end>3</end>
      <status>ignored</status>
      <modifiedWord/>
      <trackRevisions>false</trackRevisions>
    </reviewItem>
    <reviewItem>
      <errorID>f1c0f2e4-a437-47c6-b8dd-cb86f7e9ad5b</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1272D8D8</paraID>
      <start>0</start>
      <end>3</end>
      <status>ignored</status>
      <modifiedWord/>
      <trackRevisions>false</trackRevisions>
    </reviewItem>
    <reviewItem>
      <errorID>192954af-6427-4462-bc2a-741d444e0d26</errorID>
      <errorWord>法律、法规</errorWord>
      <group>L1_Word</group>
      <groupName>字词问题</groupName>
      <ability>L2_Typo</ability>
      <abilityName>字词错误</abilityName>
      <candidateList>
        <item>法律法规</item>
      </candidateList>
      <explain/>
      <paraID>28D8E3A5</paraID>
      <start>3</start>
      <end>8</end>
      <status>ignored</status>
      <modifiedWord/>
      <trackRevisions>false</trackRevisions>
    </reviewItem>
    <reviewItem>
      <errorID>8de0664a-294c-432e-8fd0-b730b9dadbac</errorID>
      <errorWord>法律、法规</errorWord>
      <group>L1_Word</group>
      <groupName>字词问题</groupName>
      <ability>L2_Typo</ability>
      <abilityName>字词错误</abilityName>
      <candidateList>
        <item>法律法规</item>
      </candidateList>
      <explain/>
      <paraID>61D8F48E</paraID>
      <start>10</start>
      <end>15</end>
      <status>ignored</status>
      <modifiedWord/>
      <trackRevisions>false</trackRevisions>
    </reviewItem>
    <reviewItem>
      <errorID>7b039fc0-e5de-4a8e-9575-27d74a673d7f</errorID>
      <errorWord>管理办法》中</errorWord>
      <group>L1_Word</group>
      <groupName>字词问题</groupName>
      <ability>L2_Typo</ability>
      <abilityName>字词错误</abilityName>
      <candidateList>
        <item>管理办法》</item>
      </candidateList>
      <explain/>
      <paraID> 5E6EA41</paraID>
      <start>76</start>
      <end>82</end>
      <status>ignored</status>
      <modifiedWord/>
      <trackRevisions>false</trackRevisions>
    </reviewItem>
    <reviewItem>
      <errorID>8da3d1cd-6e92-4afa-8d76-baaa4d51fd7d</errorID>
      <errorWord>法律、法规</errorWord>
      <group>L1_Word</group>
      <groupName>字词问题</groupName>
      <ability>L2_Typo</ability>
      <abilityName>字词错误</abilityName>
      <candidateList>
        <item>法律法规</item>
      </candidateList>
      <explain/>
      <paraID> BC52105</paraID>
      <start>3</start>
      <end>8</end>
      <status>ignored</status>
      <modifiedWord/>
      <trackRevisions>false</trackRevisions>
    </reviewItem>
    <reviewItem>
      <errorID>a36a0c9b-6f36-400b-a9f1-3c42e0f8afd2</errorID>
      <errorWord>法律、法规</errorWord>
      <group>L1_Word</group>
      <groupName>字词问题</groupName>
      <ability>L2_Typo</ability>
      <abilityName>字词错误</abilityName>
      <candidateList>
        <item>法律法规</item>
      </candidateList>
      <explain/>
      <paraID>486E8102</paraID>
      <start>10</start>
      <end>15</end>
      <status>ignored</status>
      <modifiedWord/>
      <trackRevisions>false</trackRevisions>
    </reviewItem>
    <reviewItem>
      <errorID>41181bce-5912-43dd-8f07-2502f0faf2a1</errorID>
      <errorWord>法律、法规</errorWord>
      <group>L1_Word</group>
      <groupName>字词问题</groupName>
      <ability>L2_Typo</ability>
      <abilityName>字词错误</abilityName>
      <candidateList>
        <item>法律法规</item>
      </candidateList>
      <explain/>
      <paraID> D672507</paraID>
      <start>3</start>
      <end>8</end>
      <status>ignored</status>
      <modifiedWord/>
      <trackRevisions>false</trackRevisions>
    </reviewItem>
    <reviewItem>
      <errorID>1e0d5d66-da43-4f65-8bd9-82f146a06624</errorID>
      <errorWord>法律、法规</errorWord>
      <group>L1_Word</group>
      <groupName>字词问题</groupName>
      <ability>L2_Typo</ability>
      <abilityName>字词错误</abilityName>
      <candidateList>
        <item>法律法规</item>
      </candidateList>
      <explain/>
      <paraID>5A7F0F44</paraID>
      <start>10</start>
      <end>15</end>
      <status>ignored</status>
      <modifiedWord/>
      <trackRevisions>false</trackRevisions>
    </reviewItem>
    <reviewItem>
      <errorID>d63e26f5-249d-42a2-ab4f-36e1ced7bd66</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21D5B097</paraID>
      <start>0</start>
      <end>3</end>
      <status>ignored</status>
      <modifiedWord/>
      <trackRevisions>false</trackRevisions>
    </reviewItem>
    <reviewItem>
      <errorID>f3a99aad-9417-4faa-94bf-0fc599e88a71</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5BC51199</paraID>
      <start>46</start>
      <end>49</end>
      <status>ignored</status>
      <modifiedWord/>
      <trackRevisions>false</trackRevisions>
    </reviewItem>
    <reviewItem>
      <errorID>018354b4-9dab-4185-946f-9a6d9949677f</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5BC51199</paraID>
      <start>131</start>
      <end>134</end>
      <status>ignored</status>
      <modifiedWord/>
      <trackRevisions>false</trackRevisions>
    </reviewItem>
    <reviewItem>
      <errorID>ba1fbbac-19b2-4eb8-8e75-7ce38b096e1d</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5CE9456E</paraID>
      <start>5</start>
      <end>8</end>
      <status>ignored</status>
      <modifiedWord/>
      <trackRevisions>false</trackRevisions>
    </reviewItem>
    <reviewItem>
      <errorID>00646089-3485-403d-bf9b-a1cd52d2eeef</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5CE9456E</paraID>
      <start>38</start>
      <end>41</end>
      <status>ignored</status>
      <modifiedWord/>
      <trackRevisions>false</trackRevisions>
    </reviewItem>
    <reviewItem>
      <errorID>55438e37-f45d-4384-832a-797bf2b6a1dd</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47A1E19B</paraID>
      <start>5</start>
      <end>8</end>
      <status>ignored</status>
      <modifiedWord/>
      <trackRevisions>false</trackRevisions>
    </reviewItem>
    <reviewItem>
      <errorID>6436dd63-d162-4bb6-aa56-1ed1fed5cf51</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47A1E19B</paraID>
      <start>24</start>
      <end>27</end>
      <status>ignored</status>
      <modifiedWord/>
      <trackRevisions>false</trackRevisions>
    </reviewItem>
    <reviewItem>
      <errorID>2ad926d5-3223-42a7-b00b-83d877b0a177</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27AE4686</paraID>
      <start>0</start>
      <end>3</end>
      <status>ignored</status>
      <modifiedWord/>
      <trackRevisions>false</trackRevisions>
    </reviewItem>
    <reviewItem>
      <errorID>428cd260-d00b-4522-ab79-bbd7e149b954</errorID>
      <errorWord>国家林业局</errorWord>
      <group>L1_Knowledge</group>
      <groupName>知识性问题</groupName>
      <ability>L2_Organization</ability>
      <abilityName>机构检查</abilityName>
      <candidateList>
        <item>国家林业和草原局</item>
      </candidateList>
      <explain>2018年3月，中共中央印发了《深化党和国家机构改革方案》，将国家林业局的职责，整合到新组建的国家林业和草原局。</explain>
      <paraID>648A1112</paraID>
      <start>31</start>
      <end>36</end>
      <status>ignored</status>
      <modifiedWord/>
      <trackRevisions>false</trackRevisions>
    </reviewItem>
    <reviewItem>
      <errorID>9443ebc8-5a12-4b9c-850b-0d0fc74d4cdd</errorID>
      <errorWord>国家林业局</errorWord>
      <group>L1_Knowledge</group>
      <groupName>知识性问题</groupName>
      <ability>L2_Organization</ability>
      <abilityName>机构检查</abilityName>
      <candidateList>
        <item>国家林业和草原局</item>
      </candidateList>
      <explain>2018年3月，中共中央印发了《深化党和国家机构改革方案》，将国家林业局的职责，整合到新组建的国家林业和草原局。</explain>
      <paraID>648A1112</paraID>
      <start>52</start>
      <end>57</end>
      <status>ignored</status>
      <modifiedWord/>
      <trackRevisions>false</trackRevisions>
    </reviewItem>
    <reviewItem>
      <errorID>404a9c7a-3e67-4436-bb15-adbcda663fa1</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4AA1D898</paraID>
      <start>0</start>
      <end>3</end>
      <status>ignored</status>
      <modifiedWord/>
      <trackRevisions>false</trackRevisions>
    </reviewItem>
    <reviewItem>
      <errorID>30493334-918e-430c-8041-3be6383a1dbd</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9E94212</paraID>
      <start>0</start>
      <end>3</end>
      <status>ignored</status>
      <modifiedWord/>
      <trackRevisions>false</trackRevisions>
    </reviewItem>
    <reviewItem>
      <errorID>6cf67b22-9bdc-4db7-a3c5-b593f6010c1a</errorID>
      <errorWord>“</errorWord>
      <group>L1_Punc</group>
      <groupName>标点问题</groupName>
      <ability>L2_Punc_CN</ability>
      <abilityName>标点符号问题</abilityName>
      <candidateList>
        <item>‘</item>
      </candidateList>
      <explain>当引号中还需要使用引号时，外面一层用双引号，里面一层用单引号。</explain>
      <paraID>1D789E44</paraID>
      <start>104</start>
      <end>105</end>
      <status>ignored</status>
      <modifiedWord/>
      <trackRevisions>false</trackRevisions>
    </reviewItem>
    <reviewItem>
      <errorID>b616e9b5-c131-4c77-8041-ed6cf5d41778</errorID>
      <errorWord>”</errorWord>
      <group>L1_Punc</group>
      <groupName>标点问题</groupName>
      <ability>L2_Punc_CN</ability>
      <abilityName>标点符号问题</abilityName>
      <candidateList>
        <item>’</item>
      </candidateList>
      <explain>当引号中还需要使用引号时，外面一层用双引号，里面一层用单引号。</explain>
      <paraID>1D789E44</paraID>
      <start>110</start>
      <end>111</end>
      <status>ignored</status>
      <modifiedWord/>
      <trackRevisions>false</trackRevisions>
    </reviewItem>
    <reviewItem>
      <errorID>b571be79-d620-463b-a85c-79cde0292491</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5F8D62E4</paraID>
      <start>0</start>
      <end>3</end>
      <status>ignored</status>
      <modifiedWord/>
      <trackRevisions>false</trackRevisions>
    </reviewItem>
    <reviewItem>
      <errorID>f9dee1d2-a53e-421c-822e-789943c21c22</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7B1A9BBF</paraID>
      <start>4</start>
      <end>7</end>
      <status>ignored</status>
      <modifiedWord/>
      <trackRevisions>false</trackRevisions>
    </reviewItem>
    <reviewItem>
      <errorID>1c498149-47e5-44c2-9a3f-fd2bc898e341</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7B1A9BBF</paraID>
      <start>65</start>
      <end>68</end>
      <status>ignored</status>
      <modifiedWord/>
      <trackRevisions>false</trackRevisions>
    </reviewItem>
    <reviewItem>
      <errorID>2a4d5d13-fd03-4c6e-bf3d-096961a138cc</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614BE181</paraID>
      <start>7</start>
      <end>10</end>
      <status>ignored</status>
      <modifiedWord/>
      <trackRevisions>false</trackRevisions>
    </reviewItem>
    <reviewItem>
      <errorID>cc20de92-ea12-4476-ad0c-9a0bf528730b</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 B32D45E</paraID>
      <start>148</start>
      <end>151</end>
      <status>ignored</status>
      <modifiedWord/>
      <trackRevisions>false</trackRevisions>
    </reviewItem>
    <reviewItem>
      <errorID>d7477c8c-d932-4bfd-a4f0-bc4e8bbc71dc</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53983C86</paraID>
      <start>0</start>
      <end>3</end>
      <status>ignored</status>
      <modifiedWord/>
      <trackRevisions>false</trackRevisions>
    </reviewItem>
    <reviewItem>
      <errorID>2d8cff36-2394-40d8-98c0-06bd665039c0</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6C1CD838</paraID>
      <start>5</start>
      <end>8</end>
      <status>ignored</status>
      <modifiedWord/>
      <trackRevisions>false</trackRevisions>
    </reviewItem>
    <reviewItem>
      <errorID>11f7b1d7-1acb-4572-a363-a2f038b8015e</errorID>
      <errorWord>新平县</errorWord>
      <group>L1_Knowledge</group>
      <groupName>知识性问题</groupName>
      <ability>L2_Location</ability>
      <abilityName>地名检查</abilityName>
      <candidateList>
        <item>新平彝族傣族自治县</item>
      </candidateList>
      <explain>自治区州县缩写不规范。《地名管理条例》第十八条规定，标识牌、公共平台发布的信息、各类公文证件、学习类公开出版物、地图、法律法规规定等场景范围内必须使用标准地名。</explain>
      <paraID>6C1CD838</paraID>
      <start>46</start>
      <end>49</end>
      <status>ignored</status>
      <modifiedWord/>
      <trackRevisions>false</trackRevisions>
    </reviewItem>
    <reviewItem>
      <errorID>87eebe9c-e994-4e41-8238-33f839e56646</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6C1CD838</paraID>
      <start>79</start>
      <end>82</end>
      <status>ignored</status>
      <modifiedWord/>
      <trackRevisions>false</trackRevisions>
    </reviewItem>
    <reviewItem>
      <errorID>82a22fc6-9a00-4e46-a93f-b6e0188595bc</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469A22F3</paraID>
      <start>5</start>
      <end>8</end>
      <status>ignored</status>
      <modifiedWord/>
      <trackRevisions>false</trackRevisions>
    </reviewItem>
    <reviewItem>
      <errorID>146855c5-f4bd-4ca1-99f2-09e8c2a9adb9</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1BA7146E</paraID>
      <start>5</start>
      <end>8</end>
      <status>ignored</status>
      <modifiedWord/>
      <trackRevisions>false</trackRevisions>
    </reviewItem>
    <reviewItem>
      <errorID>bdebc49f-df0f-4b34-b2aa-16bd9572aef2</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2B3407C0</paraID>
      <start>103</start>
      <end>106</end>
      <status>ignored</status>
      <modifiedWord/>
      <trackRevisions>false</trackRevisions>
    </reviewItem>
    <reviewItem>
      <errorID>ddcfbb6e-1f9a-4a93-bda5-22d85c97eba9</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600B7DE1</paraID>
      <start>62</start>
      <end>65</end>
      <status>ignored</status>
      <modifiedWord/>
      <trackRevisions>false</trackRevisions>
    </reviewItem>
    <reviewItem>
      <errorID>e9739ffe-ead6-4d24-96bf-d347c65d1312</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600B7DE1</paraID>
      <start>235</start>
      <end>238</end>
      <status>ignored</status>
      <modifiedWord/>
      <trackRevisions>false</trackRevisions>
    </reviewItem>
    <reviewItem>
      <errorID>d87a354a-e4ba-4f31-8f26-5540bfe40f67</errorID>
      <errorWord>管理办法》中</errorWord>
      <group>L1_Word</group>
      <groupName>字词问题</groupName>
      <ability>L2_Typo</ability>
      <abilityName>字词错误</abilityName>
      <candidateList>
        <item>管理办法》</item>
      </candidateList>
      <explain/>
      <paraID>28439432</paraID>
      <start>40</start>
      <end>46</end>
      <status>ignored</status>
      <modifiedWord/>
      <trackRevisions>false</trackRevisions>
    </reviewItem>
    <reviewItem>
      <errorID>3b039105-bac2-43fa-b2fc-79a3c1395271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16417395</paraID>
      <start>0</start>
      <end>2</end>
      <status>ignored</status>
      <modifiedWord/>
      <trackRevisions>false</trackRevisions>
    </reviewItem>
    <reviewItem>
      <errorID>3fbcbb68-354f-464a-a70f-9a0ccd605590</errorID>
      <errorWord>遮荫</errorWord>
      <group>L1_Word</group>
      <groupName>字词问题</groupName>
      <ability>L2_Typo</ability>
      <abilityName>字词错误</abilityName>
      <candidateList>
        <item>遮阴</item>
      </candidateList>
      <explain>存在发音相同字词的误用。</explain>
      <paraID>5EE41C5A</paraID>
      <start>0</start>
      <end>2</end>
      <status>ignored</status>
      <modifiedWord/>
      <trackRevisions>false</trackRevisions>
    </reviewItem>
    <reviewItem>
      <errorID>cd2ebc99-ddfd-4829-98ef-f5e9a3acdb7d</errorID>
      <errorWord>遮荫</errorWord>
      <group>L1_Word</group>
      <groupName>字词问题</groupName>
      <ability>L2_Typo</ability>
      <abilityName>字词错误</abilityName>
      <candidateList>
        <item>遮阴</item>
      </candidateList>
      <explain>存在发音相同字词的误用。</explain>
      <paraID>26F979E9</paraID>
      <start>11</start>
      <end>13</end>
      <status>ignored</status>
      <modifiedWord/>
      <trackRevisions>false</trackRevisions>
    </reviewItem>
    <reviewItem>
      <errorID>0e45060c-6375-49b5-a472-30c99553a94c</errorID>
      <errorWord>遮荫</errorWord>
      <group>L1_Word</group>
      <groupName>字词问题</groupName>
      <ability>L2_Typo</ability>
      <abilityName>字词错误</abilityName>
      <candidateList>
        <item>遮阴</item>
      </candidateList>
      <explain>存在发音相同字词的误用。</explain>
      <paraID>49EAB4FA</paraID>
      <start>0</start>
      <end>2</end>
      <status>ignored</status>
      <modifiedWord/>
      <trackRevisions>false</trackRevisions>
    </reviewItem>
    <reviewItem>
      <errorID>0aacc1a5-560a-4457-84fa-82d71a6d002a</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2949D0D3</paraID>
      <start>5</start>
      <end>8</end>
      <status>ignored</status>
      <modifiedWord/>
      <trackRevisions>false</trackRevisions>
    </reviewItem>
    <reviewItem>
      <errorID>9ee79a3a-6940-43f1-89d6-6d2248417ca8</errorID>
      <errorWord>新平县</errorWord>
      <group>L1_Knowledge</group>
      <groupName>知识性问题</groupName>
      <ability>L2_Location</ability>
      <abilityName>地名检查</abilityName>
      <candidateList>
        <item>新平彝族傣族自治县</item>
      </candidateList>
      <explain>自治区州县缩写不规范。《地名管理条例》第十八条规定，标识牌、公共平台发布的信息、各类公文证件、学习类公开出版物、地图、法律法规规定等场景范围内必须使用标准地名。</explain>
      <paraID>2949D0D3</paraID>
      <start>20</start>
      <end>23</end>
      <status>ignored</status>
      <modifiedWord/>
      <trackRevisions>false</trackRevisions>
    </reviewItem>
    <reviewItem>
      <errorID>2657d1d7-d978-4cf6-b1d1-bd91e007507b</errorID>
      <errorWord>，</errorWord>
      <group>L1_Word</group>
      <groupName>字词问题</groupName>
      <ability>L2_Typo</ability>
      <abilityName>字词错误</abilityName>
      <candidateList>
        <item>，第</item>
      </candidateList>
      <explain/>
      <paraID>6C0E5650</paraID>
      <start>13</start>
      <end>14</end>
      <status>ignored</status>
      <modifiedWord/>
      <trackRevisions>false</trackRevisions>
    </reviewItem>
    <reviewItem>
      <errorID>9ff5fb03-57fd-4416-a384-125f3d955bd3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48259A9A</paraID>
      <start>0</start>
      <end>2</end>
      <status>ignored</status>
      <modifiedWord/>
      <trackRevisions>false</trackRevisions>
    </reviewItem>
    <reviewItem>
      <errorID>87703c7d-db6c-46b4-b7e8-f14685ac7add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28AAD411</paraID>
      <start>0</start>
      <end>2</end>
      <status>ignored</status>
      <modifiedWord/>
      <trackRevisions>false</trackRevisions>
    </reviewItem>
    <reviewItem>
      <errorID>77f1abda-1e0c-418d-a15c-884726c2b0ba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682D0B8C</paraID>
      <start>0</start>
      <end>2</end>
      <status>ignored</status>
      <modifiedWord/>
      <trackRevisions>false</trackRevisions>
    </reviewItem>
    <reviewItem>
      <errorID>12cf39ef-7c37-4b40-a031-f3d6e953e215</errorID>
      <errorWord>遮荫</errorWord>
      <group>L1_Word</group>
      <groupName>字词问题</groupName>
      <ability>L2_Typo</ability>
      <abilityName>字词错误</abilityName>
      <candidateList>
        <item>遮阴</item>
      </candidateList>
      <explain>存在发音相同字词的误用。</explain>
      <paraID>409C3166</paraID>
      <start>23</start>
      <end>25</end>
      <status>ignored</status>
      <modifiedWord/>
      <trackRevisions>false</trackRevisions>
    </reviewItem>
    <reviewItem>
      <errorID>05e8335b-b5ac-4e66-8ccd-489aa5afaad7</errorID>
      <errorWord>遮荫</errorWord>
      <group>L1_Word</group>
      <groupName>字词问题</groupName>
      <ability>L2_Typo</ability>
      <abilityName>字词错误</abilityName>
      <candidateList>
        <item>遮阴</item>
      </candidateList>
      <explain>存在发音相同字词的误用。</explain>
      <paraID>409C3166</paraID>
      <start>116</start>
      <end>118</end>
      <status>ignored</status>
      <modifiedWord/>
      <trackRevisions>false</trackRevisions>
    </reviewItem>
    <reviewItem>
      <errorID>0aa4f0af-2e16-4fde-b4cc-6326922fab94</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 F1B897D</paraID>
      <start>4</start>
      <end>7</end>
      <status>ignored</status>
      <modifiedWord/>
      <trackRevisions>false</trackRevisions>
    </reviewItem>
    <reviewItem>
      <errorID>807de339-edf5-41e8-a889-548cd96967fe</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 F1B897D</paraID>
      <start>31</start>
      <end>34</end>
      <status>ignored</status>
      <modifiedWord/>
      <trackRevisions>false</trackRevisions>
    </reviewItem>
    <reviewItem>
      <errorID>3ca1a21e-0e5f-4bb4-96c0-912767a0e3e7</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7BF91138</paraID>
      <start>20</start>
      <end>23</end>
      <status>ignored</status>
      <modifiedWord/>
      <trackRevisions>false</trackRevisions>
    </reviewItem>
    <reviewItem>
      <errorID>cb93f387-479c-42da-b693-5f827531da50</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68B00998</paraID>
      <start>21</start>
      <end>24</end>
      <status>ignored</status>
      <modifiedWord/>
      <trackRevisions>false</trackRevisions>
    </reviewItem>
    <reviewItem>
      <errorID>129834c0-557a-4cc7-8daa-ad490260b008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53046794</paraID>
      <start>0</start>
      <end>2</end>
      <status>ignored</status>
      <modifiedWord/>
      <trackRevisions>false</trackRevisions>
    </reviewItem>
    <reviewItem>
      <errorID>fe2ac4b4-357f-4156-8fe3-3b6debd63035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391A14DA</paraID>
      <start>0</start>
      <end>2</end>
      <status>ignored</status>
      <modifiedWord/>
      <trackRevisions>false</trackRevisions>
    </reviewItem>
    <reviewItem>
      <errorID>362ebf7e-1dae-4e9e-830b-d0e99db519cd</errorID>
      <errorWord>~</errorWord>
      <group>L1_Format</group>
      <groupName>格式问题</groupName>
      <ability>L2_HalfPunc_CN</ability>
      <abilityName>全半角问题</abilityName>
      <candidateList>
        <item>～</item>
      </candidateList>
      <explain>文本全半角错误。</explain>
      <paraID>39797C51</paraID>
      <start>20</start>
      <end>21</end>
      <status>ignored</status>
      <modifiedWord/>
      <trackRevisions>false</trackRevisions>
    </reviewItem>
    <reviewItem>
      <errorID>575acd59-4fd2-4473-8b9d-7e1a70cc1ede</errorID>
      <errorWord>~</errorWord>
      <group>L1_Format</group>
      <groupName>格式问题</groupName>
      <ability>L2_HalfPunc_CN</ability>
      <abilityName>全半角问题</abilityName>
      <candidateList>
        <item>～</item>
      </candidateList>
      <explain>文本全半角错误。</explain>
      <paraID>39797C51</paraID>
      <start>30</start>
      <end>31</end>
      <status>ignored</status>
      <modifiedWord/>
      <trackRevisions>false</trackRevisions>
    </reviewItem>
    <reviewItem>
      <errorID>9e3a7caa-e0f7-45cd-8213-ffe91f2ec3ba</errorID>
      <errorWord>~</errorWord>
      <group>L1_Format</group>
      <groupName>格式问题</groupName>
      <ability>L2_HalfPunc_CN</ability>
      <abilityName>全半角问题</abilityName>
      <candidateList>
        <item>～</item>
      </candidateList>
      <explain>文本全半角错误。</explain>
      <paraID>3D7FA114</paraID>
      <start>80</start>
      <end>81</end>
      <status>ignored</status>
      <modifiedWord/>
      <trackRevisions>false</trackRevisions>
    </reviewItem>
    <reviewItem>
      <errorID>d99b8cdb-eadf-4247-b4d0-93cf05b74b0b</errorID>
      <errorWord>~</errorWord>
      <group>L1_Format</group>
      <groupName>格式问题</groupName>
      <ability>L2_HalfPunc_CN</ability>
      <abilityName>全半角问题</abilityName>
      <candidateList>
        <item>～</item>
      </candidateList>
      <explain>文本全半角错误。</explain>
      <paraID>61F222B6</paraID>
      <start>27</start>
      <end>28</end>
      <status>ignored</status>
      <modifiedWord/>
      <trackRevisions>false</trackRevisions>
    </reviewItem>
    <reviewItem>
      <errorID>269f55aa-01c7-4d40-8bd2-fe21d4b46c1c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3E3F71B6</paraID>
      <start>0</start>
      <end>2</end>
      <status>ignored</status>
      <modifiedWord/>
      <trackRevisions>false</trackRevisions>
    </reviewItem>
    <reviewItem>
      <errorID>bb3b9ac1-eaee-466d-a676-214cf0c1f554</errorID>
      <errorWord>遮荫</errorWord>
      <group>L1_Word</group>
      <groupName>字词问题</groupName>
      <ability>L2_Typo</ability>
      <abilityName>字词错误</abilityName>
      <candidateList>
        <item>遮阴</item>
      </candidateList>
      <explain>存在发音相同字词的误用。</explain>
      <paraID>26F0490C</paraID>
      <start>141</start>
      <end>143</end>
      <status>ignored</status>
      <modifiedWord/>
      <trackRevisions>false</trackRevisions>
    </reviewItem>
    <reviewItem>
      <errorID>e5f3f92c-3f36-4016-bd16-f593536fb2eb</errorID>
      <errorWord>期间</errorWord>
      <group>L1_Word</group>
      <groupName>字词问题</groupName>
      <ability>L2_Typo</ability>
      <abilityName>字词错误</abilityName>
      <candidateList>
        <item>其间</item>
      </candidateList>
      <explain>〈名〉方位词。❶那中间；其中：厕身～｜～定有缘故。❷指某一段时间：离开学校已经好几年了，这～，他在科学研究上取得了显著成绩。</explain>
      <paraID>14C9A895</paraID>
      <start>107</start>
      <end>109</end>
      <status>ignored</status>
      <modifiedWord/>
      <trackRevisions>false</trackRevisions>
    </reviewItem>
    <reviewItem>
      <errorID>a328ae3b-5daa-46b1-b668-aca0e7802bd2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19E2A392</paraID>
      <start>0</start>
      <end>2</end>
      <status>ignored</status>
      <modifiedWord/>
      <trackRevisions>false</trackRevisions>
    </reviewItem>
    <reviewItem>
      <errorID>7eaa2cef-7091-49e9-b61a-e1aada64be7a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471484B8</paraID>
      <start>0</start>
      <end>2</end>
      <status>ignored</status>
      <modifiedWord/>
      <trackRevisions>false</trackRevisions>
    </reviewItem>
    <reviewItem>
      <errorID>004919b0-0d21-40b8-9790-dc5b9560d864</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76CC4DC3</paraID>
      <start>176</start>
      <end>179</end>
      <status>ignored</status>
      <modifiedWord/>
      <trackRevisions>false</trackRevisions>
    </reviewItem>
    <reviewItem>
      <errorID>9694fdc5-73d7-4785-ae0e-4fa617f51f8d</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76CC4DC3</paraID>
      <start>204</start>
      <end>207</end>
      <status>ignored</status>
      <modifiedWord/>
      <trackRevisions>false</trackRevisions>
    </reviewItem>
    <reviewItem>
      <errorID>b89c57c9-a3b2-4d8a-9d01-d5632f517f8e</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76CC4DC3</paraID>
      <start>281</start>
      <end>284</end>
      <status>ignored</status>
      <modifiedWord/>
      <trackRevisions>false</trackRevisions>
    </reviewItem>
    <reviewItem>
      <errorID>c6bb0720-038b-49dc-930b-524925360811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151ECA2F</paraID>
      <start>0</start>
      <end>2</end>
      <status>ignored</status>
      <modifiedWord/>
      <trackRevisions>false</trackRevisions>
    </reviewItem>
    <reviewItem>
      <errorID>adfa6073-78c1-4bcd-9b2c-bc6579fafbfd</errorID>
      <errorWord>、</errorWord>
      <group>L1_Punc</group>
      <groupName>标点问题</groupName>
      <ability>L2_Punc_CN</ability>
      <abilityName>标点符号问题</abilityName>
      <candidateList>
        <item>.</item>
      </candidateList>
      <explain/>
      <paraID>5FF86DFB</paraID>
      <start>1</start>
      <end>2</end>
      <status>ignored</status>
      <modifiedWord/>
      <trackRevisions>false</trackRevisions>
    </reviewItem>
    <reviewItem>
      <errorID>a486884b-c471-4381-9840-60d20b4d5b2b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1F595AFB</paraID>
      <start>0</start>
      <end>2</end>
      <status>ignored</status>
      <modifiedWord/>
      <trackRevisions>false</trackRevisions>
    </reviewItem>
    <reviewItem>
      <errorID>dcda6814-2cd0-4f55-92a8-453a1bf43693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61A444CB</paraID>
      <start>0</start>
      <end>2</end>
      <status>ignored</status>
      <modifiedWord/>
      <trackRevisions>false</trackRevisions>
    </reviewItem>
    <reviewItem>
      <errorID>c2cda221-5f20-4bdd-89df-2efefbf30682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18107EA</paraID>
      <start>0</start>
      <end>2</end>
      <status>ignored</status>
      <modifiedWord/>
      <trackRevisions>false</trackRevisions>
    </reviewItem>
    <reviewItem>
      <errorID>d258ef24-37b3-4bc9-b1c5-650e309c4903</errorID>
      <errorWord>、</errorWord>
      <group>L1_Punc</group>
      <groupName>标点问题</groupName>
      <ability>L2_Punc_CN</ability>
      <abilityName>标点符号问题</abilityName>
      <candidateList>
        <item>.</item>
      </candidateList>
      <explain/>
      <paraID>2EAC962E</paraID>
      <start>1</start>
      <end>2</end>
      <status>ignored</status>
      <modifiedWord/>
      <trackRevisions>false</trackRevisions>
    </reviewItem>
    <reviewItem>
      <errorID>4f993620-76cc-45e2-8dfd-f7b7f8d4dc50</errorID>
      <errorWord>…；</errorWord>
      <group>L1_Punc</group>
      <groupName>标点问题</groupName>
      <ability>L2_Punc_CN</ability>
      <abilityName>标点符号问题</abilityName>
      <candidateList>
        <item>…</item>
      </candidateList>
      <explain/>
      <paraID>3E7F1FB7</paraID>
      <start>12</start>
      <end>14</end>
      <status>ignored</status>
      <modifiedWord/>
      <trackRevisions>false</trackRevisions>
    </reviewItem>
    <reviewItem>
      <errorID>269e4216-b99c-4878-890d-133b455a52ea</errorID>
      <errorWord>…；</errorWord>
      <group>L1_Punc</group>
      <groupName>标点问题</groupName>
      <ability>L2_Punc_CN</ability>
      <abilityName>标点符号问题</abilityName>
      <candidateList>
        <item>…</item>
      </candidateList>
      <explain/>
      <paraID>3E7F1FB7</paraID>
      <start>23</start>
      <end>25</end>
      <status>ignored</status>
      <modifiedWord/>
      <trackRevisions>false</trackRevisions>
    </reviewItem>
    <reviewItem>
      <errorID>84ecd62a-4c0e-4058-a639-46d99c9737a4</errorID>
      <errorWord>、…。</errorWord>
      <group>L1_Punc</group>
      <groupName>标点问题</groupName>
      <ability>L2_Punc_CN</ability>
      <abilityName>标点符号问题</abilityName>
      <candidateList>
        <item>、</item>
      </candidateList>
      <explain/>
      <paraID>3E7F1FB7</paraID>
      <start>33</start>
      <end>36</end>
      <status>ignored</status>
      <modifiedWord/>
      <trackRevisions>false</trackRevisions>
    </reviewItem>
    <reviewItem>
      <errorID>72b5cc02-badd-4209-9d3d-aff81c7f528e</errorID>
      <errorWord>.、</errorWord>
      <group>L1_Punc</group>
      <groupName>标点问题</groupName>
      <ability>L2_Punc_CN</ability>
      <abilityName>标点符号问题</abilityName>
      <candidateList>
        <item>.</item>
      </candidateList>
      <explain/>
      <paraID>66BE503D</paraID>
      <start>160</start>
      <end>162</end>
      <status>ignored</status>
      <modifiedWord/>
      <trackRevisions>false</trackRevisions>
    </reviewItem>
    <reviewItem>
      <errorID>6d70a279-2c21-43bf-adaa-98b01c7fed1e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6F187B80</paraID>
      <start>0</start>
      <end>2</end>
      <status>ignored</status>
      <modifiedWord/>
      <trackRevisions>false</trackRevisions>
    </reviewItem>
    <reviewItem>
      <errorID>56b10659-2b64-4ebd-9d2c-ac9a6903522c</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6BBADF87</paraID>
      <start>167</start>
      <end>170</end>
      <status>ignored</status>
      <modifiedWord/>
      <trackRevisions>false</trackRevisions>
    </reviewItem>
    <reviewItem>
      <errorID>129057b4-25f0-488c-8c5f-ee386e950847</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1D9EB780</paraID>
      <start>6</start>
      <end>9</end>
      <status>ignored</status>
      <modifiedWord/>
      <trackRevisions>false</trackRevisions>
    </reviewItem>
    <reviewItem>
      <errorID>c253584d-7935-4a42-ae22-4296c36d21c8</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1D9EB780</paraID>
      <start>84</start>
      <end>87</end>
      <status>ignored</status>
      <modifiedWord/>
      <trackRevisions>false</trackRevisions>
    </reviewItem>
    <reviewItem>
      <errorID>93d6e988-f6c0-4fdf-9f5e-de76e88bc16d</errorID>
      <errorWord>新平县</errorWord>
      <group>L1_Knowledge</group>
      <groupName>知识性问题</groupName>
      <ability>L2_Location</ability>
      <abilityName>地名检查</abilityName>
      <candidateList>
        <item>新平彝族傣族自治县</item>
      </candidateList>
      <explain>自治区州县缩写不规范。《地名管理条例》第十八条规定，标识牌、公共平台发布的信息、各类公文证件、学习类公开出版物、地图、法律法规规定等场景范围内必须使用标准地名。</explain>
      <paraID>1D9EB780</paraID>
      <start>95</start>
      <end>98</end>
      <status>ignored</status>
      <modifiedWord/>
      <trackRevisions>false</trackRevisions>
    </reviewItem>
    <reviewItem>
      <errorID>65b5cd7e-f189-4303-a703-b1ee632fe615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7974FEB9</paraID>
      <start>0</start>
      <end>2</end>
      <status>ignored</status>
      <modifiedWord/>
      <trackRevisions>false</trackRevisions>
    </reviewItem>
    <reviewItem>
      <errorID>08859d55-ef07-4629-820b-88b24fa3d078</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71E41E6D</paraID>
      <start>5</start>
      <end>8</end>
      <status>ignored</status>
      <modifiedWord/>
      <trackRevisions>false</trackRevisions>
    </reviewItem>
    <reviewItem>
      <errorID>4a5b5748-61d0-46b2-ba2d-08d54e2617a6</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535A140F</paraID>
      <start>50</start>
      <end>53</end>
      <status>ignored</status>
      <modifiedWord/>
      <trackRevisions>false</trackRevisions>
    </reviewItem>
    <reviewItem>
      <errorID>f06d6b1f-b498-48fe-925c-f761ca75c20d</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58EDB6C0</paraID>
      <start>11</start>
      <end>14</end>
      <status>ignored</status>
      <modifiedWord/>
      <trackRevisions>false</trackRevisions>
    </reviewItem>
    <reviewItem>
      <errorID>0a6c94ae-62b8-41b2-b76b-9e678eba63b5</errorID>
      <errorWord>（</errorWord>
      <group>L1_Format</group>
      <groupName>格式问题</groupName>
      <ability>L2_HalfPunc_CN</ability>
      <abilityName>全半角问题</abilityName>
      <candidateList>
        <item>(</item>
      </candidateList>
      <explain>文本全半角错误。</explain>
      <paraID>4CBBF9C1</paraID>
      <start>0</start>
      <end>1</end>
      <status>ignored</status>
      <modifiedWord/>
      <trackRevisions>false</trackRevisions>
    </reviewItem>
    <reviewItem>
      <errorID>5e32c098-1745-403c-b24f-88952c182480</errorID>
      <errorWord>）</errorWord>
      <group>L1_Format</group>
      <groupName>格式问题</groupName>
      <ability>L2_HalfPunc_CN</ability>
      <abilityName>全半角问题</abilityName>
      <candidateList>
        <item>)</item>
      </candidateList>
      <explain>文本全半角错误。</explain>
      <paraID>4CBBF9C1</paraID>
      <start>6</start>
      <end>7</end>
      <status>ignored</status>
      <modifiedWord/>
      <trackRevisions>false</trackRevisions>
    </reviewItem>
    <reviewItem>
      <errorID>95bc58d0-964c-4bca-8890-f0b1597dd63a</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692B722C</paraID>
      <start>12</start>
      <end>15</end>
      <status>ignored</status>
      <modifiedWord/>
      <trackRevisions>false</trackRevisions>
    </reviewItem>
    <reviewItem>
      <errorID>8651da8e-5b42-4ba3-aa48-13bc0ccfd9d1</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 BB4DF9D</paraID>
      <start>11</start>
      <end>14</end>
      <status>ignored</status>
      <modifiedWord/>
      <trackRevisions>false</trackRevisions>
    </reviewItem>
    <reviewItem>
      <errorID>ab9bbcd1-e0a6-4f3b-8b15-160afc72c109</errorID>
      <errorWord>（</errorWord>
      <group>L1_Format</group>
      <groupName>格式问题</groupName>
      <ability>L2_HalfPunc_CN</ability>
      <abilityName>全半角问题</abilityName>
      <candidateList>
        <item>(</item>
      </candidateList>
      <explain>文本全半角错误。</explain>
      <paraID>1834C95C</paraID>
      <start>0</start>
      <end>1</end>
      <status>ignored</status>
      <modifiedWord/>
      <trackRevisions>false</trackRevisions>
    </reviewItem>
    <reviewItem>
      <errorID>bcc86c27-e531-46fb-bd01-6e526ba16658</errorID>
      <errorWord>）</errorWord>
      <group>L1_Format</group>
      <groupName>格式问题</groupName>
      <ability>L2_HalfPunc_CN</ability>
      <abilityName>全半角问题</abilityName>
      <candidateList>
        <item>)</item>
      </candidateList>
      <explain>文本全半角错误。</explain>
      <paraID>1834C95C</paraID>
      <start>6</start>
      <end>7</end>
      <status>ignored</status>
      <modifiedWord/>
      <trackRevisions>false</trackRevisions>
    </reviewItem>
    <reviewItem>
      <errorID>9b24aed7-db39-4dc0-b9ba-701feb93b0cc</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5045985A</paraID>
      <start>12</start>
      <end>15</end>
      <status>ignored</status>
      <modifiedWord/>
      <trackRevisions>false</trackRevisions>
    </reviewItem>
    <reviewItem>
      <errorID>b9f989a7-738c-451c-b8cc-1e1a9664a36f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4F2C245C</paraID>
      <start>0</start>
      <end>2</end>
      <status>ignored</status>
      <modifiedWord/>
      <trackRevisions>false</trackRevisions>
    </reviewItem>
    <reviewItem>
      <errorID>73474a64-dac5-468a-96bf-771b3bd8350f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7D5FDC0A</paraID>
      <start>0</start>
      <end>2</end>
      <status>ignored</status>
      <modifiedWord/>
      <trackRevisions>false</trackRevisions>
    </reviewItem>
    <reviewItem>
      <errorID>1c7d405f-6cf6-4b1f-8e4b-7c8baf728069</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383948E7</paraID>
      <start>4</start>
      <end>7</end>
      <status>ignored</status>
      <modifiedWord/>
      <trackRevisions>false</trackRevisions>
    </reviewItem>
    <reviewItem>
      <errorID>c016d3f4-3d59-43ae-81a2-f90997f26120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4406191B</paraID>
      <start>0</start>
      <end>2</end>
      <status>ignored</status>
      <modifiedWord/>
      <trackRevisions>false</trackRevisions>
    </reviewItem>
    <reviewItem>
      <errorID>b7c4cb3c-83b3-49df-ae14-13d33c08b8c8</errorID>
      <errorWord>IV类</errorWord>
      <group>L1_Knowledge</group>
      <groupName>知识性问题</groupName>
      <ability>L2_Knowledge</ability>
      <abilityName>其他知识</abilityName>
      <candidateList>
        <item>Ⅳ类</item>
      </candidateList>
      <explain>中文环境下罗马数字格式错误。</explain>
      <paraID>3CB32F77</paraID>
      <start>141</start>
      <end>144</end>
      <status>ignored</status>
      <modifiedWord/>
      <trackRevisions>false</trackRevisions>
    </reviewItem>
    <reviewItem>
      <errorID>0d9da7c6-a151-4515-8005-e82fae098208</errorID>
      <errorWord>IV类</errorWord>
      <group>L1_Knowledge</group>
      <groupName>知识性问题</groupName>
      <ability>L2_Knowledge</ability>
      <abilityName>其他知识</abilityName>
      <candidateList>
        <item>Ⅳ类</item>
      </candidateList>
      <explain>中文环境下罗马数字格式错误。</explain>
      <paraID>3CB32F77</paraID>
      <start>211</start>
      <end>214</end>
      <status>ignored</status>
      <modifiedWord/>
      <trackRevisions>false</trackRevisions>
    </reviewItem>
    <reviewItem>
      <errorID>dbe7850f-d701-4efd-9289-4f5510ab12a3</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64AAC578</paraID>
      <start>4</start>
      <end>7</end>
      <status>ignored</status>
      <modifiedWord/>
      <trackRevisions>false</trackRevisions>
    </reviewItem>
    <reviewItem>
      <errorID>e6b8ec5e-ca56-4bb8-88fd-3e01711a8ede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73ACE604</paraID>
      <start>0</start>
      <end>2</end>
      <status>ignored</status>
      <modifiedWord/>
      <trackRevisions>false</trackRevisions>
    </reviewItem>
    <reviewItem>
      <errorID>cdfaf8d7-c375-4cef-902c-dde525332f2a</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237C6006</paraID>
      <start>8</start>
      <end>11</end>
      <status>ignored</status>
      <modifiedWord/>
      <trackRevisions>false</trackRevisions>
    </reviewItem>
    <reviewItem>
      <errorID>b0180e11-0ffb-40de-aa46-5ff21e3e3bb5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1A189CA2</paraID>
      <start>0</start>
      <end>2</end>
      <status>ignored</status>
      <modifiedWord/>
      <trackRevisions>false</trackRevisions>
    </reviewItem>
    <reviewItem>
      <errorID>4dec081a-c26f-4fb1-b32a-e123ddec635a</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 3A96253</paraID>
      <start>6</start>
      <end>9</end>
      <status>ignored</status>
      <modifiedWord/>
      <trackRevisions>false</trackRevisions>
    </reviewItem>
    <reviewItem>
      <errorID>58e4680d-c2e9-40c1-a461-f43875001d2d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289A7F27</paraID>
      <start>0</start>
      <end>2</end>
      <status>ignored</status>
      <modifiedWord/>
      <trackRevisions>false</trackRevisions>
    </reviewItem>
    <reviewItem>
      <errorID>a15f8947-8ca4-46da-b2cd-f2a3feca296d</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31BD50F1</paraID>
      <start>5</start>
      <end>8</end>
      <status>ignored</status>
      <modifiedWord/>
      <trackRevisions>false</trackRevisions>
    </reviewItem>
    <reviewItem>
      <errorID>c574f6bb-eb65-4cb9-99e1-00ba2e1f77b1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5C5CF418</paraID>
      <start>0</start>
      <end>2</end>
      <status>ignored</status>
      <modifiedWord/>
      <trackRevisions>false</trackRevisions>
    </reviewItem>
    <reviewItem>
      <errorID>33b599c8-626a-4c71-a305-bbe187cab3c8</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7FA2A75A</paraID>
      <start>6</start>
      <end>9</end>
      <status>ignored</status>
      <modifiedWord/>
      <trackRevisions>false</trackRevisions>
    </reviewItem>
    <reviewItem>
      <errorID>f97aa8d0-0797-4d69-ab95-341d111c70bf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7EB81018</paraID>
      <start>0</start>
      <end>2</end>
      <status>ignored</status>
      <modifiedWord/>
      <trackRevisions>false</trackRevisions>
    </reviewItem>
    <reviewItem>
      <errorID>966620a0-6428-4b82-afa2-8b4d7570b87e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381BC8EE</paraID>
      <start>0</start>
      <end>2</end>
      <status>ignored</status>
      <modifiedWord/>
      <trackRevisions>false</trackRevisions>
    </reviewItem>
    <reviewItem>
      <errorID>7ef8c55f-b617-45fc-8114-fa4a159c222f</errorID>
      <errorWord>（</errorWord>
      <group>L1_Punc</group>
      <groupName>标点问题</groupName>
      <ability>L2_Punc_CN</ability>
      <abilityName>标点符号问题</abilityName>
      <candidateList/>
      <explain>同一形式括号套用。</explain>
      <paraID>2424250E</paraID>
      <start>151</start>
      <end>152</end>
      <status>ignored</status>
      <modifiedWord/>
      <trackRevisions>false</trackRevisions>
    </reviewItem>
    <reviewItem>
      <errorID>d9fa6ca7-42ec-446d-9e04-663912811a50</errorID>
      <errorWord>）</errorWord>
      <group>L1_Punc</group>
      <groupName>标点问题</groupName>
      <ability>L2_Punc_CN</ability>
      <abilityName>标点符号问题</abilityName>
      <candidateList/>
      <explain>同一形式括号套用。</explain>
      <paraID>2424250E</paraID>
      <start>154</start>
      <end>155</end>
      <status>ignored</status>
      <modifiedWord/>
      <trackRevisions>false</trackRevisions>
    </reviewItem>
    <reviewItem>
      <errorID>3c534b27-c37a-4587-ba46-f70db439d6cd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3210FEAB</paraID>
      <start>0</start>
      <end>2</end>
      <status>ignored</status>
      <modifiedWord/>
      <trackRevisions>false</trackRevisions>
    </reviewItem>
    <reviewItem>
      <errorID>54b29606-5db7-4997-8df4-26f748b59c30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65E5EF24</paraID>
      <start>0</start>
      <end>2</end>
      <status>ignored</status>
      <modifiedWord/>
      <trackRevisions>false</trackRevisions>
    </reviewItem>
    <reviewItem>
      <errorID>c921d64a-2b70-4c5a-9636-e73f5c497c90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4CE499BA</paraID>
      <start>0</start>
      <end>2</end>
      <status>ignored</status>
      <modifiedWord/>
      <trackRevisions>false</trackRevisions>
    </reviewItem>
    <reviewItem>
      <errorID>4eb80cb6-54d8-4d1b-a46d-659ac426d9f7</errorID>
      <errorWord>类芦</errorWord>
      <group>L1_Word</group>
      <groupName>字词问题</groupName>
      <ability>L2_Typo</ability>
      <abilityName>字词错误</abilityName>
      <candidateList>
        <item>葫芦</item>
      </candidateList>
      <explain/>
      <paraID> A17C4EF</paraID>
      <start>45</start>
      <end>47</end>
      <status>ignored</status>
      <modifiedWord/>
      <trackRevisions>false</trackRevisions>
    </reviewItem>
    <reviewItem>
      <errorID>0e2c2620-0ba3-447a-96c1-16a7e2c87f1c</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47CA7F77</paraID>
      <start>46</start>
      <end>49</end>
      <status>ignored</status>
      <modifiedWord/>
      <trackRevisions>false</trackRevisions>
    </reviewItem>
    <reviewItem>
      <errorID>8c5c54a7-80d7-4688-9dbb-5e1b5dd4946f</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47CA7F77</paraID>
      <start>289</start>
      <end>292</end>
      <status>ignored</status>
      <modifiedWord/>
      <trackRevisions>false</trackRevisions>
    </reviewItem>
    <reviewItem>
      <errorID>9fccb7f5-e0f4-4cff-9954-2a6a896a752b</errorID>
      <errorWord>新平县</errorWord>
      <group>L1_Knowledge</group>
      <groupName>知识性问题</groupName>
      <ability>L2_Location</ability>
      <abilityName>地名检查</abilityName>
      <candidateList>
        <item>新平彝族傣族自治县</item>
      </candidateList>
      <explain>自治区州县缩写不规范。《地名管理条例》第十八条规定，标识牌、公共平台发布的信息、各类公文证件、学习类公开出版物、地图、法律法规规定等场景范围内必须使用标准地名。</explain>
      <paraID>65FBB91D</paraID>
      <start>107</start>
      <end>110</end>
      <status>ignored</status>
      <modifiedWord/>
      <trackRevisions>false</trackRevisions>
    </reviewItem>
    <reviewItem>
      <errorID>df6df967-c360-4743-896b-ed3425d34f56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2A782272</paraID>
      <start>0</start>
      <end>2</end>
      <status>ignored</status>
      <modifiedWord/>
      <trackRevisions>false</trackRevisions>
    </reviewItem>
    <reviewItem>
      <errorID>d15a4013-2857-4f79-a6d9-912b3054c5e7</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4DC93BA1</paraID>
      <start>416</start>
      <end>419</end>
      <status>ignored</status>
      <modifiedWord/>
      <trackRevisions>false</trackRevisions>
    </reviewItem>
    <reviewItem>
      <errorID>fae834b2-aacb-45e7-8f08-8099984b641b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160A218F</paraID>
      <start>0</start>
      <end>2</end>
      <status>ignored</status>
      <modifiedWord/>
      <trackRevisions>false</trackRevisions>
    </reviewItem>
    <reviewItem>
      <errorID>8d7d6293-f39a-4e32-825f-c6f2a9692de5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533EF77B</paraID>
      <start>0</start>
      <end>2</end>
      <status>ignored</status>
      <modifiedWord/>
      <trackRevisions>false</trackRevisions>
    </reviewItem>
    <reviewItem>
      <errorID>6c115973-6057-43fa-9ae3-578ecb7bfa38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4C6AE67D</paraID>
      <start>0</start>
      <end>2</end>
      <status>ignored</status>
      <modifiedWord/>
      <trackRevisions>false</trackRevisions>
    </reviewItem>
    <reviewItem>
      <errorID>1609cc34-5c3c-48ff-9228-76335f5e2584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6E8FF1BE</paraID>
      <start>0</start>
      <end>2</end>
      <status>ignored</status>
      <modifiedWord/>
      <trackRevisions>false</trackRevisions>
    </reviewItem>
    <reviewItem>
      <errorID>0ad163ca-419f-4293-b12a-8db909c1ba56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3F9FD983</paraID>
      <start>0</start>
      <end>2</end>
      <status>ignored</status>
      <modifiedWord/>
      <trackRevisions>false</trackRevisions>
    </reviewItem>
    <reviewItem>
      <errorID>ecdcb9c0-0d45-4501-96f9-7660420f1d54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3CCE511D</paraID>
      <start>0</start>
      <end>2</end>
      <status>ignored</status>
      <modifiedWord/>
      <trackRevisions>false</trackRevisions>
    </reviewItem>
    <reviewItem>
      <errorID>85f0689c-9055-4a90-81fc-2e1d69fb93f2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B40F065</paraID>
      <start>0</start>
      <end>2</end>
      <status>ignored</status>
      <modifiedWord/>
      <trackRevisions>false</trackRevisions>
    </reviewItem>
    <reviewItem>
      <errorID>536dcad3-67ae-4a30-8c7c-096f54310722</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38B22AD3</paraID>
      <start>7</start>
      <end>10</end>
      <status>ignored</status>
      <modifiedWord/>
      <trackRevisions>false</trackRevisions>
    </reviewItem>
    <reviewItem>
      <errorID>23ffa26c-4bf6-4e14-a5c0-80144dfee14e</errorID>
      <errorWord>》</errorWord>
      <group>L1_Word</group>
      <groupName>字词问题</groupName>
      <ability>L2_Typo</ability>
      <abilityName>字词错误</abilityName>
      <candidateList>
        <item>》对</item>
      </candidateList>
      <explain/>
      <paraID>39A6726D</paraID>
      <start>31</start>
      <end>32</end>
      <status>ignored</status>
      <modifiedWord/>
      <trackRevisions>false</trackRevisions>
    </reviewItem>
    <reviewItem>
      <errorID>1af5e635-389f-482e-ba0d-900a02b15e08</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39A6726D</paraID>
      <start>149</start>
      <end>152</end>
      <status>ignored</status>
      <modifiedWord/>
      <trackRevisions>false</trackRevisions>
    </reviewItem>
    <reviewItem>
      <errorID>e3189ea9-6491-439a-b59e-bc71ee6f4682</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484BFFF9</paraID>
      <start>49</start>
      <end>52</end>
      <status>ignored</status>
      <modifiedWord/>
      <trackRevisions>false</trackRevisions>
    </reviewItem>
    <reviewItem>
      <errorID>829c483a-2ed0-4c6c-acb6-c5090d9b9b3f</errorID>
      <errorWord>遮阴</errorWord>
      <group>L1_Word</group>
      <groupName>字词问题</groupName>
      <ability>L2_Typo</ability>
      <abilityName>字词错误</abilityName>
      <candidateList>
        <item>遮荫</item>
      </candidateList>
      <explain>存在发音相同字词的误用。</explain>
      <paraID> E4AEC22</paraID>
      <start>20</start>
      <end>22</end>
      <status>ignored</status>
      <modifiedWord/>
      <trackRevisions>false</trackRevisions>
    </reviewItem>
    <reviewItem>
      <errorID>e5b7db43-ad18-4b8b-98b3-fe712a0ed56f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36025AF3</paraID>
      <start>0</start>
      <end>2</end>
      <status>ignored</status>
      <modifiedWord/>
      <trackRevisions>false</trackRevisions>
    </reviewItem>
    <reviewItem>
      <errorID>8e35bf6b-fa8a-4ad9-8d9a-abc81ba04c72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313D526A</paraID>
      <start>0</start>
      <end>2</end>
      <status>ignored</status>
      <modifiedWord/>
      <trackRevisions>false</trackRevisions>
    </reviewItem>
    <reviewItem>
      <errorID>6d75f41d-8cfc-42a6-bcfe-121979bcfe58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7DFA6B71</paraID>
      <start>0</start>
      <end>2</end>
      <status>ignored</status>
      <modifiedWord/>
      <trackRevisions>false</trackRevisions>
    </reviewItem>
    <reviewItem>
      <errorID>6b043a69-1e72-4089-88d9-1325bc18cb98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72307AE3</paraID>
      <start>0</start>
      <end>2</end>
      <status>ignored</status>
      <modifiedWord/>
      <trackRevisions>false</trackRevisions>
    </reviewItem>
    <reviewItem>
      <errorID>a29857d5-13bf-4495-b90a-818742f62d0f</errorID>
      <errorWord>管理办法》中</errorWord>
      <group>L1_Word</group>
      <groupName>字词问题</groupName>
      <ability>L2_Typo</ability>
      <abilityName>字词错误</abilityName>
      <candidateList>
        <item>管理办法》</item>
      </candidateList>
      <explain/>
      <paraID>4277139B</paraID>
      <start>126</start>
      <end>132</end>
      <status>ignored</status>
      <modifiedWord/>
      <trackRevisions>false</trackRevisions>
    </reviewItem>
    <reviewItem>
      <errorID>457f532f-1cc5-4631-9011-cc4b215b3606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294AC39C</paraID>
      <start>0</start>
      <end>2</end>
      <status>ignored</status>
      <modifiedWord/>
      <trackRevisions>false</trackRevisions>
    </reviewItem>
    <reviewItem>
      <errorID>6c18c4ec-f208-4740-814a-edb6bdd4ed20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65CF0AD3</paraID>
      <start>0</start>
      <end>2</end>
      <status>ignored</status>
      <modifiedWord/>
      <trackRevisions>false</trackRevisions>
    </reviewItem>
    <reviewItem>
      <errorID>a95bd22f-5062-46a6-bb62-54ef956c63e6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154CA1CC</paraID>
      <start>0</start>
      <end>2</end>
      <status>ignored</status>
      <modifiedWord/>
      <trackRevisions>false</trackRevisions>
    </reviewItem>
    <reviewItem>
      <errorID>20bde10a-14de-44b2-b075-e8bac745df09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6E20F835</paraID>
      <start>0</start>
      <end>2</end>
      <status>ignored</status>
      <modifiedWord/>
      <trackRevisions>false</trackRevisions>
    </reviewItem>
    <reviewItem>
      <errorID>4c938dce-ef57-4304-9ddd-5fc3a23666b6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6ECF48E4</paraID>
      <start>0</start>
      <end>2</end>
      <status>ignored</status>
      <modifiedWord/>
      <trackRevisions>false</trackRevisions>
    </reviewItem>
    <reviewItem>
      <errorID>78966dbc-a190-4e45-bf73-62981a2bc85b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1E09585E</paraID>
      <start>0</start>
      <end>2</end>
      <status>ignored</status>
      <modifiedWord/>
      <trackRevisions>false</trackRevisions>
    </reviewItem>
    <reviewItem>
      <errorID>08fc3565-bef4-4cc5-aade-3ee3365bf648</errorID>
      <errorWord>计</errorWord>
      <group>L1_Word</group>
      <groupName>字词问题</groupName>
      <ability>L2_Typo</ability>
      <abilityName>字词错误</abilityName>
      <candidateList>
        <item>计算</item>
      </candidateList>
      <explain/>
      <paraID>1324B701</paraID>
      <start>41</start>
      <end>42</end>
      <status>ignored</status>
      <modifiedWord/>
      <trackRevisions>false</trackRevisions>
    </reviewItem>
    <reviewItem>
      <errorID>500b7afb-77b0-4cd2-a890-f6bd0ceeaa7a</errorID>
      <errorWord>计</errorWord>
      <group>L1_Word</group>
      <groupName>字词问题</groupName>
      <ability>L2_Typo</ability>
      <abilityName>字词错误</abilityName>
      <candidateList>
        <item>计算</item>
      </candidateList>
      <explain/>
      <paraID>7CA4DCDF</paraID>
      <start>41</start>
      <end>42</end>
      <status>ignored</status>
      <modifiedWord/>
      <trackRevisions>false</trackRevisions>
    </reviewItem>
    <reviewItem>
      <errorID>0b94ae5f-6546-4da6-a1b9-b4a5d02ed15b</errorID>
      <errorWord>管理办法》中</errorWord>
      <group>L1_Word</group>
      <groupName>字词问题</groupName>
      <ability>L2_Typo</ability>
      <abilityName>字词错误</abilityName>
      <candidateList>
        <item>管理办法》</item>
      </candidateList>
      <explain/>
      <paraID>5EB70501</paraID>
      <start>42</start>
      <end>48</end>
      <status>ignored</status>
      <modifiedWord/>
      <trackRevisions>false</trackRevisions>
    </reviewItem>
    <reviewItem>
      <errorID>8c12024e-3829-4de6-87f4-2c4dca27f797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38F32BFD</paraID>
      <start>0</start>
      <end>2</end>
      <status>ignored</status>
      <modifiedWord/>
      <trackRevisions>false</trackRevisions>
    </reviewItem>
    <reviewItem>
      <errorID>4e594e4f-5b89-4e39-a703-9b88a535e02b</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44A61EB1</paraID>
      <start>1</start>
      <end>4</end>
      <status>ignored</status>
      <modifiedWord/>
      <trackRevisions>false</trackRevisions>
    </reviewItem>
    <reviewItem>
      <errorID>9214f755-9eb9-4b07-809a-5399184e3d38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2306AF0D</paraID>
      <start>0</start>
      <end>2</end>
      <status>ignored</status>
      <modifiedWord/>
      <trackRevisions>false</trackRevisions>
    </reviewItem>
    <reviewItem>
      <errorID>5379ce5d-e934-48b0-b8ae-da4fc63b2d13</errorID>
      <errorWord>管理办法》中</errorWord>
      <group>L1_Word</group>
      <groupName>字词问题</groupName>
      <ability>L2_Typo</ability>
      <abilityName>字词错误</abilityName>
      <candidateList>
        <item>管理办法》</item>
      </candidateList>
      <explain/>
      <paraID>73F70EA4</paraID>
      <start>42</start>
      <end>48</end>
      <status>ignored</status>
      <modifiedWord/>
      <trackRevisions>false</trackRevisions>
    </reviewItem>
    <reviewItem>
      <errorID>668d59f1-5210-4eaa-9370-21ef3051d83a</errorID>
      <errorWord>峨山县</errorWord>
      <group>L1_Knowledge</group>
      <groupName>知识性问题</groupName>
      <ability>L2_Location</ability>
      <abilityName>地名检查</abilityName>
      <candidateList>
        <item>峨山彝族自治县</item>
      </candidateList>
      <explain>自治区州县缩写不规范。《地名管理条例》第十八条规定，标识牌、公共平台发布的信息、各类公文证件、学习类公开出版物、地图、法律法规规定等场景范围内必须使用标准地名。</explain>
      <paraID>2151E87D</paraID>
      <start>8</start>
      <end>11</end>
      <status>ignored</status>
      <modifiedWord/>
      <trackRevisions>false</trackRevisions>
    </reviewItem>
    <reviewItem>
      <errorID>0c8c6b5d-f2d2-4f71-aaa0-27784204b053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4E327E3</paraID>
      <start>0</start>
      <end>2</end>
      <status>ignored</status>
      <modifiedWord/>
      <trackRevisions>false</trackRevisions>
    </reviewItem>
    <reviewItem>
      <errorID>9ec5dc8d-74ca-4c6a-a8d3-78d4b5c1ef99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2CBB2AC1</paraID>
      <start>0</start>
      <end>2</end>
      <status>ignored</status>
      <modifiedWord/>
      <trackRevisions>false</trackRevisions>
    </reviewItem>
    <reviewItem>
      <errorID>b5fee384-6ae8-4899-87b6-688a955c74db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5C8DC394</paraID>
      <start>0</start>
      <end>2</end>
      <status>ignored</status>
      <modifiedWord/>
      <trackRevisions>false</trackRevisions>
    </reviewItem>
    <reviewItem>
      <errorID>70e1d692-ff68-4495-b6db-7f92ee8d423a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108A4363</paraID>
      <start>0</start>
      <end>2</end>
      <status>ignored</status>
      <modifiedWord/>
      <trackRevisions>false</trackRevisions>
    </reviewItem>
    <reviewItem>
      <errorID>fee468d3-e1f6-4ae8-acbd-24cad5ec9667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5FD2DB9E</paraID>
      <start>0</start>
      <end>2</end>
      <status>ignored</status>
      <modifiedWord/>
      <trackRevisions>false</trackRevisions>
    </reviewItem>
    <reviewItem>
      <errorID>58a0926d-f70c-417f-bde1-fb9c4cd6536c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7C5E6803</paraID>
      <start>0</start>
      <end>2</end>
      <status>ignored</status>
      <modifiedWord/>
      <trackRevisions>false</trackRevisions>
    </reviewItem>
    <reviewItem>
      <errorID>5da15315-3948-425c-a7fd-7735cc72dfc4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6645BC3A</paraID>
      <start>0</start>
      <end>2</end>
      <status>ignored</status>
      <modifiedWord/>
      <trackRevisions>false</trackRevisions>
    </reviewItem>
    <reviewItem>
      <errorID>f37e9d4f-1e87-47a5-aac5-08581666cf80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1CBB21BE</paraID>
      <start>0</start>
      <end>2</end>
      <status>ignored</status>
      <modifiedWord/>
      <trackRevisions>false</trackRevisions>
    </reviewItem>
    <reviewItem>
      <errorID>c0950824-2607-4a2b-a450-b92dc80aa67e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7231702D</paraID>
      <start>0</start>
      <end>2</end>
      <status>ignored</status>
      <modifiedWord/>
      <trackRevisions>false</trackRevisions>
    </reviewItem>
    <reviewItem>
      <errorID>20beaf46-f3ac-4d98-a36b-3e52603ac8db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6839BBDE</paraID>
      <start>0</start>
      <end>2</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f1ddfd-9928-4e45-ada3-7d1a14bfd6ee}">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139</Pages>
  <Words>18731</Words>
  <Characters>19575</Characters>
  <Lines>1</Lines>
  <Paragraphs>1</Paragraphs>
  <TotalTime>28</TotalTime>
  <ScaleCrop>false</ScaleCrop>
  <LinksUpToDate>false</LinksUpToDate>
  <CharactersWithSpaces>19624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2021-06-23T16:39:00Z</dcterms:created>
  <dc:creator>lhj</dc:creator>
  <cp:lastModifiedBy>LY</cp:lastModifiedBy>
  <cp:lastPrinted>2021-06-30T13:34:00Z</cp:lastPrinted>
  <dcterms:modified xsi:type="dcterms:W3CDTF">2026-07-06T09:33:04Z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2D099B8D4ABF4E61BACA3B9867B26A82_13</vt:lpwstr>
  </property>
  <property fmtid="{D5CDD505-2E9C-101B-9397-08002B2CF9AE}" pid="4" name="KSOTemplateDocerSaveRecord">
    <vt:lpwstr>eyJoZGlkIjoiZDQ1MGM4ODQxODA1YjVmNmFkMGRkNGMzNDhjODgwOWMiLCJ1c2VySWQiOiIzNDAxNzEwOTEifQ==</vt:lpwstr>
  </property>
</Properties>
</file>