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jc w:val="both"/>
        <w:textAlignment w:val="auto"/>
        <w:outlineLvl w:val="9"/>
        <w:rPr>
          <w:rFonts w:hint="eastAsia" w:ascii="方正黑体_GBK" w:hAnsi="方正黑体_GBK" w:eastAsia="方正黑体_GBK" w:cs="方正黑体_GBK"/>
          <w:color w:val="auto"/>
          <w:sz w:val="32"/>
          <w:szCs w:val="32"/>
          <w:u w:val="none" w:color="auto"/>
          <w:lang w:val="en-US" w:eastAsia="zh-CN"/>
        </w:rPr>
      </w:pPr>
      <w:bookmarkStart w:id="17" w:name="_GoBack"/>
      <w:r>
        <w:rPr>
          <w:rFonts w:hint="eastAsia" w:ascii="方正黑体_GBK" w:hAnsi="方正黑体_GBK" w:eastAsia="方正黑体_GBK" w:cs="方正黑体_GBK"/>
          <w:color w:val="auto"/>
          <w:sz w:val="32"/>
          <w:szCs w:val="32"/>
          <w:u w:val="none" w:color="auto"/>
          <w:lang w:val="en-US" w:eastAsia="zh-CN"/>
        </w:rPr>
        <w:t>附件2</w:t>
      </w:r>
    </w:p>
    <w:bookmarkEnd w:id="17"/>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jc w:val="center"/>
        <w:textAlignment w:val="auto"/>
        <w:outlineLvl w:val="9"/>
        <w:rPr>
          <w:rFonts w:hint="eastAsia" w:ascii="Times New Roman" w:hAnsi="Times New Roman" w:eastAsia="方正小标宋_GBK" w:cs="Times New Roman"/>
          <w:color w:val="auto"/>
          <w:sz w:val="44"/>
          <w:szCs w:val="44"/>
          <w:u w:val="none" w:color="auto"/>
          <w:lang w:val="en-US" w:eastAsia="zh-CN"/>
        </w:rPr>
      </w:pP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jc w:val="center"/>
        <w:textAlignment w:val="auto"/>
        <w:outlineLvl w:val="9"/>
        <w:rPr>
          <w:rFonts w:hint="eastAsia" w:ascii="Times New Roman" w:hAnsi="Times New Roman" w:eastAsia="方正小标宋_GBK" w:cs="Times New Roman"/>
          <w:color w:val="auto"/>
          <w:sz w:val="44"/>
          <w:szCs w:val="44"/>
          <w:u w:val="none" w:color="auto"/>
          <w:lang w:val="en-US" w:eastAsia="zh-CN"/>
        </w:rPr>
      </w:pPr>
      <w:r>
        <w:rPr>
          <w:rFonts w:hint="eastAsia" w:ascii="Times New Roman" w:hAnsi="Times New Roman" w:eastAsia="方正小标宋_GBK" w:cs="Times New Roman"/>
          <w:color w:val="auto"/>
          <w:sz w:val="44"/>
          <w:szCs w:val="44"/>
          <w:u w:val="none" w:color="auto"/>
          <w:lang w:val="en-US" w:eastAsia="zh-CN"/>
        </w:rPr>
        <w:t>玉溪市工业园区生态环境安全风险隐患</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jc w:val="center"/>
        <w:textAlignment w:val="auto"/>
        <w:outlineLvl w:val="9"/>
        <w:rPr>
          <w:rFonts w:hint="eastAsia" w:ascii="Times New Roman" w:hAnsi="Times New Roman" w:eastAsia="方正小标宋_GBK" w:cs="Times New Roman"/>
          <w:color w:val="auto"/>
          <w:sz w:val="44"/>
          <w:szCs w:val="44"/>
          <w:u w:val="none" w:color="auto"/>
          <w:lang w:val="en-US" w:eastAsia="zh-CN"/>
        </w:rPr>
      </w:pPr>
      <w:r>
        <w:rPr>
          <w:rFonts w:hint="eastAsia" w:ascii="Times New Roman" w:hAnsi="Times New Roman" w:eastAsia="方正小标宋_GBK" w:cs="Times New Roman"/>
          <w:color w:val="auto"/>
          <w:sz w:val="44"/>
          <w:szCs w:val="44"/>
          <w:u w:val="none" w:color="auto"/>
          <w:lang w:val="en-US" w:eastAsia="zh-CN"/>
        </w:rPr>
        <w:t>排查整治工作方案</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color w:val="auto"/>
          <w:kern w:val="0"/>
          <w:sz w:val="32"/>
          <w:szCs w:val="32"/>
          <w:lang w:val="en-US" w:eastAsia="zh-CN" w:bidi="ar"/>
        </w:rPr>
        <w:t>为深入贯彻总体国家安全观，统筹发展和安全，切实加强我市工业园区生态环境执法监管，严厉打击超标排污、不正常运行污染防治设施等突出环境违法行为，强化指导帮扶，督促企业全面落实生态环境安全主体责任，有效防范重特大突发生态环境事件发生，持续改善全市生态环境质量，</w:t>
      </w:r>
      <w:r>
        <w:rPr>
          <w:rFonts w:hint="default" w:ascii="Times New Roman" w:hAnsi="Times New Roman" w:eastAsia="方正仿宋_GBK" w:cs="Times New Roman"/>
          <w:color w:val="auto"/>
          <w:kern w:val="0"/>
          <w:sz w:val="32"/>
          <w:szCs w:val="32"/>
          <w:lang w:val="en-US" w:eastAsia="zh-CN" w:bidi="ar"/>
        </w:rPr>
        <w:t>根据《国务院办公厅关于严格规范涉企行政检查的意见》（国办发〔2024〕54号）、《生态环境部办公厅关于深入开展突发环境事件风险隐患排查工作的通知》（环办应急函〔2025〕236号）、《关于印发〈生态环境重大事故隐患判定标准〉的通知》（环办应急函〔2025〕441号）等文件要求，结合我市实际，制定本方案</w:t>
      </w:r>
      <w:r>
        <w:rPr>
          <w:rFonts w:hint="eastAsia" w:ascii="Times New Roman" w:hAnsi="Times New Roman" w:eastAsia="方正仿宋_GBK" w:cs="Times New Roman"/>
          <w:color w:val="auto"/>
          <w:kern w:val="0"/>
          <w:sz w:val="32"/>
          <w:szCs w:val="32"/>
          <w:lang w:val="en-US" w:eastAsia="zh-CN" w:bidi="ar"/>
        </w:rPr>
        <w:t>。</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outlineLvl w:val="9"/>
        <w:rPr>
          <w:rFonts w:hint="eastAsia" w:ascii="Times New Roman" w:hAnsi="Times New Roman" w:eastAsia="方正黑体_GBK" w:cs="Times New Roman"/>
          <w:color w:val="auto"/>
          <w:sz w:val="32"/>
          <w:szCs w:val="32"/>
          <w:u w:val="none" w:color="auto"/>
          <w:lang w:val="en-US" w:eastAsia="zh-CN"/>
        </w:rPr>
      </w:pPr>
      <w:bookmarkStart w:id="0" w:name="heading_0"/>
      <w:r>
        <w:rPr>
          <w:rFonts w:hint="eastAsia" w:ascii="Times New Roman" w:hAnsi="Times New Roman" w:eastAsia="方正黑体_GBK" w:cs="Times New Roman"/>
          <w:color w:val="auto"/>
          <w:sz w:val="32"/>
          <w:szCs w:val="32"/>
          <w:u w:val="none" w:color="auto"/>
          <w:lang w:val="en-US" w:eastAsia="zh-CN"/>
        </w:rPr>
        <w:t>一、时间和范围</w:t>
      </w:r>
      <w:bookmarkEnd w:id="0"/>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方正楷体_GBK" w:hAnsi="方正楷体_GBK" w:eastAsia="方正楷体_GBK" w:cs="方正楷体_GBK"/>
          <w:color w:val="auto"/>
          <w:kern w:val="0"/>
          <w:sz w:val="32"/>
          <w:szCs w:val="32"/>
          <w:lang w:val="en-US" w:eastAsia="zh-CN" w:bidi="ar"/>
        </w:rPr>
      </w:pPr>
      <w:bookmarkStart w:id="1" w:name="heading_1"/>
      <w:r>
        <w:rPr>
          <w:rFonts w:hint="eastAsia" w:ascii="方正楷体_GBK" w:hAnsi="方正楷体_GBK" w:eastAsia="方正楷体_GBK" w:cs="方正楷体_GBK"/>
          <w:color w:val="auto"/>
          <w:kern w:val="0"/>
          <w:sz w:val="32"/>
          <w:szCs w:val="32"/>
          <w:lang w:val="en-US" w:eastAsia="zh-CN" w:bidi="ar"/>
        </w:rPr>
        <w:t>（一）时间安排</w:t>
      </w:r>
      <w:bookmarkEnd w:id="1"/>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color w:val="auto"/>
          <w:kern w:val="0"/>
          <w:sz w:val="32"/>
          <w:szCs w:val="32"/>
          <w:lang w:val="en-US" w:eastAsia="zh-CN" w:bidi="ar"/>
        </w:rPr>
        <w:t>动员部署阶段</w:t>
      </w:r>
      <w:r>
        <w:rPr>
          <w:rFonts w:hint="eastAsia" w:ascii="Times New Roman" w:hAnsi="Times New Roman" w:eastAsia="方正仿宋_GBK" w:cs="Times New Roman"/>
          <w:color w:val="auto"/>
          <w:kern w:val="0"/>
          <w:sz w:val="32"/>
          <w:szCs w:val="32"/>
          <w:lang w:val="en-US" w:eastAsia="zh-CN" w:bidi="ar"/>
        </w:rPr>
        <w:t>（2026年8月3日—2026年8月7日）。召开全市工业园区生态环境安全风险隐患排查整治工作动员部署会，印发方案，明确目标任务、职责分工和工作要求。各分局、工业园区管委会完成辖区内企业摸底排查，建立企业清单，组织开展政策宣传和业务培训，督促指导企业启动自查自纠。</w:t>
      </w:r>
    </w:p>
    <w:p>
      <w:pPr>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left"/>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sz w:val="32"/>
          <w:szCs w:val="32"/>
          <w:lang w:val="en-US" w:eastAsia="zh-CN"/>
        </w:rPr>
        <w:t>2．</w:t>
      </w:r>
      <w:r>
        <w:rPr>
          <w:rFonts w:hint="eastAsia" w:ascii="Times New Roman" w:hAnsi="Times New Roman" w:eastAsia="方正仿宋_GBK" w:cs="Times New Roman"/>
          <w:b/>
          <w:bCs/>
          <w:color w:val="auto"/>
          <w:kern w:val="0"/>
          <w:sz w:val="32"/>
          <w:szCs w:val="32"/>
          <w:lang w:val="en-US" w:eastAsia="zh-CN" w:bidi="ar"/>
        </w:rPr>
        <w:t>企业自查自改阶段</w:t>
      </w:r>
      <w:r>
        <w:rPr>
          <w:rFonts w:hint="eastAsia" w:ascii="Times New Roman" w:hAnsi="Times New Roman" w:eastAsia="方正仿宋_GBK" w:cs="Times New Roman"/>
          <w:color w:val="auto"/>
          <w:kern w:val="0"/>
          <w:sz w:val="32"/>
          <w:szCs w:val="32"/>
          <w:lang w:val="en-US" w:eastAsia="zh-CN" w:bidi="ar"/>
        </w:rPr>
        <w:t>（2026年8月10日—2026年8月20日）。工业园区内所有企业对照</w:t>
      </w:r>
      <w:r>
        <w:rPr>
          <w:rFonts w:hint="eastAsia" w:ascii="方正仿宋_GBK" w:hAnsi="方正仿宋_GBK" w:eastAsia="方正仿宋_GBK" w:cs="方正仿宋_GBK"/>
          <w:color w:val="auto"/>
          <w:kern w:val="0"/>
          <w:sz w:val="32"/>
          <w:szCs w:val="32"/>
          <w:lang w:val="en-US" w:eastAsia="zh-CN" w:bidi="ar"/>
        </w:rPr>
        <w:t>《</w:t>
      </w:r>
      <w:r>
        <w:rPr>
          <w:rFonts w:hint="eastAsia" w:ascii="方正仿宋_GBK" w:hAnsi="方正仿宋_GBK" w:eastAsia="方正仿宋_GBK" w:cs="方正仿宋_GBK"/>
          <w:i w:val="0"/>
          <w:iCs w:val="0"/>
          <w:caps w:val="0"/>
          <w:color w:val="auto"/>
          <w:spacing w:val="0"/>
          <w:kern w:val="0"/>
          <w:sz w:val="32"/>
          <w:szCs w:val="32"/>
          <w:u w:val="none"/>
          <w:shd w:val="clear" w:fill="FFFFFF"/>
          <w:lang w:val="en-US" w:eastAsia="zh-CN" w:bidi="ar"/>
        </w:rPr>
        <w:fldChar w:fldCharType="begin"/>
      </w:r>
      <w:r>
        <w:rPr>
          <w:rFonts w:hint="eastAsia" w:ascii="方正仿宋_GBK" w:hAnsi="方正仿宋_GBK" w:eastAsia="方正仿宋_GBK" w:cs="方正仿宋_GBK"/>
          <w:i w:val="0"/>
          <w:iCs w:val="0"/>
          <w:caps w:val="0"/>
          <w:color w:val="auto"/>
          <w:spacing w:val="0"/>
          <w:kern w:val="0"/>
          <w:sz w:val="32"/>
          <w:szCs w:val="32"/>
          <w:u w:val="none"/>
          <w:shd w:val="clear" w:fill="FFFFFF"/>
          <w:lang w:val="en-US" w:eastAsia="zh-CN" w:bidi="ar"/>
        </w:rPr>
        <w:instrText xml:space="preserve"> HYPERLINK "https://www.mee.gov.cn/gkml/hbb/bgg/201612/W020161216543044199383.doc" </w:instrText>
      </w:r>
      <w:r>
        <w:rPr>
          <w:rFonts w:hint="eastAsia" w:ascii="方正仿宋_GBK" w:hAnsi="方正仿宋_GBK" w:eastAsia="方正仿宋_GBK" w:cs="方正仿宋_GBK"/>
          <w:i w:val="0"/>
          <w:iCs w:val="0"/>
          <w:caps w:val="0"/>
          <w:color w:val="auto"/>
          <w:spacing w:val="0"/>
          <w:kern w:val="0"/>
          <w:sz w:val="32"/>
          <w:szCs w:val="32"/>
          <w:u w:val="none"/>
          <w:shd w:val="clear" w:fill="FFFFFF"/>
          <w:lang w:val="en-US" w:eastAsia="zh-CN" w:bidi="ar"/>
        </w:rPr>
        <w:fldChar w:fldCharType="separate"/>
      </w:r>
      <w:r>
        <w:rPr>
          <w:rStyle w:val="8"/>
          <w:rFonts w:hint="eastAsia" w:ascii="方正仿宋_GBK" w:hAnsi="方正仿宋_GBK" w:eastAsia="方正仿宋_GBK" w:cs="方正仿宋_GBK"/>
          <w:i w:val="0"/>
          <w:iCs w:val="0"/>
          <w:caps w:val="0"/>
          <w:color w:val="auto"/>
          <w:spacing w:val="0"/>
          <w:sz w:val="32"/>
          <w:szCs w:val="32"/>
          <w:u w:val="none"/>
          <w:shd w:val="clear" w:fill="FFFFFF"/>
        </w:rPr>
        <w:t>企业突发环境事件隐患排查和治理工作指南（试行）</w:t>
      </w:r>
      <w:r>
        <w:rPr>
          <w:rFonts w:hint="eastAsia" w:ascii="方正仿宋_GBK" w:hAnsi="方正仿宋_GBK" w:eastAsia="方正仿宋_GBK" w:cs="方正仿宋_GBK"/>
          <w:i w:val="0"/>
          <w:iCs w:val="0"/>
          <w:caps w:val="0"/>
          <w:color w:val="auto"/>
          <w:spacing w:val="0"/>
          <w:kern w:val="0"/>
          <w:sz w:val="32"/>
          <w:szCs w:val="32"/>
          <w:u w:val="none"/>
          <w:shd w:val="clear" w:fill="FFFFFF"/>
          <w:lang w:val="en-US" w:eastAsia="zh-CN" w:bidi="ar"/>
        </w:rPr>
        <w:fldChar w:fldCharType="end"/>
      </w:r>
      <w:r>
        <w:rPr>
          <w:rFonts w:hint="eastAsia" w:ascii="方正仿宋_GBK" w:hAnsi="方正仿宋_GBK" w:eastAsia="方正仿宋_GBK" w:cs="方正仿宋_GBK"/>
          <w:color w:val="auto"/>
          <w:kern w:val="0"/>
          <w:sz w:val="32"/>
          <w:szCs w:val="32"/>
          <w:lang w:val="en-US" w:eastAsia="zh-CN" w:bidi="ar"/>
        </w:rPr>
        <w:t>》《生态环境重大事故隐患判定标准》</w:t>
      </w:r>
      <w:r>
        <w:rPr>
          <w:rFonts w:hint="eastAsia" w:ascii="Times New Roman" w:hAnsi="Times New Roman" w:eastAsia="方正仿宋_GBK" w:cs="Times New Roman"/>
          <w:color w:val="auto"/>
          <w:kern w:val="0"/>
          <w:sz w:val="32"/>
          <w:szCs w:val="32"/>
          <w:lang w:val="en-US" w:eastAsia="zh-CN" w:bidi="ar"/>
        </w:rPr>
        <w:t>，全面开展自查，建立问题清单、整改清单、责任清单，明确整改措施、整改时限和责任人，完成自查报告并上报属地生态环境分局。各分局对企业自查情况进行跟踪指导，督促企业立行立改、边查边改；涉嫌违法的依法立案调查处理。</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sz w:val="32"/>
          <w:szCs w:val="32"/>
          <w:lang w:val="en-US" w:eastAsia="zh-CN"/>
        </w:rPr>
        <w:t>3．</w:t>
      </w:r>
      <w:r>
        <w:rPr>
          <w:rFonts w:hint="eastAsia" w:ascii="Times New Roman" w:hAnsi="Times New Roman" w:eastAsia="方正仿宋_GBK" w:cs="Times New Roman"/>
          <w:b/>
          <w:bCs/>
          <w:color w:val="auto"/>
          <w:kern w:val="0"/>
          <w:sz w:val="32"/>
          <w:szCs w:val="32"/>
          <w:lang w:val="en-US" w:eastAsia="zh-CN" w:bidi="ar"/>
        </w:rPr>
        <w:t>市级抽查、核查阶段</w:t>
      </w:r>
      <w:r>
        <w:rPr>
          <w:rFonts w:hint="eastAsia" w:ascii="Times New Roman" w:hAnsi="Times New Roman" w:eastAsia="方正仿宋_GBK" w:cs="Times New Roman"/>
          <w:color w:val="auto"/>
          <w:kern w:val="0"/>
          <w:sz w:val="32"/>
          <w:szCs w:val="32"/>
          <w:lang w:val="en-US" w:eastAsia="zh-CN" w:bidi="ar"/>
        </w:rPr>
        <w:t>（2026年8月21日—2026年8月31日）。市级工作组采取“四不两直”、明查暗访、资料核查与现场踏勘相结合的方式，对各工业园区、重点企业自查自改情况开展抽查核查，重点核查企业自查是否全面、问题排查是否到位、整改措施是否有效、整改是否闭环，对发现的问题现场反馈、挂牌督办。</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sz w:val="32"/>
          <w:szCs w:val="32"/>
          <w:lang w:val="en-US" w:eastAsia="zh-CN"/>
        </w:rPr>
        <w:t>4．</w:t>
      </w:r>
      <w:r>
        <w:rPr>
          <w:rFonts w:hint="eastAsia" w:ascii="Times New Roman" w:hAnsi="Times New Roman" w:eastAsia="方正仿宋_GBK" w:cs="Times New Roman"/>
          <w:b/>
          <w:bCs/>
          <w:color w:val="auto"/>
          <w:kern w:val="0"/>
          <w:sz w:val="32"/>
          <w:szCs w:val="32"/>
          <w:lang w:val="en-US" w:eastAsia="zh-CN" w:bidi="ar"/>
        </w:rPr>
        <w:t>整改提升阶段</w:t>
      </w:r>
      <w:r>
        <w:rPr>
          <w:rFonts w:hint="eastAsia" w:ascii="Times New Roman" w:hAnsi="Times New Roman" w:eastAsia="方正仿宋_GBK" w:cs="Times New Roman"/>
          <w:color w:val="auto"/>
          <w:kern w:val="0"/>
          <w:sz w:val="32"/>
          <w:szCs w:val="32"/>
          <w:lang w:val="en-US" w:eastAsia="zh-CN" w:bidi="ar"/>
        </w:rPr>
        <w:t>（2026年9月1日—2026年9月15日）。各分局针对自查、抽查发现的问题，建立台账、销号管理，督促企业限期完成整改；对重大风险隐患挂牌督办，跟踪问效，直至问题销号。市级工作组开展“回头看”，严防问题反弹。总结排查整治经验做法，健全长效监管机制，巩固排查整治成果。</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2" w:name="heading_2"/>
      <w:r>
        <w:rPr>
          <w:rFonts w:hint="eastAsia" w:ascii="方正楷体_GBK" w:hAnsi="方正楷体_GBK" w:eastAsia="方正楷体_GBK" w:cs="方正楷体_GBK"/>
          <w:color w:val="auto"/>
          <w:kern w:val="0"/>
          <w:sz w:val="32"/>
          <w:szCs w:val="32"/>
          <w:lang w:val="en-US" w:eastAsia="zh-CN" w:bidi="ar"/>
        </w:rPr>
        <w:t>（二）排查范围</w:t>
      </w:r>
      <w:bookmarkEnd w:id="2"/>
      <w:r>
        <w:rPr>
          <w:rFonts w:hint="eastAsia" w:ascii="方正楷体_GBK" w:hAnsi="方正楷体_GBK" w:eastAsia="方正楷体_GBK" w:cs="方正楷体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全市所有工业园区（含化工园区、高新技术产业园区、经济开发区等各类工业聚集区）及园区内所有工业企业，重点覆盖：化工、医药、电镀、印染、有色金属冶炼等高污染、高环境风险企业；涉重金属、危险废物、危险化学品、持久性有机污染物的企业；污水处理厂、垃圾焚烧厂、集中式饮用水水源地周边企业；存在环境信访投诉、历史违法记录、超标排放隐患的企业；工业园区污水集中处理设施、雨水管网等公共环保基础设施。</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黑体_GBK" w:cs="Times New Roman"/>
          <w:color w:val="auto"/>
          <w:sz w:val="32"/>
          <w:szCs w:val="32"/>
          <w:u w:val="none" w:color="auto"/>
          <w:lang w:val="en-US" w:eastAsia="zh-CN"/>
        </w:rPr>
      </w:pPr>
      <w:bookmarkStart w:id="3" w:name="heading_3"/>
      <w:r>
        <w:rPr>
          <w:rFonts w:hint="eastAsia" w:ascii="Times New Roman" w:hAnsi="Times New Roman" w:eastAsia="方正黑体_GBK" w:cs="Times New Roman"/>
          <w:color w:val="auto"/>
          <w:sz w:val="32"/>
          <w:szCs w:val="32"/>
          <w:u w:val="none" w:color="auto"/>
          <w:lang w:val="en-US" w:eastAsia="zh-CN"/>
        </w:rPr>
        <w:t>二、排查重点</w:t>
      </w:r>
      <w:bookmarkEnd w:id="3"/>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color w:val="auto"/>
          <w:kern w:val="0"/>
          <w:sz w:val="32"/>
          <w:szCs w:val="32"/>
          <w:lang w:val="en-US" w:eastAsia="zh-CN" w:bidi="ar"/>
        </w:rPr>
        <w:t>聚焦“查风险、治隐患、防事故、严执法、建机制”，重点排查以下内容：</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4" w:name="heading_4"/>
      <w:r>
        <w:rPr>
          <w:rFonts w:hint="eastAsia" w:ascii="方正楷体_GBK" w:hAnsi="方正楷体_GBK" w:eastAsia="方正楷体_GBK" w:cs="方正楷体_GBK"/>
          <w:color w:val="auto"/>
          <w:kern w:val="0"/>
          <w:sz w:val="32"/>
          <w:szCs w:val="32"/>
          <w:lang w:val="en-US" w:eastAsia="zh-CN" w:bidi="ar"/>
        </w:rPr>
        <w:t>（一）企业环境守法情况</w:t>
      </w:r>
      <w:bookmarkEnd w:id="4"/>
      <w:r>
        <w:rPr>
          <w:rFonts w:hint="eastAsia" w:ascii="方正楷体_GBK" w:hAnsi="方正楷体_GBK" w:eastAsia="方正楷体_GBK" w:cs="方正楷体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环评及“三同时”制度执行情况，排污许可证申领、变更、执行及台账记录情况；污染防治设施（废水、废气、固废、噪声等）建设、运行、维护情况，是否存在闲置、停运、擅自拆除或不正常运行污染防治设施，暗管排污等违法行为；废水、废气排放口规范化设置及在线监测设备安装、联网、运行情况，数据真实有效性，是否存在篡改、伪造监测数据行为；危险废物分类收集、暂存、转移、处置全流程管理情况，危险废物暂存间防扬散、防流失、防渗漏措施落实情况，是否存在非法倾倒、填埋、转移、处置危险废物行为；重金属、挥发性有机物、有毒有害物质等特征污染物排放管控情况；环境信访投诉、行政处罚问题整改落实情况，是否存在屡查屡犯问题。</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5" w:name="heading_5"/>
      <w:r>
        <w:rPr>
          <w:rFonts w:hint="eastAsia" w:ascii="方正楷体_GBK" w:hAnsi="方正楷体_GBK" w:eastAsia="方正楷体_GBK" w:cs="方正楷体_GBK"/>
          <w:color w:val="auto"/>
          <w:kern w:val="0"/>
          <w:sz w:val="32"/>
          <w:szCs w:val="32"/>
          <w:lang w:val="en-US" w:eastAsia="zh-CN" w:bidi="ar"/>
        </w:rPr>
        <w:t>（二）环境风险防控及应急管理情况</w:t>
      </w:r>
      <w:bookmarkEnd w:id="5"/>
      <w:r>
        <w:rPr>
          <w:rFonts w:hint="eastAsia" w:ascii="方正楷体_GBK" w:hAnsi="方正楷体_GBK" w:eastAsia="方正楷体_GBK" w:cs="方正楷体_GBK"/>
          <w:color w:val="auto"/>
          <w:kern w:val="0"/>
          <w:sz w:val="32"/>
          <w:szCs w:val="32"/>
          <w:lang w:val="en-US" w:eastAsia="zh-CN" w:bidi="ar"/>
        </w:rPr>
        <w:t>。</w:t>
      </w:r>
      <w:r>
        <w:rPr>
          <w:rFonts w:hint="eastAsia" w:ascii="方正仿宋_GBK" w:hAnsi="方正仿宋_GBK" w:eastAsia="方正仿宋_GBK" w:cs="方正仿宋_GBK"/>
          <w:color w:val="auto"/>
          <w:kern w:val="0"/>
          <w:sz w:val="32"/>
          <w:szCs w:val="32"/>
          <w:lang w:val="en-US" w:eastAsia="zh-CN" w:bidi="ar"/>
        </w:rPr>
        <w:t>对照《生态环境重大事故隐患判定标准》《</w:t>
      </w:r>
      <w:r>
        <w:rPr>
          <w:rFonts w:hint="eastAsia" w:ascii="方正仿宋_GBK" w:hAnsi="方正仿宋_GBK" w:eastAsia="方正仿宋_GBK" w:cs="方正仿宋_GBK"/>
          <w:i w:val="0"/>
          <w:iCs w:val="0"/>
          <w:caps w:val="0"/>
          <w:color w:val="auto"/>
          <w:spacing w:val="0"/>
          <w:kern w:val="0"/>
          <w:sz w:val="32"/>
          <w:szCs w:val="32"/>
          <w:u w:val="none"/>
          <w:shd w:val="clear" w:fill="FFFFFF"/>
          <w:lang w:val="en-US" w:eastAsia="zh-CN" w:bidi="ar"/>
        </w:rPr>
        <w:fldChar w:fldCharType="begin"/>
      </w:r>
      <w:r>
        <w:rPr>
          <w:rFonts w:hint="eastAsia" w:ascii="方正仿宋_GBK" w:hAnsi="方正仿宋_GBK" w:eastAsia="方正仿宋_GBK" w:cs="方正仿宋_GBK"/>
          <w:i w:val="0"/>
          <w:iCs w:val="0"/>
          <w:caps w:val="0"/>
          <w:color w:val="auto"/>
          <w:spacing w:val="0"/>
          <w:kern w:val="0"/>
          <w:sz w:val="32"/>
          <w:szCs w:val="32"/>
          <w:u w:val="none"/>
          <w:shd w:val="clear" w:fill="FFFFFF"/>
          <w:lang w:val="en-US" w:eastAsia="zh-CN" w:bidi="ar"/>
        </w:rPr>
        <w:instrText xml:space="preserve"> HYPERLINK "https://www.mee.gov.cn/gkml/hbb/bgg/201612/W020161216543044199383.doc" </w:instrText>
      </w:r>
      <w:r>
        <w:rPr>
          <w:rFonts w:hint="eastAsia" w:ascii="方正仿宋_GBK" w:hAnsi="方正仿宋_GBK" w:eastAsia="方正仿宋_GBK" w:cs="方正仿宋_GBK"/>
          <w:i w:val="0"/>
          <w:iCs w:val="0"/>
          <w:caps w:val="0"/>
          <w:color w:val="auto"/>
          <w:spacing w:val="0"/>
          <w:kern w:val="0"/>
          <w:sz w:val="32"/>
          <w:szCs w:val="32"/>
          <w:u w:val="none"/>
          <w:shd w:val="clear" w:fill="FFFFFF"/>
          <w:lang w:val="en-US" w:eastAsia="zh-CN" w:bidi="ar"/>
        </w:rPr>
        <w:fldChar w:fldCharType="separate"/>
      </w:r>
      <w:r>
        <w:rPr>
          <w:rStyle w:val="8"/>
          <w:rFonts w:hint="eastAsia" w:ascii="方正仿宋_GBK" w:hAnsi="方正仿宋_GBK" w:eastAsia="方正仿宋_GBK" w:cs="方正仿宋_GBK"/>
          <w:i w:val="0"/>
          <w:iCs w:val="0"/>
          <w:caps w:val="0"/>
          <w:color w:val="auto"/>
          <w:spacing w:val="0"/>
          <w:sz w:val="32"/>
          <w:szCs w:val="32"/>
          <w:u w:val="none"/>
          <w:shd w:val="clear" w:fill="FFFFFF"/>
        </w:rPr>
        <w:t>企业突发环境事件隐患排查和治理工作指南（试行）</w:t>
      </w:r>
      <w:r>
        <w:rPr>
          <w:rFonts w:hint="eastAsia" w:ascii="方正仿宋_GBK" w:hAnsi="方正仿宋_GBK" w:eastAsia="方正仿宋_GBK" w:cs="方正仿宋_GBK"/>
          <w:i w:val="0"/>
          <w:iCs w:val="0"/>
          <w:caps w:val="0"/>
          <w:color w:val="auto"/>
          <w:spacing w:val="0"/>
          <w:kern w:val="0"/>
          <w:sz w:val="32"/>
          <w:szCs w:val="32"/>
          <w:u w:val="none"/>
          <w:shd w:val="clear" w:fill="FFFFFF"/>
          <w:lang w:val="en-US" w:eastAsia="zh-CN" w:bidi="ar"/>
        </w:rPr>
        <w:fldChar w:fldCharType="end"/>
      </w:r>
      <w:r>
        <w:rPr>
          <w:rFonts w:hint="eastAsia" w:ascii="方正仿宋_GBK" w:hAnsi="方正仿宋_GBK" w:eastAsia="方正仿宋_GBK" w:cs="方正仿宋_GBK"/>
          <w:color w:val="auto"/>
          <w:kern w:val="0"/>
          <w:sz w:val="32"/>
          <w:szCs w:val="32"/>
          <w:lang w:val="en-US" w:eastAsia="zh-CN" w:bidi="ar"/>
        </w:rPr>
        <w:t>》和安全生产有关文件，排查</w:t>
      </w:r>
      <w:r>
        <w:rPr>
          <w:rFonts w:hint="eastAsia" w:ascii="Times New Roman" w:hAnsi="Times New Roman" w:eastAsia="方正仿宋_GBK" w:cs="Times New Roman"/>
          <w:color w:val="auto"/>
          <w:kern w:val="0"/>
          <w:sz w:val="32"/>
          <w:szCs w:val="32"/>
          <w:lang w:val="en-US" w:eastAsia="zh-CN" w:bidi="ar"/>
        </w:rPr>
        <w:t>企业突发环境事件应急预案编制、评估、备案及修订情况，应急演练开展情况；环境风险隐患排查治理制度建立及执行情况，风险辨识、评估及防控措施落实情况，重大风险隐患台账建立及整改情况；事故应急池、防渗设施、应急闸坝等环境应急设施建设、维护及备用状态，是否符合“一级防控不出厂区，二级防控不进内河，三级防控不出园区”要求；环境应急物资（活性炭、围油栏、应急药剂、防护装备等）储备、更新及管理情况，应急队伍组建及培训情况；脱硫、脱硝、挥发性有机物回收、粉尘治理等环保设备设施安全风险隐患治理情况；极端天气（暴雨、洪涝、高温等）、生产安全事故次生环境事件防范应对措施落实情况。</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6" w:name="heading_6"/>
      <w:r>
        <w:rPr>
          <w:rFonts w:hint="eastAsia" w:ascii="方正楷体_GBK" w:hAnsi="方正楷体_GBK" w:eastAsia="方正楷体_GBK" w:cs="方正楷体_GBK"/>
          <w:color w:val="auto"/>
          <w:kern w:val="0"/>
          <w:sz w:val="32"/>
          <w:szCs w:val="32"/>
          <w:lang w:val="en-US" w:eastAsia="zh-CN" w:bidi="ar"/>
        </w:rPr>
        <w:t>（三）工业园区环保基础设施及环境管理情况</w:t>
      </w:r>
      <w:bookmarkEnd w:id="6"/>
      <w:r>
        <w:rPr>
          <w:rFonts w:hint="eastAsia" w:ascii="方正楷体_GBK" w:hAnsi="方正楷体_GBK" w:eastAsia="方正楷体_GBK" w:cs="方正楷体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工业园区规划环评、跟踪评价执行情况，产业布局、环境基础设施建设与规划符合性；园区污水集中处理设施建设、运行及达标排放情况，配套管网（一企一管、明管输送）建设、雨污分流、管网维护情况，是否存在管网空白区、跑冒滴漏、混接错接漏接等问题；园区集中供热、废水收集处理设施建设及运行情况；园区环境应急管理机构、人员、装备配备情况，“一园一策一图”环境应急方案编制及落实情况；园区环境监测体系建设、周边敏感目标（饮用水水源地、居民区、农田等）保护措施落实情况。</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7" w:name="heading_7"/>
      <w:r>
        <w:rPr>
          <w:rFonts w:hint="eastAsia" w:ascii="方正楷体_GBK" w:hAnsi="方正楷体_GBK" w:eastAsia="方正楷体_GBK" w:cs="方正楷体_GBK"/>
          <w:color w:val="auto"/>
          <w:kern w:val="0"/>
          <w:sz w:val="32"/>
          <w:szCs w:val="32"/>
          <w:lang w:val="en-US" w:eastAsia="zh-CN" w:bidi="ar"/>
        </w:rPr>
        <w:t>（四）其他重点排查内容</w:t>
      </w:r>
      <w:bookmarkEnd w:id="7"/>
      <w:r>
        <w:rPr>
          <w:rFonts w:hint="eastAsia" w:ascii="方正楷体_GBK" w:hAnsi="方正楷体_GBK" w:eastAsia="方正楷体_GBK" w:cs="方正楷体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企业环境信息公开情况，排污信息、环评文件、应急预案等信息公开的及时性、完整性；土壤、地下水污染防治及风险管控情况，重点区域防渗、隐患排查治理等情况。</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黑体_GBK" w:cs="Times New Roman"/>
          <w:color w:val="auto"/>
          <w:sz w:val="32"/>
          <w:szCs w:val="32"/>
          <w:u w:val="none" w:color="auto"/>
          <w:lang w:val="en-US" w:eastAsia="zh-CN"/>
        </w:rPr>
      </w:pPr>
      <w:bookmarkStart w:id="8" w:name="heading_8"/>
      <w:r>
        <w:rPr>
          <w:rFonts w:hint="eastAsia" w:ascii="Times New Roman" w:hAnsi="Times New Roman" w:eastAsia="方正黑体_GBK" w:cs="Times New Roman"/>
          <w:color w:val="auto"/>
          <w:sz w:val="32"/>
          <w:szCs w:val="32"/>
          <w:u w:val="none" w:color="auto"/>
          <w:lang w:val="en-US" w:eastAsia="zh-CN"/>
        </w:rPr>
        <w:t>三、组织架构及职责分工</w:t>
      </w:r>
      <w:bookmarkEnd w:id="8"/>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color w:val="auto"/>
          <w:kern w:val="0"/>
          <w:sz w:val="32"/>
          <w:szCs w:val="32"/>
          <w:lang w:val="en-US" w:eastAsia="zh-CN" w:bidi="ar"/>
        </w:rPr>
        <w:t>坚持“属地管理为主、市级统筹指导、分级负责、协同推进”的原则，成立市工业园区生态环境安全风险隐患排查整治工作组，统筹推进排查整治工作。</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方正楷体_GBK" w:hAnsi="方正楷体_GBK" w:eastAsia="方正楷体_GBK" w:cs="方正楷体_GBK"/>
          <w:color w:val="auto"/>
          <w:kern w:val="0"/>
          <w:sz w:val="32"/>
          <w:szCs w:val="32"/>
          <w:lang w:val="en-US" w:eastAsia="zh-CN" w:bidi="ar"/>
        </w:rPr>
      </w:pPr>
      <w:bookmarkStart w:id="9" w:name="heading_9"/>
      <w:r>
        <w:rPr>
          <w:rFonts w:hint="eastAsia" w:ascii="方正楷体_GBK" w:hAnsi="方正楷体_GBK" w:eastAsia="方正楷体_GBK" w:cs="方正楷体_GBK"/>
          <w:color w:val="auto"/>
          <w:kern w:val="0"/>
          <w:sz w:val="32"/>
          <w:szCs w:val="32"/>
          <w:lang w:val="en-US" w:eastAsia="zh-CN" w:bidi="ar"/>
        </w:rPr>
        <w:t>（一）市级工作组</w:t>
      </w:r>
      <w:bookmarkEnd w:id="9"/>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color w:val="auto"/>
          <w:kern w:val="0"/>
          <w:sz w:val="32"/>
          <w:szCs w:val="32"/>
          <w:lang w:val="en-US" w:eastAsia="zh-CN" w:bidi="ar"/>
        </w:rPr>
        <w:t>组    长：</w:t>
      </w:r>
      <w:r>
        <w:rPr>
          <w:rFonts w:hint="eastAsia" w:ascii="Times New Roman" w:hAnsi="Times New Roman" w:eastAsia="方正仿宋_GBK" w:cs="Times New Roman"/>
          <w:color w:val="auto"/>
          <w:kern w:val="0"/>
          <w:sz w:val="32"/>
          <w:szCs w:val="32"/>
          <w:lang w:val="en-US" w:eastAsia="zh-CN" w:bidi="ar"/>
        </w:rPr>
        <w:t>市生态环境局分管领导</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color w:val="auto"/>
          <w:kern w:val="0"/>
          <w:sz w:val="32"/>
          <w:szCs w:val="32"/>
          <w:lang w:val="en-US" w:eastAsia="zh-CN" w:bidi="ar"/>
        </w:rPr>
        <w:t>副组长：</w:t>
      </w:r>
      <w:r>
        <w:rPr>
          <w:rFonts w:hint="eastAsia" w:ascii="Times New Roman" w:hAnsi="Times New Roman" w:eastAsia="方正仿宋_GBK" w:cs="Times New Roman"/>
          <w:color w:val="auto"/>
          <w:kern w:val="0"/>
          <w:sz w:val="32"/>
          <w:szCs w:val="32"/>
          <w:lang w:val="en-US" w:eastAsia="zh-CN" w:bidi="ar"/>
        </w:rPr>
        <w:t>市生态环境保护综合行政执法支队支队长</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color w:val="auto"/>
          <w:kern w:val="0"/>
          <w:sz w:val="32"/>
          <w:szCs w:val="32"/>
          <w:lang w:val="en-US" w:eastAsia="zh-CN" w:bidi="ar"/>
        </w:rPr>
        <w:t>成   员：</w:t>
      </w:r>
      <w:r>
        <w:rPr>
          <w:rFonts w:hint="eastAsia" w:ascii="Times New Roman" w:hAnsi="Times New Roman" w:eastAsia="方正仿宋_GBK" w:cs="Times New Roman"/>
          <w:color w:val="auto"/>
          <w:kern w:val="0"/>
          <w:sz w:val="32"/>
          <w:szCs w:val="32"/>
          <w:lang w:val="en-US" w:eastAsia="zh-CN" w:bidi="ar"/>
        </w:rPr>
        <w:t>执法支队、土壤生态环境科、行政审批科、水生态环境科、大气环境科、中心等相关科室（单位）负责人及业务骨干。</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b w:val="0"/>
          <w:bCs w:val="0"/>
          <w:color w:val="auto"/>
          <w:kern w:val="0"/>
          <w:sz w:val="32"/>
          <w:szCs w:val="32"/>
          <w:lang w:val="en-US" w:eastAsia="zh-CN" w:bidi="ar"/>
        </w:rPr>
      </w:pPr>
      <w:r>
        <w:rPr>
          <w:rFonts w:hint="eastAsia" w:ascii="Times New Roman" w:hAnsi="Times New Roman" w:eastAsia="方正仿宋_GBK" w:cs="Times New Roman"/>
          <w:b w:val="0"/>
          <w:bCs w:val="0"/>
          <w:color w:val="auto"/>
          <w:kern w:val="0"/>
          <w:sz w:val="32"/>
          <w:szCs w:val="32"/>
          <w:lang w:val="en-US" w:eastAsia="zh-CN" w:bidi="ar"/>
        </w:rPr>
        <w:t>下设办公室，办公室设在执法支队，由执法二科统筹调度工作开展情况。</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b/>
          <w:bCs/>
          <w:color w:val="auto"/>
          <w:kern w:val="0"/>
          <w:sz w:val="32"/>
          <w:szCs w:val="32"/>
          <w:lang w:val="en-US" w:eastAsia="zh-CN" w:bidi="ar"/>
        </w:rPr>
      </w:pPr>
      <w:r>
        <w:rPr>
          <w:rFonts w:hint="eastAsia" w:ascii="Times New Roman" w:hAnsi="Times New Roman" w:eastAsia="方正仿宋_GBK" w:cs="Times New Roman"/>
          <w:b/>
          <w:bCs/>
          <w:color w:val="auto"/>
          <w:kern w:val="0"/>
          <w:sz w:val="32"/>
          <w:szCs w:val="32"/>
          <w:lang w:val="en-US" w:eastAsia="zh-CN" w:bidi="ar"/>
        </w:rPr>
        <w:t>职责：</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color w:val="auto"/>
          <w:kern w:val="0"/>
          <w:sz w:val="32"/>
          <w:szCs w:val="32"/>
          <w:lang w:val="en-US" w:eastAsia="zh-CN" w:bidi="ar"/>
        </w:rPr>
        <w:t>统筹部署全市排查整治工作，制定方案、明确标准、协调处理重大问题和重大事项；</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color w:val="auto"/>
          <w:kern w:val="0"/>
          <w:sz w:val="32"/>
          <w:szCs w:val="32"/>
          <w:lang w:val="en-US" w:eastAsia="zh-CN" w:bidi="ar"/>
        </w:rPr>
        <w:t>组织开展市级抽查、核查及“回头看”，挂牌督办重大风险隐患和突出环境问题；</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color w:val="auto"/>
          <w:kern w:val="0"/>
          <w:sz w:val="32"/>
          <w:szCs w:val="32"/>
          <w:lang w:val="en-US" w:eastAsia="zh-CN" w:bidi="ar"/>
        </w:rPr>
        <w:t>指导各分局开展排查整治、执法监管和应急处置工作，提供业务指导和技术支撑；</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4．</w:t>
      </w:r>
      <w:r>
        <w:rPr>
          <w:rFonts w:hint="eastAsia" w:ascii="Times New Roman" w:hAnsi="Times New Roman" w:eastAsia="方正仿宋_GBK" w:cs="Times New Roman"/>
          <w:color w:val="auto"/>
          <w:kern w:val="0"/>
          <w:sz w:val="32"/>
          <w:szCs w:val="32"/>
          <w:lang w:val="en-US" w:eastAsia="zh-CN" w:bidi="ar"/>
        </w:rPr>
        <w:t>汇总全市工作情况，总结经验做法，健全长效机制，上报工作信息和总结报告；</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color w:val="auto"/>
          <w:kern w:val="0"/>
          <w:sz w:val="32"/>
          <w:szCs w:val="32"/>
          <w:lang w:val="en-US" w:eastAsia="zh-CN" w:bidi="ar"/>
        </w:rPr>
        <w:t>依法查处跨县级以上行政区域、重大复杂疑难环境违法行为，组织开展联合执法行动。</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方正楷体_GBK" w:hAnsi="方正楷体_GBK" w:eastAsia="方正楷体_GBK" w:cs="方正楷体_GBK"/>
          <w:color w:val="auto"/>
          <w:kern w:val="0"/>
          <w:sz w:val="32"/>
          <w:szCs w:val="32"/>
          <w:lang w:val="en-US" w:eastAsia="zh-CN" w:bidi="ar"/>
        </w:rPr>
      </w:pPr>
      <w:bookmarkStart w:id="10" w:name="heading_10"/>
      <w:r>
        <w:rPr>
          <w:rFonts w:hint="eastAsia" w:ascii="方正楷体_GBK" w:hAnsi="方正楷体_GBK" w:eastAsia="方正楷体_GBK" w:cs="方正楷体_GBK"/>
          <w:color w:val="auto"/>
          <w:kern w:val="0"/>
          <w:sz w:val="32"/>
          <w:szCs w:val="32"/>
          <w:lang w:val="en-US" w:eastAsia="zh-CN" w:bidi="ar"/>
        </w:rPr>
        <w:t>（二）各分局工作组</w:t>
      </w:r>
      <w:bookmarkEnd w:id="10"/>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color w:val="auto"/>
          <w:kern w:val="0"/>
          <w:sz w:val="32"/>
          <w:szCs w:val="32"/>
          <w:lang w:val="en-US" w:eastAsia="zh-CN" w:bidi="ar"/>
        </w:rPr>
        <w:t>组    长：</w:t>
      </w:r>
      <w:r>
        <w:rPr>
          <w:rFonts w:hint="eastAsia" w:ascii="Times New Roman" w:hAnsi="Times New Roman" w:eastAsia="方正仿宋_GBK" w:cs="Times New Roman"/>
          <w:color w:val="auto"/>
          <w:kern w:val="0"/>
          <w:sz w:val="32"/>
          <w:szCs w:val="32"/>
          <w:lang w:val="en-US" w:eastAsia="zh-CN" w:bidi="ar"/>
        </w:rPr>
        <w:t>各生态环境分局主要负责人</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color w:val="auto"/>
          <w:kern w:val="0"/>
          <w:sz w:val="32"/>
          <w:szCs w:val="32"/>
          <w:lang w:val="en-US" w:eastAsia="zh-CN" w:bidi="ar"/>
        </w:rPr>
        <w:t>副组长：</w:t>
      </w:r>
      <w:r>
        <w:rPr>
          <w:rFonts w:hint="eastAsia" w:ascii="Times New Roman" w:hAnsi="Times New Roman" w:eastAsia="方正仿宋_GBK" w:cs="Times New Roman"/>
          <w:color w:val="auto"/>
          <w:kern w:val="0"/>
          <w:sz w:val="32"/>
          <w:szCs w:val="32"/>
          <w:lang w:val="en-US" w:eastAsia="zh-CN" w:bidi="ar"/>
        </w:rPr>
        <w:t>各分局分管执法、应急工作负责人</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b/>
          <w:bCs/>
          <w:color w:val="auto"/>
          <w:kern w:val="0"/>
          <w:sz w:val="32"/>
          <w:szCs w:val="32"/>
          <w:lang w:val="en-US" w:eastAsia="zh-CN" w:bidi="ar"/>
        </w:rPr>
        <w:t>成   员：</w:t>
      </w:r>
      <w:r>
        <w:rPr>
          <w:rFonts w:hint="eastAsia" w:ascii="Times New Roman" w:hAnsi="Times New Roman" w:eastAsia="方正仿宋_GBK" w:cs="Times New Roman"/>
          <w:color w:val="auto"/>
          <w:kern w:val="0"/>
          <w:sz w:val="32"/>
          <w:szCs w:val="32"/>
          <w:lang w:val="en-US" w:eastAsia="zh-CN" w:bidi="ar"/>
        </w:rPr>
        <w:t>分局执法大队、监测站等相关股室人员及辖区内工业园区生态环境保护工作负责人。</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outlineLvl w:val="9"/>
        <w:rPr>
          <w:rFonts w:hint="eastAsia" w:ascii="Times New Roman" w:hAnsi="Times New Roman" w:eastAsia="方正仿宋_GBK" w:cs="Times New Roman"/>
          <w:b/>
          <w:bCs/>
          <w:color w:val="auto"/>
          <w:kern w:val="0"/>
          <w:sz w:val="32"/>
          <w:szCs w:val="32"/>
          <w:lang w:val="en-US" w:eastAsia="zh-CN" w:bidi="ar"/>
        </w:rPr>
      </w:pPr>
      <w:r>
        <w:rPr>
          <w:rFonts w:hint="eastAsia" w:ascii="Times New Roman" w:hAnsi="Times New Roman" w:eastAsia="方正仿宋_GBK" w:cs="Times New Roman"/>
          <w:b/>
          <w:bCs/>
          <w:color w:val="auto"/>
          <w:kern w:val="0"/>
          <w:sz w:val="32"/>
          <w:szCs w:val="32"/>
          <w:lang w:val="en-US" w:eastAsia="zh-CN" w:bidi="ar"/>
        </w:rPr>
        <w:t>职责：</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color w:val="auto"/>
          <w:kern w:val="0"/>
          <w:sz w:val="32"/>
          <w:szCs w:val="32"/>
          <w:lang w:val="en-US" w:eastAsia="zh-CN" w:bidi="ar"/>
        </w:rPr>
        <w:t>落实属地管理责任，制定辖区内排查整治实施方案，组织开展动员部署、企业培训；</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color w:val="auto"/>
          <w:kern w:val="0"/>
          <w:sz w:val="32"/>
          <w:szCs w:val="32"/>
          <w:lang w:val="en-US" w:eastAsia="zh-CN" w:bidi="ar"/>
        </w:rPr>
        <w:t>督促辖区内工业园区、企业全面开展自查自改，建立企业自查台账、问题整改台账；</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color w:val="auto"/>
          <w:kern w:val="0"/>
          <w:sz w:val="32"/>
          <w:szCs w:val="32"/>
          <w:lang w:val="en-US" w:eastAsia="zh-CN" w:bidi="ar"/>
        </w:rPr>
        <w:t>开展全覆盖现场检查，对一般隐患督促立行立改，重大隐患及时上报市级工作组并跟踪整改，对发现的环境违法行为依法立案查处；</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4．</w:t>
      </w:r>
      <w:r>
        <w:rPr>
          <w:rFonts w:hint="eastAsia" w:ascii="Times New Roman" w:hAnsi="Times New Roman" w:eastAsia="方正仿宋_GBK" w:cs="Times New Roman"/>
          <w:color w:val="auto"/>
          <w:kern w:val="0"/>
          <w:sz w:val="32"/>
          <w:szCs w:val="32"/>
          <w:lang w:val="en-US" w:eastAsia="zh-CN" w:bidi="ar"/>
        </w:rPr>
        <w:t>跟踪督办企业问题整改落实情况，开展整改验收，确保工作闭环；</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color w:val="auto"/>
          <w:kern w:val="0"/>
          <w:sz w:val="32"/>
          <w:szCs w:val="32"/>
          <w:lang w:val="en-US" w:eastAsia="zh-CN" w:bidi="ar"/>
        </w:rPr>
        <w:t>按时报送工作进展、问题台账、整改情况等信息，配合市级工作组开展抽查核查及“回头看”；</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color w:val="auto"/>
          <w:kern w:val="0"/>
          <w:sz w:val="32"/>
          <w:szCs w:val="32"/>
          <w:lang w:val="en-US" w:eastAsia="zh-CN" w:bidi="ar"/>
        </w:rPr>
        <w:t>加强日常监管，强化监督帮扶，督促企业切实履行环境安全主体责任，常态化开展生态环境风险隐患排查整治。</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黑体_GBK" w:cs="Times New Roman"/>
          <w:color w:val="auto"/>
          <w:sz w:val="32"/>
          <w:szCs w:val="32"/>
          <w:u w:val="none" w:color="auto"/>
          <w:lang w:val="en-US" w:eastAsia="zh-CN"/>
        </w:rPr>
      </w:pPr>
      <w:bookmarkStart w:id="11" w:name="heading_11"/>
      <w:r>
        <w:rPr>
          <w:rFonts w:hint="eastAsia" w:ascii="Times New Roman" w:hAnsi="Times New Roman" w:eastAsia="方正黑体_GBK" w:cs="Times New Roman"/>
          <w:color w:val="auto"/>
          <w:sz w:val="32"/>
          <w:szCs w:val="32"/>
          <w:u w:val="none" w:color="auto"/>
          <w:lang w:val="en-US" w:eastAsia="zh-CN"/>
        </w:rPr>
        <w:t>四、工作要求</w:t>
      </w:r>
      <w:bookmarkEnd w:id="11"/>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12" w:name="heading_12"/>
      <w:r>
        <w:rPr>
          <w:rFonts w:hint="eastAsia" w:ascii="方正楷体_GBK" w:hAnsi="方正楷体_GBK" w:eastAsia="方正楷体_GBK" w:cs="方正楷体_GBK"/>
          <w:color w:val="auto"/>
          <w:kern w:val="0"/>
          <w:sz w:val="32"/>
          <w:szCs w:val="32"/>
          <w:lang w:val="en-US" w:eastAsia="zh-CN" w:bidi="ar"/>
        </w:rPr>
        <w:t>（一）提高政治站位，强化责任落实</w:t>
      </w:r>
      <w:bookmarkEnd w:id="12"/>
      <w:r>
        <w:rPr>
          <w:rFonts w:hint="eastAsia" w:ascii="方正楷体_GBK" w:hAnsi="方正楷体_GBK" w:eastAsia="方正楷体_GBK" w:cs="方正楷体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各单位要深刻认识工业园区生态环境安全的重要性，将排查整治工作作为防范化解重大生态环境风险、守住环境安全底线的重要举措，切实提高政治站位，强化责任担当。严格落实“党政同责、‘一岗双责’、齐抓共管、失职追责”的要求，主要负责人亲自部署、分管负责人靠前指挥、具体人员履职尽责，层层传导压力、压实责任，确保排查整治工作落地见效，坚决守住不发生重特大突发环境事件和职责范围内重特大生产安全事故的底线。</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13" w:name="heading_13"/>
      <w:r>
        <w:rPr>
          <w:rFonts w:hint="eastAsia" w:ascii="方正楷体_GBK" w:hAnsi="方正楷体_GBK" w:eastAsia="方正楷体_GBK" w:cs="方正楷体_GBK"/>
          <w:color w:val="auto"/>
          <w:kern w:val="0"/>
          <w:sz w:val="32"/>
          <w:szCs w:val="32"/>
          <w:lang w:val="en-US" w:eastAsia="zh-CN" w:bidi="ar"/>
        </w:rPr>
        <w:t>（二）坚持问题导向，确保排查质量</w:t>
      </w:r>
      <w:bookmarkEnd w:id="13"/>
      <w:r>
        <w:rPr>
          <w:rFonts w:hint="eastAsia" w:ascii="方正楷体_GBK" w:hAnsi="方正楷体_GBK" w:eastAsia="方正楷体_GBK" w:cs="方正楷体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聚焦违法排污、设施不正常运行、突出环境风险隐患等重点问题和高风险企业、关键环节，坚持“全覆盖、零容忍、严执法、重实效”的原则，全面排查、不留死角、不走过场。严格对照排查重点，深入企业生产车间、污染防治设施、排污口、危废暂存间、应急设施等关键点位，认真核查资料台账、现场运行情况，确保问题查准、查全、查透，杜绝漏查、瞒查、虚查。</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14" w:name="heading_14"/>
      <w:r>
        <w:rPr>
          <w:rFonts w:hint="eastAsia" w:ascii="方正楷体_GBK" w:hAnsi="方正楷体_GBK" w:eastAsia="方正楷体_GBK" w:cs="方正楷体_GBK"/>
          <w:color w:val="auto"/>
          <w:kern w:val="0"/>
          <w:sz w:val="32"/>
          <w:szCs w:val="32"/>
          <w:lang w:val="en-US" w:eastAsia="zh-CN" w:bidi="ar"/>
        </w:rPr>
        <w:t>（三）严格隐患处置，强化闭环管理</w:t>
      </w:r>
      <w:bookmarkEnd w:id="14"/>
      <w:r>
        <w:rPr>
          <w:rFonts w:hint="eastAsia" w:ascii="方正楷体_GBK" w:hAnsi="方正楷体_GBK" w:eastAsia="方正楷体_GBK" w:cs="方正楷体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建立“排查—交办—整改—验收—销号”全链条闭环管理机制。对排查发现的问题，分类施策、分级处置：一般隐患立行立改，限期整改到位；较大隐患挂牌督办，明确整改时限、措施、责任人，跟踪督办；重大隐患视情况采取立即停产整治等措施，上报市级工作组备案，严防风险升级引发突发生态环境事件。对拒不整改、整改不到位或存在严重环境违法行为的企业，依法从严从重查处，涉嫌犯罪的，移送司法机关追究刑事责任。</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15" w:name="heading_15"/>
      <w:r>
        <w:rPr>
          <w:rFonts w:hint="eastAsia" w:ascii="方正楷体_GBK" w:hAnsi="方正楷体_GBK" w:eastAsia="方正楷体_GBK" w:cs="方正楷体_GBK"/>
          <w:color w:val="auto"/>
          <w:kern w:val="0"/>
          <w:sz w:val="32"/>
          <w:szCs w:val="32"/>
          <w:lang w:val="en-US" w:eastAsia="zh-CN" w:bidi="ar"/>
        </w:rPr>
        <w:t>（四）健全长效机制，巩固排查成果</w:t>
      </w:r>
      <w:bookmarkEnd w:id="15"/>
      <w:r>
        <w:rPr>
          <w:rFonts w:hint="eastAsia" w:ascii="方正楷体_GBK" w:hAnsi="方正楷体_GBK" w:eastAsia="方正楷体_GBK" w:cs="方正楷体_GBK"/>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以此次排查整治为契机，坚持“当下治”与“长久立”相结合的原则，举一反三、标本兼治。督促企业健全环境管理制度、风险隐患排查治理制度、环境应急管理制度，常态化开展自查自纠、教育培训和应急演练，持续提升环境风险防控能力。完善工业园区环境监管机制，强化日常执法监管、监督帮扶和监测预警，健全部门协同、上下联动、联防联控工作机制，推动环境监管常态化、规范化、长效化，持续巩固排查整治成果。</w:t>
      </w:r>
    </w:p>
    <w:p>
      <w:pPr>
        <w:pStyle w:val="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outlineLvl w:val="9"/>
        <w:rPr>
          <w:rFonts w:hint="eastAsia" w:ascii="Times New Roman" w:hAnsi="Times New Roman" w:eastAsia="方正仿宋_GBK" w:cs="Times New Roman"/>
          <w:color w:val="auto"/>
          <w:kern w:val="0"/>
          <w:sz w:val="32"/>
          <w:szCs w:val="32"/>
          <w:lang w:val="en-US" w:eastAsia="zh-CN" w:bidi="ar"/>
        </w:rPr>
      </w:pPr>
      <w:bookmarkStart w:id="16" w:name="heading_16"/>
      <w:r>
        <w:rPr>
          <w:rFonts w:hint="eastAsia" w:ascii="方正楷体_GBK" w:hAnsi="方正楷体_GBK" w:eastAsia="方正楷体_GBK" w:cs="方正楷体_GBK"/>
          <w:color w:val="auto"/>
          <w:kern w:val="0"/>
          <w:sz w:val="32"/>
          <w:szCs w:val="32"/>
          <w:lang w:val="en-US" w:eastAsia="zh-CN" w:bidi="ar"/>
        </w:rPr>
        <w:t>（五）规范行政执法，强化信息报送</w:t>
      </w:r>
      <w:bookmarkEnd w:id="16"/>
      <w:r>
        <w:rPr>
          <w:rFonts w:hint="eastAsia" w:ascii="方正楷体_GBK" w:hAnsi="方正楷体_GBK" w:eastAsia="方正楷体_GBK" w:cs="方正楷体_GBK"/>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严格落实《国务院办公厅关于严格规范涉企行政检查的意见》（国办发〔2024〕54号）、《关于印发〈云南省严格规范涉企行政检查16项措施〉的通知》（</w:t>
      </w:r>
      <w:r>
        <w:rPr>
          <w:rFonts w:hint="eastAsia" w:ascii="Times New Roman" w:hAnsi="Times New Roman" w:eastAsia="方正仿宋_GBK" w:cs="Times New Roman"/>
          <w:color w:val="auto"/>
          <w:kern w:val="0"/>
          <w:sz w:val="32"/>
          <w:szCs w:val="32"/>
          <w:lang w:val="en-US" w:eastAsia="zh-CN" w:bidi="ar"/>
        </w:rPr>
        <w:t>云</w:t>
      </w:r>
      <w:r>
        <w:rPr>
          <w:rFonts w:hint="default" w:ascii="Times New Roman" w:hAnsi="Times New Roman" w:eastAsia="方正仿宋_GBK" w:cs="Times New Roman"/>
          <w:color w:val="auto"/>
          <w:kern w:val="0"/>
          <w:sz w:val="32"/>
          <w:szCs w:val="32"/>
          <w:lang w:val="en-US" w:eastAsia="zh-CN" w:bidi="ar"/>
        </w:rPr>
        <w:t>治省办〔2025〕1号）等严格规范涉企行政检查文件要求，</w:t>
      </w:r>
      <w:r>
        <w:rPr>
          <w:rFonts w:hint="eastAsia" w:ascii="Times New Roman" w:hAnsi="Times New Roman" w:eastAsia="方正仿宋_GBK" w:cs="Times New Roman"/>
          <w:color w:val="auto"/>
          <w:kern w:val="0"/>
          <w:sz w:val="32"/>
          <w:szCs w:val="32"/>
          <w:lang w:val="en-US" w:eastAsia="zh-CN" w:bidi="ar"/>
        </w:rPr>
        <w:t>严格规范公正文明廉洁执法，做到精准监管、审慎监管，严禁一刀切、简单粗暴执法，实现执法与服务并重、监管与帮扶结合。严格执行信息报送制度，各分局于每月5日前报送当月工作进展、问题台账、整改情况；在排查整治工作结束后20日内报送工作总结报告；重大情况、突发环境事件第一时间按要求上报，确保信息畅通、报送及时、内容真实。</w:t>
      </w:r>
    </w:p>
    <w:p>
      <w:pPr>
        <w:keepNext w:val="0"/>
        <w:keepLines w:val="0"/>
        <w:pageBreakBefore w:val="0"/>
        <w:kinsoku/>
        <w:wordWrap/>
        <w:overflowPunct/>
        <w:autoSpaceDE/>
        <w:autoSpaceDN/>
        <w:bidi w:val="0"/>
        <w:spacing w:line="560" w:lineRule="exact"/>
        <w:jc w:val="center"/>
        <w:outlineLvl w:val="0"/>
        <w:rPr>
          <w:rFonts w:hint="eastAsia" w:ascii="方正仿宋_GBK" w:hAnsi="方正仿宋_GBK" w:eastAsia="方正仿宋_GBK" w:cs="方正仿宋_GBK"/>
          <w:color w:val="auto"/>
          <w:sz w:val="32"/>
          <w:szCs w:val="32"/>
          <w:lang w:eastAsia="zh-CN"/>
        </w:rPr>
      </w:pPr>
    </w:p>
    <w:p>
      <w:pPr>
        <w:keepNext w:val="0"/>
        <w:keepLines w:val="0"/>
        <w:pageBreakBefore w:val="0"/>
        <w:kinsoku/>
        <w:wordWrap/>
        <w:overflowPunct/>
        <w:autoSpaceDE/>
        <w:autoSpaceDN/>
        <w:bidi w:val="0"/>
        <w:spacing w:line="560" w:lineRule="exact"/>
        <w:ind w:firstLine="640" w:firstLineChars="200"/>
        <w:jc w:val="both"/>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附件：工业园区</w:t>
      </w:r>
      <w:r>
        <w:rPr>
          <w:rFonts w:hint="eastAsia" w:ascii="方正仿宋_GBK" w:hAnsi="方正仿宋_GBK" w:eastAsia="方正仿宋_GBK" w:cs="方正仿宋_GBK"/>
          <w:color w:val="auto"/>
          <w:sz w:val="32"/>
          <w:szCs w:val="32"/>
        </w:rPr>
        <w:t>企业</w:t>
      </w:r>
      <w:r>
        <w:rPr>
          <w:rFonts w:hint="eastAsia" w:ascii="方正仿宋_GBK" w:hAnsi="方正仿宋_GBK" w:eastAsia="方正仿宋_GBK" w:cs="方正仿宋_GBK"/>
          <w:color w:val="auto"/>
          <w:sz w:val="32"/>
          <w:szCs w:val="32"/>
          <w:lang w:val="en-US" w:eastAsia="zh-CN"/>
        </w:rPr>
        <w:t>现场核查</w:t>
      </w:r>
      <w:r>
        <w:rPr>
          <w:rFonts w:hint="eastAsia" w:ascii="方正仿宋_GBK" w:hAnsi="方正仿宋_GBK" w:eastAsia="方正仿宋_GBK" w:cs="方正仿宋_GBK"/>
          <w:color w:val="auto"/>
          <w:sz w:val="32"/>
          <w:szCs w:val="32"/>
        </w:rPr>
        <w:t>表</w:t>
      </w:r>
    </w:p>
    <w:p>
      <w:pPr>
        <w:spacing w:before="120" w:after="120" w:line="288" w:lineRule="auto"/>
        <w:ind w:left="0"/>
        <w:jc w:val="left"/>
        <w:rPr>
          <w:rFonts w:hint="default" w:eastAsiaTheme="minorEastAsia"/>
          <w:color w:val="auto"/>
          <w:lang w:val="en-US" w:eastAsia="zh-CN"/>
        </w:rPr>
      </w:pPr>
    </w:p>
    <w:sectPr>
      <w:footerReference r:id="rId3" w:type="default"/>
      <w:pgSz w:w="11905" w:h="16840"/>
      <w:pgMar w:top="2041" w:right="1474" w:bottom="1304" w:left="1587" w:header="1701" w:footer="107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AxL45l0QAAAAYBAAAP&#10;AAAAAAAAAAEAIAAAADgAAABkcnMvZG93bnJldi54bWxQSwECFAAUAAAACACHTuJALMKTvtABAACD&#10;AwAADgAAAAAAAAABACAAAAA2AQAAZHJzL2Uyb0RvYy54bWxQSwUGAAAAAAYABgBZAQAAeAUAAAAA&#10;">
              <v:fill on="f" focussize="0,0"/>
              <v:stroke on="f"/>
              <v:imagedata o:title=""/>
              <o:lock v:ext="edit" aspectratio="f"/>
              <v:textbox inset="16pt,0mm,16pt,0mm" style="mso-fit-shape-to-text:t;">
                <w:txbxContent>
                  <w:p>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B692B"/>
    <w:rsid w:val="3CB97042"/>
    <w:rsid w:val="3FF70778"/>
    <w:rsid w:val="4E9B7B20"/>
    <w:rsid w:val="57DFE621"/>
    <w:rsid w:val="5DFFA48C"/>
    <w:rsid w:val="5FDF1C79"/>
    <w:rsid w:val="675F1C04"/>
    <w:rsid w:val="6ADEA186"/>
    <w:rsid w:val="75DF82F5"/>
    <w:rsid w:val="79FFDF87"/>
    <w:rsid w:val="7CECF268"/>
    <w:rsid w:val="7EEBE8FF"/>
    <w:rsid w:val="89F93D32"/>
    <w:rsid w:val="ADF9E198"/>
    <w:rsid w:val="B3DDD263"/>
    <w:rsid w:val="B7DBFB15"/>
    <w:rsid w:val="B7F1385C"/>
    <w:rsid w:val="BF6F5745"/>
    <w:rsid w:val="DF7F6CF0"/>
    <w:rsid w:val="DFFCD56F"/>
    <w:rsid w:val="EDF9414E"/>
    <w:rsid w:val="F2CD0F80"/>
    <w:rsid w:val="F33135B2"/>
    <w:rsid w:val="F4A1CDF4"/>
    <w:rsid w:val="F93FA1BF"/>
    <w:rsid w:val="FED5D8B4"/>
    <w:rsid w:val="FEFD75C9"/>
    <w:rsid w:val="FF2648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paragraph" w:styleId="3">
    <w:name w:val="heading 3"/>
    <w:basedOn w:val="1"/>
    <w:next w:val="1"/>
    <w:qFormat/>
    <w:uiPriority w:val="0"/>
    <w:pPr>
      <w:keepNext/>
      <w:keepLines/>
      <w:spacing w:beforeLines="0" w:beforeAutospacing="0" w:afterLines="0" w:afterAutospacing="0" w:line="590" w:lineRule="exact"/>
      <w:ind w:firstLine="0" w:firstLineChars="0"/>
      <w:outlineLvl w:val="2"/>
    </w:pPr>
    <w:rPr>
      <w:rFonts w:ascii="Times New Roman" w:hAnsi="Times New Roman" w:eastAsia="方正仿宋_GBK" w:cs="Times New Roma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napToGrid w:val="0"/>
      <w:spacing w:line="300" w:lineRule="auto"/>
      <w:ind w:firstLine="556"/>
    </w:pPr>
    <w:rPr>
      <w:rFonts w:ascii="仿宋_GB2312" w:eastAsia="仿宋_GB2312"/>
      <w:kern w:val="0"/>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TotalTime>4</TotalTime>
  <ScaleCrop>false</ScaleCrop>
  <LinksUpToDate>false</LinksUpToDate>
  <Application>WPS Office_11.8.2.10624_F1E327BC-269C-435d-A152-05C5408002CA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2026-05-12T02:40:00Z</dcterms:created>
  <dc:creator>Apache POI</dc:creator>
  <cp:lastModifiedBy>user</cp:lastModifiedBy>
  <cp:lastPrinted>2026-06-27T16:34:00Z</cp:lastPrinted>
  <dcterms:modified xsi:type="dcterms:W3CDTF">2026-06-30T15:07:27Z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8847382DBE62417D4DDF036A8A4E1D3B_43</vt:lpwstr>
  </property>
</Properties>
</file>