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F1A10F">
      <w:pPr>
        <w:keepNext w:val="0"/>
        <w:keepLines w:val="0"/>
        <w:pageBreakBefore w:val="0"/>
        <w:widowControl w:val="0"/>
        <w:kinsoku/>
        <w:wordWrap/>
        <w:overflowPunct w:val="0"/>
        <w:topLinePunct w:val="0"/>
        <w:autoSpaceDE/>
        <w:autoSpaceDN/>
        <w:bidi w:val="0"/>
        <w:adjustRightInd/>
        <w:snapToGrid/>
        <w:spacing w:line="560" w:lineRule="exact"/>
        <w:jc w:val="both"/>
        <w:textAlignment w:val="auto"/>
        <w:outlineLvl w:val="0"/>
        <w:rPr>
          <w:rFonts w:hint="default" w:ascii="Times New Roman" w:hAnsi="Times New Roman" w:eastAsia="方正小标宋_GBK" w:cs="Times New Roman"/>
          <w:color w:val="auto"/>
          <w:sz w:val="32"/>
          <w:szCs w:val="32"/>
          <w:lang w:val="en-US" w:eastAsia="zh-CN"/>
        </w:rPr>
      </w:pPr>
      <w:r>
        <w:rPr>
          <w:rFonts w:hint="default" w:ascii="Times New Roman" w:hAnsi="Times New Roman" w:eastAsia="方正小标宋_GBK" w:cs="Times New Roman"/>
          <w:color w:val="auto"/>
          <w:sz w:val="32"/>
          <w:szCs w:val="32"/>
          <w:lang w:val="en-US" w:eastAsia="zh-CN"/>
        </w:rPr>
        <w:t xml:space="preserve">  </w:t>
      </w:r>
    </w:p>
    <w:p w14:paraId="1D1C9592">
      <w:pPr>
        <w:keepNext w:val="0"/>
        <w:keepLines w:val="0"/>
        <w:pageBreakBefore w:val="0"/>
        <w:widowControl w:val="0"/>
        <w:kinsoku/>
        <w:wordWrap/>
        <w:overflowPunct w:val="0"/>
        <w:topLinePunct w:val="0"/>
        <w:autoSpaceDE/>
        <w:autoSpaceDN/>
        <w:bidi w:val="0"/>
        <w:adjustRightInd/>
        <w:snapToGrid/>
        <w:spacing w:line="560" w:lineRule="exact"/>
        <w:jc w:val="center"/>
        <w:textAlignment w:val="auto"/>
        <w:outlineLvl w:val="0"/>
        <w:rPr>
          <w:rFonts w:hint="default" w:ascii="Times New Roman" w:hAnsi="Times New Roman" w:eastAsia="方正小标宋_GBK" w:cs="Times New Roman"/>
          <w:color w:val="auto"/>
          <w:sz w:val="32"/>
          <w:szCs w:val="32"/>
          <w:lang w:val="en" w:eastAsia="zh-CN"/>
        </w:rPr>
      </w:pPr>
    </w:p>
    <w:p w14:paraId="6AB00AFD">
      <w:pPr>
        <w:pStyle w:val="2"/>
        <w:keepNext w:val="0"/>
        <w:keepLines w:val="0"/>
        <w:pageBreakBefore w:val="0"/>
        <w:kinsoku/>
        <w:wordWrap/>
        <w:topLinePunct w:val="0"/>
        <w:autoSpaceDE/>
        <w:autoSpaceDN/>
        <w:bidi w:val="0"/>
        <w:adjustRightInd/>
        <w:snapToGrid/>
        <w:spacing w:line="560" w:lineRule="exact"/>
        <w:ind w:left="0" w:leftChars="0" w:firstLine="0" w:firstLineChars="0"/>
        <w:jc w:val="center"/>
        <w:textAlignment w:val="auto"/>
        <w:rPr>
          <w:rFonts w:hint="default" w:ascii="Times New Roman" w:hAnsi="Times New Roman" w:eastAsia="方正小标宋_GBK" w:cs="Times New Roman"/>
          <w:color w:val="auto"/>
          <w:sz w:val="32"/>
          <w:szCs w:val="32"/>
          <w:lang w:val="en" w:eastAsia="zh-CN"/>
        </w:rPr>
      </w:pPr>
    </w:p>
    <w:p w14:paraId="3159E16A">
      <w:pPr>
        <w:rPr>
          <w:rFonts w:hint="default" w:ascii="Times New Roman" w:hAnsi="Times New Roman" w:cs="Times New Roman"/>
          <w:color w:val="auto"/>
        </w:rPr>
      </w:pPr>
    </w:p>
    <w:p w14:paraId="779AC0D6">
      <w:pPr>
        <w:pStyle w:val="19"/>
        <w:rPr>
          <w:rFonts w:hint="default" w:ascii="Times New Roman" w:hAnsi="Times New Roman" w:cs="Times New Roman"/>
          <w:color w:val="auto"/>
        </w:rPr>
      </w:pPr>
    </w:p>
    <w:p w14:paraId="3E510D7C">
      <w:pPr>
        <w:keepNext w:val="0"/>
        <w:keepLines w:val="0"/>
        <w:pageBreakBefore w:val="0"/>
        <w:widowControl w:val="0"/>
        <w:kinsoku/>
        <w:wordWrap/>
        <w:overflowPunct/>
        <w:topLinePunct w:val="0"/>
        <w:autoSpaceDE/>
        <w:autoSpaceDN/>
        <w:bidi w:val="0"/>
        <w:adjustRightInd/>
        <w:snapToGrid/>
        <w:spacing w:line="590" w:lineRule="exact"/>
        <w:jc w:val="center"/>
        <w:textAlignment w:val="auto"/>
        <w:outlineLvl w:val="9"/>
        <w:rPr>
          <w:rFonts w:hint="default" w:ascii="Times New Roman" w:hAnsi="Times New Roman" w:cs="Times New Roman"/>
          <w:color w:val="auto"/>
        </w:rPr>
      </w:pPr>
      <w:r>
        <w:rPr>
          <w:rFonts w:hint="default" w:ascii="Times New Roman" w:hAnsi="Times New Roman" w:eastAsia="方正仿宋_GBK" w:cs="Times New Roman"/>
          <w:color w:val="auto"/>
          <w:sz w:val="32"/>
          <w:lang w:eastAsia="zh-CN"/>
        </w:rPr>
        <w:t>玉</w:t>
      </w:r>
      <w:r>
        <w:rPr>
          <w:rFonts w:hint="default" w:ascii="Times New Roman" w:hAnsi="Times New Roman" w:eastAsia="方正仿宋_GBK" w:cs="Times New Roman"/>
          <w:color w:val="auto"/>
          <w:sz w:val="32"/>
        </w:rPr>
        <w:t>环审〔</w:t>
      </w:r>
      <w:r>
        <w:rPr>
          <w:rFonts w:hint="default" w:ascii="Times New Roman" w:hAnsi="Times New Roman" w:eastAsia="方正仿宋_GBK" w:cs="Times New Roman"/>
          <w:color w:val="auto"/>
          <w:sz w:val="32"/>
          <w:lang w:val="en-US" w:eastAsia="zh-CN"/>
        </w:rPr>
        <w:t>2026</w:t>
      </w:r>
      <w:r>
        <w:rPr>
          <w:rFonts w:hint="default" w:ascii="Times New Roman" w:hAnsi="Times New Roman" w:eastAsia="方正仿宋_GBK" w:cs="Times New Roman"/>
          <w:color w:val="auto"/>
          <w:sz w:val="32"/>
        </w:rPr>
        <w:t>〕</w:t>
      </w:r>
      <w:r>
        <w:rPr>
          <w:rFonts w:hint="default" w:ascii="Times New Roman" w:hAnsi="Times New Roman" w:eastAsia="方正仿宋_GBK" w:cs="Times New Roman"/>
          <w:color w:val="auto"/>
          <w:sz w:val="32"/>
          <w:lang w:val="en-US" w:eastAsia="zh-CN"/>
        </w:rPr>
        <w:t>1—75</w:t>
      </w:r>
      <w:r>
        <w:rPr>
          <w:rFonts w:hint="default" w:ascii="Times New Roman" w:hAnsi="Times New Roman" w:eastAsia="方正仿宋_GBK" w:cs="Times New Roman"/>
          <w:color w:val="auto"/>
          <w:sz w:val="32"/>
        </w:rPr>
        <w:t>号</w:t>
      </w:r>
    </w:p>
    <w:p w14:paraId="5518E49B">
      <w:pPr>
        <w:keepNext w:val="0"/>
        <w:keepLines w:val="0"/>
        <w:pageBreakBefore w:val="0"/>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73025</wp:posOffset>
                </wp:positionV>
                <wp:extent cx="5867400" cy="635"/>
                <wp:effectExtent l="0" t="13970" r="0" b="23495"/>
                <wp:wrapNone/>
                <wp:docPr id="1" name="直接连接符 1"/>
                <wp:cNvGraphicFramePr/>
                <a:graphic xmlns:a="http://schemas.openxmlformats.org/drawingml/2006/main">
                  <a:graphicData uri="http://schemas.microsoft.com/office/word/2010/wordprocessingShape">
                    <wps:wsp>
                      <wps:cNvCnPr/>
                      <wps:spPr>
                        <a:xfrm>
                          <a:off x="0" y="0"/>
                          <a:ext cx="5867400" cy="635"/>
                        </a:xfrm>
                        <a:prstGeom prst="line">
                          <a:avLst/>
                        </a:prstGeom>
                        <a:ln w="28575"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5.75pt;height:0.05pt;width:462pt;z-index:251662336;mso-width-relative:page;mso-height-relative:page;" filled="f" stroked="t" coordsize="21600,21600" o:gfxdata="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8wF5lNQAAAAGAQAADwAAAAAAAAABACAAAAAiAAAAZHJzL2Rvd25yZXYueG1sUEsB&#10;AhQAFAAAAAgAh07iQBtj+8L5AQAA5wMAAA4AAAAAAAAAAQAgAAAAIwEAAGRycy9lMm9Eb2MueG1s&#10;UEsFBgAAAAAGAAYAWQEAAI4FAAAAAA==&#10;">
                <v:fill on="f" focussize="0,0"/>
                <v:stroke weight="2.25pt" color="#FF0000" joinstyle="round"/>
                <v:imagedata o:title=""/>
                <o:lock v:ext="edit" aspectratio="f"/>
              </v:line>
            </w:pict>
          </mc:Fallback>
        </mc:AlternateContent>
      </w:r>
    </w:p>
    <w:p w14:paraId="3C899EE4">
      <w:pPr>
        <w:keepNext w:val="0"/>
        <w:keepLines w:val="0"/>
        <w:pageBreakBefore w:val="0"/>
        <w:widowControl w:val="0"/>
        <w:kinsoku/>
        <w:wordWrap/>
        <w:overflowPunct/>
        <w:topLinePunct w:val="0"/>
        <w:autoSpaceDE w:val="0"/>
        <w:autoSpaceDN w:val="0"/>
        <w:bidi w:val="0"/>
        <w:adjustRightInd w:val="0"/>
        <w:snapToGrid/>
        <w:spacing w:line="580" w:lineRule="exact"/>
        <w:jc w:val="center"/>
        <w:textAlignment w:val="auto"/>
        <w:outlineLvl w:val="0"/>
        <w:rPr>
          <w:rFonts w:hint="default" w:ascii="Times New Roman" w:hAnsi="Times New Roman" w:eastAsia="方正小标宋_GBK" w:cs="Times New Roman"/>
          <w:bCs/>
          <w:sz w:val="44"/>
          <w:szCs w:val="44"/>
        </w:rPr>
      </w:pPr>
    </w:p>
    <w:p w14:paraId="096CED1A">
      <w:pPr>
        <w:keepNext w:val="0"/>
        <w:keepLines w:val="0"/>
        <w:pageBreakBefore w:val="0"/>
        <w:widowControl w:val="0"/>
        <w:kinsoku/>
        <w:wordWrap/>
        <w:overflowPunct/>
        <w:topLinePunct w:val="0"/>
        <w:bidi w:val="0"/>
        <w:adjustRightInd/>
        <w:spacing w:line="560" w:lineRule="exact"/>
        <w:jc w:val="center"/>
        <w:rPr>
          <w:rFonts w:hint="default" w:ascii="Times New Roman" w:hAnsi="Times New Roman" w:eastAsia="方正小标宋_GBK" w:cs="Times New Roman"/>
          <w:color w:val="auto"/>
          <w:kern w:val="0"/>
          <w:sz w:val="44"/>
          <w:szCs w:val="44"/>
        </w:rPr>
      </w:pPr>
      <w:r>
        <w:rPr>
          <w:rFonts w:hint="default" w:ascii="Times New Roman" w:hAnsi="Times New Roman" w:eastAsia="方正小标宋_GBK" w:cs="Times New Roman"/>
          <w:color w:val="auto"/>
          <w:kern w:val="0"/>
          <w:sz w:val="44"/>
          <w:szCs w:val="44"/>
        </w:rPr>
        <w:t>玉溪市生态环境局</w:t>
      </w:r>
    </w:p>
    <w:p w14:paraId="49AF23D7">
      <w:pPr>
        <w:keepNext w:val="0"/>
        <w:keepLines w:val="0"/>
        <w:pageBreakBefore w:val="0"/>
        <w:widowControl w:val="0"/>
        <w:kinsoku/>
        <w:wordWrap/>
        <w:overflowPunct/>
        <w:topLinePunct w:val="0"/>
        <w:bidi w:val="0"/>
        <w:adjustRightInd/>
        <w:spacing w:line="560" w:lineRule="exact"/>
        <w:jc w:val="center"/>
        <w:rPr>
          <w:rFonts w:hint="default" w:ascii="Times New Roman" w:hAnsi="Times New Roman" w:eastAsia="方正小标宋_GBK" w:cs="Times New Roman"/>
          <w:color w:val="auto"/>
          <w:kern w:val="0"/>
          <w:sz w:val="44"/>
          <w:szCs w:val="44"/>
          <w:lang w:val="en-US" w:eastAsia="zh-CN"/>
        </w:rPr>
      </w:pPr>
      <w:r>
        <w:rPr>
          <w:rFonts w:hint="default" w:ascii="Times New Roman" w:hAnsi="Times New Roman" w:eastAsia="方正小标宋_GBK" w:cs="Times New Roman"/>
          <w:color w:val="auto"/>
          <w:kern w:val="0"/>
          <w:sz w:val="44"/>
          <w:szCs w:val="44"/>
        </w:rPr>
        <w:t>关于</w:t>
      </w:r>
      <w:r>
        <w:rPr>
          <w:rFonts w:hint="default" w:ascii="Times New Roman" w:hAnsi="Times New Roman" w:eastAsia="方正小标宋_GBK" w:cs="Times New Roman"/>
          <w:color w:val="auto"/>
          <w:kern w:val="0"/>
          <w:sz w:val="44"/>
          <w:szCs w:val="44"/>
          <w:lang w:val="en-US" w:eastAsia="zh-CN"/>
        </w:rPr>
        <w:t>云南玉溪仙福钢铁（集团）有限公司能源综合利用升级改造80兆瓦富余煤气发电</w:t>
      </w:r>
    </w:p>
    <w:p w14:paraId="5CA4B9A7">
      <w:pPr>
        <w:keepNext w:val="0"/>
        <w:keepLines w:val="0"/>
        <w:pageBreakBefore w:val="0"/>
        <w:widowControl w:val="0"/>
        <w:kinsoku/>
        <w:wordWrap/>
        <w:overflowPunct/>
        <w:topLinePunct w:val="0"/>
        <w:bidi w:val="0"/>
        <w:adjustRightInd/>
        <w:spacing w:line="560" w:lineRule="exact"/>
        <w:jc w:val="center"/>
        <w:rPr>
          <w:rFonts w:hint="default" w:ascii="Times New Roman" w:hAnsi="Times New Roman" w:eastAsia="方正小标宋_GBK" w:cs="Times New Roman"/>
          <w:color w:val="auto"/>
          <w:kern w:val="0"/>
          <w:sz w:val="44"/>
          <w:szCs w:val="44"/>
        </w:rPr>
      </w:pPr>
      <w:r>
        <w:rPr>
          <w:rFonts w:hint="default" w:ascii="Times New Roman" w:hAnsi="Times New Roman" w:eastAsia="方正小标宋_GBK" w:cs="Times New Roman"/>
          <w:color w:val="auto"/>
          <w:kern w:val="0"/>
          <w:sz w:val="44"/>
          <w:szCs w:val="44"/>
          <w:lang w:val="en-US" w:eastAsia="zh-CN"/>
        </w:rPr>
        <w:t>项目</w:t>
      </w:r>
      <w:r>
        <w:rPr>
          <w:rFonts w:hint="default" w:ascii="Times New Roman" w:hAnsi="Times New Roman" w:eastAsia="方正小标宋_GBK" w:cs="Times New Roman"/>
          <w:color w:val="auto"/>
          <w:kern w:val="0"/>
          <w:sz w:val="44"/>
          <w:szCs w:val="44"/>
        </w:rPr>
        <w:t>环境影响报告表的批复</w:t>
      </w:r>
    </w:p>
    <w:p w14:paraId="27F038CE">
      <w:pPr>
        <w:keepNext w:val="0"/>
        <w:keepLines w:val="0"/>
        <w:pageBreakBefore w:val="0"/>
        <w:widowControl w:val="0"/>
        <w:kinsoku/>
        <w:wordWrap/>
        <w:overflowPunct/>
        <w:topLinePunct w:val="0"/>
        <w:bidi w:val="0"/>
        <w:adjustRightInd/>
        <w:spacing w:line="560" w:lineRule="exact"/>
        <w:jc w:val="center"/>
        <w:rPr>
          <w:rFonts w:hint="default" w:ascii="Times New Roman" w:hAnsi="Times New Roman" w:eastAsia="方正小标宋_GBK" w:cs="Times New Roman"/>
          <w:color w:val="auto"/>
          <w:kern w:val="0"/>
          <w:sz w:val="44"/>
          <w:szCs w:val="44"/>
        </w:rPr>
      </w:pPr>
    </w:p>
    <w:p w14:paraId="29608054">
      <w:pPr>
        <w:keepNext w:val="0"/>
        <w:keepLines w:val="0"/>
        <w:pageBreakBefore w:val="0"/>
        <w:widowControl w:val="0"/>
        <w:kinsoku/>
        <w:wordWrap/>
        <w:overflowPunct/>
        <w:topLinePunct w:val="0"/>
        <w:bidi w:val="0"/>
        <w:adjustRightInd/>
        <w:snapToGrid w:val="0"/>
        <w:spacing w:line="560" w:lineRule="exact"/>
        <w:rPr>
          <w:rFonts w:hint="default" w:ascii="Times New Roman" w:hAnsi="Times New Roman" w:eastAsia="方正仿宋_GBK" w:cs="Times New Roman"/>
          <w:bCs/>
          <w:color w:val="auto"/>
          <w:kern w:val="0"/>
          <w:sz w:val="32"/>
          <w:szCs w:val="32"/>
          <w:lang w:val="en-US" w:eastAsia="zh-CN"/>
        </w:rPr>
      </w:pPr>
      <w:r>
        <w:rPr>
          <w:rFonts w:hint="default" w:ascii="Times New Roman" w:hAnsi="Times New Roman" w:eastAsia="方正仿宋_GBK" w:cs="Times New Roman"/>
          <w:bCs/>
          <w:color w:val="auto"/>
          <w:kern w:val="0"/>
          <w:sz w:val="32"/>
          <w:szCs w:val="32"/>
          <w:lang w:val="en-US" w:eastAsia="zh-CN"/>
        </w:rPr>
        <w:t>云南玉溪仙福钢铁（集团）有限公司：</w:t>
      </w:r>
    </w:p>
    <w:p w14:paraId="38BDF752">
      <w:pPr>
        <w:keepNext w:val="0"/>
        <w:keepLines w:val="0"/>
        <w:pageBreakBefore w:val="0"/>
        <w:widowControl w:val="0"/>
        <w:kinsoku/>
        <w:wordWrap/>
        <w:overflowPunct/>
        <w:topLinePunct w:val="0"/>
        <w:bidi w:val="0"/>
        <w:adjustRightInd/>
        <w:snapToGrid w:val="0"/>
        <w:spacing w:line="560" w:lineRule="exact"/>
        <w:ind w:firstLine="640" w:firstLineChars="200"/>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rPr>
        <w:t>你公司</w:t>
      </w:r>
      <w:r>
        <w:rPr>
          <w:rFonts w:hint="default" w:ascii="Times New Roman" w:hAnsi="Times New Roman" w:eastAsia="方正仿宋_GBK" w:cs="Times New Roman"/>
          <w:color w:val="auto"/>
          <w:sz w:val="32"/>
          <w:szCs w:val="32"/>
          <w:lang w:eastAsia="zh-CN"/>
        </w:rPr>
        <w:t>申请审批</w:t>
      </w:r>
      <w:r>
        <w:rPr>
          <w:rFonts w:hint="default" w:ascii="Times New Roman" w:hAnsi="Times New Roman" w:eastAsia="方正仿宋_GBK" w:cs="Times New Roman"/>
          <w:color w:val="auto"/>
          <w:sz w:val="32"/>
          <w:szCs w:val="32"/>
        </w:rPr>
        <w:t>的《</w:t>
      </w:r>
      <w:r>
        <w:rPr>
          <w:rFonts w:hint="default" w:ascii="Times New Roman" w:hAnsi="Times New Roman" w:eastAsia="方正仿宋_GBK" w:cs="Times New Roman"/>
          <w:color w:val="auto"/>
          <w:sz w:val="32"/>
          <w:szCs w:val="32"/>
          <w:lang w:val="en-US" w:eastAsia="zh-CN"/>
        </w:rPr>
        <w:t>能源综合利用升级改造80兆瓦富余煤气发电项目</w:t>
      </w:r>
      <w:r>
        <w:rPr>
          <w:rFonts w:hint="default" w:ascii="Times New Roman" w:hAnsi="Times New Roman" w:eastAsia="方正仿宋_GBK" w:cs="Times New Roman"/>
          <w:color w:val="auto"/>
          <w:sz w:val="32"/>
          <w:szCs w:val="32"/>
        </w:rPr>
        <w:t>环境影响报告表》</w:t>
      </w:r>
      <w:r>
        <w:rPr>
          <w:rFonts w:hint="default" w:ascii="Times New Roman" w:hAnsi="Times New Roman" w:eastAsia="方正仿宋_GBK" w:cs="Times New Roman"/>
          <w:color w:val="auto"/>
          <w:kern w:val="2"/>
          <w:sz w:val="32"/>
          <w:szCs w:val="32"/>
          <w:highlight w:val="none"/>
          <w:lang w:val="en-US" w:eastAsia="zh-CN" w:bidi="ar-SA"/>
        </w:rPr>
        <w:t>及相关附件材料</w:t>
      </w:r>
      <w:r>
        <w:rPr>
          <w:rFonts w:hint="default" w:ascii="Times New Roman" w:hAnsi="Times New Roman" w:eastAsia="方正仿宋_GBK" w:cs="Times New Roman"/>
          <w:color w:val="auto"/>
          <w:sz w:val="32"/>
          <w:szCs w:val="32"/>
        </w:rPr>
        <w:t>（以下简称《报告</w:t>
      </w:r>
      <w:r>
        <w:rPr>
          <w:rFonts w:hint="default" w:ascii="Times New Roman" w:hAnsi="Times New Roman" w:eastAsia="方正仿宋_GBK" w:cs="Times New Roman"/>
          <w:color w:val="auto"/>
          <w:sz w:val="32"/>
          <w:szCs w:val="32"/>
          <w:lang w:val="en-US" w:eastAsia="zh-Hans"/>
        </w:rPr>
        <w:t>表</w:t>
      </w:r>
      <w:r>
        <w:rPr>
          <w:rFonts w:hint="default" w:ascii="Times New Roman" w:hAnsi="Times New Roman" w:eastAsia="方正仿宋_GBK" w:cs="Times New Roman"/>
          <w:color w:val="auto"/>
          <w:sz w:val="32"/>
          <w:szCs w:val="32"/>
        </w:rPr>
        <w:t>》）收悉。经研究，批复如下</w:t>
      </w:r>
      <w:r>
        <w:rPr>
          <w:rFonts w:hint="default" w:ascii="Times New Roman" w:hAnsi="Times New Roman" w:eastAsia="方正仿宋_GBK" w:cs="Times New Roman"/>
          <w:color w:val="auto"/>
          <w:sz w:val="32"/>
          <w:szCs w:val="32"/>
          <w:lang w:eastAsia="zh-CN"/>
        </w:rPr>
        <w:t>：</w:t>
      </w:r>
    </w:p>
    <w:p w14:paraId="380EA019">
      <w:pPr>
        <w:keepNext w:val="0"/>
        <w:keepLines w:val="0"/>
        <w:pageBreakBefore w:val="0"/>
        <w:widowControl w:val="0"/>
        <w:kinsoku/>
        <w:wordWrap/>
        <w:overflowPunct/>
        <w:topLinePunct w:val="0"/>
        <w:bidi w:val="0"/>
        <w:adjustRightInd/>
        <w:snapToGrid w:val="0"/>
        <w:spacing w:line="560" w:lineRule="exact"/>
        <w:ind w:firstLine="640" w:firstLineChars="200"/>
        <w:rPr>
          <w:rFonts w:hint="default" w:ascii="Times New Roman" w:hAnsi="Times New Roman" w:eastAsia="方正黑体_GBK" w:cs="Times New Roman"/>
          <w:bCs/>
          <w:color w:val="auto"/>
          <w:kern w:val="0"/>
          <w:sz w:val="32"/>
          <w:szCs w:val="32"/>
          <w:lang w:val="en-US" w:eastAsia="zh-CN"/>
        </w:rPr>
      </w:pPr>
      <w:r>
        <w:rPr>
          <w:rFonts w:hint="default" w:ascii="Times New Roman" w:hAnsi="Times New Roman" w:eastAsia="方正黑体_GBK" w:cs="Times New Roman"/>
          <w:bCs/>
          <w:color w:val="auto"/>
          <w:kern w:val="0"/>
          <w:sz w:val="32"/>
          <w:szCs w:val="32"/>
        </w:rPr>
        <w:t>一、项目</w:t>
      </w:r>
      <w:r>
        <w:rPr>
          <w:rFonts w:hint="default" w:ascii="Times New Roman" w:hAnsi="Times New Roman" w:eastAsia="方正黑体_GBK" w:cs="Times New Roman"/>
          <w:bCs/>
          <w:color w:val="auto"/>
          <w:kern w:val="0"/>
          <w:sz w:val="32"/>
          <w:szCs w:val="32"/>
          <w:lang w:val="en-US" w:eastAsia="zh-CN"/>
        </w:rPr>
        <w:t>基本情况</w:t>
      </w:r>
    </w:p>
    <w:p w14:paraId="69A4CB90">
      <w:pPr>
        <w:keepNext w:val="0"/>
        <w:keepLines w:val="0"/>
        <w:pageBreakBefore w:val="0"/>
        <w:widowControl w:val="0"/>
        <w:kinsoku/>
        <w:wordWrap/>
        <w:overflowPunct/>
        <w:topLinePunct w:val="0"/>
        <w:bidi w:val="0"/>
        <w:adjustRightInd/>
        <w:snapToGrid w:val="0"/>
        <w:spacing w:line="560" w:lineRule="exact"/>
        <w:ind w:firstLine="640" w:firstLineChars="200"/>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sz w:val="32"/>
          <w:szCs w:val="32"/>
        </w:rPr>
        <w:t>该项目位于</w:t>
      </w:r>
      <w:r>
        <w:rPr>
          <w:rFonts w:hint="default" w:ascii="Times New Roman" w:hAnsi="Times New Roman" w:eastAsia="方正仿宋_GBK" w:cs="Times New Roman"/>
          <w:color w:val="auto"/>
          <w:kern w:val="0"/>
          <w:sz w:val="32"/>
          <w:szCs w:val="32"/>
          <w:highlight w:val="none"/>
          <w:lang w:val="en" w:eastAsia="zh-CN" w:bidi="ar"/>
        </w:rPr>
        <w:t>云南新平产业园区</w:t>
      </w:r>
      <w:r>
        <w:rPr>
          <w:rFonts w:hint="default" w:ascii="Times New Roman" w:hAnsi="Times New Roman" w:eastAsia="方正仿宋_GBK" w:cs="Times New Roman"/>
          <w:color w:val="auto"/>
          <w:kern w:val="0"/>
          <w:sz w:val="32"/>
          <w:szCs w:val="32"/>
          <w:highlight w:val="none"/>
          <w:lang w:val="en-US" w:eastAsia="zh-CN" w:bidi="ar"/>
        </w:rPr>
        <w:t>绿色钢城片区扬武地块，在</w:t>
      </w:r>
      <w:r>
        <w:rPr>
          <w:rFonts w:hint="default" w:ascii="Times New Roman" w:hAnsi="Times New Roman" w:eastAsia="方正仿宋_GBK" w:cs="Times New Roman"/>
          <w:bCs/>
          <w:color w:val="000000"/>
          <w:sz w:val="32"/>
          <w:szCs w:val="32"/>
          <w:highlight w:val="none"/>
          <w:lang w:val="en-US" w:eastAsia="zh-CN"/>
        </w:rPr>
        <w:t>公司现有厂区内建设，</w:t>
      </w:r>
      <w:r>
        <w:rPr>
          <w:rFonts w:hint="default" w:ascii="Times New Roman" w:hAnsi="Times New Roman" w:eastAsia="方正仿宋_GBK" w:cs="Times New Roman"/>
          <w:bCs/>
          <w:color w:val="000000"/>
          <w:sz w:val="32"/>
          <w:szCs w:val="32"/>
          <w:lang w:val="en-US" w:eastAsia="zh-CN"/>
        </w:rPr>
        <w:t>不新增占地</w:t>
      </w:r>
      <w:r>
        <w:rPr>
          <w:rFonts w:hint="default" w:ascii="Times New Roman" w:hAnsi="Times New Roman" w:eastAsia="方正仿宋_GBK" w:cs="Times New Roman"/>
          <w:bCs/>
          <w:color w:val="000000"/>
          <w:sz w:val="32"/>
          <w:szCs w:val="32"/>
          <w:lang w:eastAsia="zh-CN"/>
        </w:rPr>
        <w:t>。</w:t>
      </w:r>
      <w:r>
        <w:rPr>
          <w:rFonts w:hint="default" w:ascii="Times New Roman" w:hAnsi="Times New Roman" w:eastAsia="方正仿宋_GBK" w:cs="Times New Roman"/>
          <w:color w:val="auto"/>
          <w:sz w:val="32"/>
          <w:szCs w:val="32"/>
          <w:highlight w:val="none"/>
          <w:lang w:val="en-US" w:eastAsia="zh-CN"/>
        </w:rPr>
        <w:t>项目取得玉溪市发展和改革委员会《关于云南玉溪仙福钢铁（集团）有限公司能源综合利用升级改造80兆瓦富余煤气发电项目核准的批复》（玉发改能源复〔2026〕7号），项目代码：2512-530400-04-01-937036，总投资30237.8万元，其中环保投资1011.9万元。项目拆除现有12MW和20MW发电机组，主要建设1×260t/h超高温亚临界煤气锅炉+1×80MW超高温亚临界中间一次再热凝汽式汽轮机+1×80MW发电机组，</w:t>
      </w:r>
      <w:r>
        <w:rPr>
          <w:rFonts w:hint="default" w:ascii="Times New Roman" w:hAnsi="Times New Roman" w:eastAsia="方正仿宋_GBK" w:cs="Times New Roman"/>
          <w:color w:val="auto"/>
          <w:sz w:val="32"/>
          <w:szCs w:val="32"/>
          <w:lang w:val="en-US" w:eastAsia="zh-CN"/>
        </w:rPr>
        <w:t>并配套建设相应的公辅设施和环保工程，项目建成后年发电量为1.751×10</w:t>
      </w:r>
      <w:r>
        <w:rPr>
          <w:rFonts w:hint="default" w:ascii="Times New Roman" w:hAnsi="Times New Roman" w:eastAsia="方正仿宋_GBK" w:cs="Times New Roman"/>
          <w:color w:val="auto"/>
          <w:sz w:val="32"/>
          <w:szCs w:val="32"/>
          <w:vertAlign w:val="superscript"/>
          <w:lang w:val="en-US" w:eastAsia="zh-CN"/>
        </w:rPr>
        <w:t>8</w:t>
      </w:r>
      <w:r>
        <w:rPr>
          <w:rFonts w:hint="default" w:ascii="Times New Roman" w:hAnsi="Times New Roman" w:eastAsia="方正仿宋_GBK" w:cs="Times New Roman"/>
          <w:color w:val="auto"/>
          <w:sz w:val="32"/>
          <w:szCs w:val="32"/>
          <w:lang w:val="en-US" w:eastAsia="zh-CN"/>
        </w:rPr>
        <w:t>千瓦时。</w:t>
      </w:r>
    </w:p>
    <w:p w14:paraId="643EB3B6">
      <w:pPr>
        <w:keepNext w:val="0"/>
        <w:keepLines w:val="0"/>
        <w:pageBreakBefore w:val="0"/>
        <w:widowControl w:val="0"/>
        <w:kinsoku/>
        <w:wordWrap/>
        <w:overflowPunct/>
        <w:topLinePunct w:val="0"/>
        <w:bidi w:val="0"/>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lang w:eastAsia="zh-CN"/>
        </w:rPr>
        <w:t>在全面落实生态环境保护法律法规、《报告表》和本批复提出的各项污染防治和生态保护措施后，项目产生的不良生态环境影响可以得到减缓和控制，根</w:t>
      </w:r>
      <w:bookmarkStart w:id="0" w:name="_GoBack"/>
      <w:bookmarkEnd w:id="0"/>
      <w:r>
        <w:rPr>
          <w:rFonts w:hint="default" w:ascii="Times New Roman" w:hAnsi="Times New Roman" w:eastAsia="方正仿宋_GBK" w:cs="Times New Roman"/>
          <w:color w:val="auto"/>
          <w:sz w:val="32"/>
          <w:szCs w:val="32"/>
          <w:lang w:eastAsia="zh-CN"/>
        </w:rPr>
        <w:t>据《报告表》《专家评审意见》及技术评估结论，该项目建设从生态环境保护的角</w:t>
      </w:r>
      <w:r>
        <w:rPr>
          <w:rFonts w:hint="default" w:ascii="Times New Roman" w:hAnsi="Times New Roman" w:eastAsia="方正仿宋_GBK" w:cs="Times New Roman"/>
          <w:color w:val="auto"/>
          <w:sz w:val="32"/>
          <w:szCs w:val="32"/>
        </w:rPr>
        <w:t>度可行，我局原则同意《报告表》的环境影响评价结论和拟采取的各项生态环境保护措施。</w:t>
      </w:r>
      <w:r>
        <w:rPr>
          <w:rFonts w:hint="default" w:ascii="Times New Roman" w:hAnsi="Times New Roman" w:eastAsia="方正仿宋_GBK" w:cs="Times New Roman"/>
          <w:color w:val="auto"/>
          <w:kern w:val="2"/>
          <w:sz w:val="32"/>
          <w:szCs w:val="32"/>
          <w:highlight w:val="none"/>
          <w:lang w:val="en-US" w:eastAsia="zh-CN" w:bidi="ar-SA"/>
        </w:rPr>
        <w:t>你单位应当落实生态环境保护主体责任，防止、减少环境污染和生态破坏，对《报告表》的内容和结论负责，对所造成的生态环境损害依法承担责任。</w:t>
      </w:r>
    </w:p>
    <w:p w14:paraId="5E90DA80">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outlineLvl w:val="9"/>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黑体_GBK" w:cs="Times New Roman"/>
          <w:color w:val="auto"/>
          <w:sz w:val="32"/>
          <w:szCs w:val="32"/>
        </w:rPr>
        <w:t>二、</w:t>
      </w:r>
      <w:r>
        <w:rPr>
          <w:rFonts w:hint="default" w:ascii="Times New Roman" w:hAnsi="Times New Roman" w:eastAsia="方正黑体_GBK" w:cs="Times New Roman"/>
          <w:b w:val="0"/>
          <w:bCs w:val="0"/>
          <w:color w:val="auto"/>
          <w:kern w:val="2"/>
          <w:sz w:val="32"/>
          <w:szCs w:val="32"/>
          <w:highlight w:val="none"/>
          <w:lang w:val="en-US" w:eastAsia="zh-CN" w:bidi="ar-SA"/>
        </w:rPr>
        <w:t>项目建设和运营过程中应全面落实《报告表》提出的各项污染防治和生态保护措施，并重点做好以下工作：</w:t>
      </w:r>
    </w:p>
    <w:p w14:paraId="592847B1">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宋体" w:cs="Times New Roman"/>
          <w:bCs/>
          <w:color w:val="auto"/>
          <w:sz w:val="32"/>
          <w:szCs w:val="32"/>
          <w:vertAlign w:val="baseline"/>
          <w:lang w:val="en-US" w:eastAsia="zh-CN"/>
        </w:rPr>
      </w:pPr>
      <w:r>
        <w:rPr>
          <w:rFonts w:hint="default" w:ascii="Times New Roman" w:hAnsi="Times New Roman" w:eastAsia="方正楷体_GBK" w:cs="Times New Roman"/>
          <w:b w:val="0"/>
          <w:bCs w:val="0"/>
          <w:color w:val="auto"/>
          <w:sz w:val="32"/>
          <w:szCs w:val="32"/>
          <w:lang w:eastAsia="zh-CN"/>
        </w:rPr>
        <w:t>（一）</w:t>
      </w:r>
      <w:r>
        <w:rPr>
          <w:rFonts w:hint="default" w:ascii="Times New Roman" w:hAnsi="Times New Roman" w:eastAsia="方正楷体_GBK" w:cs="Times New Roman"/>
          <w:color w:val="auto"/>
          <w:kern w:val="0"/>
          <w:sz w:val="32"/>
          <w:szCs w:val="32"/>
          <w:lang w:val="en-US" w:eastAsia="zh-CN"/>
        </w:rPr>
        <w:t>加强施工期环境管理，严格落实施工期各项环保措施。</w:t>
      </w:r>
      <w:r>
        <w:rPr>
          <w:rFonts w:hint="default" w:ascii="Times New Roman" w:hAnsi="Times New Roman" w:eastAsia="方正仿宋_GBK" w:cs="Times New Roman"/>
          <w:color w:val="auto"/>
          <w:sz w:val="32"/>
          <w:szCs w:val="32"/>
          <w:lang w:val="en-US" w:eastAsia="zh-CN"/>
        </w:rPr>
        <w:t>施工期采取洒水降尘、道路清扫、物料遮盖、封闭车辆运输、合理安排施工时间等措施减缓对周围环境的不良影响；项目施工扬尘无组织排放浓度达到《大气污染物综合排放标准》（GB16297-1996）规定的要求，施工噪声达到《建筑施工噪声排放标准》（GB12523-2025）规定的要求。</w:t>
      </w:r>
    </w:p>
    <w:p w14:paraId="6FD0FEFE">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default" w:ascii="Times New Roman" w:hAnsi="Times New Roman" w:eastAsia="方正仿宋_GBK" w:cs="Times New Roman"/>
          <w:bCs/>
          <w:color w:val="auto"/>
          <w:sz w:val="32"/>
          <w:szCs w:val="32"/>
          <w:lang w:val="en-US" w:eastAsia="zh-CN"/>
        </w:rPr>
      </w:pPr>
      <w:r>
        <w:rPr>
          <w:rFonts w:hint="default" w:ascii="Times New Roman" w:hAnsi="Times New Roman" w:eastAsia="方正楷体_GBK" w:cs="Times New Roman"/>
          <w:bCs/>
          <w:color w:val="auto"/>
          <w:sz w:val="32"/>
          <w:szCs w:val="32"/>
        </w:rPr>
        <w:t>（二）</w:t>
      </w:r>
      <w:r>
        <w:rPr>
          <w:rFonts w:hint="default" w:ascii="Times New Roman" w:hAnsi="Times New Roman" w:eastAsia="方正楷体_GBK" w:cs="Times New Roman"/>
          <w:color w:val="auto"/>
          <w:sz w:val="32"/>
          <w:szCs w:val="32"/>
          <w:highlight w:val="none"/>
          <w:lang w:val="en-US" w:eastAsia="zh-CN"/>
        </w:rPr>
        <w:t>加强废气污染防治，确保大气污染物达标排放。</w:t>
      </w:r>
      <w:r>
        <w:rPr>
          <w:rFonts w:hint="default" w:ascii="Times New Roman" w:hAnsi="Times New Roman" w:eastAsia="方正仿宋_GBK" w:cs="Times New Roman"/>
          <w:bCs/>
          <w:color w:val="auto"/>
          <w:sz w:val="32"/>
          <w:szCs w:val="32"/>
          <w:highlight w:val="none"/>
          <w:lang w:val="en-US" w:eastAsia="zh-CN"/>
        </w:rPr>
        <w:t>项目</w:t>
      </w:r>
      <w:r>
        <w:rPr>
          <w:rFonts w:hint="default" w:ascii="Times New Roman" w:hAnsi="Times New Roman" w:eastAsia="方正仿宋_GBK" w:cs="Times New Roman"/>
          <w:bCs/>
          <w:color w:val="auto"/>
          <w:sz w:val="32"/>
          <w:szCs w:val="32"/>
          <w:lang w:val="en-US" w:eastAsia="zh-CN"/>
        </w:rPr>
        <w:t>燃气锅炉须采用低氮燃烧技术，锅炉废气经收集通过SCR脱硝+钙基干法脱硫+布袋除尘器处理后，通过1根不低于80米高的排气筒排放，项目有组织排放的烟尘、</w:t>
      </w:r>
      <w:r>
        <w:rPr>
          <w:rFonts w:hint="eastAsia" w:ascii="Times New Roman" w:hAnsi="Times New Roman" w:eastAsia="方正仿宋_GBK" w:cs="Times New Roman"/>
          <w:bCs/>
          <w:color w:val="auto"/>
          <w:sz w:val="32"/>
          <w:szCs w:val="32"/>
          <w:lang w:val="en-US" w:eastAsia="zh-CN"/>
        </w:rPr>
        <w:t>二氧化硫</w:t>
      </w:r>
      <w:r>
        <w:rPr>
          <w:rFonts w:hint="default" w:ascii="Times New Roman" w:hAnsi="Times New Roman" w:eastAsia="方正仿宋_GBK" w:cs="Times New Roman"/>
          <w:bCs/>
          <w:color w:val="auto"/>
          <w:sz w:val="32"/>
          <w:szCs w:val="32"/>
          <w:lang w:val="en-US" w:eastAsia="zh-CN"/>
        </w:rPr>
        <w:t>、</w:t>
      </w:r>
      <w:r>
        <w:rPr>
          <w:rFonts w:hint="eastAsia" w:ascii="Times New Roman" w:hAnsi="Times New Roman" w:eastAsia="方正仿宋_GBK" w:cs="Times New Roman"/>
          <w:bCs/>
          <w:color w:val="auto"/>
          <w:sz w:val="32"/>
          <w:szCs w:val="32"/>
          <w:lang w:val="en-US" w:eastAsia="zh-CN"/>
        </w:rPr>
        <w:t>氮氧化物</w:t>
      </w:r>
      <w:r>
        <w:rPr>
          <w:rFonts w:hint="default" w:ascii="Times New Roman" w:hAnsi="Times New Roman" w:eastAsia="方正仿宋_GBK" w:cs="Times New Roman"/>
          <w:bCs/>
          <w:color w:val="auto"/>
          <w:sz w:val="32"/>
          <w:szCs w:val="32"/>
          <w:lang w:val="en-US" w:eastAsia="zh-CN"/>
        </w:rPr>
        <w:t>浓度须达到《关于推进实施钢铁行业超低排放的意见》（环大气〔2019〕35号〕）中</w:t>
      </w:r>
      <w:r>
        <w:rPr>
          <w:rFonts w:hint="eastAsia" w:ascii="Times New Roman" w:hAnsi="Times New Roman" w:eastAsia="方正仿宋_GBK" w:cs="Times New Roman"/>
          <w:bCs/>
          <w:color w:val="auto"/>
          <w:sz w:val="32"/>
          <w:szCs w:val="32"/>
          <w:lang w:val="en-US" w:eastAsia="zh-CN"/>
        </w:rPr>
        <w:t>“</w:t>
      </w:r>
      <w:r>
        <w:rPr>
          <w:rFonts w:hint="default" w:ascii="Times New Roman" w:hAnsi="Times New Roman" w:eastAsia="方正仿宋_GBK" w:cs="Times New Roman"/>
          <w:bCs/>
          <w:color w:val="auto"/>
          <w:sz w:val="32"/>
          <w:szCs w:val="32"/>
          <w:lang w:val="en-US" w:eastAsia="zh-CN"/>
        </w:rPr>
        <w:t>钢铁企业超低排放指标限值</w:t>
      </w:r>
      <w:r>
        <w:rPr>
          <w:rFonts w:hint="eastAsia" w:ascii="Times New Roman" w:hAnsi="Times New Roman" w:eastAsia="方正仿宋_GBK" w:cs="Times New Roman"/>
          <w:bCs/>
          <w:color w:val="auto"/>
          <w:sz w:val="32"/>
          <w:szCs w:val="32"/>
          <w:lang w:val="en-US" w:eastAsia="zh-CN"/>
        </w:rPr>
        <w:t>”</w:t>
      </w:r>
      <w:r>
        <w:rPr>
          <w:rFonts w:hint="default" w:ascii="Times New Roman" w:hAnsi="Times New Roman" w:eastAsia="方正仿宋_GBK" w:cs="Times New Roman"/>
          <w:bCs/>
          <w:color w:val="auto"/>
          <w:sz w:val="32"/>
          <w:szCs w:val="32"/>
          <w:lang w:val="en-US" w:eastAsia="zh-CN"/>
        </w:rPr>
        <w:t>要求，有组织排放的</w:t>
      </w:r>
      <w:r>
        <w:rPr>
          <w:rFonts w:hint="default" w:ascii="Times New Roman" w:hAnsi="Times New Roman" w:eastAsia="方正仿宋_GBK" w:cs="Times New Roman"/>
          <w:bCs/>
          <w:color w:val="auto"/>
          <w:kern w:val="2"/>
          <w:sz w:val="32"/>
          <w:szCs w:val="32"/>
          <w:lang w:val="en-US" w:eastAsia="zh-CN" w:bidi="ar-SA"/>
        </w:rPr>
        <w:t>氨气浓度应达到《恶臭污染物排放标准》（GB14554-1993）表2规定的排放限值要求；项目</w:t>
      </w:r>
      <w:r>
        <w:rPr>
          <w:rFonts w:hint="default" w:ascii="Times New Roman" w:hAnsi="Times New Roman" w:eastAsia="方正仿宋_GBK" w:cs="Times New Roman"/>
          <w:bCs/>
          <w:color w:val="auto"/>
          <w:sz w:val="32"/>
          <w:szCs w:val="32"/>
          <w:lang w:val="en-US" w:eastAsia="zh-CN"/>
        </w:rPr>
        <w:t>无组织排放控制措施须满足《关于推进实施钢铁行业超低排放的意见》（环大气〔2019〕35号）、《钢铁企业超低排放改造技术指南》（中环协〔2020〕4号）等有关要求，确保项目厂界颗粒物无组织排放浓度满足《大气污染物综合排放标准》（GB16297-1996）表2限值要求；按照《污染源自动监控管理办法》等有关规定，项目锅炉废气排放口须安装烟气自动在线监测装置，并与生态环境主管部门的监控平台联网运行，且定期对在线监测装置进行比对监测和校准。</w:t>
      </w:r>
    </w:p>
    <w:p w14:paraId="16BDB110">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default" w:ascii="Times New Roman" w:hAnsi="Times New Roman" w:eastAsia="方正仿宋_GBK" w:cs="Times New Roman"/>
          <w:bCs/>
          <w:color w:val="auto"/>
          <w:kern w:val="2"/>
          <w:sz w:val="32"/>
          <w:szCs w:val="32"/>
          <w:lang w:val="en-US" w:eastAsia="zh-CN" w:bidi="ar-SA"/>
        </w:rPr>
      </w:pPr>
      <w:r>
        <w:rPr>
          <w:rFonts w:hint="default" w:ascii="Times New Roman" w:hAnsi="Times New Roman" w:eastAsia="方正楷体_GBK" w:cs="Times New Roman"/>
          <w:bCs/>
          <w:color w:val="auto"/>
          <w:kern w:val="2"/>
          <w:sz w:val="32"/>
          <w:szCs w:val="32"/>
          <w:lang w:val="en-US" w:eastAsia="zh-CN" w:bidi="ar-SA"/>
        </w:rPr>
        <w:t>（三）严格落实水污染防治措施。</w:t>
      </w:r>
      <w:r>
        <w:rPr>
          <w:rFonts w:hint="default" w:ascii="Times New Roman" w:hAnsi="Times New Roman" w:eastAsia="方正仿宋_GBK" w:cs="Times New Roman"/>
          <w:color w:val="auto"/>
          <w:sz w:val="32"/>
          <w:szCs w:val="32"/>
          <w:highlight w:val="none"/>
          <w:lang w:val="en-US" w:eastAsia="zh-CN"/>
        </w:rPr>
        <w:t>按照雨污分流、清污分流原则，建设排水、污水处理系统，确保满足项目废水处理、回用的要求。项目不新增生活污水，</w:t>
      </w:r>
      <w:r>
        <w:rPr>
          <w:rFonts w:hint="default" w:ascii="Times New Roman" w:hAnsi="Times New Roman" w:eastAsia="方正仿宋_GBK" w:cs="Times New Roman"/>
          <w:bCs/>
          <w:color w:val="auto"/>
          <w:kern w:val="2"/>
          <w:sz w:val="32"/>
          <w:szCs w:val="32"/>
          <w:lang w:val="en-US" w:eastAsia="zh-CN" w:bidi="ar-SA"/>
        </w:rPr>
        <w:t>产生的所有生产废水经收集排入公司已建的中央水处理站处理，达到《城市污水再生利用工业用水水质标准》（GB/T19923-2024）规定的相应标准限值后全部回用于生产用水，严禁外排。</w:t>
      </w:r>
    </w:p>
    <w:p w14:paraId="7715F38B">
      <w:pPr>
        <w:keepNext w:val="0"/>
        <w:keepLines w:val="0"/>
        <w:pageBreakBefore w:val="0"/>
        <w:widowControl w:val="0"/>
        <w:kinsoku/>
        <w:wordWrap/>
        <w:overflowPunct/>
        <w:topLinePunct w:val="0"/>
        <w:bidi w:val="0"/>
        <w:adjustRightInd/>
        <w:spacing w:line="560" w:lineRule="exact"/>
        <w:ind w:firstLine="640" w:firstLineChars="200"/>
        <w:jc w:val="both"/>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楷体_GBK" w:cs="Times New Roman"/>
          <w:color w:val="auto"/>
          <w:sz w:val="32"/>
          <w:szCs w:val="32"/>
          <w:lang w:val="en-US" w:eastAsia="zh-CN"/>
        </w:rPr>
        <w:t>（四）严格落实噪声污染防治措施。</w:t>
      </w:r>
      <w:r>
        <w:rPr>
          <w:rFonts w:hint="default" w:ascii="Times New Roman" w:hAnsi="Times New Roman" w:eastAsia="方正仿宋_GBK" w:cs="Times New Roman"/>
          <w:color w:val="auto"/>
          <w:sz w:val="32"/>
          <w:szCs w:val="32"/>
          <w:lang w:val="en-US" w:eastAsia="zh-CN"/>
        </w:rPr>
        <w:t>选用低噪声设备、设置减震垫、加装消声器、设备设置在室内、利用建筑隔音、距离衰减以及设置绿化带等措施降噪，确保项目厂界噪声达到《工业企业厂界环境噪声排放标准》（GB12348-2008）3类标准要求。</w:t>
      </w:r>
    </w:p>
    <w:p w14:paraId="7334FDDF">
      <w:pPr>
        <w:keepNext w:val="0"/>
        <w:keepLines w:val="0"/>
        <w:pageBreakBefore w:val="0"/>
        <w:widowControl w:val="0"/>
        <w:kinsoku/>
        <w:wordWrap/>
        <w:overflowPunct/>
        <w:topLinePunct w:val="0"/>
        <w:bidi w:val="0"/>
        <w:adjustRightInd/>
        <w:spacing w:beforeAutospacing="0" w:afterAutospacing="0" w:line="560" w:lineRule="exact"/>
        <w:ind w:firstLine="640" w:firstLineChars="200"/>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楷体_GBK" w:cs="Times New Roman"/>
          <w:color w:val="auto"/>
          <w:sz w:val="32"/>
          <w:szCs w:val="32"/>
          <w:lang w:eastAsia="zh-CN"/>
        </w:rPr>
        <w:t>（五）</w:t>
      </w:r>
      <w:r>
        <w:rPr>
          <w:rFonts w:hint="default" w:ascii="Times New Roman" w:hAnsi="Times New Roman" w:eastAsia="方正楷体_GBK" w:cs="Times New Roman"/>
          <w:color w:val="auto"/>
          <w:sz w:val="32"/>
          <w:szCs w:val="32"/>
          <w:highlight w:val="none"/>
          <w:lang w:val="en-US" w:eastAsia="zh-CN"/>
        </w:rPr>
        <w:t>严格落实固体废物污染防治措施。</w:t>
      </w:r>
      <w:r>
        <w:rPr>
          <w:rFonts w:hint="default" w:ascii="Times New Roman" w:hAnsi="Times New Roman" w:eastAsia="方正仿宋_GBK" w:cs="Times New Roman"/>
          <w:color w:val="auto"/>
          <w:sz w:val="32"/>
          <w:szCs w:val="32"/>
          <w:highlight w:val="none"/>
          <w:lang w:val="en-US" w:eastAsia="zh-CN"/>
        </w:rPr>
        <w:t>按照减量化、资源化、无害化原则，对固体废物进行分类收集、处理处置。</w:t>
      </w:r>
      <w:r>
        <w:rPr>
          <w:rFonts w:hint="default" w:ascii="Times New Roman" w:hAnsi="Times New Roman" w:eastAsia="方正仿宋_GBK" w:cs="Times New Roman"/>
          <w:sz w:val="32"/>
          <w:szCs w:val="32"/>
        </w:rPr>
        <w:t>固体废物应尽量进行综合利用</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color w:val="auto"/>
          <w:sz w:val="32"/>
          <w:szCs w:val="32"/>
          <w:highlight w:val="none"/>
          <w:lang w:val="en-US" w:eastAsia="zh-CN"/>
        </w:rPr>
        <w:t>一般固体废物按照《一般工业固体废物贮存和填埋污染控制标准》（GB18599-2020）要求管理；产生的</w:t>
      </w:r>
      <w:r>
        <w:rPr>
          <w:rFonts w:hint="default" w:ascii="Times New Roman" w:hAnsi="Times New Roman" w:eastAsia="方正仿宋_GBK" w:cs="Times New Roman"/>
          <w:sz w:val="32"/>
          <w:szCs w:val="32"/>
        </w:rPr>
        <w:t>废润滑油、废油桶等危险废物收集后暂存于</w:t>
      </w:r>
      <w:r>
        <w:rPr>
          <w:rFonts w:hint="default" w:ascii="Times New Roman" w:hAnsi="Times New Roman" w:eastAsia="方正仿宋_GBK" w:cs="Times New Roman"/>
          <w:sz w:val="32"/>
          <w:szCs w:val="32"/>
          <w:lang w:eastAsia="zh-CN"/>
        </w:rPr>
        <w:t>公司已建的</w:t>
      </w:r>
      <w:r>
        <w:rPr>
          <w:rFonts w:hint="default" w:ascii="Times New Roman" w:hAnsi="Times New Roman" w:eastAsia="方正仿宋_GBK" w:cs="Times New Roman"/>
          <w:sz w:val="32"/>
          <w:szCs w:val="32"/>
        </w:rPr>
        <w:t>危废暂存</w:t>
      </w:r>
      <w:r>
        <w:rPr>
          <w:rFonts w:hint="default" w:ascii="Times New Roman" w:hAnsi="Times New Roman" w:eastAsia="方正仿宋_GBK" w:cs="Times New Roman"/>
          <w:sz w:val="32"/>
          <w:szCs w:val="32"/>
          <w:lang w:eastAsia="zh-CN"/>
        </w:rPr>
        <w:t>库</w:t>
      </w:r>
      <w:r>
        <w:rPr>
          <w:rFonts w:hint="default" w:ascii="Times New Roman" w:hAnsi="Times New Roman" w:eastAsia="方正仿宋_GBK" w:cs="Times New Roman"/>
          <w:color w:val="auto"/>
          <w:sz w:val="32"/>
          <w:szCs w:val="32"/>
          <w:highlight w:val="none"/>
          <w:lang w:val="en-US" w:eastAsia="zh-CN"/>
        </w:rPr>
        <w:t>；危险废物严格按照国家有关规定进行收集、运输、暂存、处置和管理，建立管理台账，存档备查，危险废物委托有资质的单位定期进行处置，严格执行《危险废物转移管理办法》及相关制度，强化各环节的环境保护措施，切实防止管理不当造成的二次污染。</w:t>
      </w:r>
    </w:p>
    <w:p w14:paraId="50B69E7C">
      <w:pPr>
        <w:keepNext w:val="0"/>
        <w:keepLines w:val="0"/>
        <w:pageBreakBefore w:val="0"/>
        <w:widowControl w:val="0"/>
        <w:kinsoku/>
        <w:wordWrap/>
        <w:overflowPunct/>
        <w:topLinePunct/>
        <w:bidi w:val="0"/>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楷体_GBK" w:cs="Times New Roman"/>
          <w:color w:val="auto"/>
          <w:kern w:val="2"/>
          <w:sz w:val="32"/>
          <w:szCs w:val="32"/>
          <w:highlight w:val="none"/>
          <w:lang w:val="en-US" w:eastAsia="zh-CN" w:bidi="ar-SA"/>
        </w:rPr>
        <w:t>（六）</w:t>
      </w:r>
      <w:r>
        <w:rPr>
          <w:rFonts w:hint="default" w:ascii="Times New Roman" w:hAnsi="Times New Roman" w:eastAsia="方正楷体_GBK" w:cs="Times New Roman"/>
          <w:color w:val="auto"/>
          <w:sz w:val="32"/>
          <w:szCs w:val="32"/>
          <w:highlight w:val="none"/>
        </w:rPr>
        <w:t>落实地下水和土壤污染防治措施。</w:t>
      </w:r>
      <w:r>
        <w:rPr>
          <w:rFonts w:hint="default" w:ascii="Times New Roman" w:hAnsi="Times New Roman" w:eastAsia="方正仿宋_GBK" w:cs="Times New Roman"/>
          <w:sz w:val="32"/>
          <w:szCs w:val="32"/>
        </w:rPr>
        <w:t>按照源头控制、分区防治、污染监控、应急响应</w:t>
      </w:r>
      <w:r>
        <w:rPr>
          <w:rFonts w:hint="default" w:ascii="Times New Roman" w:hAnsi="Times New Roman" w:eastAsia="方正仿宋_GBK" w:cs="Times New Roman"/>
          <w:sz w:val="32"/>
          <w:szCs w:val="32"/>
          <w:lang w:eastAsia="zh-CN"/>
        </w:rPr>
        <w:t>等</w:t>
      </w:r>
      <w:r>
        <w:rPr>
          <w:rFonts w:hint="default" w:ascii="Times New Roman" w:hAnsi="Times New Roman" w:eastAsia="方正仿宋_GBK" w:cs="Times New Roman"/>
          <w:sz w:val="32"/>
          <w:szCs w:val="32"/>
        </w:rPr>
        <w:t>原则进行地下水污染防治</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严格按照《报告表》提出的分区防渗措施和要求，对项目重点防渗区、一般防渗区和简单防渗区进行防渗处理，防止地下水污染，防渗工程结束后自行组织验收并建立健全相关工作台账记录，存档备查；严格按照《环境影响评价技术导则 地下水环境》《地下水污染源防渗技术指南（试行）》等要求，加强防渗设施的日常维护，对出现损坏的防渗设施应及时修复和加固，确保防渗设施牢固安全</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加强隐蔽工程泄漏检测，一旦发现泄漏，应立即采取补救措施，防止污染土壤和地下水。</w:t>
      </w:r>
    </w:p>
    <w:p w14:paraId="08EAE347">
      <w:pPr>
        <w:keepNext w:val="0"/>
        <w:keepLines w:val="0"/>
        <w:pageBreakBefore w:val="0"/>
        <w:widowControl w:val="0"/>
        <w:kinsoku/>
        <w:wordWrap/>
        <w:overflowPunct/>
        <w:topLinePunct/>
        <w:bidi w:val="0"/>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楷体_GBK" w:cs="Times New Roman"/>
          <w:color w:val="auto"/>
          <w:kern w:val="2"/>
          <w:sz w:val="32"/>
          <w:szCs w:val="32"/>
          <w:lang w:val="en-US" w:eastAsia="zh-CN" w:bidi="ar-SA"/>
        </w:rPr>
        <w:t>（七）</w:t>
      </w:r>
      <w:r>
        <w:rPr>
          <w:rFonts w:hint="default" w:ascii="Times New Roman" w:hAnsi="Times New Roman" w:eastAsia="方正楷体_GBK" w:cs="Times New Roman"/>
          <w:sz w:val="32"/>
          <w:szCs w:val="32"/>
        </w:rPr>
        <w:t>加强环境风险防范和管理。</w:t>
      </w:r>
      <w:r>
        <w:rPr>
          <w:rFonts w:hint="default" w:ascii="Times New Roman" w:hAnsi="Times New Roman" w:eastAsia="方正仿宋_GBK" w:cs="Times New Roman"/>
          <w:sz w:val="32"/>
          <w:szCs w:val="32"/>
        </w:rPr>
        <w:t>建立健全风险防控体系和事故排放污染收集系统，做好环境风险的巡查、监控等管理，杜绝环境风险事故发生；按照《突发环境事件应急管理办法》《企业事业单位突发环境事件应急预案备案管理办法（试行）》等要求，制定突发环境事件应急预案并报玉溪市生态环境局</w:t>
      </w:r>
      <w:r>
        <w:rPr>
          <w:rFonts w:hint="default" w:ascii="Times New Roman" w:hAnsi="Times New Roman" w:eastAsia="方正仿宋_GBK" w:cs="Times New Roman"/>
          <w:sz w:val="32"/>
          <w:szCs w:val="32"/>
          <w:lang w:eastAsia="zh-CN"/>
        </w:rPr>
        <w:t>新平</w:t>
      </w:r>
      <w:r>
        <w:rPr>
          <w:rFonts w:hint="default" w:ascii="Times New Roman" w:hAnsi="Times New Roman" w:eastAsia="方正仿宋_GBK" w:cs="Times New Roman"/>
          <w:sz w:val="32"/>
          <w:szCs w:val="32"/>
        </w:rPr>
        <w:t>分局备案。</w:t>
      </w:r>
    </w:p>
    <w:p w14:paraId="73072718">
      <w:pPr>
        <w:pStyle w:val="31"/>
        <w:keepNext w:val="0"/>
        <w:keepLines w:val="0"/>
        <w:pageBreakBefore w:val="0"/>
        <w:widowControl w:val="0"/>
        <w:kinsoku/>
        <w:wordWrap/>
        <w:overflowPunct/>
        <w:topLinePunct w:val="0"/>
        <w:bidi w:val="0"/>
        <w:adjustRightInd/>
        <w:spacing w:line="560" w:lineRule="exact"/>
        <w:ind w:firstLine="640"/>
        <w:rPr>
          <w:rFonts w:hint="default" w:ascii="Times New Roman" w:hAnsi="Times New Roman" w:eastAsia="方正楷体_GBK" w:cs="Times New Roman"/>
          <w:bCs/>
          <w:color w:val="auto"/>
          <w:kern w:val="0"/>
          <w:sz w:val="32"/>
          <w:szCs w:val="32"/>
        </w:rPr>
      </w:pPr>
      <w:r>
        <w:rPr>
          <w:rFonts w:hint="default" w:ascii="Times New Roman" w:hAnsi="Times New Roman" w:eastAsia="方正楷体_GBK" w:cs="Times New Roman"/>
          <w:color w:val="auto"/>
          <w:kern w:val="2"/>
          <w:sz w:val="32"/>
          <w:szCs w:val="32"/>
          <w:lang w:val="en-US" w:eastAsia="zh-CN" w:bidi="ar-SA"/>
        </w:rPr>
        <w:t>（八）</w:t>
      </w:r>
      <w:r>
        <w:rPr>
          <w:rFonts w:hint="default" w:ascii="Times New Roman" w:hAnsi="Times New Roman" w:eastAsia="方正楷体_GBK" w:cs="Times New Roman"/>
          <w:bCs/>
          <w:color w:val="auto"/>
          <w:kern w:val="0"/>
          <w:sz w:val="32"/>
          <w:szCs w:val="32"/>
        </w:rPr>
        <w:t>切实做好环保设施的日常维护和管理，落实环境风险防范措施，确保污染物长期稳定达标排放，杜绝事故性排放。</w:t>
      </w:r>
    </w:p>
    <w:p w14:paraId="188BFE8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黑体_GBK" w:cs="Times New Roman"/>
          <w:color w:val="auto"/>
          <w:kern w:val="2"/>
          <w:sz w:val="32"/>
          <w:szCs w:val="32"/>
          <w:lang w:val="en-US" w:eastAsia="zh-CN" w:bidi="ar-SA"/>
        </w:rPr>
        <w:t>三、</w:t>
      </w:r>
      <w:r>
        <w:rPr>
          <w:rFonts w:hint="default" w:ascii="Times New Roman" w:hAnsi="Times New Roman" w:eastAsia="方正仿宋_GBK" w:cs="Times New Roman"/>
          <w:sz w:val="32"/>
          <w:szCs w:val="32"/>
          <w:lang w:val="en-US" w:eastAsia="zh-CN"/>
        </w:rPr>
        <w:t>项目在实际排污行为发生之前，应按照《排污许可管理条例》规定办理排污许可手续，未取得排污许可手续的，不得排放污染物，项目运行应符合排污许可管理的相关要求。应当按照自行监测技术指南，编制自行监测方案，按照排污许可规定和有关标准规范，依法开展自行监测，如实在全国排污许可证管理信息平台上公开污染物排放信息。应按照规定建设规范化污染物排放口，并设置标志牌。</w:t>
      </w:r>
    </w:p>
    <w:p w14:paraId="2D1CCA85">
      <w:pPr>
        <w:keepNext w:val="0"/>
        <w:keepLines w:val="0"/>
        <w:pageBreakBefore w:val="0"/>
        <w:widowControl w:val="0"/>
        <w:numPr>
          <w:ilvl w:val="-1"/>
          <w:numId w:val="0"/>
        </w:numPr>
        <w:kinsoku/>
        <w:wordWrap/>
        <w:overflowPunct/>
        <w:topLinePunct w:val="0"/>
        <w:autoSpaceDE/>
        <w:autoSpaceDN/>
        <w:bidi w:val="0"/>
        <w:adjustRightInd/>
        <w:snapToGrid/>
        <w:spacing w:beforeLines="0" w:afterLines="0" w:line="560" w:lineRule="exact"/>
        <w:ind w:leftChars="0"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黑体_GBK" w:cs="Times New Roman"/>
          <w:bCs/>
          <w:color w:val="000000"/>
          <w:sz w:val="32"/>
          <w:szCs w:val="32"/>
          <w:lang w:val="en-US" w:eastAsia="zh-CN"/>
        </w:rPr>
        <w:t>四、</w:t>
      </w:r>
      <w:r>
        <w:rPr>
          <w:rFonts w:hint="default" w:ascii="Times New Roman" w:hAnsi="Times New Roman" w:eastAsia="方正仿宋_GBK" w:cs="Times New Roman"/>
          <w:color w:val="auto"/>
          <w:sz w:val="32"/>
          <w:szCs w:val="32"/>
        </w:rPr>
        <w:t>严格落实</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三同时</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制度。</w:t>
      </w:r>
      <w:r>
        <w:rPr>
          <w:rFonts w:hint="default" w:ascii="Times New Roman" w:hAnsi="Times New Roman" w:eastAsia="方正仿宋_GBK" w:cs="Times New Roman"/>
          <w:sz w:val="32"/>
          <w:szCs w:val="32"/>
          <w:lang w:val="en-US" w:eastAsia="zh-CN"/>
        </w:rPr>
        <w:t>你公司应落实生态环境保护主体责任，建立内部生态环境管理机制，明确机构、人员、职责和制度，加强生态环境管理，推进各项生态环境保护措施落实；项目建设必须严格执行配套建设的环境保护设施与主体工程同时设计、同时施工、同时投产使用的</w:t>
      </w:r>
      <w:r>
        <w:rPr>
          <w:rFonts w:hint="default" w:ascii="Times New Roman" w:hAnsi="Times New Roman" w:eastAsia="方正仿宋_GBK" w:cs="Times New Roman"/>
          <w:smallCaps w:val="0"/>
          <w:color w:val="auto"/>
          <w:sz w:val="32"/>
          <w:szCs w:val="32"/>
        </w:rPr>
        <w:t>环境保护</w:t>
      </w:r>
      <w:r>
        <w:rPr>
          <w:rFonts w:hint="eastAsia" w:ascii="Times New Roman" w:hAnsi="Times New Roman" w:eastAsia="方正仿宋_GBK" w:cs="Times New Roman"/>
          <w:smallCaps w:val="0"/>
          <w:color w:val="auto"/>
          <w:sz w:val="32"/>
          <w:szCs w:val="32"/>
          <w:lang w:eastAsia="zh-CN"/>
        </w:rPr>
        <w:t>“</w:t>
      </w:r>
      <w:r>
        <w:rPr>
          <w:rFonts w:hint="default" w:ascii="Times New Roman" w:hAnsi="Times New Roman" w:eastAsia="方正仿宋_GBK" w:cs="Times New Roman"/>
          <w:smallCaps w:val="0"/>
          <w:color w:val="auto"/>
          <w:sz w:val="32"/>
          <w:szCs w:val="32"/>
          <w:lang w:val="en-US" w:eastAsia="zh-CN"/>
        </w:rPr>
        <w:t>三同时</w:t>
      </w:r>
      <w:r>
        <w:rPr>
          <w:rFonts w:hint="eastAsia" w:ascii="Times New Roman" w:hAnsi="Times New Roman" w:eastAsia="方正仿宋_GBK" w:cs="Times New Roman"/>
          <w:smallCaps w:val="0"/>
          <w:color w:val="auto"/>
          <w:sz w:val="32"/>
          <w:szCs w:val="32"/>
          <w:lang w:eastAsia="zh-CN"/>
        </w:rPr>
        <w:t>”</w:t>
      </w:r>
      <w:r>
        <w:rPr>
          <w:rFonts w:hint="default" w:ascii="Times New Roman" w:hAnsi="Times New Roman" w:eastAsia="方正仿宋_GBK" w:cs="Times New Roman"/>
          <w:sz w:val="32"/>
          <w:szCs w:val="32"/>
          <w:lang w:val="en-US" w:eastAsia="zh-CN"/>
        </w:rPr>
        <w:t>制度；项目正式投运前，应当按照规定的标准和程序，自行组织开展竣工环境保护验收，经验收合格后方可正式投入运行。</w:t>
      </w:r>
    </w:p>
    <w:p w14:paraId="56919BA1">
      <w:pPr>
        <w:keepNext w:val="0"/>
        <w:keepLines w:val="0"/>
        <w:pageBreakBefore w:val="0"/>
        <w:widowControl w:val="0"/>
        <w:kinsoku/>
        <w:wordWrap/>
        <w:overflowPunct/>
        <w:topLinePunct/>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highlight w:val="yellow"/>
          <w:lang w:val="en-US" w:eastAsia="zh-CN"/>
        </w:rPr>
      </w:pPr>
      <w:r>
        <w:rPr>
          <w:rFonts w:hint="default" w:ascii="Times New Roman" w:hAnsi="Times New Roman" w:eastAsia="方正黑体_GBK" w:cs="Times New Roman"/>
          <w:color w:val="auto"/>
          <w:kern w:val="2"/>
          <w:sz w:val="32"/>
          <w:szCs w:val="32"/>
          <w:lang w:val="en-US" w:eastAsia="zh-CN" w:bidi="ar-SA"/>
        </w:rPr>
        <w:t>五、</w:t>
      </w:r>
      <w:r>
        <w:rPr>
          <w:rFonts w:hint="default" w:ascii="Times New Roman" w:hAnsi="Times New Roman" w:eastAsia="方正仿宋_GBK" w:cs="Times New Roman"/>
          <w:color w:val="auto"/>
          <w:kern w:val="2"/>
          <w:sz w:val="32"/>
          <w:szCs w:val="32"/>
          <w:highlight w:val="none"/>
          <w:lang w:val="en-US" w:eastAsia="zh-CN" w:bidi="ar-SA"/>
        </w:rPr>
        <w:t>严格落实污染物排放总量控制规定和各项措施。根据《报告表》测算，</w:t>
      </w:r>
      <w:r>
        <w:rPr>
          <w:rFonts w:hint="default" w:ascii="Times New Roman" w:hAnsi="Times New Roman" w:eastAsia="宋体" w:cs="Times New Roman"/>
          <w:b w:val="0"/>
          <w:bCs w:val="0"/>
          <w:color w:val="auto"/>
          <w:kern w:val="2"/>
          <w:sz w:val="32"/>
          <w:szCs w:val="32"/>
          <w:lang w:val="en-US" w:eastAsia="zh-CN" w:bidi="ar-SA"/>
        </w:rPr>
        <w:t>该</w:t>
      </w:r>
      <w:r>
        <w:rPr>
          <w:rFonts w:hint="default" w:ascii="Times New Roman" w:hAnsi="Times New Roman" w:eastAsia="方正仿宋_GBK" w:cs="Times New Roman"/>
          <w:sz w:val="32"/>
          <w:szCs w:val="32"/>
          <w:lang w:val="en-US" w:eastAsia="zh-CN"/>
        </w:rPr>
        <w:t>项目除新增氨排放量外，不新增大气污染物排放量，项目大气污染物排放量初步核定为：氮氧化物63.25吨/年、二氧化硫52.95吨/年、颗粒物6.683吨/年、氨6.34吨/年，由玉溪市生态环境局新平分局纳入污染物排放总量控制计划。</w:t>
      </w:r>
    </w:p>
    <w:p w14:paraId="79C1660F">
      <w:pPr>
        <w:keepNext w:val="0"/>
        <w:keepLines w:val="0"/>
        <w:pageBreakBefore w:val="0"/>
        <w:widowControl w:val="0"/>
        <w:kinsoku/>
        <w:wordWrap/>
        <w:overflowPunct/>
        <w:topLinePunct w:val="0"/>
        <w:bidi w:val="0"/>
        <w:adjustRightInd/>
        <w:spacing w:line="560" w:lineRule="exact"/>
        <w:ind w:firstLine="640" w:firstLineChars="200"/>
        <w:rPr>
          <w:rFonts w:hint="default" w:ascii="Times New Roman" w:hAnsi="Times New Roman" w:eastAsia="方正仿宋_GBK" w:cs="Times New Roman"/>
          <w:color w:val="auto"/>
          <w:sz w:val="32"/>
          <w:szCs w:val="32"/>
        </w:rPr>
      </w:pPr>
      <w:r>
        <w:rPr>
          <w:rFonts w:hint="default" w:ascii="Times New Roman" w:hAnsi="Times New Roman" w:eastAsia="方正黑体_GBK" w:cs="Times New Roman"/>
          <w:color w:val="auto"/>
          <w:kern w:val="2"/>
          <w:sz w:val="32"/>
          <w:szCs w:val="32"/>
          <w:lang w:val="en-US" w:eastAsia="zh-CN" w:bidi="ar-SA"/>
        </w:rPr>
        <w:t>六、</w:t>
      </w:r>
      <w:r>
        <w:rPr>
          <w:rFonts w:hint="default" w:ascii="Times New Roman" w:hAnsi="Times New Roman" w:eastAsia="方正仿宋_GBK" w:cs="Times New Roman"/>
          <w:color w:val="auto"/>
          <w:sz w:val="32"/>
          <w:szCs w:val="32"/>
        </w:rPr>
        <w:t>《报告表》经批准后，如工程的性质、规模、工艺、地点或者防治污染、防止生态破坏的措施发生重大变动的，应当重新报批环境影响评价文件，否则不得实施建设。《报告表》自批准之日起满5年，建设项目方开工建设的，应当报我局重新审核。</w:t>
      </w:r>
    </w:p>
    <w:p w14:paraId="02EE5981">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方正仿宋_GBK" w:cs="Times New Roman"/>
          <w:sz w:val="32"/>
          <w:szCs w:val="32"/>
          <w:lang w:val="en-US" w:eastAsia="zh-CN" w:bidi="ar-SA"/>
        </w:rPr>
      </w:pPr>
      <w:r>
        <w:rPr>
          <w:rFonts w:hint="default" w:ascii="Times New Roman" w:hAnsi="Times New Roman" w:eastAsia="方正黑体_GBK" w:cs="Times New Roman"/>
          <w:color w:val="auto"/>
          <w:kern w:val="2"/>
          <w:sz w:val="32"/>
          <w:szCs w:val="32"/>
          <w:lang w:val="en-US" w:eastAsia="zh-CN" w:bidi="ar-SA"/>
        </w:rPr>
        <w:t>七、</w:t>
      </w:r>
      <w:r>
        <w:rPr>
          <w:rFonts w:hint="default" w:ascii="Times New Roman" w:hAnsi="Times New Roman" w:eastAsia="方正仿宋_GBK" w:cs="Times New Roman"/>
          <w:bCs/>
          <w:color w:val="auto"/>
          <w:kern w:val="0"/>
          <w:sz w:val="32"/>
          <w:szCs w:val="32"/>
        </w:rPr>
        <w:t>玉溪市生态环境保护综合行政执法支队、玉溪市生态环境局新平分局要切实承担事中事后监管责任，履行属地监管职责，按照法律法规及《关于进一步完善建设项目环境保护</w:t>
      </w:r>
      <w:r>
        <w:rPr>
          <w:rFonts w:hint="eastAsia" w:ascii="Times New Roman" w:hAnsi="Times New Roman" w:eastAsia="方正仿宋_GBK" w:cs="Times New Roman"/>
          <w:bCs/>
          <w:color w:val="auto"/>
          <w:kern w:val="0"/>
          <w:sz w:val="32"/>
          <w:szCs w:val="32"/>
          <w:lang w:eastAsia="zh-CN"/>
        </w:rPr>
        <w:t>“</w:t>
      </w:r>
      <w:r>
        <w:rPr>
          <w:rFonts w:hint="default" w:ascii="Times New Roman" w:hAnsi="Times New Roman" w:eastAsia="方正仿宋_GBK" w:cs="Times New Roman"/>
          <w:bCs/>
          <w:color w:val="auto"/>
          <w:kern w:val="0"/>
          <w:sz w:val="32"/>
          <w:szCs w:val="32"/>
        </w:rPr>
        <w:t>三同时</w:t>
      </w:r>
      <w:r>
        <w:rPr>
          <w:rFonts w:hint="eastAsia" w:ascii="Times New Roman" w:hAnsi="Times New Roman" w:eastAsia="方正仿宋_GBK" w:cs="Times New Roman"/>
          <w:bCs/>
          <w:color w:val="auto"/>
          <w:kern w:val="0"/>
          <w:sz w:val="32"/>
          <w:szCs w:val="32"/>
          <w:lang w:eastAsia="zh-CN"/>
        </w:rPr>
        <w:t>”</w:t>
      </w:r>
      <w:r>
        <w:rPr>
          <w:rFonts w:hint="default" w:ascii="Times New Roman" w:hAnsi="Times New Roman" w:eastAsia="方正仿宋_GBK" w:cs="Times New Roman"/>
          <w:bCs/>
          <w:color w:val="auto"/>
          <w:kern w:val="0"/>
          <w:sz w:val="32"/>
          <w:szCs w:val="32"/>
        </w:rPr>
        <w:t>及竣工环境保护自主验收监管工作机制的意见》（环执法</w:t>
      </w:r>
      <w:r>
        <w:rPr>
          <w:rFonts w:hint="default" w:ascii="Times New Roman" w:hAnsi="Times New Roman" w:eastAsia="方正仿宋_GBK" w:cs="Times New Roman"/>
          <w:color w:val="auto"/>
          <w:sz w:val="32"/>
          <w:szCs w:val="32"/>
          <w:highlight w:val="none"/>
          <w:lang w:val="en-US" w:eastAsia="zh-CN"/>
        </w:rPr>
        <w:t>〔2021〕</w:t>
      </w:r>
      <w:r>
        <w:rPr>
          <w:rFonts w:hint="default" w:ascii="Times New Roman" w:hAnsi="Times New Roman" w:eastAsia="方正仿宋_GBK" w:cs="Times New Roman"/>
          <w:bCs/>
          <w:color w:val="auto"/>
          <w:kern w:val="0"/>
          <w:sz w:val="32"/>
          <w:szCs w:val="32"/>
        </w:rPr>
        <w:t>70号）等文件要求，加强对项目的环境保护</w:t>
      </w:r>
      <w:r>
        <w:rPr>
          <w:rFonts w:hint="eastAsia" w:ascii="Times New Roman" w:hAnsi="Times New Roman" w:eastAsia="方正仿宋_GBK" w:cs="Times New Roman"/>
          <w:bCs/>
          <w:color w:val="auto"/>
          <w:kern w:val="0"/>
          <w:sz w:val="32"/>
          <w:szCs w:val="32"/>
          <w:lang w:eastAsia="zh-CN"/>
        </w:rPr>
        <w:t>“</w:t>
      </w:r>
      <w:r>
        <w:rPr>
          <w:rFonts w:hint="default" w:ascii="Times New Roman" w:hAnsi="Times New Roman" w:eastAsia="方正仿宋_GBK" w:cs="Times New Roman"/>
          <w:bCs/>
          <w:color w:val="auto"/>
          <w:kern w:val="0"/>
          <w:sz w:val="32"/>
          <w:szCs w:val="32"/>
        </w:rPr>
        <w:t>三同时</w:t>
      </w:r>
      <w:r>
        <w:rPr>
          <w:rFonts w:hint="eastAsia" w:ascii="Times New Roman" w:hAnsi="Times New Roman" w:eastAsia="方正仿宋_GBK" w:cs="Times New Roman"/>
          <w:bCs/>
          <w:color w:val="auto"/>
          <w:kern w:val="0"/>
          <w:sz w:val="32"/>
          <w:szCs w:val="32"/>
          <w:lang w:eastAsia="zh-CN"/>
        </w:rPr>
        <w:t>”</w:t>
      </w:r>
      <w:r>
        <w:rPr>
          <w:rFonts w:hint="default" w:ascii="Times New Roman" w:hAnsi="Times New Roman" w:eastAsia="方正仿宋_GBK" w:cs="Times New Roman"/>
          <w:bCs/>
          <w:color w:val="auto"/>
          <w:kern w:val="0"/>
          <w:sz w:val="32"/>
          <w:szCs w:val="32"/>
        </w:rPr>
        <w:t>、竣工环境保护自主验收</w:t>
      </w:r>
      <w:r>
        <w:rPr>
          <w:rFonts w:hint="default" w:ascii="Times New Roman" w:hAnsi="Times New Roman" w:eastAsia="方正仿宋_GBK" w:cs="Times New Roman"/>
          <w:bCs/>
          <w:color w:val="auto"/>
          <w:kern w:val="0"/>
          <w:sz w:val="32"/>
          <w:szCs w:val="32"/>
          <w:lang w:eastAsia="zh-CN"/>
        </w:rPr>
        <w:t>、</w:t>
      </w:r>
      <w:r>
        <w:rPr>
          <w:rFonts w:hint="default" w:ascii="Times New Roman" w:hAnsi="Times New Roman" w:eastAsia="方正仿宋_GBK" w:cs="Times New Roman"/>
          <w:color w:val="auto"/>
          <w:kern w:val="2"/>
          <w:sz w:val="32"/>
          <w:szCs w:val="32"/>
          <w:highlight w:val="none"/>
          <w:lang w:val="en-US" w:eastAsia="zh-CN" w:bidi="ar-SA"/>
        </w:rPr>
        <w:t>日常运行等执法监管工作。</w:t>
      </w:r>
    </w:p>
    <w:p w14:paraId="5D34080B">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方正仿宋_GBK" w:cs="Times New Roman"/>
          <w:sz w:val="32"/>
          <w:szCs w:val="32"/>
          <w:lang w:val="en-US" w:eastAsia="zh-CN" w:bidi="ar-SA"/>
        </w:rPr>
      </w:pPr>
    </w:p>
    <w:p w14:paraId="1A1550D7">
      <w:pPr>
        <w:pStyle w:val="2"/>
        <w:keepNext w:val="0"/>
        <w:keepLines w:val="0"/>
        <w:pageBreakBefore w:val="0"/>
        <w:kinsoku/>
        <w:wordWrap/>
        <w:overflowPunct/>
        <w:bidi w:val="0"/>
        <w:spacing w:line="560" w:lineRule="exact"/>
        <w:rPr>
          <w:rFonts w:hint="default" w:ascii="Times New Roman" w:hAnsi="Times New Roman" w:cs="Times New Roman"/>
          <w:lang w:val="en-US" w:eastAsia="zh-CN"/>
        </w:rPr>
      </w:pPr>
    </w:p>
    <w:p w14:paraId="247D23DD">
      <w:pPr>
        <w:keepNext w:val="0"/>
        <w:keepLines w:val="0"/>
        <w:pageBreakBefore w:val="0"/>
        <w:widowControl w:val="0"/>
        <w:kinsoku/>
        <w:wordWrap/>
        <w:overflowPunct/>
        <w:topLinePunct w:val="0"/>
        <w:autoSpaceDE/>
        <w:autoSpaceDN/>
        <w:bidi w:val="0"/>
        <w:adjustRightInd/>
        <w:snapToGrid/>
        <w:spacing w:line="560" w:lineRule="exact"/>
        <w:ind w:left="0" w:firstLine="5120" w:firstLineChars="1600"/>
        <w:jc w:val="both"/>
        <w:textAlignment w:val="auto"/>
        <w:rPr>
          <w:rFonts w:hint="default" w:ascii="Times New Roman" w:hAnsi="Times New Roman" w:eastAsia="方正仿宋_GBK" w:cs="Times New Roman"/>
          <w:sz w:val="32"/>
          <w:szCs w:val="32"/>
          <w:lang w:val="en-US" w:eastAsia="zh-CN" w:bidi="ar-SA"/>
        </w:rPr>
      </w:pPr>
      <w:r>
        <w:rPr>
          <w:rFonts w:hint="default" w:ascii="Times New Roman" w:hAnsi="Times New Roman" w:eastAsia="方正仿宋_GBK" w:cs="Times New Roman"/>
          <w:sz w:val="32"/>
          <w:szCs w:val="32"/>
          <w:lang w:val="en-US" w:eastAsia="zh-CN" w:bidi="ar-SA"/>
        </w:rPr>
        <w:t>2026年5月14日</w:t>
      </w:r>
    </w:p>
    <w:p w14:paraId="0FFB2972">
      <w:pPr>
        <w:keepNext w:val="0"/>
        <w:keepLines w:val="0"/>
        <w:pageBreakBefore w:val="0"/>
        <w:widowControl w:val="0"/>
        <w:numPr>
          <w:ilvl w:val="0"/>
          <w:numId w:val="0"/>
        </w:numPr>
        <w:kinsoku/>
        <w:wordWrap/>
        <w:overflowPunct/>
        <w:topLinePunct w:val="0"/>
        <w:autoSpaceDE/>
        <w:autoSpaceDN/>
        <w:bidi w:val="0"/>
        <w:adjustRightInd/>
        <w:snapToGrid/>
        <w:spacing w:line="590" w:lineRule="exact"/>
        <w:jc w:val="both"/>
        <w:textAlignment w:val="auto"/>
        <w:rPr>
          <w:rFonts w:hint="default" w:ascii="Times New Roman" w:hAnsi="Times New Roman" w:eastAsia="方正仿宋_GBK" w:cs="Times New Roman"/>
          <w:sz w:val="32"/>
          <w:szCs w:val="32"/>
          <w:lang w:val="en-US" w:eastAsia="zh-CN"/>
        </w:rPr>
      </w:pPr>
    </w:p>
    <w:p w14:paraId="7B6FC2BC">
      <w:pPr>
        <w:pStyle w:val="2"/>
        <w:rPr>
          <w:rFonts w:hint="default"/>
          <w:lang w:val="en-US" w:eastAsia="zh-CN"/>
        </w:rPr>
      </w:pPr>
    </w:p>
    <w:p w14:paraId="771F64FB">
      <w:pPr>
        <w:keepNext w:val="0"/>
        <w:keepLines w:val="0"/>
        <w:pageBreakBefore w:val="0"/>
        <w:widowControl w:val="0"/>
        <w:numPr>
          <w:ilvl w:val="0"/>
          <w:numId w:val="0"/>
        </w:numPr>
        <w:kinsoku/>
        <w:wordWrap/>
        <w:overflowPunct/>
        <w:topLinePunct w:val="0"/>
        <w:autoSpaceDE/>
        <w:autoSpaceDN/>
        <w:bidi w:val="0"/>
        <w:adjustRightInd/>
        <w:snapToGrid/>
        <w:spacing w:line="590" w:lineRule="exact"/>
        <w:jc w:val="both"/>
        <w:textAlignment w:val="auto"/>
        <w:rPr>
          <w:rFonts w:hint="default" w:ascii="Times New Roman" w:hAnsi="Times New Roman" w:eastAsia="方正仿宋_GBK" w:cs="Times New Roman"/>
          <w:sz w:val="32"/>
          <w:szCs w:val="32"/>
          <w:lang w:val="en-US" w:eastAsia="zh-CN"/>
        </w:rPr>
      </w:pPr>
    </w:p>
    <w:p w14:paraId="6D88A6B4">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Chars="0" w:firstLine="640" w:firstLineChars="200"/>
        <w:jc w:val="both"/>
        <w:textAlignment w:val="auto"/>
        <w:rPr>
          <w:rFonts w:hint="default" w:ascii="Times New Roman" w:hAnsi="Times New Roman" w:eastAsia="方正仿宋_GBK" w:cs="Times New Roman"/>
          <w:sz w:val="32"/>
          <w:szCs w:val="32"/>
          <w:lang w:val="en-US" w:eastAsia="zh-CN"/>
        </w:rPr>
      </w:pPr>
    </w:p>
    <w:p w14:paraId="26F32DFF">
      <w:pPr>
        <w:keepNext w:val="0"/>
        <w:keepLines w:val="0"/>
        <w:pageBreakBefore w:val="0"/>
        <w:widowControl w:val="0"/>
        <w:kinsoku/>
        <w:wordWrap/>
        <w:overflowPunct/>
        <w:topLinePunct w:val="0"/>
        <w:autoSpaceDE/>
        <w:autoSpaceDN/>
        <w:bidi w:val="0"/>
        <w:adjustRightInd/>
        <w:spacing w:line="510" w:lineRule="exact"/>
        <w:ind w:left="1119" w:leftChars="133" w:right="279" w:rightChars="133" w:hanging="840" w:hangingChars="300"/>
        <w:textAlignment w:val="auto"/>
        <w:rPr>
          <w:rFonts w:hint="default" w:ascii="Times New Roman" w:hAnsi="Times New Roman" w:eastAsia="方正仿宋_GBK" w:cs="Times New Roman"/>
          <w:color w:val="auto"/>
          <w:sz w:val="28"/>
          <w:szCs w:val="28"/>
          <w:highlight w:val="none"/>
          <w:lang w:val="en-US" w:eastAsia="zh-CN"/>
        </w:rPr>
      </w:pPr>
      <w:r>
        <w:rPr>
          <w:rFonts w:hint="default" w:ascii="Times New Roman" w:hAnsi="Times New Roman" w:eastAsia="方正仿宋_GBK" w:cs="Times New Roman"/>
          <w:color w:val="auto"/>
          <w:sz w:val="28"/>
          <w:szCs w:val="28"/>
          <w:lang w:val="en-US"/>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59055</wp:posOffset>
                </wp:positionV>
                <wp:extent cx="5600700" cy="0"/>
                <wp:effectExtent l="0" t="4445" r="0" b="5080"/>
                <wp:wrapNone/>
                <wp:docPr id="4" name="直接连接符 4"/>
                <wp:cNvGraphicFramePr/>
                <a:graphic xmlns:a="http://schemas.openxmlformats.org/drawingml/2006/main">
                  <a:graphicData uri="http://schemas.microsoft.com/office/word/2010/wordprocessingShape">
                    <wps:wsp>
                      <wps:cNvCnPr/>
                      <wps:spPr>
                        <a:xfrm>
                          <a:off x="0" y="0"/>
                          <a:ext cx="5600700" cy="0"/>
                        </a:xfrm>
                        <a:prstGeom prst="line">
                          <a:avLst/>
                        </a:prstGeom>
                        <a:ln>
                          <a:headEnd type="none" w="med" len="med"/>
                          <a:tailEnd type="none"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0pt;margin-top:4.65pt;height:0pt;width:441pt;z-index:251661312;mso-width-relative:page;mso-height-relative:page;" filled="f" stroked="t" coordsize="21600,21600" o:gfxdata="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uGV+YdEAAAAEAQAADwAAAAAAAAABACAAAAAiAAAAZHJzL2Rvd25yZXYu&#10;eG1sUEsBAhQAFAAAAAgAh07iQPK++pICAgAABQQAAA4AAAAAAAAAAQAgAAAAIAEAAGRycy9lMm9E&#10;b2MueG1sUEsFBgAAAAAGAAYAWQEAAJQFAAAAAA==&#10;">
                <v:fill on="f" focussize="0,0"/>
                <v:stroke weight="0.5pt" color="#000000 [3200]" miterlimit="8" joinstyle="miter"/>
                <v:imagedata o:title=""/>
                <o:lock v:ext="edit" aspectratio="f"/>
              </v:line>
            </w:pict>
          </mc:Fallback>
        </mc:AlternateContent>
      </w:r>
      <w:r>
        <w:rPr>
          <w:rFonts w:hint="default" w:ascii="Times New Roman" w:hAnsi="Times New Roman" w:eastAsia="方正仿宋_GBK" w:cs="Times New Roman"/>
          <w:color w:val="auto"/>
          <w:sz w:val="28"/>
          <w:szCs w:val="28"/>
          <w:lang w:val="en-US"/>
        </w:rPr>
        <w:t>抄送：</w:t>
      </w:r>
      <w:r>
        <w:rPr>
          <w:rFonts w:hint="default" w:ascii="Times New Roman" w:hAnsi="Times New Roman" w:eastAsia="方正仿宋_GBK" w:cs="Times New Roman"/>
          <w:color w:val="auto"/>
          <w:sz w:val="28"/>
          <w:szCs w:val="28"/>
          <w:lang w:val="en-US" w:eastAsia="zh-CN"/>
        </w:rPr>
        <w:t>玉溪市生态环境保护综合行政执法支队，</w:t>
      </w:r>
      <w:r>
        <w:rPr>
          <w:rFonts w:hint="default" w:ascii="Times New Roman" w:hAnsi="Times New Roman" w:eastAsia="方正仿宋_GBK" w:cs="Times New Roman"/>
          <w:sz w:val="28"/>
          <w:szCs w:val="28"/>
          <w:lang w:val="en-US" w:eastAsia="zh-CN"/>
        </w:rPr>
        <w:t>玉溪市生态环境局新平分局，云南博曦环境影响评价有限公司，云南佳源环境工程评估有限公司。</w:t>
      </w:r>
    </w:p>
    <w:p w14:paraId="3039AA9F">
      <w:pPr>
        <w:pStyle w:val="9"/>
        <w:keepNext w:val="0"/>
        <w:keepLines w:val="0"/>
        <w:pageBreakBefore w:val="0"/>
        <w:widowControl w:val="0"/>
        <w:kinsoku/>
        <w:wordWrap/>
        <w:overflowPunct/>
        <w:topLinePunct w:val="0"/>
        <w:autoSpaceDE/>
        <w:autoSpaceDN/>
        <w:bidi w:val="0"/>
        <w:adjustRightInd/>
        <w:snapToGrid w:val="0"/>
        <w:spacing w:line="510" w:lineRule="exact"/>
        <w:ind w:right="210" w:rightChars="100" w:firstLine="280" w:firstLineChars="100"/>
        <w:textAlignment w:val="auto"/>
        <w:rPr>
          <w:rFonts w:hint="default" w:ascii="Times New Roman" w:hAnsi="Times New Roman" w:eastAsia="方正仿宋_GBK" w:cs="Times New Roman"/>
          <w:color w:val="auto"/>
          <w:sz w:val="28"/>
          <w:szCs w:val="28"/>
          <w:lang w:val="en-US" w:eastAsia="zh-CN"/>
        </w:rPr>
      </w:pPr>
      <w:r>
        <w:rPr>
          <w:rFonts w:hint="default" w:ascii="Times New Roman" w:hAnsi="Times New Roman" w:eastAsia="方正仿宋_GBK" w:cs="Times New Roman"/>
          <w:color w:val="auto"/>
          <w:sz w:val="28"/>
          <w:szCs w:val="28"/>
          <w:lang w:val="en-US"/>
        </w:rPr>
        <mc:AlternateContent>
          <mc:Choice Requires="wps">
            <w:drawing>
              <wp:anchor distT="0" distB="0" distL="114300" distR="114300" simplePos="0" relativeHeight="251660288" behindDoc="0" locked="0" layoutInCell="1" allowOverlap="1">
                <wp:simplePos x="0" y="0"/>
                <wp:positionH relativeFrom="column">
                  <wp:posOffset>9525</wp:posOffset>
                </wp:positionH>
                <wp:positionV relativeFrom="paragraph">
                  <wp:posOffset>363220</wp:posOffset>
                </wp:positionV>
                <wp:extent cx="5600700" cy="0"/>
                <wp:effectExtent l="0" t="4445" r="0" b="5080"/>
                <wp:wrapNone/>
                <wp:docPr id="3" name="直接连接符 3"/>
                <wp:cNvGraphicFramePr/>
                <a:graphic xmlns:a="http://schemas.openxmlformats.org/drawingml/2006/main">
                  <a:graphicData uri="http://schemas.microsoft.com/office/word/2010/wordprocessingShape">
                    <wps:wsp>
                      <wps:cNvCnPr/>
                      <wps:spPr>
                        <a:xfrm>
                          <a:off x="0" y="0"/>
                          <a:ext cx="5600700" cy="0"/>
                        </a:xfrm>
                        <a:prstGeom prst="line">
                          <a:avLst/>
                        </a:prstGeom>
                        <a:ln w="317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0.75pt;margin-top:28.6pt;height:0pt;width:441pt;z-index:251660288;mso-width-relative:page;mso-height-relative:page;" filled="f" stroked="t" coordsize="21600,21600" o:gfxdata="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BvQthH&#10;1AAAAAcBAAAPAAAAAAAAAAEAIAAAACIAAABkcnMvZG93bnJldi54bWxQSwECFAAUAAAACACHTuJA&#10;hiIX8OwBAADYAwAADgAAAAAAAAABACAAAAAjAQAAZHJzL2Uyb0RvYy54bWxQSwUGAAAAAAYABgBZ&#10;AQAAgQUAAAAA&#10;">
                <v:fill on="f" focussize="0,0"/>
                <v:stroke weight="0.25pt" color="#000000" joinstyle="round"/>
                <v:imagedata o:title=""/>
                <o:lock v:ext="edit" aspectratio="f"/>
              </v:line>
            </w:pict>
          </mc:Fallback>
        </mc:AlternateContent>
      </w:r>
      <w:r>
        <w:rPr>
          <w:rFonts w:hint="default" w:ascii="Times New Roman" w:hAnsi="Times New Roman" w:eastAsia="方正仿宋_GBK" w:cs="Times New Roman"/>
          <w:color w:val="auto"/>
          <w:sz w:val="28"/>
          <w:szCs w:val="28"/>
          <w:lang w:val="en-US"/>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52705</wp:posOffset>
                </wp:positionV>
                <wp:extent cx="5600700" cy="0"/>
                <wp:effectExtent l="0" t="4445" r="0" b="5080"/>
                <wp:wrapNone/>
                <wp:docPr id="2" name="直接连接符 2"/>
                <wp:cNvGraphicFramePr/>
                <a:graphic xmlns:a="http://schemas.openxmlformats.org/drawingml/2006/main">
                  <a:graphicData uri="http://schemas.microsoft.com/office/word/2010/wordprocessingShape">
                    <wps:wsp>
                      <wps:cNvCnPr/>
                      <wps:spPr>
                        <a:xfrm>
                          <a:off x="0" y="0"/>
                          <a:ext cx="5600700" cy="0"/>
                        </a:xfrm>
                        <a:prstGeom prst="line">
                          <a:avLst/>
                        </a:prstGeom>
                        <a:ln w="317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0pt;margin-top:4.15pt;height:0pt;width:441pt;z-index:251659264;mso-width-relative:page;mso-height-relative:page;" filled="f" stroked="t" coordsize="21600,21600" o:gfxdata="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IoHiv3T&#10;AAAABAEAAA8AAAAAAAAAAQAgAAAAIgAAAGRycy9kb3ducmV2LnhtbFBLAQIUABQAAAAIAIdO4kBz&#10;n7sy7AEAANgDAAAOAAAAAAAAAAEAIAAAACIBAABkcnMvZTJvRG9jLnhtbFBLBQYAAAAABgAGAFkB&#10;AACABQAAAAA=&#10;">
                <v:fill on="f" focussize="0,0"/>
                <v:stroke weight="0.25pt" color="#000000" joinstyle="round"/>
                <v:imagedata o:title=""/>
                <o:lock v:ext="edit" aspectratio="f"/>
              </v:line>
            </w:pict>
          </mc:Fallback>
        </mc:AlternateContent>
      </w:r>
      <w:r>
        <w:rPr>
          <w:rFonts w:hint="default" w:ascii="Times New Roman" w:hAnsi="Times New Roman" w:eastAsia="方正仿宋_GBK" w:cs="Times New Roman"/>
          <w:color w:val="auto"/>
          <w:sz w:val="28"/>
          <w:szCs w:val="28"/>
          <w:lang w:val="en-US"/>
        </w:rPr>
        <w:t>玉溪市生态环境局</w:t>
      </w:r>
      <w:r>
        <w:rPr>
          <w:rFonts w:hint="default" w:ascii="Times New Roman" w:hAnsi="Times New Roman" w:eastAsia="方正仿宋_GBK" w:cs="Times New Roman"/>
          <w:color w:val="auto"/>
          <w:sz w:val="28"/>
          <w:szCs w:val="28"/>
          <w:lang w:val="en-US" w:eastAsia="zh-CN"/>
        </w:rPr>
        <w:t>办公室</w:t>
      </w:r>
      <w:r>
        <w:rPr>
          <w:rFonts w:hint="default" w:ascii="Times New Roman" w:hAnsi="Times New Roman" w:eastAsia="方正仿宋_GBK" w:cs="Times New Roman"/>
          <w:color w:val="auto"/>
          <w:sz w:val="28"/>
          <w:szCs w:val="28"/>
          <w:lang w:val="en-US"/>
        </w:rPr>
        <w:t xml:space="preserve">       </w:t>
      </w:r>
      <w:r>
        <w:rPr>
          <w:rFonts w:hint="default" w:ascii="Times New Roman" w:hAnsi="Times New Roman" w:eastAsia="方正仿宋_GBK" w:cs="Times New Roman"/>
          <w:color w:val="auto"/>
          <w:sz w:val="28"/>
          <w:szCs w:val="28"/>
          <w:lang w:val="en-US" w:eastAsia="zh-CN"/>
        </w:rPr>
        <w:t xml:space="preserve">           2026</w:t>
      </w:r>
      <w:r>
        <w:rPr>
          <w:rFonts w:hint="default" w:ascii="Times New Roman" w:hAnsi="Times New Roman" w:eastAsia="方正仿宋_GBK" w:cs="Times New Roman"/>
          <w:color w:val="auto"/>
          <w:sz w:val="28"/>
          <w:szCs w:val="28"/>
          <w:lang w:val="en-US"/>
        </w:rPr>
        <w:t>年</w:t>
      </w:r>
      <w:r>
        <w:rPr>
          <w:rFonts w:hint="default" w:ascii="Times New Roman" w:hAnsi="Times New Roman" w:eastAsia="方正仿宋_GBK" w:cs="Times New Roman"/>
          <w:color w:val="auto"/>
          <w:sz w:val="28"/>
          <w:szCs w:val="28"/>
          <w:lang w:val="en-US" w:eastAsia="zh-CN"/>
        </w:rPr>
        <w:t>5</w:t>
      </w:r>
      <w:r>
        <w:rPr>
          <w:rFonts w:hint="default" w:ascii="Times New Roman" w:hAnsi="Times New Roman" w:eastAsia="方正仿宋_GBK" w:cs="Times New Roman"/>
          <w:color w:val="auto"/>
          <w:sz w:val="28"/>
          <w:szCs w:val="28"/>
          <w:lang w:val="en-US"/>
        </w:rPr>
        <w:t>月</w:t>
      </w:r>
      <w:r>
        <w:rPr>
          <w:rFonts w:hint="default" w:ascii="Times New Roman" w:hAnsi="Times New Roman" w:eastAsia="方正仿宋_GBK" w:cs="Times New Roman"/>
          <w:color w:val="auto"/>
          <w:sz w:val="28"/>
          <w:szCs w:val="28"/>
          <w:lang w:val="en-US" w:eastAsia="zh-CN"/>
        </w:rPr>
        <w:t>14</w:t>
      </w:r>
      <w:r>
        <w:rPr>
          <w:rFonts w:hint="default" w:ascii="Times New Roman" w:hAnsi="Times New Roman" w:eastAsia="方正仿宋_GBK" w:cs="Times New Roman"/>
          <w:color w:val="auto"/>
          <w:sz w:val="28"/>
          <w:szCs w:val="28"/>
          <w:lang w:val="en-US"/>
        </w:rPr>
        <w:t>日印发</w:t>
      </w:r>
    </w:p>
    <w:sectPr>
      <w:footerReference r:id="rId3" w:type="default"/>
      <w:footerReference r:id="rId4" w:type="even"/>
      <w:pgSz w:w="11906" w:h="16838"/>
      <w:pgMar w:top="2041" w:right="1474" w:bottom="1304" w:left="1587" w:header="1361" w:footer="1191" w:gutter="0"/>
      <w:pgNumType w:fmt="decimal"/>
      <w:cols w:space="0" w:num="1"/>
      <w:rtlGutter w:val="0"/>
      <w:docGrid w:type="linesAndChars" w:linePitch="28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embedRegular r:id="rId1" w:fontKey="{7C4646BF-E3B0-4245-B4BC-1CD9A3D69CB7}"/>
  </w:font>
  <w:font w:name="方正仿宋_GBK">
    <w:panose1 w:val="03000509000000000000"/>
    <w:charset w:val="86"/>
    <w:family w:val="script"/>
    <w:pitch w:val="default"/>
    <w:sig w:usb0="00000001" w:usb1="080E0000" w:usb2="00000000" w:usb3="00000000" w:csb0="00040000" w:csb1="00000000"/>
    <w:embedRegular r:id="rId2" w:fontKey="{144B6EC3-8332-4F85-A56B-F5161A45F0BE}"/>
  </w:font>
  <w:font w:name="方正黑体_GBK">
    <w:panose1 w:val="03000509000000000000"/>
    <w:charset w:val="86"/>
    <w:family w:val="auto"/>
    <w:pitch w:val="default"/>
    <w:sig w:usb0="00000001" w:usb1="080E0000" w:usb2="00000000" w:usb3="00000000" w:csb0="00040000" w:csb1="00000000"/>
    <w:embedRegular r:id="rId3" w:fontKey="{F9280A16-57AF-4B38-8EF7-45981325D32D}"/>
  </w:font>
  <w:font w:name="方正楷体_GBK">
    <w:panose1 w:val="03000509000000000000"/>
    <w:charset w:val="86"/>
    <w:family w:val="auto"/>
    <w:pitch w:val="default"/>
    <w:sig w:usb0="00000001" w:usb1="080E0000" w:usb2="00000000" w:usb3="00000000" w:csb0="00040000" w:csb1="00000000"/>
    <w:embedRegular r:id="rId4" w:fontKey="{F93B135E-C618-4F89-9CC4-ACC16F5CD62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2104D6">
    <w:pPr>
      <w:pStyle w:val="9"/>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ADE6D3">
                          <w:pPr>
                            <w:pStyle w:val="9"/>
                            <w:keepNext w:val="0"/>
                            <w:keepLines w:val="0"/>
                            <w:pageBreakBefore w:val="0"/>
                            <w:widowControl w:val="0"/>
                            <w:kinsoku/>
                            <w:wordWrap/>
                            <w:overflowPunct/>
                            <w:topLinePunct w:val="0"/>
                            <w:autoSpaceDE/>
                            <w:autoSpaceDN/>
                            <w:bidi w:val="0"/>
                            <w:adjustRightInd/>
                            <w:snapToGrid w:val="0"/>
                            <w:ind w:left="315" w:leftChars="150" w:right="315" w:rightChars="15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p w14:paraId="7FE3323C">
                          <w:pPr>
                            <w:rPr>
                              <w:rFonts w:hint="eastAsia" w:asciiTheme="minorEastAsia" w:hAnsiTheme="minorEastAsia" w:eastAsiaTheme="minorEastAsia" w:cstheme="minorEastAsia"/>
                              <w:sz w:val="28"/>
                              <w:szCs w:val="28"/>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4BADE6D3">
                    <w:pPr>
                      <w:pStyle w:val="9"/>
                      <w:keepNext w:val="0"/>
                      <w:keepLines w:val="0"/>
                      <w:pageBreakBefore w:val="0"/>
                      <w:widowControl w:val="0"/>
                      <w:kinsoku/>
                      <w:wordWrap/>
                      <w:overflowPunct/>
                      <w:topLinePunct w:val="0"/>
                      <w:autoSpaceDE/>
                      <w:autoSpaceDN/>
                      <w:bidi w:val="0"/>
                      <w:adjustRightInd/>
                      <w:snapToGrid w:val="0"/>
                      <w:ind w:left="315" w:leftChars="150" w:right="315" w:rightChars="15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p w14:paraId="7FE3323C">
                    <w:pPr>
                      <w:rPr>
                        <w:rFonts w:hint="eastAsia" w:asciiTheme="minorEastAsia" w:hAnsiTheme="minorEastAsia" w:eastAsiaTheme="minorEastAsia" w:cstheme="minorEastAsia"/>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78F452">
    <w:pPr>
      <w:pStyle w:val="9"/>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268F76">
                          <w:pPr>
                            <w:pStyle w:val="9"/>
                            <w:keepNext w:val="0"/>
                            <w:keepLines w:val="0"/>
                            <w:pageBreakBefore w:val="0"/>
                            <w:widowControl w:val="0"/>
                            <w:kinsoku/>
                            <w:wordWrap/>
                            <w:overflowPunct/>
                            <w:topLinePunct w:val="0"/>
                            <w:autoSpaceDE/>
                            <w:autoSpaceDN/>
                            <w:bidi w:val="0"/>
                            <w:adjustRightInd/>
                            <w:snapToGrid w:val="0"/>
                            <w:ind w:left="315" w:leftChars="150" w:right="315" w:rightChars="150"/>
                            <w:textAlignment w:val="auto"/>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p w14:paraId="30FA19D4"/>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14268F76">
                    <w:pPr>
                      <w:pStyle w:val="9"/>
                      <w:keepNext w:val="0"/>
                      <w:keepLines w:val="0"/>
                      <w:pageBreakBefore w:val="0"/>
                      <w:widowControl w:val="0"/>
                      <w:kinsoku/>
                      <w:wordWrap/>
                      <w:overflowPunct/>
                      <w:topLinePunct w:val="0"/>
                      <w:autoSpaceDE/>
                      <w:autoSpaceDN/>
                      <w:bidi w:val="0"/>
                      <w:adjustRightInd/>
                      <w:snapToGrid w:val="0"/>
                      <w:ind w:left="315" w:leftChars="150" w:right="315" w:rightChars="150"/>
                      <w:textAlignment w:val="auto"/>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p w14:paraId="30FA19D4"/>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QxNDBlN2ZlMjQ1ODVkOTgxN2IyNWM5NDllNzFjY2IifQ=="/>
  </w:docVars>
  <w:rsids>
    <w:rsidRoot w:val="2AAF282F"/>
    <w:rsid w:val="0005249D"/>
    <w:rsid w:val="00251335"/>
    <w:rsid w:val="00271DFD"/>
    <w:rsid w:val="002E39CB"/>
    <w:rsid w:val="00354601"/>
    <w:rsid w:val="00621CDB"/>
    <w:rsid w:val="007216D3"/>
    <w:rsid w:val="008358DC"/>
    <w:rsid w:val="009E4FAC"/>
    <w:rsid w:val="00DE2824"/>
    <w:rsid w:val="00E32A7B"/>
    <w:rsid w:val="00E779F3"/>
    <w:rsid w:val="00F138BA"/>
    <w:rsid w:val="017B43B2"/>
    <w:rsid w:val="018407F7"/>
    <w:rsid w:val="01862917"/>
    <w:rsid w:val="01BE4F18"/>
    <w:rsid w:val="021C1620"/>
    <w:rsid w:val="022E6AD9"/>
    <w:rsid w:val="027648C5"/>
    <w:rsid w:val="02C92423"/>
    <w:rsid w:val="02D359C2"/>
    <w:rsid w:val="02DD4218"/>
    <w:rsid w:val="03405326"/>
    <w:rsid w:val="034D4756"/>
    <w:rsid w:val="039E6FA1"/>
    <w:rsid w:val="03CD6287"/>
    <w:rsid w:val="03DF7990"/>
    <w:rsid w:val="040C6BF6"/>
    <w:rsid w:val="047A7F12"/>
    <w:rsid w:val="04D05C7C"/>
    <w:rsid w:val="05112A52"/>
    <w:rsid w:val="05654E7F"/>
    <w:rsid w:val="06214956"/>
    <w:rsid w:val="06BC5E2C"/>
    <w:rsid w:val="06D849E3"/>
    <w:rsid w:val="071D3B65"/>
    <w:rsid w:val="075F1CAC"/>
    <w:rsid w:val="07CE7264"/>
    <w:rsid w:val="07F17A7B"/>
    <w:rsid w:val="08223482"/>
    <w:rsid w:val="08284712"/>
    <w:rsid w:val="085B58CB"/>
    <w:rsid w:val="09294E4C"/>
    <w:rsid w:val="09B951AD"/>
    <w:rsid w:val="0A955323"/>
    <w:rsid w:val="0AD4224E"/>
    <w:rsid w:val="0B0E131B"/>
    <w:rsid w:val="0C0258F7"/>
    <w:rsid w:val="0C11428E"/>
    <w:rsid w:val="0C135862"/>
    <w:rsid w:val="0C1D705A"/>
    <w:rsid w:val="0CC72B80"/>
    <w:rsid w:val="0CCC66B5"/>
    <w:rsid w:val="0CD1482E"/>
    <w:rsid w:val="0CE82EB7"/>
    <w:rsid w:val="0CFB7E12"/>
    <w:rsid w:val="0D625FF1"/>
    <w:rsid w:val="0D70479C"/>
    <w:rsid w:val="0DE46363"/>
    <w:rsid w:val="0DF93715"/>
    <w:rsid w:val="0E100F06"/>
    <w:rsid w:val="0E167241"/>
    <w:rsid w:val="0EB06DC6"/>
    <w:rsid w:val="0EB827B5"/>
    <w:rsid w:val="0EB92DA5"/>
    <w:rsid w:val="0EDA1504"/>
    <w:rsid w:val="0EE81C04"/>
    <w:rsid w:val="0F046CBD"/>
    <w:rsid w:val="0F202892"/>
    <w:rsid w:val="0F2B41E4"/>
    <w:rsid w:val="0F674CA9"/>
    <w:rsid w:val="0F7142A9"/>
    <w:rsid w:val="0F725F1C"/>
    <w:rsid w:val="0F806825"/>
    <w:rsid w:val="0FE76F0B"/>
    <w:rsid w:val="10010FC0"/>
    <w:rsid w:val="10085FCB"/>
    <w:rsid w:val="10600A97"/>
    <w:rsid w:val="10A16249"/>
    <w:rsid w:val="10C1633C"/>
    <w:rsid w:val="10F70241"/>
    <w:rsid w:val="112106B9"/>
    <w:rsid w:val="11482B09"/>
    <w:rsid w:val="11851A07"/>
    <w:rsid w:val="11A577B7"/>
    <w:rsid w:val="11B01A36"/>
    <w:rsid w:val="11C90E3E"/>
    <w:rsid w:val="11DC6270"/>
    <w:rsid w:val="12080F2A"/>
    <w:rsid w:val="121C3EF8"/>
    <w:rsid w:val="124429F3"/>
    <w:rsid w:val="125A1121"/>
    <w:rsid w:val="12F36F89"/>
    <w:rsid w:val="139A2D58"/>
    <w:rsid w:val="13DD3E12"/>
    <w:rsid w:val="13DF3BD7"/>
    <w:rsid w:val="13E5183D"/>
    <w:rsid w:val="14325F56"/>
    <w:rsid w:val="143A6D20"/>
    <w:rsid w:val="14784A3C"/>
    <w:rsid w:val="147D33EC"/>
    <w:rsid w:val="14A467CD"/>
    <w:rsid w:val="14E066AD"/>
    <w:rsid w:val="14F53A51"/>
    <w:rsid w:val="15542DE9"/>
    <w:rsid w:val="15B44512"/>
    <w:rsid w:val="15BD14B0"/>
    <w:rsid w:val="16297009"/>
    <w:rsid w:val="169870CB"/>
    <w:rsid w:val="16C0349F"/>
    <w:rsid w:val="16C63F1A"/>
    <w:rsid w:val="16D33FA6"/>
    <w:rsid w:val="16E04139"/>
    <w:rsid w:val="175B5421"/>
    <w:rsid w:val="17951DDA"/>
    <w:rsid w:val="17DE55C6"/>
    <w:rsid w:val="17FE34B7"/>
    <w:rsid w:val="184A130E"/>
    <w:rsid w:val="18531E56"/>
    <w:rsid w:val="18C8478A"/>
    <w:rsid w:val="18CE063C"/>
    <w:rsid w:val="18DC65B5"/>
    <w:rsid w:val="19C438F1"/>
    <w:rsid w:val="19D07CE3"/>
    <w:rsid w:val="1A127A2F"/>
    <w:rsid w:val="1A3C7BBE"/>
    <w:rsid w:val="1A5F6E8E"/>
    <w:rsid w:val="1A8C320C"/>
    <w:rsid w:val="1ABD1DC8"/>
    <w:rsid w:val="1B3915DB"/>
    <w:rsid w:val="1B5961B8"/>
    <w:rsid w:val="1B9F7E18"/>
    <w:rsid w:val="1BA35989"/>
    <w:rsid w:val="1BF75A2D"/>
    <w:rsid w:val="1C3E61AC"/>
    <w:rsid w:val="1C727B05"/>
    <w:rsid w:val="1C736231"/>
    <w:rsid w:val="1CCB3F7F"/>
    <w:rsid w:val="1CDB1FD9"/>
    <w:rsid w:val="1D22560D"/>
    <w:rsid w:val="1D36222A"/>
    <w:rsid w:val="1E000CE3"/>
    <w:rsid w:val="1E552A77"/>
    <w:rsid w:val="1E711083"/>
    <w:rsid w:val="1E877138"/>
    <w:rsid w:val="1EE0592A"/>
    <w:rsid w:val="202D5900"/>
    <w:rsid w:val="20875902"/>
    <w:rsid w:val="20996AD5"/>
    <w:rsid w:val="20AA77ED"/>
    <w:rsid w:val="21081CDE"/>
    <w:rsid w:val="21664103"/>
    <w:rsid w:val="221338AA"/>
    <w:rsid w:val="2214545E"/>
    <w:rsid w:val="221646CB"/>
    <w:rsid w:val="2288495D"/>
    <w:rsid w:val="22A133B7"/>
    <w:rsid w:val="22A57CC4"/>
    <w:rsid w:val="233758D3"/>
    <w:rsid w:val="23993EBD"/>
    <w:rsid w:val="23E006A6"/>
    <w:rsid w:val="24404051"/>
    <w:rsid w:val="24A6063E"/>
    <w:rsid w:val="24FC2EB4"/>
    <w:rsid w:val="252B1D4D"/>
    <w:rsid w:val="25B310C3"/>
    <w:rsid w:val="25B61F3B"/>
    <w:rsid w:val="25CC14C9"/>
    <w:rsid w:val="25EC30C6"/>
    <w:rsid w:val="260B7E34"/>
    <w:rsid w:val="261A74D1"/>
    <w:rsid w:val="262B4956"/>
    <w:rsid w:val="263C5F7E"/>
    <w:rsid w:val="2670091D"/>
    <w:rsid w:val="267F5B5A"/>
    <w:rsid w:val="26AB1D0A"/>
    <w:rsid w:val="26D8340F"/>
    <w:rsid w:val="26E52AD8"/>
    <w:rsid w:val="26F33055"/>
    <w:rsid w:val="27081763"/>
    <w:rsid w:val="270A1F02"/>
    <w:rsid w:val="272844C9"/>
    <w:rsid w:val="2750082C"/>
    <w:rsid w:val="276D06C3"/>
    <w:rsid w:val="27C068EA"/>
    <w:rsid w:val="27D902BE"/>
    <w:rsid w:val="27E028FD"/>
    <w:rsid w:val="27F2569D"/>
    <w:rsid w:val="28691C58"/>
    <w:rsid w:val="286E622A"/>
    <w:rsid w:val="28CF5004"/>
    <w:rsid w:val="28E23EDB"/>
    <w:rsid w:val="28EE35BD"/>
    <w:rsid w:val="29463132"/>
    <w:rsid w:val="299B6BAD"/>
    <w:rsid w:val="2AAA62CD"/>
    <w:rsid w:val="2AAF282F"/>
    <w:rsid w:val="2AD90BA6"/>
    <w:rsid w:val="2B0F38F0"/>
    <w:rsid w:val="2B1B38E0"/>
    <w:rsid w:val="2B3A102D"/>
    <w:rsid w:val="2B4E3D9A"/>
    <w:rsid w:val="2B5D1FBE"/>
    <w:rsid w:val="2B792558"/>
    <w:rsid w:val="2B7C248E"/>
    <w:rsid w:val="2BA80578"/>
    <w:rsid w:val="2BBE252D"/>
    <w:rsid w:val="2C2D449B"/>
    <w:rsid w:val="2C325DE1"/>
    <w:rsid w:val="2C4B3AF0"/>
    <w:rsid w:val="2C577851"/>
    <w:rsid w:val="2C691313"/>
    <w:rsid w:val="2C780B4E"/>
    <w:rsid w:val="2CE31097"/>
    <w:rsid w:val="2CE5716E"/>
    <w:rsid w:val="2D2A0DD4"/>
    <w:rsid w:val="2D45752B"/>
    <w:rsid w:val="2D9B5CF7"/>
    <w:rsid w:val="2DBD7D3C"/>
    <w:rsid w:val="2E8D30CF"/>
    <w:rsid w:val="2EAD3464"/>
    <w:rsid w:val="2F1E099F"/>
    <w:rsid w:val="2F2F5103"/>
    <w:rsid w:val="2FA950FF"/>
    <w:rsid w:val="2FAE1C18"/>
    <w:rsid w:val="2FEC06AE"/>
    <w:rsid w:val="302A3931"/>
    <w:rsid w:val="30AB341D"/>
    <w:rsid w:val="30B073D9"/>
    <w:rsid w:val="30BA0CF3"/>
    <w:rsid w:val="30E34D34"/>
    <w:rsid w:val="311A1F18"/>
    <w:rsid w:val="313E4CDB"/>
    <w:rsid w:val="32025B28"/>
    <w:rsid w:val="32037B9C"/>
    <w:rsid w:val="322C3BB9"/>
    <w:rsid w:val="32B46ACD"/>
    <w:rsid w:val="33364881"/>
    <w:rsid w:val="334A0CFF"/>
    <w:rsid w:val="341E1D9A"/>
    <w:rsid w:val="342A7526"/>
    <w:rsid w:val="35537E41"/>
    <w:rsid w:val="35692B73"/>
    <w:rsid w:val="35935FA7"/>
    <w:rsid w:val="35A829B1"/>
    <w:rsid w:val="360616D3"/>
    <w:rsid w:val="361C3892"/>
    <w:rsid w:val="363475D8"/>
    <w:rsid w:val="370D5223"/>
    <w:rsid w:val="374C2ECD"/>
    <w:rsid w:val="376C1926"/>
    <w:rsid w:val="37912E75"/>
    <w:rsid w:val="38276A55"/>
    <w:rsid w:val="383946C2"/>
    <w:rsid w:val="38403B90"/>
    <w:rsid w:val="3865103B"/>
    <w:rsid w:val="38AC02C2"/>
    <w:rsid w:val="38B41D0D"/>
    <w:rsid w:val="39040CA6"/>
    <w:rsid w:val="39543B85"/>
    <w:rsid w:val="399D70DD"/>
    <w:rsid w:val="39BD6FF2"/>
    <w:rsid w:val="3A2F5718"/>
    <w:rsid w:val="3A383508"/>
    <w:rsid w:val="3A9930DF"/>
    <w:rsid w:val="3B0438AA"/>
    <w:rsid w:val="3B056342"/>
    <w:rsid w:val="3B194081"/>
    <w:rsid w:val="3B337E5E"/>
    <w:rsid w:val="3BA00084"/>
    <w:rsid w:val="3C6D08FC"/>
    <w:rsid w:val="3C7F7E1B"/>
    <w:rsid w:val="3D5745D4"/>
    <w:rsid w:val="3DAF65B1"/>
    <w:rsid w:val="3DBA029B"/>
    <w:rsid w:val="3DE505E7"/>
    <w:rsid w:val="3E4B36B0"/>
    <w:rsid w:val="3EF1250A"/>
    <w:rsid w:val="3F155B26"/>
    <w:rsid w:val="3FAF78C6"/>
    <w:rsid w:val="401641A9"/>
    <w:rsid w:val="40201682"/>
    <w:rsid w:val="40B13B1F"/>
    <w:rsid w:val="41332E43"/>
    <w:rsid w:val="416A0536"/>
    <w:rsid w:val="419747A7"/>
    <w:rsid w:val="41B213B9"/>
    <w:rsid w:val="41BE050D"/>
    <w:rsid w:val="41D86F7B"/>
    <w:rsid w:val="41F1637D"/>
    <w:rsid w:val="423A11FD"/>
    <w:rsid w:val="42507FDD"/>
    <w:rsid w:val="42D876A2"/>
    <w:rsid w:val="43160007"/>
    <w:rsid w:val="43341062"/>
    <w:rsid w:val="43A30C64"/>
    <w:rsid w:val="43AE36B3"/>
    <w:rsid w:val="43D7253F"/>
    <w:rsid w:val="441F55D5"/>
    <w:rsid w:val="44254BCC"/>
    <w:rsid w:val="447F45D2"/>
    <w:rsid w:val="448171A7"/>
    <w:rsid w:val="44933936"/>
    <w:rsid w:val="449823AC"/>
    <w:rsid w:val="44A14CE2"/>
    <w:rsid w:val="456B7FD9"/>
    <w:rsid w:val="4580253E"/>
    <w:rsid w:val="4586478D"/>
    <w:rsid w:val="45A5300C"/>
    <w:rsid w:val="45B72F61"/>
    <w:rsid w:val="46052C19"/>
    <w:rsid w:val="46396A00"/>
    <w:rsid w:val="467227F9"/>
    <w:rsid w:val="46AC5600"/>
    <w:rsid w:val="46D524F5"/>
    <w:rsid w:val="46D82F52"/>
    <w:rsid w:val="47DE4C17"/>
    <w:rsid w:val="47EA15E0"/>
    <w:rsid w:val="480C5832"/>
    <w:rsid w:val="481B4AAA"/>
    <w:rsid w:val="48B81ED4"/>
    <w:rsid w:val="48B94A9D"/>
    <w:rsid w:val="48E376BD"/>
    <w:rsid w:val="49600971"/>
    <w:rsid w:val="4982681C"/>
    <w:rsid w:val="49E3301A"/>
    <w:rsid w:val="4A0434C8"/>
    <w:rsid w:val="4A044286"/>
    <w:rsid w:val="4A1B7632"/>
    <w:rsid w:val="4A2A4424"/>
    <w:rsid w:val="4A51456E"/>
    <w:rsid w:val="4A8C7566"/>
    <w:rsid w:val="4A975BD2"/>
    <w:rsid w:val="4A9D76EF"/>
    <w:rsid w:val="4AAC3CC0"/>
    <w:rsid w:val="4AEF13B7"/>
    <w:rsid w:val="4AF71A39"/>
    <w:rsid w:val="4B0E06C8"/>
    <w:rsid w:val="4B4C3823"/>
    <w:rsid w:val="4B897D70"/>
    <w:rsid w:val="4C060B1D"/>
    <w:rsid w:val="4C2226B4"/>
    <w:rsid w:val="4D3229AB"/>
    <w:rsid w:val="4D6E25E7"/>
    <w:rsid w:val="4D83575F"/>
    <w:rsid w:val="4DD53083"/>
    <w:rsid w:val="4DF62B26"/>
    <w:rsid w:val="4E6D4716"/>
    <w:rsid w:val="4E843945"/>
    <w:rsid w:val="4FA4567A"/>
    <w:rsid w:val="4FA604E6"/>
    <w:rsid w:val="4FBF2EF4"/>
    <w:rsid w:val="4FC24B2F"/>
    <w:rsid w:val="501F6C42"/>
    <w:rsid w:val="50AA6BFB"/>
    <w:rsid w:val="510E2EF8"/>
    <w:rsid w:val="51554237"/>
    <w:rsid w:val="515B007E"/>
    <w:rsid w:val="51C9023B"/>
    <w:rsid w:val="51D643CD"/>
    <w:rsid w:val="52601BDC"/>
    <w:rsid w:val="52814125"/>
    <w:rsid w:val="52866CCF"/>
    <w:rsid w:val="52D2446B"/>
    <w:rsid w:val="52FC648E"/>
    <w:rsid w:val="530874CC"/>
    <w:rsid w:val="534A1F20"/>
    <w:rsid w:val="53701FD1"/>
    <w:rsid w:val="539D1C58"/>
    <w:rsid w:val="544F4F79"/>
    <w:rsid w:val="54604096"/>
    <w:rsid w:val="5486114E"/>
    <w:rsid w:val="54ED6695"/>
    <w:rsid w:val="54FD6EDC"/>
    <w:rsid w:val="5581320D"/>
    <w:rsid w:val="558343E0"/>
    <w:rsid w:val="55A7384F"/>
    <w:rsid w:val="55B9098B"/>
    <w:rsid w:val="55C01586"/>
    <w:rsid w:val="55C5056F"/>
    <w:rsid w:val="55CA48BA"/>
    <w:rsid w:val="55F72314"/>
    <w:rsid w:val="56685559"/>
    <w:rsid w:val="566F2302"/>
    <w:rsid w:val="5674131F"/>
    <w:rsid w:val="568752BF"/>
    <w:rsid w:val="56972233"/>
    <w:rsid w:val="56BD2497"/>
    <w:rsid w:val="56DA0B1D"/>
    <w:rsid w:val="570502E5"/>
    <w:rsid w:val="57253366"/>
    <w:rsid w:val="57262BBA"/>
    <w:rsid w:val="572D4713"/>
    <w:rsid w:val="57810A21"/>
    <w:rsid w:val="58035187"/>
    <w:rsid w:val="5873667C"/>
    <w:rsid w:val="591816AF"/>
    <w:rsid w:val="59A943A7"/>
    <w:rsid w:val="59F12363"/>
    <w:rsid w:val="5A4822A0"/>
    <w:rsid w:val="5A754143"/>
    <w:rsid w:val="5A7D0E49"/>
    <w:rsid w:val="5B0F5D9A"/>
    <w:rsid w:val="5B370783"/>
    <w:rsid w:val="5B530E0D"/>
    <w:rsid w:val="5BBB79D4"/>
    <w:rsid w:val="5BEC4998"/>
    <w:rsid w:val="5C590380"/>
    <w:rsid w:val="5C8327F4"/>
    <w:rsid w:val="5CC05903"/>
    <w:rsid w:val="5D1626B8"/>
    <w:rsid w:val="5D3F76C3"/>
    <w:rsid w:val="5DED7F19"/>
    <w:rsid w:val="5E04242A"/>
    <w:rsid w:val="5E052FF8"/>
    <w:rsid w:val="5E763D63"/>
    <w:rsid w:val="5E9B6186"/>
    <w:rsid w:val="5EE571AE"/>
    <w:rsid w:val="5EF34BB1"/>
    <w:rsid w:val="5F402FCF"/>
    <w:rsid w:val="5F4A3E48"/>
    <w:rsid w:val="5FA40E41"/>
    <w:rsid w:val="5FC90B07"/>
    <w:rsid w:val="60257BCB"/>
    <w:rsid w:val="603B69DB"/>
    <w:rsid w:val="60457B89"/>
    <w:rsid w:val="611E0764"/>
    <w:rsid w:val="619F73A3"/>
    <w:rsid w:val="61ED227C"/>
    <w:rsid w:val="61F915CB"/>
    <w:rsid w:val="62197AC8"/>
    <w:rsid w:val="62E67F6A"/>
    <w:rsid w:val="63161C90"/>
    <w:rsid w:val="63344B4C"/>
    <w:rsid w:val="633A597E"/>
    <w:rsid w:val="633C400D"/>
    <w:rsid w:val="635F4AC3"/>
    <w:rsid w:val="63732C3E"/>
    <w:rsid w:val="637D586B"/>
    <w:rsid w:val="63B67C6D"/>
    <w:rsid w:val="644F7208"/>
    <w:rsid w:val="64550AA6"/>
    <w:rsid w:val="64C978FD"/>
    <w:rsid w:val="64E14523"/>
    <w:rsid w:val="65605C5F"/>
    <w:rsid w:val="65C33A84"/>
    <w:rsid w:val="65D317D7"/>
    <w:rsid w:val="65D43D57"/>
    <w:rsid w:val="661C059B"/>
    <w:rsid w:val="664C74D8"/>
    <w:rsid w:val="66753C57"/>
    <w:rsid w:val="66F6704A"/>
    <w:rsid w:val="670F1B12"/>
    <w:rsid w:val="674D2961"/>
    <w:rsid w:val="6783156C"/>
    <w:rsid w:val="67AE1946"/>
    <w:rsid w:val="67E051FD"/>
    <w:rsid w:val="67E67E6E"/>
    <w:rsid w:val="681C1AFB"/>
    <w:rsid w:val="68395873"/>
    <w:rsid w:val="68BD3DBD"/>
    <w:rsid w:val="69126A56"/>
    <w:rsid w:val="6924668A"/>
    <w:rsid w:val="69497163"/>
    <w:rsid w:val="69624277"/>
    <w:rsid w:val="69A245CF"/>
    <w:rsid w:val="6A065065"/>
    <w:rsid w:val="6A4C776B"/>
    <w:rsid w:val="6A970CFF"/>
    <w:rsid w:val="6B1B7DA6"/>
    <w:rsid w:val="6B24315D"/>
    <w:rsid w:val="6B57133D"/>
    <w:rsid w:val="6BB00B08"/>
    <w:rsid w:val="6C196406"/>
    <w:rsid w:val="6C692E30"/>
    <w:rsid w:val="6C7B2415"/>
    <w:rsid w:val="6CC816B1"/>
    <w:rsid w:val="6D047A58"/>
    <w:rsid w:val="6D0B2A7F"/>
    <w:rsid w:val="6D8A2AA7"/>
    <w:rsid w:val="6DAA4D2E"/>
    <w:rsid w:val="6DC4470E"/>
    <w:rsid w:val="6F3F4FA6"/>
    <w:rsid w:val="6F4C5C4D"/>
    <w:rsid w:val="6FBF2ED7"/>
    <w:rsid w:val="6FCE533B"/>
    <w:rsid w:val="70645DE9"/>
    <w:rsid w:val="709057E8"/>
    <w:rsid w:val="709D12FB"/>
    <w:rsid w:val="70A73049"/>
    <w:rsid w:val="70CA5A60"/>
    <w:rsid w:val="71AF11D9"/>
    <w:rsid w:val="71E877A4"/>
    <w:rsid w:val="71ED15D7"/>
    <w:rsid w:val="720019E1"/>
    <w:rsid w:val="726A5418"/>
    <w:rsid w:val="7278158D"/>
    <w:rsid w:val="72814495"/>
    <w:rsid w:val="72AD3FBA"/>
    <w:rsid w:val="72B73CFC"/>
    <w:rsid w:val="730F0F49"/>
    <w:rsid w:val="737547B1"/>
    <w:rsid w:val="73A33523"/>
    <w:rsid w:val="73DF4C9F"/>
    <w:rsid w:val="7417602D"/>
    <w:rsid w:val="74650CEA"/>
    <w:rsid w:val="75097A20"/>
    <w:rsid w:val="757753B7"/>
    <w:rsid w:val="75BA29B3"/>
    <w:rsid w:val="76862181"/>
    <w:rsid w:val="76D91E95"/>
    <w:rsid w:val="76EB5318"/>
    <w:rsid w:val="77457CAD"/>
    <w:rsid w:val="779C5DA3"/>
    <w:rsid w:val="77B6640E"/>
    <w:rsid w:val="77C57F28"/>
    <w:rsid w:val="782547D3"/>
    <w:rsid w:val="78344B19"/>
    <w:rsid w:val="783F1C54"/>
    <w:rsid w:val="789718A7"/>
    <w:rsid w:val="78A76EAD"/>
    <w:rsid w:val="7A0A0089"/>
    <w:rsid w:val="7A1051A0"/>
    <w:rsid w:val="7A2E13A1"/>
    <w:rsid w:val="7A4078BB"/>
    <w:rsid w:val="7AA60FD4"/>
    <w:rsid w:val="7AC12DF7"/>
    <w:rsid w:val="7ADA625F"/>
    <w:rsid w:val="7B720C4D"/>
    <w:rsid w:val="7B7C35B6"/>
    <w:rsid w:val="7B7E0F63"/>
    <w:rsid w:val="7BB61528"/>
    <w:rsid w:val="7BB75966"/>
    <w:rsid w:val="7C9B0252"/>
    <w:rsid w:val="7C9D6A08"/>
    <w:rsid w:val="7CA3021F"/>
    <w:rsid w:val="7CCE20D6"/>
    <w:rsid w:val="7D2257CD"/>
    <w:rsid w:val="7D792A91"/>
    <w:rsid w:val="7DA57011"/>
    <w:rsid w:val="7DC51E91"/>
    <w:rsid w:val="7E7801ED"/>
    <w:rsid w:val="7E8004BE"/>
    <w:rsid w:val="7F0D259B"/>
    <w:rsid w:val="7F813CCF"/>
    <w:rsid w:val="7FCB2CDB"/>
    <w:rsid w:val="7FEB01D3"/>
    <w:rsid w:val="9FF601FE"/>
    <w:rsid w:val="BBA5F45B"/>
    <w:rsid w:val="D5FEB219"/>
    <w:rsid w:val="DFB549BD"/>
    <w:rsid w:val="EB6FB1BD"/>
    <w:rsid w:val="EC7F58CE"/>
    <w:rsid w:val="F67F8A9F"/>
    <w:rsid w:val="FFBF96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widowControl/>
      <w:ind w:firstLine="420"/>
    </w:pPr>
    <w:rPr>
      <w:sz w:val="28"/>
      <w:szCs w:val="28"/>
    </w:rPr>
  </w:style>
  <w:style w:type="paragraph" w:styleId="5">
    <w:name w:val="annotation text"/>
    <w:basedOn w:val="1"/>
    <w:qFormat/>
    <w:uiPriority w:val="0"/>
    <w:pPr>
      <w:spacing w:line="120" w:lineRule="auto"/>
    </w:pPr>
  </w:style>
  <w:style w:type="paragraph" w:styleId="6">
    <w:name w:val="Body Text"/>
    <w:basedOn w:val="1"/>
    <w:next w:val="1"/>
    <w:qFormat/>
    <w:uiPriority w:val="0"/>
    <w:pPr>
      <w:spacing w:after="120"/>
    </w:pPr>
  </w:style>
  <w:style w:type="paragraph" w:styleId="7">
    <w:name w:val="Plain Text"/>
    <w:basedOn w:val="1"/>
    <w:next w:val="1"/>
    <w:qFormat/>
    <w:uiPriority w:val="0"/>
    <w:rPr>
      <w:rFonts w:ascii="宋体" w:hAnsi="Courier New"/>
      <w:szCs w:val="20"/>
    </w:rPr>
  </w:style>
  <w:style w:type="paragraph" w:styleId="8">
    <w:name w:val="Body Text Indent 2"/>
    <w:basedOn w:val="1"/>
    <w:qFormat/>
    <w:uiPriority w:val="0"/>
    <w:pPr>
      <w:spacing w:after="120" w:line="480" w:lineRule="auto"/>
      <w:ind w:left="420" w:leftChars="200"/>
    </w:p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next w:val="9"/>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0"/>
    <w:pPr>
      <w:spacing w:beforeAutospacing="1" w:afterAutospacing="1"/>
      <w:jc w:val="left"/>
    </w:pPr>
    <w:rPr>
      <w:rFonts w:cs="Times New Roman"/>
      <w:kern w:val="0"/>
      <w:sz w:val="24"/>
    </w:rPr>
  </w:style>
  <w:style w:type="paragraph" w:styleId="12">
    <w:name w:val="Body Text First Indent"/>
    <w:basedOn w:val="6"/>
    <w:next w:val="1"/>
    <w:qFormat/>
    <w:uiPriority w:val="0"/>
    <w:pPr>
      <w:widowControl/>
      <w:ind w:firstLine="420" w:firstLineChars="100"/>
      <w:jc w:val="left"/>
    </w:pPr>
    <w:rPr>
      <w:rFonts w:ascii="Calibri" w:hAnsi="Calibri" w:cs="宋体"/>
      <w:kern w:val="0"/>
    </w:rPr>
  </w:style>
  <w:style w:type="paragraph" w:styleId="13">
    <w:name w:val="Body Text First Indent 2"/>
    <w:basedOn w:val="1"/>
    <w:next w:val="12"/>
    <w:qFormat/>
    <w:uiPriority w:val="0"/>
    <w:pPr>
      <w:ind w:firstLine="420" w:firstLineChars="200"/>
    </w:pPr>
  </w:style>
  <w:style w:type="character" w:styleId="16">
    <w:name w:val="page number"/>
    <w:basedOn w:val="15"/>
    <w:qFormat/>
    <w:uiPriority w:val="0"/>
  </w:style>
  <w:style w:type="paragraph" w:customStyle="1" w:styleId="17">
    <w:name w:val="Plain Text1"/>
    <w:basedOn w:val="1"/>
    <w:qFormat/>
    <w:uiPriority w:val="0"/>
    <w:rPr>
      <w:rFonts w:ascii="宋体" w:hAnsi="Courier New"/>
    </w:rPr>
  </w:style>
  <w:style w:type="paragraph" w:customStyle="1" w:styleId="18">
    <w:name w:val="列出段落1"/>
    <w:basedOn w:val="1"/>
    <w:qFormat/>
    <w:uiPriority w:val="0"/>
    <w:pPr>
      <w:adjustRightInd w:val="0"/>
      <w:snapToGrid w:val="0"/>
      <w:ind w:firstLine="0"/>
    </w:pPr>
    <w:rPr>
      <w:rFonts w:ascii="Times New Roman" w:hAnsi="Times New Roman" w:eastAsia="宋体"/>
      <w:kern w:val="2"/>
      <w:sz w:val="21"/>
      <w:szCs w:val="22"/>
    </w:rPr>
  </w:style>
  <w:style w:type="paragraph" w:customStyle="1" w:styleId="19">
    <w:name w:val="纯文本1"/>
    <w:basedOn w:val="1"/>
    <w:qFormat/>
    <w:uiPriority w:val="0"/>
    <w:rPr>
      <w:rFonts w:ascii="宋体" w:hAnsi="Courier New"/>
    </w:rPr>
  </w:style>
  <w:style w:type="paragraph" w:customStyle="1" w:styleId="20">
    <w:name w:val="明显引用1"/>
    <w:next w:val="1"/>
    <w:qFormat/>
    <w:uiPriority w:val="0"/>
    <w:pPr>
      <w:wordWrap w:val="0"/>
      <w:spacing w:before="360" w:after="360"/>
      <w:ind w:left="950" w:right="950"/>
      <w:jc w:val="center"/>
    </w:pPr>
    <w:rPr>
      <w:rFonts w:ascii="Times New Roman" w:hAnsi="Times New Roman" w:eastAsia="宋体" w:cs="Times New Roman"/>
      <w:i/>
      <w:sz w:val="21"/>
      <w:lang w:val="en-US" w:eastAsia="zh-CN" w:bidi="ar-SA"/>
    </w:rPr>
  </w:style>
  <w:style w:type="paragraph" w:customStyle="1" w:styleId="21">
    <w:name w:val="样式 HC 正文 + 字距调整小四"/>
    <w:basedOn w:val="22"/>
    <w:next w:val="1"/>
    <w:qFormat/>
    <w:uiPriority w:val="0"/>
    <w:pPr>
      <w:snapToGrid w:val="0"/>
      <w:ind w:firstLine="640"/>
    </w:pPr>
    <w:rPr>
      <w:bCs w:val="0"/>
      <w:kern w:val="24"/>
      <w:lang w:val="zh-CN"/>
    </w:rPr>
  </w:style>
  <w:style w:type="paragraph" w:customStyle="1" w:styleId="22">
    <w:name w:val="HC 正文"/>
    <w:basedOn w:val="1"/>
    <w:qFormat/>
    <w:uiPriority w:val="0"/>
    <w:pPr>
      <w:autoSpaceDE w:val="0"/>
      <w:spacing w:line="360" w:lineRule="auto"/>
      <w:ind w:firstLine="480" w:firstLineChars="200"/>
    </w:pPr>
    <w:rPr>
      <w:bCs/>
      <w:color w:val="0000FF"/>
      <w:sz w:val="24"/>
    </w:rPr>
  </w:style>
  <w:style w:type="paragraph" w:customStyle="1" w:styleId="23">
    <w:name w:val="正文1"/>
    <w:qFormat/>
    <w:uiPriority w:val="0"/>
    <w:pPr>
      <w:widowControl w:val="0"/>
      <w:adjustRightInd w:val="0"/>
      <w:spacing w:line="360" w:lineRule="auto"/>
      <w:ind w:firstLine="200" w:firstLineChars="200"/>
      <w:jc w:val="both"/>
      <w:textAlignment w:val="baseline"/>
    </w:pPr>
    <w:rPr>
      <w:rFonts w:ascii="Times New Roman" w:hAnsi="Times New Roman" w:eastAsia="宋体" w:cs="Times New Roman"/>
      <w:sz w:val="24"/>
      <w:szCs w:val="22"/>
      <w:lang w:val="en-US" w:eastAsia="zh-CN" w:bidi="ar-SA"/>
    </w:rPr>
  </w:style>
  <w:style w:type="paragraph" w:customStyle="1" w:styleId="24">
    <w:name w:val="Default"/>
    <w:basedOn w:val="19"/>
    <w:next w:val="1"/>
    <w:unhideWhenUsed/>
    <w:qFormat/>
    <w:uiPriority w:val="0"/>
    <w:pPr>
      <w:autoSpaceDE w:val="0"/>
      <w:autoSpaceDN w:val="0"/>
    </w:pPr>
    <w:rPr>
      <w:rFonts w:hAnsi="宋体"/>
      <w:color w:val="000000"/>
    </w:rPr>
  </w:style>
  <w:style w:type="paragraph" w:customStyle="1" w:styleId="25">
    <w:name w:val="Normal Indent1"/>
    <w:basedOn w:val="1"/>
    <w:qFormat/>
    <w:uiPriority w:val="0"/>
    <w:pPr>
      <w:ind w:firstLine="420"/>
    </w:pPr>
  </w:style>
  <w:style w:type="paragraph" w:customStyle="1" w:styleId="26">
    <w:name w:val="样式 正文 + 首行缩进:  2 字符 + 宋体"/>
    <w:basedOn w:val="1"/>
    <w:qFormat/>
    <w:uiPriority w:val="0"/>
    <w:pPr>
      <w:tabs>
        <w:tab w:val="left" w:pos="2940"/>
      </w:tabs>
      <w:adjustRightInd w:val="0"/>
      <w:snapToGrid w:val="0"/>
      <w:spacing w:line="360" w:lineRule="auto"/>
      <w:ind w:firstLine="480" w:firstLineChars="200"/>
    </w:pPr>
    <w:rPr>
      <w:snapToGrid w:val="0"/>
      <w:sz w:val="24"/>
      <w:szCs w:val="20"/>
    </w:rPr>
  </w:style>
  <w:style w:type="character" w:customStyle="1" w:styleId="27">
    <w:name w:val="fontstyle01"/>
    <w:qFormat/>
    <w:uiPriority w:val="0"/>
    <w:rPr>
      <w:rFonts w:hint="eastAsia" w:ascii="宋体" w:hAnsi="宋体" w:eastAsia="宋体"/>
      <w:color w:val="000000"/>
      <w:sz w:val="24"/>
      <w:szCs w:val="24"/>
    </w:rPr>
  </w:style>
  <w:style w:type="paragraph" w:customStyle="1" w:styleId="28">
    <w:name w:val="环评正文"/>
    <w:basedOn w:val="1"/>
    <w:qFormat/>
    <w:uiPriority w:val="0"/>
    <w:pPr>
      <w:spacing w:line="360" w:lineRule="auto"/>
      <w:ind w:firstLine="560" w:firstLineChars="200"/>
      <w:jc w:val="left"/>
    </w:pPr>
  </w:style>
  <w:style w:type="paragraph" w:customStyle="1" w:styleId="29">
    <w:name w:val="初稿正文"/>
    <w:basedOn w:val="1"/>
    <w:qFormat/>
    <w:uiPriority w:val="0"/>
    <w:pPr>
      <w:spacing w:line="360" w:lineRule="auto"/>
      <w:ind w:firstLine="720" w:firstLineChars="200"/>
    </w:pPr>
    <w:rPr>
      <w:color w:val="FF0000"/>
      <w:szCs w:val="21"/>
    </w:rPr>
  </w:style>
  <w:style w:type="paragraph" w:customStyle="1" w:styleId="30">
    <w:name w:val="文本"/>
    <w:basedOn w:val="1"/>
    <w:qFormat/>
    <w:uiPriority w:val="7"/>
    <w:pPr>
      <w:ind w:firstLine="480" w:firstLineChars="200"/>
      <w:jc w:val="center"/>
    </w:pPr>
    <w:rPr>
      <w:rFonts w:ascii="Times New Roman" w:hAnsi="Times New Roman" w:cs="Times New Roman"/>
      <w:kern w:val="2"/>
    </w:rPr>
  </w:style>
  <w:style w:type="paragraph" w:customStyle="1" w:styleId="31">
    <w:name w:val="zxj正文z"/>
    <w:basedOn w:val="1"/>
    <w:qFormat/>
    <w:uiPriority w:val="0"/>
    <w:pPr>
      <w:spacing w:line="360" w:lineRule="auto"/>
      <w:ind w:firstLine="420" w:firstLineChars="200"/>
      <w:textAlignment w:val="top"/>
    </w:pPr>
    <w:rPr>
      <w:rFonts w:cstheme="minorBidi"/>
      <w:sz w:val="24"/>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玉溪市直属党政机关单位</Company>
  <Pages>6</Pages>
  <Words>2568</Words>
  <Characters>2709</Characters>
  <Lines>17</Lines>
  <Paragraphs>4</Paragraphs>
  <TotalTime>1</TotalTime>
  <ScaleCrop>false</ScaleCrop>
  <LinksUpToDate>false</LinksUpToDate>
  <CharactersWithSpaces>2731</CharactersWithSpaces>
  <Application>WPS Office_12.8.2.17838_F1E327BC-269C-435d-A152-05C5408002CA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2020-08-06T14:42:00Z</dcterms:created>
  <dc:creator>马腾</dc:creator>
  <cp:lastModifiedBy>丫头</cp:lastModifiedBy>
  <cp:lastPrinted>2026-02-11T07:04:00Z</cp:lastPrinted>
  <dcterms:modified xsi:type="dcterms:W3CDTF">2026-06-26T02:27:42Z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2052-12.8.2.17838</vt:lpwstr>
  </property>
  <property fmtid="{D5CDD505-2E9C-101B-9397-08002B2CF9AE}" pid="3" name="ICV">
    <vt:lpwstr>40073B8CA90846DB952744C69BB449F1_13</vt:lpwstr>
  </property>
  <property fmtid="{D5CDD505-2E9C-101B-9397-08002B2CF9AE}" pid="4" name="KSOTemplateDocerSaveRecord">
    <vt:lpwstr>eyJoZGlkIjoiMGUzYzZjMTA4MjkxYjBmN2Q2NzBkOWM3MGU3YjgwZDQiLCJ1c2VySWQiOiIyNTc5MzgxMTgifQ==</vt:lpwstr>
  </property>
</Properties>
</file>