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610" w:lineRule="exact"/>
        <w:jc w:val="left"/>
        <w:textAlignment w:val="auto"/>
        <w:rPr>
          <w:rFonts w:hint="eastAsia" w:ascii="方正黑体_GBK" w:hAnsi="方正黑体_GBK" w:eastAsia="方正黑体_GBK" w:cs="方正黑体_GBK"/>
          <w:b w:val="0"/>
          <w:color w:val="auto"/>
          <w:kern w:val="2"/>
          <w:sz w:val="32"/>
          <w:szCs w:val="32"/>
          <w:lang w:val="en-US" w:eastAsia="zh-CN" w:bidi="ar-SA"/>
        </w:rPr>
      </w:pPr>
      <w:r>
        <w:rPr>
          <w:rFonts w:hint="eastAsia" w:ascii="方正黑体_GBK" w:hAnsi="方正黑体_GBK" w:eastAsia="方正黑体_GBK" w:cs="方正黑体_GBK"/>
          <w:b w:val="0"/>
          <w:color w:val="auto"/>
          <w:kern w:val="2"/>
          <w:sz w:val="32"/>
          <w:szCs w:val="32"/>
          <w:lang w:val="en-US" w:eastAsia="zh-CN" w:bidi="ar-SA"/>
        </w:rPr>
        <w:t>附件</w:t>
      </w:r>
    </w:p>
    <w:p>
      <w:pPr>
        <w:pStyle w:val="10"/>
        <w:keepNext w:val="0"/>
        <w:keepLines w:val="0"/>
        <w:pageBreakBefore w:val="0"/>
        <w:widowControl w:val="0"/>
        <w:kinsoku/>
        <w:wordWrap/>
        <w:overflowPunct/>
        <w:topLinePunct w:val="0"/>
        <w:autoSpaceDE/>
        <w:autoSpaceDN/>
        <w:bidi w:val="0"/>
        <w:adjustRightInd/>
        <w:snapToGrid/>
        <w:spacing w:line="610" w:lineRule="exact"/>
        <w:jc w:val="center"/>
        <w:textAlignment w:val="auto"/>
        <w:rPr>
          <w:rFonts w:hint="eastAsia"/>
          <w:lang w:val="en-US" w:eastAsia="zh-CN"/>
        </w:rPr>
      </w:pPr>
      <w:bookmarkStart w:id="0" w:name="_GoBack"/>
      <w:r>
        <w:rPr>
          <w:rFonts w:hint="eastAsia"/>
          <w:lang w:val="en-US" w:eastAsia="zh-CN"/>
        </w:rPr>
        <w:t>关于进一步调整优化住房公积金使用政策</w:t>
      </w:r>
    </w:p>
    <w:p>
      <w:pPr>
        <w:pStyle w:val="10"/>
        <w:keepNext w:val="0"/>
        <w:keepLines w:val="0"/>
        <w:pageBreakBefore w:val="0"/>
        <w:widowControl w:val="0"/>
        <w:kinsoku/>
        <w:wordWrap/>
        <w:overflowPunct/>
        <w:topLinePunct w:val="0"/>
        <w:autoSpaceDE/>
        <w:autoSpaceDN/>
        <w:bidi w:val="0"/>
        <w:adjustRightInd/>
        <w:snapToGrid/>
        <w:spacing w:line="610" w:lineRule="exact"/>
        <w:jc w:val="center"/>
        <w:textAlignment w:val="auto"/>
        <w:rPr>
          <w:rFonts w:hint="eastAsia" w:ascii="方正黑体_GBK" w:hAnsi="方正黑体_GBK" w:eastAsia="方正黑体_GBK" w:cs="方正黑体_GBK"/>
          <w:b w:val="0"/>
          <w:color w:val="auto"/>
          <w:kern w:val="2"/>
          <w:szCs w:val="32"/>
          <w:lang w:val="en-US" w:eastAsia="zh-CN" w:bidi="ar-SA"/>
        </w:rPr>
      </w:pPr>
      <w:r>
        <w:rPr>
          <w:rFonts w:hint="eastAsia"/>
          <w:lang w:val="en-US" w:eastAsia="zh-CN"/>
        </w:rPr>
        <w:t>的通知</w:t>
      </w:r>
    </w:p>
    <w:p>
      <w:pPr>
        <w:keepNext w:val="0"/>
        <w:keepLines w:val="0"/>
        <w:pageBreakBefore w:val="0"/>
        <w:widowControl w:val="0"/>
        <w:numPr>
          <w:ilvl w:val="0"/>
          <w:numId w:val="0"/>
        </w:numPr>
        <w:kinsoku/>
        <w:wordWrap/>
        <w:overflowPunct/>
        <w:topLinePunct w:val="0"/>
        <w:autoSpaceDE/>
        <w:autoSpaceDN/>
        <w:bidi w:val="0"/>
        <w:adjustRightInd/>
        <w:snapToGrid/>
        <w:spacing w:line="610" w:lineRule="exact"/>
        <w:jc w:val="center"/>
        <w:textAlignment w:val="auto"/>
        <w:rPr>
          <w:rFonts w:hint="default" w:ascii="Times New Roman" w:hAnsi="Times New Roman" w:eastAsia="方正楷体_GBK" w:cs="Times New Roman"/>
          <w:color w:val="auto"/>
          <w:sz w:val="32"/>
          <w:szCs w:val="32"/>
          <w:lang w:eastAsia="zh-CN"/>
        </w:rPr>
      </w:pPr>
      <w:r>
        <w:rPr>
          <w:rFonts w:hint="default" w:ascii="Times New Roman" w:hAnsi="Times New Roman" w:eastAsia="方正楷体_GBK" w:cs="Times New Roman"/>
          <w:color w:val="auto"/>
          <w:sz w:val="32"/>
          <w:szCs w:val="32"/>
          <w:lang w:eastAsia="zh-CN"/>
        </w:rPr>
        <w:t>（</w:t>
      </w:r>
      <w:r>
        <w:rPr>
          <w:rFonts w:hint="eastAsia" w:ascii="Times New Roman" w:hAnsi="Times New Roman" w:eastAsia="方正楷体_GBK" w:cs="Times New Roman"/>
          <w:color w:val="auto"/>
          <w:sz w:val="32"/>
          <w:szCs w:val="32"/>
          <w:lang w:val="en-US" w:eastAsia="zh-CN"/>
        </w:rPr>
        <w:t>征求意见</w:t>
      </w:r>
      <w:r>
        <w:rPr>
          <w:rFonts w:hint="default" w:ascii="Times New Roman" w:hAnsi="Times New Roman" w:eastAsia="方正楷体_GBK" w:cs="Times New Roman"/>
          <w:color w:val="auto"/>
          <w:sz w:val="32"/>
          <w:szCs w:val="32"/>
          <w:lang w:eastAsia="zh-CN"/>
        </w:rPr>
        <w:t>稿）</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610" w:lineRule="exact"/>
        <w:jc w:val="both"/>
        <w:textAlignment w:val="auto"/>
        <w:rPr>
          <w:rFonts w:hint="eastAsia" w:ascii="Times New Roman" w:hAnsi="Times New Roman" w:eastAsia="方正仿宋_GBK" w:cs="Times New Roman"/>
          <w:color w:val="auto"/>
          <w:sz w:val="32"/>
          <w:szCs w:val="32"/>
          <w:lang w:eastAsia="zh-CN"/>
        </w:rPr>
      </w:pPr>
    </w:p>
    <w:p>
      <w:pPr>
        <w:pStyle w:val="14"/>
        <w:keepNext w:val="0"/>
        <w:keepLines w:val="0"/>
        <w:pageBreakBefore w:val="0"/>
        <w:widowControl w:val="0"/>
        <w:kinsoku/>
        <w:wordWrap/>
        <w:overflowPunct/>
        <w:topLinePunct w:val="0"/>
        <w:autoSpaceDE/>
        <w:autoSpaceDN/>
        <w:bidi w:val="0"/>
        <w:adjustRightInd/>
        <w:snapToGrid/>
        <w:spacing w:line="610" w:lineRule="exact"/>
        <w:ind w:left="0" w:leftChars="0" w:firstLine="0" w:firstLineChars="0"/>
        <w:textAlignment w:val="auto"/>
        <w:rPr>
          <w:rFonts w:hint="eastAsia"/>
          <w:lang w:eastAsia="zh-CN"/>
        </w:rPr>
      </w:pPr>
      <w:r>
        <w:rPr>
          <w:rFonts w:hint="eastAsia"/>
          <w:lang w:eastAsia="zh-CN"/>
        </w:rPr>
        <w:t>各住房公积金缴存单位、缴存人：</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default"/>
          <w:lang w:val="en-US" w:eastAsia="zh-CN"/>
        </w:rPr>
      </w:pPr>
      <w:r>
        <w:rPr>
          <w:rFonts w:hint="eastAsia"/>
          <w:lang w:val="en-US" w:eastAsia="zh-CN"/>
        </w:rPr>
        <w:t>为进一步发挥住房公积金制度保障作用，支持刚性和改善性住房需求，促进玉溪市房地产市场平稳健康发展，现将玉溪市住房公积金使用政策调整优化如下：</w:t>
      </w:r>
    </w:p>
    <w:p>
      <w:pPr>
        <w:pStyle w:val="11"/>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一、调整优化住房公积金提取政策</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（一）支持物业费提取</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缴存人每自然年度仅可申请一次住房公积金提取用于支付自住住房物业费。每人每自然年度提取最高限额为3000元，当年未使用的提取额度不予结转至下一自然年度。</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（二）支持自住住房装修提取</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无玉溪市住房公积金贷款余额的缴存人家庭（包括缴存人及配偶），2020年1月1日以来对玉溪市行政区域内自住住房进行装修的，可申请提取一次住房公积金用于该套住房装修。装修标准以建筑面积每平方米1500元计算，最高提取金额不超过15万元。</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（三）支持购置住房配套不动产提取</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无玉溪市住房公积金贷款余额的缴存人家庭（包括缴存人及配偶），在玉溪市行政区域内购置与自住住房同一小区、具备独立不动产权属的车库、车位、储藏室，可自取得不动产权证之日起一年内，就同一事项申请一次住房公积金提取，提取总额不得超过实际支付金额。</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（四）支持缴纳住房契税、住宅专项维修资金提取</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无玉溪市住房公积金贷款余额的缴存人家庭（包括缴存人及配偶），在玉溪市行政区域内购置自住住房的，可自住房契税、住宅专项维修资金缴款凭证开具之日起一年内，就同一事项申请一次住房公积金提取，提取总额不得超过实际缴纳金额。</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（五）拓宽住宅加装电梯提取范围</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无玉溪市住房公积金贷款余额的缴存人家庭（包括缴存人、配偶、父母、子女），在玉溪市行政区域内加装既有住宅电梯，自电梯工程竣工验收之日起一年内，家庭成员可同时提取各自名下住房公积金用于电梯加装支出，提取总额不得超过该套住宅电梯项目实际分摊资金总额；每户电梯分摊费用对应的提取业务仅限办理一次。</w:t>
      </w:r>
    </w:p>
    <w:p>
      <w:pPr>
        <w:pStyle w:val="11"/>
        <w:keepNext w:val="0"/>
        <w:keepLines w:val="0"/>
        <w:pageBreakBefore w:val="0"/>
        <w:widowControl w:val="0"/>
        <w:kinsoku/>
        <w:wordWrap/>
        <w:overflowPunct/>
        <w:topLinePunct w:val="0"/>
        <w:autoSpaceDE/>
        <w:autoSpaceDN/>
        <w:bidi w:val="0"/>
        <w:adjustRightInd/>
        <w:snapToGrid/>
        <w:spacing w:line="610" w:lineRule="exact"/>
        <w:textAlignment w:val="auto"/>
        <w:rPr>
          <w:rFonts w:hint="default"/>
          <w:lang w:val="en-US" w:eastAsia="zh-CN"/>
        </w:rPr>
      </w:pPr>
      <w:r>
        <w:rPr>
          <w:rFonts w:hint="eastAsia"/>
          <w:lang w:val="en-US" w:eastAsia="zh-CN"/>
        </w:rPr>
        <w:t>二、调整优化住房公积金个人住房贷款政策</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（一）优化住房套数认定标准</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无住房公积金贷款余额的缴存人家庭（包括借款人及配偶），购、建自住住房申请住房公积金个人住房贷款的，执行住房公积金首套房贷款政策。存量住房公积金个人住房贷款按原政策规定执行。</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default"/>
          <w:lang w:val="en-US" w:eastAsia="zh-CN"/>
        </w:rPr>
      </w:pPr>
      <w:r>
        <w:rPr>
          <w:rFonts w:hint="eastAsia"/>
          <w:lang w:val="en-US" w:eastAsia="zh-CN"/>
        </w:rPr>
        <w:t>（二）</w:t>
      </w:r>
      <w:r>
        <w:rPr>
          <w:rFonts w:hint="default"/>
          <w:lang w:val="en-US" w:eastAsia="zh-CN"/>
        </w:rPr>
        <w:t>提高</w:t>
      </w:r>
      <w:r>
        <w:rPr>
          <w:rFonts w:hint="eastAsia"/>
          <w:lang w:val="en-US" w:eastAsia="zh-CN"/>
        </w:rPr>
        <w:t>退役军人</w:t>
      </w:r>
      <w:r>
        <w:rPr>
          <w:rFonts w:hint="default"/>
          <w:lang w:val="en-US" w:eastAsia="zh-CN"/>
        </w:rPr>
        <w:t>最高贷款额度</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退役军人购、建自住住房申请住房公积金个人住房贷款的，贷款额度可在现行</w:t>
      </w:r>
      <w:r>
        <w:rPr>
          <w:rFonts w:hint="default"/>
          <w:lang w:val="en-US" w:eastAsia="zh-CN"/>
        </w:rPr>
        <w:t>最高贷款额度的基础上上浮30%</w:t>
      </w:r>
      <w:r>
        <w:rPr>
          <w:rFonts w:hint="eastAsia"/>
          <w:lang w:val="en-US" w:eastAsia="zh-CN"/>
        </w:rPr>
        <w:t>。</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满足退役军人、多子女家庭、高层次人才、购买星级新建绿色建筑住房和绿色生态小区住房条件的，申请住房公积金个人住房贷款时，贷款额度上浮比例可累加计算。</w:t>
      </w:r>
    </w:p>
    <w:p>
      <w:pPr>
        <w:pStyle w:val="12"/>
        <w:keepNext w:val="0"/>
        <w:keepLines w:val="0"/>
        <w:pageBreakBefore w:val="0"/>
        <w:widowControl w:val="0"/>
        <w:kinsoku/>
        <w:wordWrap/>
        <w:overflowPunct/>
        <w:topLinePunct w:val="0"/>
        <w:autoSpaceDE/>
        <w:autoSpaceDN/>
        <w:bidi w:val="0"/>
        <w:adjustRightInd/>
        <w:snapToGrid/>
        <w:spacing w:line="610" w:lineRule="exact"/>
        <w:textAlignment w:val="auto"/>
        <w:rPr>
          <w:rFonts w:hint="default"/>
          <w:lang w:val="en-US" w:eastAsia="zh-CN"/>
        </w:rPr>
      </w:pPr>
      <w:r>
        <w:rPr>
          <w:rFonts w:hint="eastAsia"/>
          <w:lang w:val="en-US" w:eastAsia="zh-CN"/>
        </w:rPr>
        <w:t>（三）拓展住房公积金贷款使用范围</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无住房公积金贷款余额的缴存人家庭（包括借款人及配偶），2020年1月1日以来对玉溪市行政区域内自住住房进行适居性改造的，可申请住房公积金贷款用于支付改造费用。改造</w:t>
      </w:r>
      <w:r>
        <w:rPr>
          <w:rFonts w:hint="default"/>
          <w:lang w:eastAsia="zh-CN"/>
        </w:rPr>
        <w:t>标准</w:t>
      </w:r>
      <w:r>
        <w:rPr>
          <w:rFonts w:hint="default"/>
          <w:lang w:val="en-US" w:eastAsia="zh-CN"/>
        </w:rPr>
        <w:t>以建筑面积</w:t>
      </w:r>
      <w:r>
        <w:rPr>
          <w:rFonts w:hint="eastAsia"/>
          <w:lang w:val="en-US" w:eastAsia="zh-CN"/>
        </w:rPr>
        <w:t>每</w:t>
      </w:r>
      <w:r>
        <w:rPr>
          <w:rFonts w:hint="default"/>
          <w:lang w:val="en-US" w:eastAsia="zh-CN"/>
        </w:rPr>
        <w:t>平方米1500元核定</w:t>
      </w:r>
      <w:r>
        <w:rPr>
          <w:rFonts w:hint="eastAsia"/>
          <w:lang w:val="en-US" w:eastAsia="zh-CN"/>
        </w:rPr>
        <w:t>，贷款最高额度为70万元，最长期限10年，贷款利率参照住房公积金首套房贷款利率执行。</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本通知自2026年XX月XX日起执行。其中，支持购置住房配套不动产提取、支持缴纳住房契税及维修资金提取、拓展住房公积金个人住房贷款使用范围3项政策为阶段性政策，试行期1年；期间，当住房公积金存贷率连续三个月大于92%（含）时，暂停办理以上3项业务。</w:t>
      </w:r>
    </w:p>
    <w:p>
      <w:pPr>
        <w:pStyle w:val="14"/>
        <w:keepNext w:val="0"/>
        <w:keepLines w:val="0"/>
        <w:pageBreakBefore w:val="0"/>
        <w:widowControl w:val="0"/>
        <w:kinsoku/>
        <w:wordWrap/>
        <w:overflowPunct/>
        <w:topLinePunct w:val="0"/>
        <w:autoSpaceDE/>
        <w:autoSpaceDN/>
        <w:bidi w:val="0"/>
        <w:adjustRightInd/>
        <w:snapToGrid/>
        <w:spacing w:line="610" w:lineRule="exact"/>
        <w:textAlignment w:val="auto"/>
        <w:rPr>
          <w:rFonts w:hint="eastAsia"/>
          <w:lang w:val="en-US" w:eastAsia="zh-CN"/>
        </w:rPr>
      </w:pPr>
      <w:r>
        <w:rPr>
          <w:rFonts w:hint="eastAsia"/>
          <w:lang w:val="en-US" w:eastAsia="zh-CN"/>
        </w:rPr>
        <w:t>上述政策由玉溪市住房公积金管理中心负责解释，政策执行期间如遇国家相关政策调整，以国家政策为准。</w:t>
      </w:r>
    </w:p>
    <w:p>
      <w:pPr>
        <w:pStyle w:val="14"/>
        <w:keepNext w:val="0"/>
        <w:keepLines w:val="0"/>
        <w:pageBreakBefore w:val="0"/>
        <w:widowControl w:val="0"/>
        <w:kinsoku/>
        <w:wordWrap/>
        <w:overflowPunct/>
        <w:topLinePunct w:val="0"/>
        <w:autoSpaceDE/>
        <w:autoSpaceDN/>
        <w:bidi w:val="0"/>
        <w:adjustRightInd/>
        <w:snapToGrid/>
        <w:spacing w:line="610" w:lineRule="exact"/>
        <w:ind w:left="0" w:leftChars="0" w:firstLine="0" w:firstLineChars="0"/>
        <w:textAlignment w:val="auto"/>
        <w:rPr>
          <w:rFonts w:hint="eastAsia"/>
          <w:lang w:val="en-US" w:eastAsia="zh-CN"/>
        </w:rPr>
      </w:pPr>
    </w:p>
    <w:p>
      <w:pPr>
        <w:pStyle w:val="14"/>
        <w:keepNext w:val="0"/>
        <w:keepLines w:val="0"/>
        <w:pageBreakBefore w:val="0"/>
        <w:widowControl w:val="0"/>
        <w:kinsoku/>
        <w:wordWrap/>
        <w:overflowPunct/>
        <w:topLinePunct w:val="0"/>
        <w:autoSpaceDE/>
        <w:autoSpaceDN/>
        <w:bidi w:val="0"/>
        <w:adjustRightInd/>
        <w:snapToGrid/>
        <w:spacing w:line="610" w:lineRule="exact"/>
        <w:ind w:left="0" w:leftChars="0" w:firstLine="0" w:firstLineChars="0"/>
        <w:textAlignment w:val="auto"/>
        <w:rPr>
          <w:rFonts w:hint="eastAsia"/>
          <w:lang w:val="en-US" w:eastAsia="zh-CN"/>
        </w:rPr>
      </w:pPr>
    </w:p>
    <w:p>
      <w:pPr>
        <w:pStyle w:val="14"/>
        <w:keepNext w:val="0"/>
        <w:keepLines w:val="0"/>
        <w:pageBreakBefore w:val="0"/>
        <w:widowControl w:val="0"/>
        <w:kinsoku/>
        <w:wordWrap/>
        <w:overflowPunct/>
        <w:topLinePunct w:val="0"/>
        <w:autoSpaceDE/>
        <w:autoSpaceDN/>
        <w:bidi w:val="0"/>
        <w:adjustRightInd/>
        <w:snapToGrid/>
        <w:spacing w:line="610" w:lineRule="exact"/>
        <w:ind w:left="0" w:leftChars="0" w:firstLine="0" w:firstLineChars="0"/>
        <w:jc w:val="center"/>
        <w:textAlignment w:val="auto"/>
        <w:rPr>
          <w:rFonts w:hint="eastAsia"/>
          <w:lang w:val="en-US" w:eastAsia="zh-CN"/>
        </w:rPr>
      </w:pPr>
      <w:r>
        <w:rPr>
          <w:rFonts w:hint="eastAsia"/>
          <w:lang w:val="en-US" w:eastAsia="zh-CN"/>
        </w:rPr>
        <w:t xml:space="preserve">                           玉溪市住房公积金管理委员会</w:t>
      </w:r>
    </w:p>
    <w:p>
      <w:pPr>
        <w:pStyle w:val="14"/>
        <w:keepNext w:val="0"/>
        <w:keepLines w:val="0"/>
        <w:pageBreakBefore w:val="0"/>
        <w:widowControl w:val="0"/>
        <w:kinsoku/>
        <w:wordWrap/>
        <w:overflowPunct/>
        <w:topLinePunct w:val="0"/>
        <w:autoSpaceDE/>
        <w:autoSpaceDN/>
        <w:bidi w:val="0"/>
        <w:adjustRightInd/>
        <w:snapToGrid/>
        <w:spacing w:line="610" w:lineRule="exact"/>
        <w:ind w:left="0" w:leftChars="0" w:firstLine="5120" w:firstLineChars="1600"/>
        <w:textAlignment w:val="auto"/>
        <w:rPr>
          <w:rFonts w:hint="default"/>
          <w:lang w:val="en-US" w:eastAsia="zh-CN"/>
        </w:rPr>
      </w:pPr>
      <w:r>
        <w:rPr>
          <w:rFonts w:hint="eastAsia"/>
          <w:lang w:val="en-US" w:eastAsia="zh-CN"/>
        </w:rPr>
        <w:t>2026</w:t>
      </w:r>
      <w:r>
        <w:rPr>
          <w:rFonts w:hint="default"/>
          <w:lang w:val="en-US" w:eastAsia="zh-CN"/>
        </w:rPr>
        <w:t>年</w:t>
      </w:r>
      <w:r>
        <w:rPr>
          <w:rFonts w:hint="eastAsia"/>
          <w:lang w:val="en-US" w:eastAsia="zh-CN"/>
        </w:rPr>
        <w:t>XX</w:t>
      </w:r>
      <w:r>
        <w:rPr>
          <w:rFonts w:hint="default"/>
          <w:lang w:val="en-US" w:eastAsia="zh-CN"/>
        </w:rPr>
        <w:t>月</w:t>
      </w:r>
      <w:r>
        <w:rPr>
          <w:rFonts w:hint="eastAsia"/>
          <w:lang w:val="en-US" w:eastAsia="zh-CN"/>
        </w:rPr>
        <w:t>XX</w:t>
      </w:r>
      <w:r>
        <w:rPr>
          <w:rFonts w:hint="default"/>
          <w:lang w:val="en-US" w:eastAsia="zh-CN"/>
        </w:rPr>
        <w:t>日</w:t>
      </w:r>
    </w:p>
    <w:sectPr>
      <w:footerReference r:id="rId3" w:type="default"/>
      <w:pgSz w:w="11850" w:h="16840"/>
      <w:pgMar w:top="2041" w:right="1474" w:bottom="1304" w:left="1587" w:header="1361" w:footer="1191" w:gutter="0"/>
      <w:paperSrc/>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keepNext w:val="0"/>
                            <w:keepLines w:val="0"/>
                            <w:pageBreakBefore w:val="0"/>
                            <w:widowControl w:val="0"/>
                            <w:kinsoku/>
                            <w:wordWrap/>
                            <w:overflowPunct/>
                            <w:topLinePunct w:val="0"/>
                            <w:autoSpaceDE/>
                            <w:autoSpaceDN/>
                            <w:bidi w:val="0"/>
                            <w:adjustRightInd/>
                            <w:snapToGrid w:val="0"/>
                            <w:ind w:left="420" w:leftChars="200" w:right="420" w:right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FgAAAGRycy9QSwECFAAUAAAACACHTuJA&#10;s0lY7tAAAAAFAQAADwAAAAAAAAABACAAAAA4AAAAZHJzL2Rvd25yZXYueG1sUEsBAhQAFAAAAAgA&#10;h07iQOSzpqPCAgAA1gUAAA4AAAAAAAAAAQAgAAAANQEAAGRycy9lMm9Eb2MueG1sUEsFBgAAAAAG&#10;AAYAWQEAAGkGAAAAAA==&#10;">
              <v:fill on="f" focussize="0,0"/>
              <v:stroke on="f" weight="0.5pt"/>
              <v:imagedata o:title=""/>
              <o:lock v:ext="edit" aspectratio="f"/>
              <v:textbox inset="0mm,0mm,0mm,0mm" style="mso-fit-shape-to-text:t;">
                <w:txbxContent>
                  <w:p>
                    <w:pPr>
                      <w:pStyle w:val="5"/>
                      <w:keepNext w:val="0"/>
                      <w:keepLines w:val="0"/>
                      <w:pageBreakBefore w:val="0"/>
                      <w:widowControl w:val="0"/>
                      <w:kinsoku/>
                      <w:wordWrap/>
                      <w:overflowPunct/>
                      <w:topLinePunct w:val="0"/>
                      <w:autoSpaceDE/>
                      <w:autoSpaceDN/>
                      <w:bidi w:val="0"/>
                      <w:adjustRightInd/>
                      <w:snapToGrid w:val="0"/>
                      <w:ind w:left="420" w:leftChars="200" w:right="420" w:rightChars="20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BFE8DE"/>
    <w:rsid w:val="0BDDA14A"/>
    <w:rsid w:val="0FD94683"/>
    <w:rsid w:val="125FB399"/>
    <w:rsid w:val="137DF767"/>
    <w:rsid w:val="1556578A"/>
    <w:rsid w:val="1B6D5B8D"/>
    <w:rsid w:val="1EDEC9BD"/>
    <w:rsid w:val="1F6B68E5"/>
    <w:rsid w:val="266F8D83"/>
    <w:rsid w:val="2F7DF8FF"/>
    <w:rsid w:val="33FBFC38"/>
    <w:rsid w:val="37EF2EC0"/>
    <w:rsid w:val="37FD3C85"/>
    <w:rsid w:val="381D5DA3"/>
    <w:rsid w:val="39AF46DB"/>
    <w:rsid w:val="39F909B9"/>
    <w:rsid w:val="3BF97B08"/>
    <w:rsid w:val="3CF5ECE5"/>
    <w:rsid w:val="3DF764B0"/>
    <w:rsid w:val="3DFBC51E"/>
    <w:rsid w:val="3F79686A"/>
    <w:rsid w:val="3F7F5C89"/>
    <w:rsid w:val="3FDFD0C5"/>
    <w:rsid w:val="3FF7D04C"/>
    <w:rsid w:val="3FFB1FC6"/>
    <w:rsid w:val="45BDB434"/>
    <w:rsid w:val="4FEF3763"/>
    <w:rsid w:val="56E264F0"/>
    <w:rsid w:val="593F467F"/>
    <w:rsid w:val="5CF958F6"/>
    <w:rsid w:val="5D5E12AD"/>
    <w:rsid w:val="5EFF052E"/>
    <w:rsid w:val="5EFFA9A9"/>
    <w:rsid w:val="5F7BD8D5"/>
    <w:rsid w:val="5FAF0EC5"/>
    <w:rsid w:val="5FDE49B5"/>
    <w:rsid w:val="5FE7F260"/>
    <w:rsid w:val="6473F65A"/>
    <w:rsid w:val="64BFB275"/>
    <w:rsid w:val="66FFB547"/>
    <w:rsid w:val="674D4AFD"/>
    <w:rsid w:val="6AFFCF4A"/>
    <w:rsid w:val="6B5F84AD"/>
    <w:rsid w:val="6BB70404"/>
    <w:rsid w:val="6C7F27C2"/>
    <w:rsid w:val="6CBFDDE4"/>
    <w:rsid w:val="6CFB5A83"/>
    <w:rsid w:val="6DB3A1A1"/>
    <w:rsid w:val="6DDB9E7E"/>
    <w:rsid w:val="6E3F2F4A"/>
    <w:rsid w:val="6E66E653"/>
    <w:rsid w:val="6EDFABA8"/>
    <w:rsid w:val="6EFF160E"/>
    <w:rsid w:val="6FFEE16B"/>
    <w:rsid w:val="6FFEF1BD"/>
    <w:rsid w:val="71ED4BE2"/>
    <w:rsid w:val="71F9C11A"/>
    <w:rsid w:val="747C90B4"/>
    <w:rsid w:val="7725FDF2"/>
    <w:rsid w:val="777623F2"/>
    <w:rsid w:val="777EFCDD"/>
    <w:rsid w:val="77C16384"/>
    <w:rsid w:val="77E72A13"/>
    <w:rsid w:val="77E875A6"/>
    <w:rsid w:val="79EEA118"/>
    <w:rsid w:val="79FF3EE7"/>
    <w:rsid w:val="7B7E840F"/>
    <w:rsid w:val="7B9D6FE4"/>
    <w:rsid w:val="7BFF6D15"/>
    <w:rsid w:val="7BFFEED7"/>
    <w:rsid w:val="7CFF3F2A"/>
    <w:rsid w:val="7DBFE8DE"/>
    <w:rsid w:val="7DDD5195"/>
    <w:rsid w:val="7EFAA991"/>
    <w:rsid w:val="7EFD8915"/>
    <w:rsid w:val="7F1FA536"/>
    <w:rsid w:val="7F72BF0E"/>
    <w:rsid w:val="7F7F79E0"/>
    <w:rsid w:val="7FBC9D0D"/>
    <w:rsid w:val="7FBF5EFA"/>
    <w:rsid w:val="7FD718CA"/>
    <w:rsid w:val="7FFD4FE0"/>
    <w:rsid w:val="7FFFC2FD"/>
    <w:rsid w:val="92762B26"/>
    <w:rsid w:val="95665D72"/>
    <w:rsid w:val="95DFEA2A"/>
    <w:rsid w:val="9D6B5E4A"/>
    <w:rsid w:val="9E6F1221"/>
    <w:rsid w:val="9F13DCDC"/>
    <w:rsid w:val="ABFFB071"/>
    <w:rsid w:val="ACFF5893"/>
    <w:rsid w:val="AD9F82F6"/>
    <w:rsid w:val="AEFC885C"/>
    <w:rsid w:val="AEFF7C4E"/>
    <w:rsid w:val="B38E7D8F"/>
    <w:rsid w:val="B435B37A"/>
    <w:rsid w:val="B7E705A8"/>
    <w:rsid w:val="BB7EAB31"/>
    <w:rsid w:val="BB9FAAAC"/>
    <w:rsid w:val="BCFE190E"/>
    <w:rsid w:val="BDF55E70"/>
    <w:rsid w:val="BDF7AC80"/>
    <w:rsid w:val="BDFE67BE"/>
    <w:rsid w:val="BE4CA5E7"/>
    <w:rsid w:val="BEE72D6A"/>
    <w:rsid w:val="BFA357B3"/>
    <w:rsid w:val="BFFFAD80"/>
    <w:rsid w:val="CB094960"/>
    <w:rsid w:val="CF0F2B7C"/>
    <w:rsid w:val="CF7B6A4E"/>
    <w:rsid w:val="CFFDDFB6"/>
    <w:rsid w:val="D099B576"/>
    <w:rsid w:val="D47FEF88"/>
    <w:rsid w:val="D7BFF982"/>
    <w:rsid w:val="DA7F83C9"/>
    <w:rsid w:val="DB873FE7"/>
    <w:rsid w:val="DC7BB422"/>
    <w:rsid w:val="DDCF6321"/>
    <w:rsid w:val="DF7BF3C7"/>
    <w:rsid w:val="DF8F0AD5"/>
    <w:rsid w:val="DFF3F622"/>
    <w:rsid w:val="DFF63CA6"/>
    <w:rsid w:val="DFFF38EF"/>
    <w:rsid w:val="DFFFDF42"/>
    <w:rsid w:val="E6FE1FB2"/>
    <w:rsid w:val="E97D76A9"/>
    <w:rsid w:val="E9F7D33D"/>
    <w:rsid w:val="EB64B371"/>
    <w:rsid w:val="EB9167D0"/>
    <w:rsid w:val="ED9EDBBA"/>
    <w:rsid w:val="EFDFFC8B"/>
    <w:rsid w:val="EFFDD68A"/>
    <w:rsid w:val="F73B1BB7"/>
    <w:rsid w:val="F75B6D89"/>
    <w:rsid w:val="F7AF0AD3"/>
    <w:rsid w:val="F7BF89A5"/>
    <w:rsid w:val="F7FB18B2"/>
    <w:rsid w:val="F7FB7B6F"/>
    <w:rsid w:val="F7FBBAE8"/>
    <w:rsid w:val="F7FF31BE"/>
    <w:rsid w:val="F8FD98ED"/>
    <w:rsid w:val="FB7E806E"/>
    <w:rsid w:val="FB9F1DF4"/>
    <w:rsid w:val="FBFF67D7"/>
    <w:rsid w:val="FC3BD78F"/>
    <w:rsid w:val="FD6E3D45"/>
    <w:rsid w:val="FDF56FEC"/>
    <w:rsid w:val="FE4C1EC2"/>
    <w:rsid w:val="FE7B7CB0"/>
    <w:rsid w:val="FEF6D204"/>
    <w:rsid w:val="FEFEC7A4"/>
    <w:rsid w:val="FF3FFE4B"/>
    <w:rsid w:val="FF577087"/>
    <w:rsid w:val="FF6D294A"/>
    <w:rsid w:val="FF6F922C"/>
    <w:rsid w:val="FF7B3C13"/>
    <w:rsid w:val="FFB94973"/>
    <w:rsid w:val="FFBE41F4"/>
    <w:rsid w:val="FFBFF7FA"/>
    <w:rsid w:val="FFCDDB01"/>
    <w:rsid w:val="FFD5E3FC"/>
    <w:rsid w:val="FFEEC59A"/>
    <w:rsid w:val="FFFFA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方正书宋_GBK" w:cs="Times New Roman"/>
      <w:kern w:val="2"/>
      <w:sz w:val="21"/>
      <w:szCs w:val="24"/>
      <w:lang w:val="en-US" w:eastAsia="zh-CN" w:bidi="ar-SA"/>
    </w:rPr>
  </w:style>
  <w:style w:type="paragraph" w:styleId="3">
    <w:name w:val="heading 3"/>
    <w:basedOn w:val="1"/>
    <w:next w:val="1"/>
    <w:unhideWhenUsed/>
    <w:qFormat/>
    <w:uiPriority w:val="9"/>
    <w:pPr>
      <w:keepNext/>
      <w:keepLines/>
      <w:widowControl w:val="0"/>
      <w:suppressAutoHyphens/>
      <w:bidi w:val="0"/>
      <w:spacing w:line="413" w:lineRule="auto"/>
      <w:jc w:val="both"/>
      <w:outlineLvl w:val="2"/>
    </w:pPr>
    <w:rPr>
      <w:rFonts w:ascii="Calibri" w:hAnsi="Calibri" w:eastAsia="方正书宋_GBK" w:cs="Times New Roman"/>
      <w:b/>
      <w:color w:val="auto"/>
      <w:kern w:val="2"/>
      <w:sz w:val="32"/>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widowControl/>
      <w:ind w:firstLine="420"/>
    </w:pPr>
    <w:rPr>
      <w:sz w:val="28"/>
    </w:rPr>
  </w:style>
  <w:style w:type="paragraph" w:styleId="4">
    <w:name w:val="annotation text"/>
    <w:basedOn w:val="1"/>
    <w:qFormat/>
    <w:uiPriority w:val="0"/>
    <w:pPr>
      <w:jc w:val="left"/>
    </w:p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First Indent 2"/>
    <w:qFormat/>
    <w:uiPriority w:val="0"/>
    <w:pPr>
      <w:widowControl w:val="0"/>
      <w:suppressAutoHyphens/>
      <w:bidi w:val="0"/>
      <w:spacing w:after="120" w:afterLines="0"/>
      <w:ind w:left="420" w:leftChars="200" w:firstLine="420" w:firstLineChars="200"/>
      <w:jc w:val="both"/>
    </w:pPr>
    <w:rPr>
      <w:rFonts w:ascii="Calibri" w:hAnsi="Calibri" w:eastAsia="方正书宋_GBK" w:cs="Times New Roman"/>
      <w:color w:val="auto"/>
      <w:kern w:val="2"/>
      <w:sz w:val="21"/>
      <w:szCs w:val="24"/>
      <w:lang w:val="en-US" w:eastAsia="zh-CN" w:bidi="ar-SA"/>
    </w:rPr>
  </w:style>
  <w:style w:type="paragraph" w:customStyle="1" w:styleId="10">
    <w:name w:val="1.方正小标宋GBK"/>
    <w:basedOn w:val="1"/>
    <w:qFormat/>
    <w:uiPriority w:val="0"/>
    <w:pPr>
      <w:spacing w:line="590" w:lineRule="exact"/>
    </w:pPr>
    <w:rPr>
      <w:rFonts w:ascii="Times New Roman" w:hAnsi="Times New Roman" w:eastAsia="方正小标宋_GBK" w:cs="Times New Roman"/>
      <w:sz w:val="44"/>
    </w:rPr>
  </w:style>
  <w:style w:type="paragraph" w:customStyle="1" w:styleId="11">
    <w:name w:val="2.方正黑体GBK"/>
    <w:basedOn w:val="1"/>
    <w:qFormat/>
    <w:uiPriority w:val="0"/>
    <w:pPr>
      <w:widowControl w:val="0"/>
      <w:spacing w:line="590" w:lineRule="exact"/>
      <w:ind w:firstLine="880" w:firstLineChars="200"/>
    </w:pPr>
    <w:rPr>
      <w:rFonts w:ascii="Times New Roman" w:hAnsi="Times New Roman" w:eastAsia="方正黑体_GBK" w:cs="Times New Roman"/>
      <w:sz w:val="32"/>
    </w:rPr>
  </w:style>
  <w:style w:type="paragraph" w:customStyle="1" w:styleId="12">
    <w:name w:val="3.方正楷体GBK"/>
    <w:basedOn w:val="1"/>
    <w:qFormat/>
    <w:uiPriority w:val="0"/>
    <w:pPr>
      <w:widowControl w:val="0"/>
      <w:spacing w:line="590" w:lineRule="exact"/>
      <w:ind w:firstLine="880" w:firstLineChars="200"/>
    </w:pPr>
    <w:rPr>
      <w:rFonts w:ascii="Times New Roman" w:hAnsi="Times New Roman" w:eastAsia="方正楷体_GBK" w:cs="Times New Roman"/>
      <w:sz w:val="32"/>
    </w:rPr>
  </w:style>
  <w:style w:type="paragraph" w:customStyle="1" w:styleId="13">
    <w:name w:val="4.方正仿宋GBK"/>
    <w:basedOn w:val="1"/>
    <w:qFormat/>
    <w:uiPriority w:val="0"/>
    <w:pPr>
      <w:spacing w:line="590" w:lineRule="exact"/>
    </w:pPr>
    <w:rPr>
      <w:rFonts w:ascii="Times New Roman" w:hAnsi="Times New Roman" w:eastAsia="方正仿宋_GBK" w:cs="Times New Roman"/>
      <w:sz w:val="32"/>
    </w:rPr>
  </w:style>
  <w:style w:type="paragraph" w:customStyle="1" w:styleId="14">
    <w:name w:val="4.方正仿宋GPK"/>
    <w:basedOn w:val="1"/>
    <w:qFormat/>
    <w:uiPriority w:val="0"/>
    <w:pPr>
      <w:widowControl w:val="0"/>
      <w:spacing w:line="590" w:lineRule="exact"/>
      <w:ind w:firstLine="880" w:firstLineChars="200"/>
    </w:pPr>
    <w:rPr>
      <w:rFonts w:ascii="Times New Roman" w:hAnsi="Times New Roman" w:eastAsia="方正仿宋_GBK" w:cs="Times New Roman"/>
      <w:spacing w:val="0"/>
      <w:kern w:val="2"/>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1286</Words>
  <Characters>1319</Characters>
  <Lines>0</Lines>
  <Paragraphs>0</Paragraphs>
  <TotalTime>35</TotalTime>
  <ScaleCrop>false</ScaleCrop>
  <LinksUpToDate>false</LinksUpToDate>
  <CharactersWithSpaces>1355</CharactersWithSpaces>
  <Application>WPS Office_11.8.2.10624_F1E327BC-269C-435d-A152-05C5408002CA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2026-05-30T07:39:00Z</dcterms:created>
  <dc:creator>user</dc:creator>
  <cp:lastModifiedBy>user</cp:lastModifiedBy>
  <cp:lastPrinted>2026-06-19T07:05:00Z</cp:lastPrinted>
  <dcterms:modified xsi:type="dcterms:W3CDTF">2026-06-24T11:38:22Z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y fmtid="{D5CDD505-2E9C-101B-9397-08002B2CF9AE}" pid="3" name="ICV">
    <vt:lpwstr>190265329D2CA3CEC213316A88EB1758_42</vt:lpwstr>
  </property>
</Properties>
</file>