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52005">
      <w:pPr>
        <w:spacing w:line="560" w:lineRule="exact"/>
        <w:jc w:val="center"/>
        <w:rPr>
          <w:rFonts w:eastAsia="方正小标宋_GBK"/>
          <w:bCs/>
          <w:sz w:val="44"/>
          <w:szCs w:val="44"/>
        </w:rPr>
      </w:pPr>
    </w:p>
    <w:p w14:paraId="5E2E2718">
      <w:pPr>
        <w:pStyle w:val="2"/>
        <w:rPr>
          <w:rFonts w:eastAsia="方正小标宋_GBK"/>
          <w:bCs/>
          <w:sz w:val="44"/>
          <w:szCs w:val="44"/>
        </w:rPr>
      </w:pPr>
    </w:p>
    <w:p w14:paraId="12B016CC">
      <w:pPr>
        <w:pStyle w:val="2"/>
        <w:rPr>
          <w:rFonts w:eastAsia="方正小标宋_GBK"/>
          <w:bCs/>
          <w:sz w:val="44"/>
          <w:szCs w:val="44"/>
        </w:rPr>
      </w:pPr>
    </w:p>
    <w:p w14:paraId="595B39D5">
      <w:pPr>
        <w:pStyle w:val="2"/>
        <w:rPr>
          <w:rFonts w:eastAsia="方正小标宋_GBK"/>
          <w:bCs/>
          <w:sz w:val="44"/>
          <w:szCs w:val="44"/>
        </w:rPr>
      </w:pPr>
    </w:p>
    <w:p w14:paraId="065F1F3D">
      <w:pPr>
        <w:pStyle w:val="2"/>
        <w:rPr>
          <w:rFonts w:eastAsia="方正小标宋_GBK"/>
          <w:bCs/>
          <w:sz w:val="44"/>
          <w:szCs w:val="44"/>
        </w:rPr>
      </w:pPr>
    </w:p>
    <w:p w14:paraId="50F38C1A">
      <w:pPr>
        <w:spacing w:line="580" w:lineRule="exact"/>
      </w:pPr>
    </w:p>
    <w:p w14:paraId="362543D6">
      <w:pPr>
        <w:keepNext w:val="0"/>
        <w:keepLines w:val="0"/>
        <w:pageBreakBefore w:val="0"/>
        <w:kinsoku/>
        <w:wordWrap/>
        <w:overflowPunct/>
        <w:bidi w:val="0"/>
        <w:adjustRightInd/>
        <w:spacing w:line="590" w:lineRule="exact"/>
        <w:jc w:val="center"/>
        <w:rPr>
          <w:rFonts w:eastAsia="方正小标宋_GBK"/>
          <w:bCs/>
          <w:sz w:val="44"/>
          <w:szCs w:val="44"/>
        </w:rPr>
      </w:pPr>
      <w:r>
        <w:rPr>
          <w:rFonts w:eastAsia="方正小标宋_GBK"/>
          <w:bCs/>
          <w:sz w:val="44"/>
          <w:szCs w:val="44"/>
        </w:rPr>
        <w:t>玉溪市生态环境局</w:t>
      </w:r>
    </w:p>
    <w:p w14:paraId="68922A19">
      <w:pPr>
        <w:keepNext w:val="0"/>
        <w:keepLines w:val="0"/>
        <w:pageBreakBefore w:val="0"/>
        <w:kinsoku/>
        <w:wordWrap/>
        <w:overflowPunct/>
        <w:bidi w:val="0"/>
        <w:adjustRightInd/>
        <w:spacing w:line="590" w:lineRule="exact"/>
        <w:jc w:val="center"/>
        <w:rPr>
          <w:rFonts w:hint="eastAsia" w:ascii="Times New Roman" w:hAnsi="Times New Roman Regular" w:eastAsia="方正小标宋_GBK" w:cs="Times New Roman"/>
          <w:color w:val="auto"/>
          <w:kern w:val="0"/>
          <w:sz w:val="44"/>
          <w:szCs w:val="44"/>
          <w:lang w:val="en-US" w:eastAsia="zh-CN"/>
        </w:rPr>
      </w:pPr>
      <w:r>
        <w:rPr>
          <w:rFonts w:eastAsia="方正小标宋_GBK"/>
          <w:bCs/>
          <w:sz w:val="44"/>
          <w:szCs w:val="44"/>
        </w:rPr>
        <w:t>关于</w:t>
      </w:r>
      <w:r>
        <w:rPr>
          <w:rFonts w:hint="eastAsia" w:ascii="Times New Roman" w:hAnsi="Times New Roman Regular" w:eastAsia="方正小标宋_GBK" w:cs="Times New Roman"/>
          <w:color w:val="auto"/>
          <w:kern w:val="0"/>
          <w:sz w:val="44"/>
          <w:szCs w:val="44"/>
          <w:lang w:val="en-US" w:eastAsia="zh-CN"/>
        </w:rPr>
        <w:t>玉溪市华宁县起则风电场扩建项目</w:t>
      </w:r>
    </w:p>
    <w:p w14:paraId="5D043264">
      <w:pPr>
        <w:keepNext w:val="0"/>
        <w:keepLines w:val="0"/>
        <w:pageBreakBefore w:val="0"/>
        <w:kinsoku/>
        <w:wordWrap/>
        <w:overflowPunct/>
        <w:bidi w:val="0"/>
        <w:adjustRightInd/>
        <w:spacing w:line="590" w:lineRule="exact"/>
        <w:jc w:val="center"/>
        <w:rPr>
          <w:rFonts w:eastAsia="方正小标宋_GBK"/>
          <w:sz w:val="44"/>
          <w:szCs w:val="44"/>
        </w:rPr>
      </w:pPr>
      <w:r>
        <w:rPr>
          <w:rFonts w:hint="eastAsia" w:ascii="Times New Roman" w:hAnsi="Times New Roman Regular" w:eastAsia="方正小标宋_GBK" w:cs="Times New Roman"/>
          <w:color w:val="auto"/>
          <w:kern w:val="0"/>
          <w:sz w:val="44"/>
          <w:szCs w:val="44"/>
          <w:lang w:val="en-US" w:eastAsia="zh-CN"/>
        </w:rPr>
        <w:t>110千伏送出线路工程</w:t>
      </w:r>
      <w:r>
        <w:rPr>
          <w:rFonts w:eastAsia="方正小标宋_GBK"/>
          <w:bCs/>
          <w:sz w:val="44"/>
          <w:szCs w:val="44"/>
        </w:rPr>
        <w:t>环境影响报告表</w:t>
      </w:r>
      <w:r>
        <w:rPr>
          <w:rFonts w:eastAsia="方正小标宋_GBK"/>
          <w:bCs/>
          <w:sz w:val="44"/>
          <w:szCs w:val="44"/>
          <w:lang w:val="zh-CN"/>
        </w:rPr>
        <w:t>的</w:t>
      </w:r>
      <w:r>
        <w:rPr>
          <w:rFonts w:eastAsia="方正小标宋_GBK"/>
          <w:bCs/>
          <w:sz w:val="44"/>
          <w:szCs w:val="44"/>
        </w:rPr>
        <w:t>批复</w:t>
      </w:r>
    </w:p>
    <w:p w14:paraId="3D49F124">
      <w:pPr>
        <w:keepNext w:val="0"/>
        <w:keepLines w:val="0"/>
        <w:pageBreakBefore w:val="0"/>
        <w:kinsoku/>
        <w:wordWrap/>
        <w:overflowPunct/>
        <w:bidi w:val="0"/>
        <w:adjustRightInd/>
        <w:spacing w:line="590" w:lineRule="exact"/>
        <w:rPr>
          <w:rFonts w:eastAsia="方正仿宋_GBK"/>
          <w:sz w:val="32"/>
        </w:rPr>
      </w:pPr>
    </w:p>
    <w:p w14:paraId="0A26AAEB">
      <w:pPr>
        <w:keepNext w:val="0"/>
        <w:keepLines w:val="0"/>
        <w:pageBreakBefore w:val="0"/>
        <w:widowControl/>
        <w:kinsoku/>
        <w:wordWrap/>
        <w:overflowPunct/>
        <w:topLinePunct w:val="0"/>
        <w:autoSpaceDE w:val="0"/>
        <w:autoSpaceDN w:val="0"/>
        <w:bidi w:val="0"/>
        <w:adjustRightInd/>
        <w:snapToGrid w:val="0"/>
        <w:spacing w:line="590" w:lineRule="exact"/>
        <w:rPr>
          <w:rFonts w:ascii="Times New Roman" w:hAnsi="方正仿宋_GBK" w:eastAsia="方正仿宋_GBK" w:cs="Times New Roman"/>
          <w:bCs/>
          <w:color w:val="auto"/>
          <w:kern w:val="0"/>
          <w:sz w:val="32"/>
          <w:szCs w:val="32"/>
        </w:rPr>
      </w:pPr>
      <w:r>
        <w:rPr>
          <w:rFonts w:hint="eastAsia" w:ascii="Times New Roman" w:hAnsi="方正仿宋_GBK" w:eastAsia="方正仿宋_GBK" w:cs="Times New Roman"/>
          <w:bCs/>
          <w:color w:val="auto"/>
          <w:kern w:val="0"/>
          <w:sz w:val="32"/>
          <w:szCs w:val="32"/>
          <w:lang w:val="en-US" w:eastAsia="zh-CN"/>
        </w:rPr>
        <w:t>中</w:t>
      </w:r>
      <w:r>
        <w:rPr>
          <w:rFonts w:hint="eastAsia" w:hAnsi="方正仿宋_GBK" w:eastAsia="方正仿宋_GBK" w:cs="Times New Roman"/>
          <w:bCs/>
          <w:color w:val="auto"/>
          <w:kern w:val="0"/>
          <w:sz w:val="32"/>
          <w:szCs w:val="32"/>
          <w:lang w:val="en-US" w:eastAsia="zh-CN"/>
        </w:rPr>
        <w:t>广核玉溪华宁风力发电有限公司</w:t>
      </w:r>
      <w:r>
        <w:rPr>
          <w:rFonts w:ascii="Times New Roman" w:hAnsi="方正仿宋_GBK" w:eastAsia="方正仿宋_GBK" w:cs="Times New Roman"/>
          <w:bCs/>
          <w:color w:val="auto"/>
          <w:kern w:val="0"/>
          <w:sz w:val="32"/>
          <w:szCs w:val="32"/>
        </w:rPr>
        <w:t>：</w:t>
      </w:r>
    </w:p>
    <w:p w14:paraId="5ECDD25F">
      <w:pPr>
        <w:keepNext w:val="0"/>
        <w:keepLines w:val="0"/>
        <w:pageBreakBefore w:val="0"/>
        <w:widowControl/>
        <w:numPr>
          <w:ilvl w:val="0"/>
          <w:numId w:val="0"/>
        </w:numPr>
        <w:kinsoku/>
        <w:wordWrap/>
        <w:overflowPunct/>
        <w:topLinePunct w:val="0"/>
        <w:autoSpaceDE w:val="0"/>
        <w:autoSpaceDN w:val="0"/>
        <w:bidi w:val="0"/>
        <w:adjustRightInd/>
        <w:snapToGrid w:val="0"/>
        <w:spacing w:line="590" w:lineRule="exact"/>
        <w:ind w:firstLine="640" w:firstLineChars="200"/>
        <w:jc w:val="left"/>
        <w:rPr>
          <w:rFonts w:hint="eastAsia" w:hAnsi="方正仿宋_GBK" w:eastAsia="方正仿宋_GBK"/>
          <w:bCs/>
          <w:color w:val="auto"/>
          <w:kern w:val="0"/>
          <w:sz w:val="32"/>
          <w:szCs w:val="32"/>
          <w:lang w:eastAsia="zh-CN"/>
        </w:rPr>
      </w:pPr>
      <w:r>
        <w:rPr>
          <w:rFonts w:hAnsi="方正仿宋_GBK" w:eastAsia="方正仿宋_GBK"/>
          <w:bCs/>
          <w:color w:val="auto"/>
          <w:kern w:val="0"/>
          <w:sz w:val="32"/>
          <w:szCs w:val="32"/>
        </w:rPr>
        <w:t>你公司</w:t>
      </w:r>
      <w:r>
        <w:rPr>
          <w:rFonts w:hint="eastAsia" w:hAnsi="方正仿宋_GBK" w:eastAsia="方正仿宋_GBK"/>
          <w:bCs/>
          <w:color w:val="auto"/>
          <w:kern w:val="0"/>
          <w:sz w:val="32"/>
          <w:szCs w:val="32"/>
          <w:lang w:val="en-US" w:eastAsia="zh-CN"/>
        </w:rPr>
        <w:t>申请报批</w:t>
      </w:r>
      <w:r>
        <w:rPr>
          <w:rFonts w:hAnsi="方正仿宋_GBK" w:eastAsia="方正仿宋_GBK"/>
          <w:bCs/>
          <w:color w:val="auto"/>
          <w:kern w:val="0"/>
          <w:sz w:val="32"/>
          <w:szCs w:val="32"/>
        </w:rPr>
        <w:t>的</w:t>
      </w:r>
      <w:r>
        <w:rPr>
          <w:rFonts w:hint="eastAsia" w:hAnsi="方正仿宋_GBK" w:eastAsia="方正仿宋_GBK"/>
          <w:bCs/>
          <w:color w:val="auto"/>
          <w:kern w:val="0"/>
          <w:sz w:val="32"/>
          <w:szCs w:val="32"/>
        </w:rPr>
        <w:t>《</w:t>
      </w:r>
      <w:r>
        <w:rPr>
          <w:rFonts w:hint="eastAsia" w:hAnsi="方正仿宋_GBK" w:eastAsia="方正仿宋_GBK"/>
          <w:bCs/>
          <w:color w:val="auto"/>
          <w:kern w:val="0"/>
          <w:sz w:val="32"/>
          <w:szCs w:val="32"/>
          <w:lang w:val="en-US" w:eastAsia="zh-CN"/>
        </w:rPr>
        <w:t>玉溪市华宁县起则风电场扩建项目110千伏送出线路工程</w:t>
      </w:r>
      <w:r>
        <w:rPr>
          <w:rFonts w:hint="eastAsia" w:hAnsi="方正仿宋_GBK" w:eastAsia="方正仿宋_GBK"/>
          <w:bCs/>
          <w:color w:val="auto"/>
          <w:kern w:val="0"/>
          <w:sz w:val="32"/>
          <w:szCs w:val="32"/>
        </w:rPr>
        <w:t>环境影响报告表</w:t>
      </w:r>
      <w:r>
        <w:rPr>
          <w:rFonts w:hAnsi="方正仿宋_GBK" w:eastAsia="方正仿宋_GBK"/>
          <w:bCs/>
          <w:color w:val="auto"/>
          <w:kern w:val="0"/>
          <w:sz w:val="32"/>
          <w:szCs w:val="32"/>
        </w:rPr>
        <w:t>》（以下简称《报告</w:t>
      </w:r>
      <w:r>
        <w:rPr>
          <w:rFonts w:hint="eastAsia" w:hAnsi="方正仿宋_GBK" w:eastAsia="方正仿宋_GBK"/>
          <w:bCs/>
          <w:color w:val="auto"/>
          <w:kern w:val="0"/>
          <w:sz w:val="32"/>
          <w:szCs w:val="32"/>
        </w:rPr>
        <w:t>表</w:t>
      </w:r>
      <w:r>
        <w:rPr>
          <w:rFonts w:hAnsi="方正仿宋_GBK" w:eastAsia="方正仿宋_GBK"/>
          <w:bCs/>
          <w:color w:val="auto"/>
          <w:kern w:val="0"/>
          <w:sz w:val="32"/>
          <w:szCs w:val="32"/>
        </w:rPr>
        <w:t>》）收悉。经我局研究，批复如下</w:t>
      </w:r>
      <w:r>
        <w:rPr>
          <w:rFonts w:hint="eastAsia" w:hAnsi="方正仿宋_GBK" w:eastAsia="方正仿宋_GBK"/>
          <w:bCs/>
          <w:color w:val="auto"/>
          <w:kern w:val="0"/>
          <w:sz w:val="32"/>
          <w:szCs w:val="32"/>
          <w:lang w:eastAsia="zh-CN"/>
        </w:rPr>
        <w:t>：</w:t>
      </w:r>
    </w:p>
    <w:p w14:paraId="6E20918B">
      <w:pPr>
        <w:keepNext w:val="0"/>
        <w:keepLines w:val="0"/>
        <w:pageBreakBefore w:val="0"/>
        <w:widowControl/>
        <w:numPr>
          <w:ilvl w:val="0"/>
          <w:numId w:val="0"/>
        </w:numPr>
        <w:kinsoku/>
        <w:wordWrap/>
        <w:overflowPunct/>
        <w:topLinePunct w:val="0"/>
        <w:autoSpaceDE w:val="0"/>
        <w:autoSpaceDN w:val="0"/>
        <w:bidi w:val="0"/>
        <w:adjustRightInd/>
        <w:snapToGrid w:val="0"/>
        <w:spacing w:line="590" w:lineRule="exact"/>
        <w:ind w:firstLine="640" w:firstLineChars="200"/>
        <w:jc w:val="left"/>
        <w:rPr>
          <w:rFonts w:hint="eastAsia" w:hAnsi="方正仿宋_GBK" w:eastAsia="方正仿宋_GBK"/>
          <w:bCs/>
          <w:color w:val="auto"/>
          <w:kern w:val="0"/>
          <w:sz w:val="32"/>
          <w:szCs w:val="32"/>
          <w:lang w:val="en-US" w:eastAsia="zh-CN"/>
        </w:rPr>
      </w:pPr>
      <w:r>
        <w:rPr>
          <w:rFonts w:hint="eastAsia" w:ascii="Times New Roman" w:hAnsi="Times New Roman" w:eastAsia="方正黑体_GBK" w:cs="Times New Roman"/>
          <w:color w:val="auto"/>
          <w:sz w:val="32"/>
          <w:szCs w:val="32"/>
          <w:lang w:eastAsia="zh-CN"/>
        </w:rPr>
        <w:t>一、项目基本情况</w:t>
      </w:r>
      <w:r>
        <w:rPr>
          <w:rFonts w:hint="eastAsia" w:hAnsi="方正仿宋_GBK" w:eastAsia="方正仿宋_GBK"/>
          <w:bCs/>
          <w:color w:val="auto"/>
          <w:kern w:val="0"/>
          <w:sz w:val="32"/>
          <w:szCs w:val="32"/>
          <w:lang w:val="en-US" w:eastAsia="zh-CN"/>
        </w:rPr>
        <w:t xml:space="preserve"> </w:t>
      </w:r>
    </w:p>
    <w:p w14:paraId="62546183">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lang w:val="en-US" w:eastAsia="zh-CN"/>
        </w:rPr>
      </w:pPr>
      <w:r>
        <w:rPr>
          <w:rFonts w:hint="default" w:ascii="Times New Roman Regular" w:hAnsi="Times New Roman Regular" w:eastAsia="方正仿宋_GBK" w:cs="Times New Roman Regular"/>
          <w:bCs/>
          <w:color w:val="auto"/>
          <w:kern w:val="0"/>
          <w:sz w:val="32"/>
          <w:szCs w:val="32"/>
          <w:lang w:val="en-US" w:eastAsia="zh-CN"/>
        </w:rPr>
        <w:t>项目位于云南</w:t>
      </w:r>
      <w:r>
        <w:rPr>
          <w:rFonts w:hint="eastAsia" w:ascii="Times New Roman Regular" w:hAnsi="Times New Roman Regular" w:eastAsia="方正仿宋_GBK" w:cs="Times New Roman Regular"/>
          <w:bCs/>
          <w:color w:val="auto"/>
          <w:kern w:val="0"/>
          <w:sz w:val="32"/>
          <w:szCs w:val="32"/>
          <w:lang w:val="en-US" w:eastAsia="zh-CN"/>
        </w:rPr>
        <w:t>省玉溪市华宁县</w:t>
      </w:r>
      <w:r>
        <w:rPr>
          <w:rFonts w:hint="default" w:ascii="Times New Roman Regular" w:hAnsi="Times New Roman Regular" w:eastAsia="方正仿宋_GBK" w:cs="Times New Roman Regular"/>
          <w:bCs/>
          <w:color w:val="auto"/>
          <w:kern w:val="0"/>
          <w:sz w:val="32"/>
          <w:szCs w:val="32"/>
        </w:rPr>
        <w:t>。</w:t>
      </w:r>
      <w:r>
        <w:rPr>
          <w:rFonts w:hint="default" w:hAnsi="方正仿宋_GBK" w:eastAsia="方正仿宋_GBK"/>
          <w:bCs/>
          <w:color w:val="auto"/>
          <w:kern w:val="0"/>
          <w:sz w:val="32"/>
          <w:szCs w:val="32"/>
          <w:lang w:val="zh-CN" w:eastAsia="zh-CN"/>
        </w:rPr>
        <w:t>项目</w:t>
      </w:r>
      <w:r>
        <w:rPr>
          <w:rFonts w:hint="eastAsia" w:hAnsi="方正仿宋_GBK" w:eastAsia="方正仿宋_GBK"/>
          <w:bCs/>
          <w:color w:val="auto"/>
          <w:kern w:val="0"/>
          <w:sz w:val="32"/>
          <w:szCs w:val="32"/>
          <w:lang w:val="zh-CN" w:eastAsia="zh-CN"/>
        </w:rPr>
        <w:t>总</w:t>
      </w:r>
      <w:r>
        <w:rPr>
          <w:rFonts w:hint="default" w:hAnsi="方正仿宋_GBK" w:eastAsia="方正仿宋_GBK"/>
          <w:bCs/>
          <w:color w:val="auto"/>
          <w:kern w:val="0"/>
          <w:sz w:val="32"/>
          <w:szCs w:val="32"/>
          <w:lang w:val="zh-CN" w:eastAsia="zh-CN"/>
        </w:rPr>
        <w:t>占地</w:t>
      </w:r>
      <w:r>
        <w:rPr>
          <w:rFonts w:hint="default" w:hAnsi="方正仿宋_GBK" w:eastAsia="方正仿宋_GBK"/>
          <w:bCs/>
          <w:color w:val="auto"/>
          <w:kern w:val="0"/>
          <w:sz w:val="32"/>
          <w:szCs w:val="32"/>
          <w:lang w:val="en-US" w:eastAsia="zh-CN"/>
        </w:rPr>
        <w:t>3670</w:t>
      </w:r>
      <w:r>
        <w:rPr>
          <w:rFonts w:hint="eastAsia" w:hAnsi="方正仿宋_GBK" w:eastAsia="方正仿宋_GBK"/>
          <w:bCs/>
          <w:color w:val="auto"/>
          <w:kern w:val="0"/>
          <w:sz w:val="32"/>
          <w:szCs w:val="32"/>
          <w:lang w:val="en-US" w:eastAsia="zh-CN"/>
        </w:rPr>
        <w:t>0平方米</w:t>
      </w:r>
      <w:r>
        <w:rPr>
          <w:rFonts w:hint="default" w:hAnsi="方正仿宋_GBK" w:eastAsia="方正仿宋_GBK"/>
          <w:bCs/>
          <w:color w:val="auto"/>
          <w:kern w:val="0"/>
          <w:sz w:val="32"/>
          <w:szCs w:val="32"/>
          <w:lang w:val="en-US" w:eastAsia="zh-CN"/>
        </w:rPr>
        <w:t>，其中永久占地</w:t>
      </w:r>
      <w:r>
        <w:rPr>
          <w:rFonts w:hint="eastAsia" w:hAnsi="方正仿宋_GBK" w:eastAsia="方正仿宋_GBK"/>
          <w:bCs/>
          <w:color w:val="auto"/>
          <w:kern w:val="0"/>
          <w:sz w:val="32"/>
          <w:szCs w:val="32"/>
          <w:lang w:val="en-US" w:eastAsia="zh-CN"/>
        </w:rPr>
        <w:t>9520平方米</w:t>
      </w:r>
      <w:r>
        <w:rPr>
          <w:rFonts w:hint="default" w:hAnsi="方正仿宋_GBK" w:eastAsia="方正仿宋_GBK"/>
          <w:bCs/>
          <w:color w:val="auto"/>
          <w:kern w:val="0"/>
          <w:sz w:val="32"/>
          <w:szCs w:val="32"/>
          <w:lang w:val="en-US" w:eastAsia="zh-CN"/>
        </w:rPr>
        <w:t>，临时占地2</w:t>
      </w:r>
      <w:r>
        <w:rPr>
          <w:rFonts w:hint="eastAsia" w:hAnsi="方正仿宋_GBK" w:eastAsia="方正仿宋_GBK"/>
          <w:bCs/>
          <w:color w:val="auto"/>
          <w:kern w:val="0"/>
          <w:sz w:val="32"/>
          <w:szCs w:val="32"/>
          <w:lang w:val="en-US" w:eastAsia="zh-CN"/>
        </w:rPr>
        <w:t>7180平方米</w:t>
      </w:r>
      <w:r>
        <w:rPr>
          <w:rFonts w:hint="default" w:hAnsi="方正仿宋_GBK" w:eastAsia="方正仿宋_GBK"/>
          <w:bCs/>
          <w:color w:val="auto"/>
          <w:kern w:val="0"/>
          <w:sz w:val="32"/>
          <w:szCs w:val="32"/>
          <w:lang w:val="en-US" w:eastAsia="zh-CN"/>
        </w:rPr>
        <w:t>。占地类型为林地</w:t>
      </w:r>
      <w:r>
        <w:rPr>
          <w:rFonts w:hint="eastAsia" w:hAnsi="方正仿宋_GBK" w:eastAsia="方正仿宋_GBK"/>
          <w:bCs/>
          <w:color w:val="auto"/>
          <w:kern w:val="0"/>
          <w:sz w:val="32"/>
          <w:szCs w:val="32"/>
          <w:lang w:val="en-US" w:eastAsia="zh-CN"/>
        </w:rPr>
        <w:t>、</w:t>
      </w:r>
      <w:r>
        <w:rPr>
          <w:rFonts w:hint="default" w:hAnsi="方正仿宋_GBK" w:eastAsia="方正仿宋_GBK"/>
          <w:bCs/>
          <w:color w:val="auto"/>
          <w:kern w:val="0"/>
          <w:sz w:val="32"/>
          <w:szCs w:val="32"/>
          <w:lang w:val="en-US" w:eastAsia="zh-CN"/>
        </w:rPr>
        <w:t>果园地和旱地。</w:t>
      </w:r>
      <w:r>
        <w:rPr>
          <w:rFonts w:hint="eastAsia" w:ascii="Times New Roman Regular" w:hAnsi="Times New Roman Regular" w:eastAsia="方正仿宋_GBK" w:cs="Times New Roman Regular"/>
          <w:bCs/>
          <w:color w:val="auto"/>
          <w:kern w:val="0"/>
          <w:sz w:val="32"/>
          <w:szCs w:val="32"/>
          <w:lang w:val="en-US" w:eastAsia="zh-CN"/>
        </w:rPr>
        <w:t>项目</w:t>
      </w:r>
      <w:r>
        <w:rPr>
          <w:rFonts w:hint="default" w:ascii="Times New Roman Regular" w:hAnsi="Times New Roman Regular" w:eastAsia="方正仿宋_GBK" w:cs="Times New Roman Regular"/>
          <w:bCs/>
          <w:color w:val="auto"/>
          <w:kern w:val="0"/>
          <w:sz w:val="32"/>
          <w:szCs w:val="32"/>
          <w:lang w:val="en-US" w:eastAsia="zh-CN"/>
        </w:rPr>
        <w:t>新建</w:t>
      </w:r>
      <w:r>
        <w:rPr>
          <w:rFonts w:hint="eastAsia" w:ascii="Times New Roman Regular" w:hAnsi="Times New Roman Regular" w:eastAsia="方正仿宋_GBK" w:cs="Times New Roman Regular"/>
          <w:bCs/>
          <w:color w:val="auto"/>
          <w:kern w:val="0"/>
          <w:sz w:val="32"/>
          <w:szCs w:val="32"/>
          <w:lang w:val="en-US" w:eastAsia="zh-CN"/>
        </w:rPr>
        <w:t>11</w:t>
      </w:r>
      <w:r>
        <w:rPr>
          <w:rFonts w:hint="default" w:ascii="Times New Roman Regular" w:hAnsi="Times New Roman Regular" w:eastAsia="方正仿宋_GBK" w:cs="Times New Roman Regular"/>
          <w:bCs/>
          <w:color w:val="auto"/>
          <w:kern w:val="0"/>
          <w:sz w:val="32"/>
          <w:szCs w:val="32"/>
          <w:lang w:val="en-US" w:eastAsia="zh-CN"/>
        </w:rPr>
        <w:t>0</w:t>
      </w:r>
      <w:r>
        <w:rPr>
          <w:rFonts w:hint="eastAsia" w:ascii="Times New Roman Regular" w:hAnsi="Times New Roman Regular" w:eastAsia="方正仿宋_GBK" w:cs="Times New Roman Regular"/>
          <w:bCs/>
          <w:color w:val="auto"/>
          <w:kern w:val="0"/>
          <w:sz w:val="32"/>
          <w:szCs w:val="32"/>
          <w:lang w:val="en-US" w:eastAsia="zh-CN"/>
        </w:rPr>
        <w:t>千伏</w:t>
      </w:r>
      <w:r>
        <w:rPr>
          <w:rFonts w:hint="default" w:ascii="Times New Roman Regular" w:hAnsi="Times New Roman Regular" w:eastAsia="方正仿宋_GBK" w:cs="Times New Roman Regular"/>
          <w:bCs/>
          <w:color w:val="auto"/>
          <w:kern w:val="0"/>
          <w:sz w:val="32"/>
          <w:szCs w:val="32"/>
          <w:lang w:val="en-US" w:eastAsia="zh-CN"/>
        </w:rPr>
        <w:t>输电线路，</w:t>
      </w:r>
      <w:r>
        <w:rPr>
          <w:rFonts w:hint="default" w:ascii="Times New Roman Regular" w:hAnsi="Times New Roman Regular" w:eastAsia="方正仿宋_GBK" w:cs="Times New Roman Regular"/>
          <w:bCs/>
          <w:color w:val="auto"/>
          <w:kern w:val="0"/>
          <w:sz w:val="32"/>
          <w:szCs w:val="32"/>
          <w:lang w:val="zh-CN" w:eastAsia="zh-CN"/>
        </w:rPr>
        <w:t>线路</w:t>
      </w:r>
      <w:r>
        <w:rPr>
          <w:rFonts w:hint="default" w:ascii="Times New Roman Regular" w:hAnsi="Times New Roman Regular" w:eastAsia="方正仿宋_GBK" w:cs="Times New Roman Regular"/>
          <w:bCs/>
          <w:color w:val="auto"/>
          <w:kern w:val="0"/>
          <w:sz w:val="32"/>
          <w:szCs w:val="32"/>
          <w:lang w:val="en-US" w:eastAsia="zh-CN"/>
        </w:rPr>
        <w:t>起于起则风电场</w:t>
      </w:r>
      <w:r>
        <w:rPr>
          <w:rFonts w:hint="eastAsia" w:ascii="Times New Roman Regular" w:hAnsi="Times New Roman Regular" w:eastAsia="方正仿宋_GBK" w:cs="Times New Roman Regular"/>
          <w:bCs/>
          <w:color w:val="auto"/>
          <w:kern w:val="0"/>
          <w:sz w:val="32"/>
          <w:szCs w:val="32"/>
          <w:lang w:val="en-US" w:eastAsia="zh-CN"/>
        </w:rPr>
        <w:t>扩建项目</w:t>
      </w:r>
      <w:r>
        <w:rPr>
          <w:rFonts w:hint="default" w:ascii="Times New Roman Regular" w:hAnsi="Times New Roman Regular" w:eastAsia="方正仿宋_GBK" w:cs="Times New Roman Regular"/>
          <w:bCs/>
          <w:color w:val="auto"/>
          <w:kern w:val="0"/>
          <w:sz w:val="32"/>
          <w:szCs w:val="32"/>
          <w:lang w:val="en-US" w:eastAsia="zh-CN"/>
        </w:rPr>
        <w:t>110</w:t>
      </w:r>
      <w:r>
        <w:rPr>
          <w:rFonts w:hint="eastAsia" w:ascii="Times New Roman Regular" w:hAnsi="Times New Roman Regular" w:eastAsia="方正仿宋_GBK" w:cs="Times New Roman Regular"/>
          <w:bCs/>
          <w:color w:val="auto"/>
          <w:kern w:val="0"/>
          <w:sz w:val="32"/>
          <w:szCs w:val="32"/>
          <w:lang w:val="en-US" w:eastAsia="zh-CN"/>
        </w:rPr>
        <w:t>千伏</w:t>
      </w:r>
      <w:r>
        <w:rPr>
          <w:rFonts w:hint="default" w:ascii="Times New Roman Regular" w:hAnsi="Times New Roman Regular" w:eastAsia="方正仿宋_GBK" w:cs="Times New Roman Regular"/>
          <w:bCs/>
          <w:color w:val="auto"/>
          <w:kern w:val="0"/>
          <w:sz w:val="32"/>
          <w:szCs w:val="32"/>
          <w:lang w:val="en-US" w:eastAsia="zh-CN"/>
        </w:rPr>
        <w:t>升压站架挂点</w:t>
      </w:r>
      <w:r>
        <w:rPr>
          <w:rFonts w:hint="eastAsia" w:ascii="Times New Roman Regular" w:hAnsi="Times New Roman Regular" w:eastAsia="方正仿宋_GBK" w:cs="Times New Roman Regular"/>
          <w:bCs/>
          <w:color w:val="auto"/>
          <w:kern w:val="0"/>
          <w:sz w:val="32"/>
          <w:szCs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通过</w:t>
      </w:r>
      <w:r>
        <w:rPr>
          <w:rFonts w:hint="eastAsia" w:ascii="Times New Roman Regular" w:hAnsi="Times New Roman Regular" w:eastAsia="方正仿宋_GBK" w:cs="Times New Roman Regular"/>
          <w:bCs/>
          <w:color w:val="auto"/>
          <w:kern w:val="0"/>
          <w:sz w:val="32"/>
          <w:szCs w:val="32"/>
          <w:lang w:val="en-US" w:eastAsia="zh-CN"/>
        </w:rPr>
        <w:t>架空出线的方式</w:t>
      </w:r>
      <w:r>
        <w:rPr>
          <w:rFonts w:hint="default" w:ascii="Times New Roman Regular" w:hAnsi="Times New Roman Regular" w:eastAsia="方正仿宋_GBK" w:cs="Times New Roman Regular"/>
          <w:bCs/>
          <w:color w:val="auto"/>
          <w:kern w:val="0"/>
          <w:sz w:val="32"/>
          <w:szCs w:val="32"/>
          <w:lang w:val="en-US" w:eastAsia="zh-CN"/>
        </w:rPr>
        <w:t>新建的1回110</w:t>
      </w:r>
      <w:r>
        <w:rPr>
          <w:rFonts w:hint="eastAsia" w:ascii="Times New Roman Regular" w:hAnsi="Times New Roman Regular" w:eastAsia="方正仿宋_GBK" w:cs="Times New Roman Regular"/>
          <w:bCs/>
          <w:color w:val="auto"/>
          <w:kern w:val="0"/>
          <w:sz w:val="32"/>
          <w:szCs w:val="32"/>
          <w:lang w:val="en-US" w:eastAsia="zh-CN"/>
        </w:rPr>
        <w:t>千伏</w:t>
      </w:r>
      <w:r>
        <w:rPr>
          <w:rFonts w:hint="default" w:ascii="Times New Roman Regular" w:hAnsi="Times New Roman Regular" w:eastAsia="方正仿宋_GBK" w:cs="Times New Roman Regular"/>
          <w:bCs/>
          <w:color w:val="auto"/>
          <w:kern w:val="0"/>
          <w:sz w:val="32"/>
          <w:szCs w:val="32"/>
          <w:lang w:val="en-US" w:eastAsia="zh-CN"/>
        </w:rPr>
        <w:t>线路接入终点220</w:t>
      </w:r>
      <w:r>
        <w:rPr>
          <w:rFonts w:hint="eastAsia" w:ascii="Times New Roman Regular" w:hAnsi="Times New Roman Regular" w:eastAsia="方正仿宋_GBK" w:cs="Times New Roman Regular"/>
          <w:bCs/>
          <w:color w:val="auto"/>
          <w:kern w:val="0"/>
          <w:sz w:val="32"/>
          <w:szCs w:val="32"/>
          <w:lang w:val="en-US" w:eastAsia="zh-CN"/>
        </w:rPr>
        <w:t>千伏</w:t>
      </w:r>
      <w:r>
        <w:rPr>
          <w:rFonts w:hint="default" w:ascii="Times New Roman Regular" w:hAnsi="Times New Roman Regular" w:eastAsia="方正仿宋_GBK" w:cs="Times New Roman Regular"/>
          <w:bCs/>
          <w:color w:val="auto"/>
          <w:kern w:val="0"/>
          <w:sz w:val="32"/>
          <w:szCs w:val="32"/>
          <w:lang w:val="en-US" w:eastAsia="zh-CN"/>
        </w:rPr>
        <w:t>橘乡变电站</w:t>
      </w:r>
      <w:r>
        <w:rPr>
          <w:rFonts w:hint="eastAsia" w:ascii="Times New Roman Regular" w:hAnsi="Times New Roman Regular" w:eastAsia="方正仿宋_GBK" w:cs="Times New Roman Regular"/>
          <w:bCs/>
          <w:color w:val="auto"/>
          <w:kern w:val="0"/>
          <w:sz w:val="32"/>
          <w:szCs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线路总长约为30.9</w:t>
      </w:r>
      <w:r>
        <w:rPr>
          <w:rFonts w:hint="eastAsia" w:ascii="Times New Roman Regular" w:hAnsi="Times New Roman Regular" w:eastAsia="方正仿宋_GBK" w:cs="Times New Roman Regular"/>
          <w:bCs/>
          <w:color w:val="auto"/>
          <w:kern w:val="0"/>
          <w:sz w:val="32"/>
          <w:szCs w:val="32"/>
          <w:lang w:val="en-US" w:eastAsia="zh-CN"/>
        </w:rPr>
        <w:t>千米</w:t>
      </w:r>
      <w:r>
        <w:rPr>
          <w:rFonts w:hint="default" w:ascii="Times New Roman Regular" w:hAnsi="Times New Roman Regular" w:eastAsia="方正仿宋_GBK" w:cs="Times New Roman Regular"/>
          <w:bCs/>
          <w:color w:val="auto"/>
          <w:kern w:val="0"/>
          <w:sz w:val="32"/>
          <w:szCs w:val="32"/>
          <w:lang w:val="en-US" w:eastAsia="zh-CN"/>
        </w:rPr>
        <w:t>。新建塔基79基</w:t>
      </w:r>
      <w:r>
        <w:rPr>
          <w:rFonts w:hint="eastAsia" w:ascii="Times New Roman Regular" w:hAnsi="Times New Roman Regular" w:eastAsia="方正仿宋_GBK" w:cs="Times New Roman Regular"/>
          <w:bCs/>
          <w:color w:val="auto"/>
          <w:kern w:val="0"/>
          <w:sz w:val="32"/>
          <w:szCs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电缆沟365</w:t>
      </w:r>
      <w:r>
        <w:rPr>
          <w:rFonts w:hint="eastAsia" w:ascii="Times New Roman Regular" w:hAnsi="Times New Roman Regular" w:eastAsia="方正仿宋_GBK" w:cs="Times New Roman Regular"/>
          <w:bCs/>
          <w:color w:val="auto"/>
          <w:kern w:val="0"/>
          <w:sz w:val="32"/>
          <w:szCs w:val="32"/>
          <w:lang w:val="en-US" w:eastAsia="zh-CN"/>
        </w:rPr>
        <w:t>米，其中</w:t>
      </w:r>
      <w:r>
        <w:rPr>
          <w:rFonts w:hint="default" w:ascii="Times New Roman Regular" w:hAnsi="Times New Roman Regular" w:eastAsia="方正仿宋_GBK" w:cs="Times New Roman Regular"/>
          <w:bCs/>
          <w:color w:val="auto"/>
          <w:kern w:val="0"/>
          <w:sz w:val="32"/>
          <w:szCs w:val="32"/>
          <w:lang w:val="en-US" w:eastAsia="zh-CN"/>
        </w:rPr>
        <w:t>单回直线铁塔32基、单回耐张铁塔47基</w:t>
      </w:r>
      <w:r>
        <w:rPr>
          <w:rFonts w:hint="eastAsia" w:ascii="Times New Roman Regular" w:hAnsi="Times New Roman Regular" w:eastAsia="方正仿宋_GBK" w:cs="Times New Roman Regular"/>
          <w:bCs/>
          <w:color w:val="auto"/>
          <w:kern w:val="0"/>
          <w:sz w:val="32"/>
          <w:szCs w:val="32"/>
          <w:lang w:val="en-US" w:eastAsia="zh-CN"/>
        </w:rPr>
        <w:t>，设置</w:t>
      </w:r>
      <w:r>
        <w:rPr>
          <w:rFonts w:hint="default" w:ascii="Times New Roman Regular" w:hAnsi="Times New Roman Regular" w:eastAsia="方正仿宋_GBK" w:cs="Times New Roman Regular"/>
          <w:bCs/>
          <w:color w:val="auto"/>
          <w:kern w:val="0"/>
          <w:sz w:val="32"/>
          <w:szCs w:val="32"/>
          <w:lang w:val="en-US" w:eastAsia="zh-CN"/>
        </w:rPr>
        <w:t>牵张场地</w:t>
      </w:r>
      <w:r>
        <w:rPr>
          <w:rFonts w:hint="eastAsia" w:ascii="Times New Roman Regular" w:hAnsi="Times New Roman Regular" w:eastAsia="方正仿宋_GBK" w:cs="Times New Roman Regular"/>
          <w:bCs/>
          <w:color w:val="auto"/>
          <w:kern w:val="0"/>
          <w:sz w:val="32"/>
          <w:szCs w:val="32"/>
          <w:lang w:val="en-US" w:eastAsia="zh-CN"/>
        </w:rPr>
        <w:t>7</w:t>
      </w:r>
      <w:r>
        <w:rPr>
          <w:rFonts w:hint="default" w:ascii="Times New Roman Regular" w:hAnsi="Times New Roman Regular" w:eastAsia="方正仿宋_GBK" w:cs="Times New Roman Regular"/>
          <w:bCs/>
          <w:color w:val="auto"/>
          <w:kern w:val="0"/>
          <w:sz w:val="32"/>
          <w:szCs w:val="32"/>
          <w:lang w:val="en-US" w:eastAsia="zh-CN"/>
        </w:rPr>
        <w:t>个</w:t>
      </w:r>
      <w:r>
        <w:rPr>
          <w:rFonts w:hint="eastAsia" w:ascii="Times New Roman Regular" w:hAnsi="Times New Roman Regular" w:eastAsia="方正仿宋_GBK" w:cs="Times New Roman Regular"/>
          <w:bCs/>
          <w:color w:val="auto"/>
          <w:kern w:val="0"/>
          <w:sz w:val="32"/>
          <w:szCs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每</w:t>
      </w:r>
      <w:r>
        <w:rPr>
          <w:rFonts w:hint="eastAsia" w:ascii="Times New Roman Regular" w:hAnsi="Times New Roman Regular" w:eastAsia="方正仿宋_GBK" w:cs="Times New Roman Regular"/>
          <w:bCs/>
          <w:color w:val="auto"/>
          <w:kern w:val="0"/>
          <w:sz w:val="32"/>
          <w:szCs w:val="32"/>
          <w:lang w:val="en-US" w:eastAsia="zh-CN"/>
        </w:rPr>
        <w:t>个</w:t>
      </w:r>
      <w:r>
        <w:rPr>
          <w:rFonts w:hint="default" w:ascii="Times New Roman Regular" w:hAnsi="Times New Roman Regular" w:eastAsia="方正仿宋_GBK" w:cs="Times New Roman Regular"/>
          <w:bCs/>
          <w:color w:val="auto"/>
          <w:kern w:val="0"/>
          <w:sz w:val="32"/>
          <w:szCs w:val="32"/>
          <w:lang w:val="en-US" w:eastAsia="zh-CN"/>
        </w:rPr>
        <w:t>牵张场占地约350</w:t>
      </w:r>
      <w:r>
        <w:rPr>
          <w:rFonts w:hint="eastAsia" w:ascii="Times New Roman Regular" w:hAnsi="Times New Roman Regular" w:eastAsia="方正仿宋_GBK" w:cs="Times New Roman Regular"/>
          <w:bCs/>
          <w:color w:val="auto"/>
          <w:kern w:val="0"/>
          <w:sz w:val="32"/>
          <w:szCs w:val="32"/>
          <w:lang w:val="en-US" w:eastAsia="zh-CN"/>
        </w:rPr>
        <w:t>平方米，</w:t>
      </w:r>
      <w:r>
        <w:rPr>
          <w:rFonts w:hint="default" w:ascii="Times New Roman Regular" w:hAnsi="Times New Roman Regular" w:eastAsia="方正仿宋_GBK" w:cs="Times New Roman Regular"/>
          <w:bCs/>
          <w:color w:val="auto"/>
          <w:kern w:val="0"/>
          <w:sz w:val="32"/>
          <w:szCs w:val="32"/>
          <w:lang w:val="en-US" w:eastAsia="zh-CN"/>
        </w:rPr>
        <w:t>直线塔为杯型铁塔</w:t>
      </w:r>
      <w:r>
        <w:rPr>
          <w:rFonts w:hint="eastAsia" w:ascii="Times New Roman Regular" w:hAnsi="Times New Roman Regular" w:eastAsia="方正仿宋_GBK" w:cs="Times New Roman Regular"/>
          <w:bCs/>
          <w:color w:val="auto"/>
          <w:kern w:val="0"/>
          <w:sz w:val="32"/>
          <w:szCs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耐张塔均为T字型铁塔</w:t>
      </w:r>
      <w:r>
        <w:rPr>
          <w:rFonts w:hint="eastAsia" w:ascii="Times New Roman Regular" w:hAnsi="Times New Roman Regular" w:eastAsia="方正仿宋_GBK" w:cs="Times New Roman Regular"/>
          <w:bCs/>
          <w:color w:val="auto"/>
          <w:kern w:val="0"/>
          <w:sz w:val="32"/>
          <w:szCs w:val="32"/>
          <w:lang w:val="en-US" w:eastAsia="zh-CN"/>
        </w:rPr>
        <w:t>，采</w:t>
      </w:r>
      <w:r>
        <w:rPr>
          <w:rFonts w:hint="default" w:ascii="Times New Roman Regular" w:hAnsi="Times New Roman Regular" w:eastAsia="方正仿宋_GBK" w:cs="Times New Roman Regular"/>
          <w:bCs/>
          <w:color w:val="auto"/>
          <w:kern w:val="0"/>
          <w:sz w:val="32"/>
          <w:szCs w:val="32"/>
          <w:lang w:val="en-US" w:eastAsia="zh-CN"/>
        </w:rPr>
        <w:t>用三角形排列方式</w:t>
      </w:r>
      <w:r>
        <w:rPr>
          <w:rFonts w:hint="eastAsia" w:ascii="Times New Roman Regular" w:hAnsi="Times New Roman Regular" w:eastAsia="方正仿宋_GBK" w:cs="Times New Roman Regular"/>
          <w:bCs/>
          <w:color w:val="auto"/>
          <w:kern w:val="0"/>
          <w:sz w:val="32"/>
          <w:szCs w:val="32"/>
          <w:lang w:val="en-US" w:eastAsia="zh-CN"/>
        </w:rPr>
        <w:t>。立项依据《玉溪市发展和改革委员会关于玉溪市华宁县起则风电场扩建项目110千伏送出线路工程核准的批复》</w:t>
      </w:r>
      <w:r>
        <w:rPr>
          <w:rFonts w:hint="default" w:ascii="Times New Roman Regular" w:hAnsi="Times New Roman Regular" w:eastAsia="方正仿宋_GBK" w:cs="Times New Roman Regular"/>
          <w:bCs/>
          <w:color w:val="auto"/>
          <w:kern w:val="0"/>
          <w:sz w:val="32"/>
          <w:szCs w:val="32"/>
          <w:lang w:val="en-US" w:eastAsia="zh-CN"/>
        </w:rPr>
        <w:t>（</w:t>
      </w:r>
      <w:r>
        <w:rPr>
          <w:rFonts w:hint="eastAsia" w:ascii="Times New Roman Regular" w:hAnsi="Times New Roman Regular" w:eastAsia="方正仿宋_GBK" w:cs="Times New Roman Regular"/>
          <w:bCs/>
          <w:color w:val="auto"/>
          <w:kern w:val="0"/>
          <w:sz w:val="32"/>
          <w:szCs w:val="32"/>
          <w:lang w:val="en-US" w:eastAsia="zh-CN"/>
        </w:rPr>
        <w:t>玉发改能源复〔</w:t>
      </w:r>
      <w:r>
        <w:rPr>
          <w:rFonts w:hint="default" w:ascii="Times New Roman Regular" w:hAnsi="Times New Roman Regular" w:eastAsia="方正仿宋_GBK" w:cs="Times New Roman Regular"/>
          <w:bCs/>
          <w:color w:val="auto"/>
          <w:kern w:val="0"/>
          <w:sz w:val="32"/>
          <w:szCs w:val="32"/>
          <w:lang w:val="en-US" w:eastAsia="zh-CN"/>
        </w:rPr>
        <w:t>2025</w:t>
      </w:r>
      <w:r>
        <w:rPr>
          <w:rFonts w:hint="eastAsia" w:ascii="Times New Roman Regular" w:hAnsi="Times New Roman Regular" w:eastAsia="方正仿宋_GBK" w:cs="Times New Roman Regular"/>
          <w:bCs/>
          <w:color w:val="auto"/>
          <w:kern w:val="0"/>
          <w:sz w:val="32"/>
          <w:szCs w:val="32"/>
          <w:lang w:val="en-US" w:eastAsia="zh-CN"/>
        </w:rPr>
        <w:t>〕42号</w:t>
      </w:r>
      <w:r>
        <w:rPr>
          <w:rFonts w:hint="default" w:ascii="Times New Roman Regular" w:hAnsi="Times New Roman Regular" w:eastAsia="方正仿宋_GBK" w:cs="Times New Roman Regular"/>
          <w:bCs/>
          <w:color w:val="auto"/>
          <w:kern w:val="0"/>
          <w:sz w:val="32"/>
          <w:szCs w:val="32"/>
          <w:lang w:val="en-US" w:eastAsia="zh-CN"/>
        </w:rPr>
        <w:t>），项目代码：2508-530424-04-01-321146</w:t>
      </w:r>
      <w:r>
        <w:rPr>
          <w:rFonts w:hint="eastAsia" w:ascii="Times New Roman Regular" w:hAnsi="Times New Roman Regular" w:eastAsia="方正仿宋_GBK" w:cs="Times New Roman Regular"/>
          <w:bCs/>
          <w:color w:val="auto"/>
          <w:kern w:val="0"/>
          <w:sz w:val="32"/>
          <w:szCs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项目</w:t>
      </w:r>
      <w:r>
        <w:rPr>
          <w:rFonts w:hint="default" w:ascii="Times New Roman Regular" w:hAnsi="Times New Roman Regular" w:eastAsia="方正仿宋_GBK" w:cs="Times New Roman Regular"/>
          <w:bCs/>
          <w:color w:val="auto"/>
          <w:kern w:val="0"/>
          <w:sz w:val="32"/>
          <w:szCs w:val="32"/>
          <w:lang w:val="zh-CN" w:eastAsia="zh-CN"/>
        </w:rPr>
        <w:t>总投资</w:t>
      </w:r>
      <w:r>
        <w:rPr>
          <w:rFonts w:hint="default" w:ascii="Times New Roman Regular" w:hAnsi="Times New Roman Regular" w:eastAsia="方正仿宋_GBK" w:cs="Times New Roman Regular"/>
          <w:bCs/>
          <w:color w:val="auto"/>
          <w:kern w:val="0"/>
          <w:sz w:val="32"/>
          <w:szCs w:val="32"/>
          <w:lang w:val="en-US" w:eastAsia="zh-CN"/>
        </w:rPr>
        <w:t>5028</w:t>
      </w:r>
      <w:r>
        <w:rPr>
          <w:rFonts w:hint="default" w:ascii="Times New Roman Regular" w:hAnsi="Times New Roman Regular" w:eastAsia="方正仿宋_GBK" w:cs="Times New Roman Regular"/>
          <w:bCs/>
          <w:color w:val="auto"/>
          <w:kern w:val="0"/>
          <w:sz w:val="32"/>
          <w:szCs w:val="32"/>
          <w:lang w:val="zh-CN" w:eastAsia="zh-CN"/>
        </w:rPr>
        <w:t>万元，其中环保投资</w:t>
      </w:r>
      <w:r>
        <w:rPr>
          <w:rFonts w:hint="eastAsia" w:ascii="Times New Roman Regular" w:hAnsi="Times New Roman Regular" w:eastAsia="方正仿宋_GBK" w:cs="Times New Roman Regular"/>
          <w:bCs/>
          <w:color w:val="auto"/>
          <w:kern w:val="0"/>
          <w:sz w:val="32"/>
          <w:szCs w:val="32"/>
          <w:lang w:val="en-US" w:eastAsia="zh-CN"/>
        </w:rPr>
        <w:t>115</w:t>
      </w:r>
      <w:r>
        <w:rPr>
          <w:rFonts w:hint="default" w:ascii="Times New Roman Regular" w:hAnsi="Times New Roman Regular" w:eastAsia="方正仿宋_GBK" w:cs="Times New Roman Regular"/>
          <w:bCs/>
          <w:color w:val="auto"/>
          <w:kern w:val="0"/>
          <w:sz w:val="32"/>
          <w:szCs w:val="32"/>
          <w:lang w:val="zh-CN" w:eastAsia="zh-CN"/>
        </w:rPr>
        <w:t>万元，环保投资占总投资</w:t>
      </w:r>
      <w:r>
        <w:rPr>
          <w:rFonts w:hint="eastAsia" w:ascii="Times New Roman Regular" w:hAnsi="Times New Roman Regular" w:eastAsia="方正仿宋_GBK" w:cs="Times New Roman Regular"/>
          <w:bCs/>
          <w:color w:val="auto"/>
          <w:kern w:val="0"/>
          <w:sz w:val="32"/>
          <w:szCs w:val="32"/>
          <w:lang w:val="en-US" w:eastAsia="zh-CN"/>
        </w:rPr>
        <w:t>2.29</w:t>
      </w:r>
      <w:r>
        <w:rPr>
          <w:rFonts w:hint="default" w:ascii="Times New Roman Regular" w:hAnsi="Times New Roman Regular" w:eastAsia="方正仿宋_GBK" w:cs="Times New Roman Regular"/>
          <w:bCs/>
          <w:color w:val="auto"/>
          <w:kern w:val="0"/>
          <w:sz w:val="32"/>
          <w:szCs w:val="32"/>
          <w:lang w:val="zh-CN" w:eastAsia="zh-CN"/>
        </w:rPr>
        <w:t>%。</w:t>
      </w:r>
    </w:p>
    <w:p w14:paraId="28E528CD">
      <w:pPr>
        <w:keepNext w:val="0"/>
        <w:keepLines w:val="0"/>
        <w:pageBreakBefore w:val="0"/>
        <w:widowControl/>
        <w:kinsoku/>
        <w:wordWrap/>
        <w:overflowPunct/>
        <w:topLinePunct w:val="0"/>
        <w:autoSpaceDE w:val="0"/>
        <w:autoSpaceDN w:val="0"/>
        <w:bidi w:val="0"/>
        <w:adjustRightInd/>
        <w:snapToGrid w:val="0"/>
        <w:spacing w:line="590" w:lineRule="exact"/>
        <w:ind w:firstLine="640" w:firstLineChars="200"/>
        <w:rPr>
          <w:rFonts w:eastAsia="方正仿宋_GBK"/>
          <w:color w:val="auto"/>
          <w:sz w:val="32"/>
          <w:szCs w:val="32"/>
        </w:rPr>
      </w:pPr>
      <w:r>
        <w:rPr>
          <w:rFonts w:eastAsia="方正仿宋_GBK"/>
          <w:color w:val="auto"/>
          <w:sz w:val="32"/>
        </w:rPr>
        <w:t>项目实施可能对</w:t>
      </w:r>
      <w:r>
        <w:rPr>
          <w:rFonts w:hint="eastAsia" w:eastAsia="方正仿宋_GBK"/>
          <w:color w:val="auto"/>
          <w:sz w:val="32"/>
        </w:rPr>
        <w:t>区域</w:t>
      </w:r>
      <w:r>
        <w:rPr>
          <w:rFonts w:eastAsia="方正仿宋_GBK"/>
          <w:color w:val="auto"/>
          <w:sz w:val="32"/>
        </w:rPr>
        <w:t>生态环境、声环境、环境空气、地表水环境、地下水环境</w:t>
      </w:r>
      <w:r>
        <w:rPr>
          <w:rFonts w:hint="eastAsia" w:eastAsia="方正仿宋_GBK"/>
          <w:color w:val="auto"/>
          <w:sz w:val="32"/>
        </w:rPr>
        <w:t>、电磁环境</w:t>
      </w:r>
      <w:r>
        <w:rPr>
          <w:rFonts w:eastAsia="方正仿宋_GBK"/>
          <w:color w:val="auto"/>
          <w:sz w:val="32"/>
        </w:rPr>
        <w:t>等造成一定不良影响。在全面落实生态环境保护法律法规</w:t>
      </w:r>
      <w:r>
        <w:rPr>
          <w:rFonts w:hint="eastAsia" w:eastAsia="方正仿宋_GBK"/>
          <w:color w:val="auto"/>
          <w:sz w:val="32"/>
        </w:rPr>
        <w:t>、标准及相关</w:t>
      </w:r>
      <w:r>
        <w:rPr>
          <w:rFonts w:eastAsia="方正仿宋_GBK"/>
          <w:color w:val="auto"/>
          <w:sz w:val="32"/>
        </w:rPr>
        <w:t>规划、《报告</w:t>
      </w:r>
      <w:r>
        <w:rPr>
          <w:rFonts w:hint="eastAsia" w:eastAsia="方正仿宋_GBK"/>
          <w:color w:val="auto"/>
          <w:sz w:val="32"/>
        </w:rPr>
        <w:t>表</w:t>
      </w:r>
      <w:r>
        <w:rPr>
          <w:rFonts w:eastAsia="方正仿宋_GBK"/>
          <w:color w:val="auto"/>
          <w:sz w:val="32"/>
        </w:rPr>
        <w:t>》和本批复提出的各项防治污染、防止生态破坏的措施的前提下，项目建设所产生的不良生态环境影响可以得到一定程度的预防和减轻。从生态环境保护的角度，原则同意《报告</w:t>
      </w:r>
      <w:r>
        <w:rPr>
          <w:rFonts w:hint="eastAsia" w:eastAsia="方正仿宋_GBK"/>
          <w:color w:val="auto"/>
          <w:sz w:val="32"/>
        </w:rPr>
        <w:t>表</w:t>
      </w:r>
      <w:r>
        <w:rPr>
          <w:rFonts w:eastAsia="方正仿宋_GBK"/>
          <w:color w:val="auto"/>
          <w:sz w:val="32"/>
        </w:rPr>
        <w:t>》</w:t>
      </w:r>
      <w:r>
        <w:rPr>
          <w:rFonts w:hint="eastAsia" w:eastAsia="方正仿宋_GBK"/>
          <w:color w:val="auto"/>
          <w:sz w:val="32"/>
        </w:rPr>
        <w:t>的</w:t>
      </w:r>
      <w:r>
        <w:rPr>
          <w:rFonts w:eastAsia="方正仿宋_GBK"/>
          <w:color w:val="auto"/>
          <w:sz w:val="32"/>
        </w:rPr>
        <w:t>环境影响评价总体结论和各项生态环境保护措施。</w:t>
      </w:r>
      <w:r>
        <w:rPr>
          <w:rFonts w:hint="eastAsia" w:eastAsia="方正仿宋_GBK"/>
          <w:color w:val="auto"/>
          <w:sz w:val="32"/>
          <w:szCs w:val="32"/>
          <w:lang w:eastAsia="zh-CN"/>
        </w:rPr>
        <w:t>你公司</w:t>
      </w:r>
      <w:r>
        <w:rPr>
          <w:rFonts w:hint="eastAsia" w:eastAsia="方正仿宋_GBK"/>
          <w:color w:val="auto"/>
          <w:sz w:val="32"/>
          <w:szCs w:val="32"/>
        </w:rPr>
        <w:t>应当</w:t>
      </w:r>
      <w:r>
        <w:rPr>
          <w:rFonts w:eastAsia="方正仿宋_GBK"/>
          <w:color w:val="auto"/>
          <w:sz w:val="32"/>
          <w:szCs w:val="32"/>
        </w:rPr>
        <w:t>全面落实</w:t>
      </w:r>
      <w:r>
        <w:rPr>
          <w:rFonts w:hint="eastAsia" w:eastAsia="方正仿宋_GBK"/>
          <w:color w:val="auto"/>
          <w:sz w:val="32"/>
          <w:szCs w:val="32"/>
        </w:rPr>
        <w:t>生态环境保护主体责任，防止、减少环境污染和生态破坏</w:t>
      </w:r>
      <w:r>
        <w:rPr>
          <w:rFonts w:hint="eastAsia" w:eastAsia="方正仿宋_GBK"/>
          <w:color w:val="FF0000"/>
          <w:sz w:val="32"/>
          <w:szCs w:val="32"/>
          <w:lang w:eastAsia="zh-CN"/>
        </w:rPr>
        <w:t>、</w:t>
      </w:r>
      <w:r>
        <w:rPr>
          <w:rFonts w:hint="eastAsia" w:eastAsia="方正仿宋_GBK"/>
          <w:color w:val="auto"/>
          <w:sz w:val="32"/>
          <w:szCs w:val="32"/>
        </w:rPr>
        <w:t>对所造成的损害依法承担责任。</w:t>
      </w:r>
    </w:p>
    <w:p w14:paraId="5BAD7DBA">
      <w:pPr>
        <w:keepNext w:val="0"/>
        <w:keepLines w:val="0"/>
        <w:pageBreakBefore w:val="0"/>
        <w:widowControl/>
        <w:numPr>
          <w:ilvl w:val="0"/>
          <w:numId w:val="0"/>
        </w:numPr>
        <w:kinsoku/>
        <w:wordWrap/>
        <w:overflowPunct/>
        <w:topLinePunct/>
        <w:autoSpaceDE/>
        <w:autoSpaceDN/>
        <w:bidi w:val="0"/>
        <w:adjustRightInd/>
        <w:snapToGrid/>
        <w:spacing w:line="590"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t>二、项目设计、建设和运营过程中应重点做好的工作</w:t>
      </w:r>
    </w:p>
    <w:p w14:paraId="75533DA9">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lang w:val="en-US" w:eastAsia="zh-CN"/>
        </w:rPr>
      </w:pPr>
      <w:r>
        <w:rPr>
          <w:rFonts w:hint="default" w:ascii="Times New Roman Regular" w:hAnsi="Times New Roman Regular" w:eastAsia="方正仿宋_GBK" w:cs="Times New Roman Regular"/>
          <w:bCs/>
          <w:color w:val="auto"/>
          <w:kern w:val="0"/>
          <w:sz w:val="32"/>
          <w:szCs w:val="32"/>
          <w:lang w:val="en-US" w:eastAsia="zh-CN"/>
        </w:rPr>
        <w:t>（</w:t>
      </w:r>
      <w:r>
        <w:rPr>
          <w:rFonts w:hint="eastAsia" w:ascii="Times New Roman Regular" w:hAnsi="Times New Roman Regular" w:eastAsia="方正仿宋_GBK" w:cs="Times New Roman Regular"/>
          <w:bCs/>
          <w:color w:val="auto"/>
          <w:kern w:val="0"/>
          <w:sz w:val="32"/>
          <w:szCs w:val="32"/>
          <w:lang w:val="en-US" w:eastAsia="zh-CN"/>
        </w:rPr>
        <w:t>一</w:t>
      </w:r>
      <w:r>
        <w:rPr>
          <w:rFonts w:hint="default" w:ascii="Times New Roman Regular" w:hAnsi="Times New Roman Regular" w:eastAsia="方正仿宋_GBK" w:cs="Times New Roman Regular"/>
          <w:bCs/>
          <w:color w:val="auto"/>
          <w:kern w:val="0"/>
          <w:sz w:val="32"/>
          <w:szCs w:val="32"/>
          <w:lang w:val="en-US" w:eastAsia="zh-CN"/>
        </w:rPr>
        <w:t>）</w:t>
      </w:r>
      <w:r>
        <w:rPr>
          <w:rFonts w:hint="default" w:eastAsia="方正仿宋_GBK"/>
          <w:color w:val="auto"/>
          <w:sz w:val="32"/>
          <w:lang w:val="en-US" w:eastAsia="zh-CN"/>
        </w:rPr>
        <w:t>加强施工期环境管理，严格落实工程设计和《报告</w:t>
      </w:r>
      <w:r>
        <w:rPr>
          <w:rFonts w:hint="eastAsia" w:eastAsia="方正仿宋_GBK"/>
          <w:color w:val="auto"/>
          <w:sz w:val="32"/>
          <w:lang w:val="en-US" w:eastAsia="zh-CN"/>
        </w:rPr>
        <w:t>表</w:t>
      </w:r>
      <w:r>
        <w:rPr>
          <w:rFonts w:hint="default" w:eastAsia="方正仿宋_GBK"/>
          <w:color w:val="auto"/>
          <w:sz w:val="32"/>
          <w:lang w:val="en-US" w:eastAsia="zh-CN"/>
        </w:rPr>
        <w:t>》以及有关专题评价报告提出的各项生态保护和</w:t>
      </w:r>
      <w:r>
        <w:rPr>
          <w:rFonts w:hint="eastAsia" w:eastAsia="方正仿宋_GBK"/>
          <w:color w:val="auto"/>
          <w:sz w:val="32"/>
          <w:lang w:val="en-US" w:eastAsia="zh-CN"/>
        </w:rPr>
        <w:t>扬尘、废水、固废、噪声等</w:t>
      </w:r>
      <w:r>
        <w:rPr>
          <w:rFonts w:hint="default" w:eastAsia="方正仿宋_GBK"/>
          <w:color w:val="auto"/>
          <w:sz w:val="32"/>
          <w:lang w:val="en-US" w:eastAsia="zh-CN"/>
        </w:rPr>
        <w:t>污染防治措施</w:t>
      </w:r>
      <w:r>
        <w:rPr>
          <w:rFonts w:hint="eastAsia" w:eastAsia="方正仿宋_GBK"/>
          <w:color w:val="auto"/>
          <w:sz w:val="32"/>
          <w:lang w:val="en-US" w:eastAsia="zh-CN"/>
        </w:rPr>
        <w:t>，清洁文明施工，</w:t>
      </w:r>
      <w:r>
        <w:rPr>
          <w:rFonts w:hint="default" w:eastAsia="方正仿宋_GBK"/>
          <w:color w:val="auto"/>
          <w:sz w:val="32"/>
          <w:lang w:val="en-US" w:eastAsia="zh-CN"/>
        </w:rPr>
        <w:t>严格实施项目水土保持各项措施，有效控制施工开挖造成的水土流失</w:t>
      </w:r>
      <w:r>
        <w:rPr>
          <w:rFonts w:hint="eastAsia" w:eastAsia="方正仿宋_GBK"/>
          <w:color w:val="auto"/>
          <w:sz w:val="32"/>
          <w:lang w:val="en-US" w:eastAsia="zh-CN"/>
        </w:rPr>
        <w:t>，</w:t>
      </w:r>
      <w:r>
        <w:rPr>
          <w:rFonts w:hint="default" w:ascii="Times New Roman Regular" w:hAnsi="Times New Roman Regular" w:eastAsia="方正仿宋_GBK" w:cs="Times New Roman Regular"/>
          <w:bCs/>
          <w:color w:val="auto"/>
          <w:kern w:val="0"/>
          <w:sz w:val="32"/>
          <w:szCs w:val="32"/>
          <w:lang w:val="en-US" w:eastAsia="zh-CN"/>
        </w:rPr>
        <w:t>严防施工期对环境保护目标及周围环境造成</w:t>
      </w:r>
      <w:r>
        <w:rPr>
          <w:rFonts w:hint="eastAsia" w:ascii="Times New Roman Regular" w:hAnsi="Times New Roman Regular" w:eastAsia="方正仿宋_GBK" w:cs="Times New Roman Regular"/>
          <w:bCs/>
          <w:color w:val="auto"/>
          <w:kern w:val="0"/>
          <w:sz w:val="32"/>
          <w:szCs w:val="32"/>
          <w:lang w:val="en-US" w:eastAsia="zh-CN"/>
        </w:rPr>
        <w:t>污染</w:t>
      </w:r>
      <w:r>
        <w:rPr>
          <w:rFonts w:hint="default" w:ascii="Times New Roman Regular" w:hAnsi="Times New Roman Regular" w:eastAsia="方正仿宋_GBK" w:cs="Times New Roman Regular"/>
          <w:bCs/>
          <w:color w:val="auto"/>
          <w:kern w:val="0"/>
          <w:sz w:val="32"/>
          <w:szCs w:val="32"/>
          <w:lang w:val="en-US" w:eastAsia="zh-CN"/>
        </w:rPr>
        <w:t>，对生态环境造成破坏。</w:t>
      </w:r>
    </w:p>
    <w:p w14:paraId="3F3D35C9">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u w:val="none"/>
          <w:lang w:val="en-US" w:eastAsia="zh-CN"/>
        </w:rPr>
      </w:pPr>
      <w:r>
        <w:rPr>
          <w:rFonts w:hint="default" w:ascii="Times New Roman Regular" w:hAnsi="Times New Roman Regular" w:eastAsia="方正仿宋_GBK" w:cs="Times New Roman Regular"/>
          <w:bCs/>
          <w:color w:val="auto"/>
          <w:kern w:val="0"/>
          <w:sz w:val="32"/>
          <w:szCs w:val="32"/>
          <w:u w:val="none"/>
          <w:lang w:val="en-US" w:eastAsia="zh-CN"/>
        </w:rPr>
        <w:t>（</w:t>
      </w:r>
      <w:r>
        <w:rPr>
          <w:rFonts w:hint="eastAsia" w:ascii="Times New Roman Regular" w:hAnsi="Times New Roman Regular" w:eastAsia="方正仿宋_GBK" w:cs="Times New Roman Regular"/>
          <w:bCs/>
          <w:color w:val="auto"/>
          <w:kern w:val="0"/>
          <w:sz w:val="32"/>
          <w:szCs w:val="32"/>
          <w:u w:val="none"/>
          <w:lang w:val="en-US" w:eastAsia="zh-CN"/>
        </w:rPr>
        <w:t>二</w:t>
      </w:r>
      <w:r>
        <w:rPr>
          <w:rFonts w:hint="default" w:ascii="Times New Roman Regular" w:hAnsi="Times New Roman Regular" w:eastAsia="方正仿宋_GBK" w:cs="Times New Roman Regular"/>
          <w:bCs/>
          <w:color w:val="auto"/>
          <w:kern w:val="0"/>
          <w:sz w:val="32"/>
          <w:szCs w:val="32"/>
          <w:u w:val="none"/>
          <w:lang w:val="en-US" w:eastAsia="zh-CN"/>
        </w:rPr>
        <w:t>）进一步优化设计方案，落实</w:t>
      </w:r>
      <w:r>
        <w:rPr>
          <w:rFonts w:hint="eastAsia" w:ascii="Times New Roman Regular" w:hAnsi="Times New Roman Regular" w:eastAsia="方正仿宋_GBK" w:cs="Times New Roman Regular"/>
          <w:bCs/>
          <w:color w:val="auto"/>
          <w:kern w:val="0"/>
          <w:sz w:val="32"/>
          <w:szCs w:val="32"/>
          <w:u w:val="none"/>
          <w:lang w:val="en-US" w:eastAsia="zh-CN"/>
        </w:rPr>
        <w:t>沿线华宁县</w:t>
      </w:r>
      <w:r>
        <w:rPr>
          <w:rFonts w:hint="default" w:ascii="Times New Roman Regular" w:hAnsi="Times New Roman Regular" w:eastAsia="方正仿宋_GBK" w:cs="Times New Roman Regular"/>
          <w:bCs/>
          <w:color w:val="auto"/>
          <w:kern w:val="0"/>
          <w:sz w:val="32"/>
          <w:szCs w:val="32"/>
          <w:u w:val="none"/>
          <w:lang w:val="en-US" w:eastAsia="zh-CN"/>
        </w:rPr>
        <w:t>生态环境分区管控要求，线路应尽量远离居民等环境保护目标，尽量避让生态保护红线等环境敏感区</w:t>
      </w:r>
      <w:r>
        <w:rPr>
          <w:rFonts w:hint="eastAsia" w:ascii="Times New Roman Regular" w:hAnsi="Times New Roman Regular" w:eastAsia="方正仿宋_GBK" w:cs="Times New Roman Regular"/>
          <w:bCs/>
          <w:color w:val="auto"/>
          <w:kern w:val="0"/>
          <w:sz w:val="32"/>
          <w:szCs w:val="32"/>
          <w:u w:val="none"/>
          <w:lang w:val="en-US" w:eastAsia="zh-CN"/>
        </w:rPr>
        <w:t>，涉及生态保护红线区域的须严格按照生态保护红线相关法律法规、政策文件要求落实环境保护措施。</w:t>
      </w:r>
      <w:r>
        <w:rPr>
          <w:rFonts w:hint="default" w:ascii="Times New Roman Regular" w:hAnsi="Times New Roman Regular" w:eastAsia="方正仿宋_GBK" w:cs="Times New Roman Regular"/>
          <w:bCs/>
          <w:color w:val="auto"/>
          <w:kern w:val="0"/>
          <w:sz w:val="32"/>
          <w:szCs w:val="32"/>
          <w:u w:val="none"/>
          <w:lang w:val="en-US" w:eastAsia="zh-CN"/>
        </w:rPr>
        <w:t>严格控制工程占地，尽可能降低项目建设</w:t>
      </w:r>
      <w:r>
        <w:rPr>
          <w:rFonts w:hint="eastAsia" w:ascii="Times New Roman Regular" w:hAnsi="Times New Roman Regular" w:eastAsia="方正仿宋_GBK" w:cs="Times New Roman Regular"/>
          <w:bCs/>
          <w:color w:val="auto"/>
          <w:kern w:val="0"/>
          <w:sz w:val="32"/>
          <w:szCs w:val="32"/>
          <w:u w:val="none"/>
          <w:lang w:val="en-US" w:eastAsia="zh-CN"/>
        </w:rPr>
        <w:t>对</w:t>
      </w:r>
      <w:r>
        <w:rPr>
          <w:rFonts w:hint="default" w:ascii="Times New Roman Regular" w:hAnsi="Times New Roman Regular" w:eastAsia="方正仿宋_GBK" w:cs="Times New Roman Regular"/>
          <w:bCs/>
          <w:color w:val="auto"/>
          <w:kern w:val="0"/>
          <w:sz w:val="32"/>
          <w:szCs w:val="32"/>
          <w:u w:val="none"/>
          <w:lang w:val="en-US" w:eastAsia="zh-CN"/>
        </w:rPr>
        <w:t>区域天然林</w:t>
      </w:r>
      <w:r>
        <w:rPr>
          <w:rFonts w:hint="eastAsia" w:ascii="Times New Roman Regular" w:hAnsi="Times New Roman Regular" w:eastAsia="方正仿宋_GBK" w:cs="Times New Roman Regular"/>
          <w:bCs/>
          <w:color w:val="auto"/>
          <w:kern w:val="0"/>
          <w:sz w:val="32"/>
          <w:szCs w:val="32"/>
          <w:u w:val="none"/>
          <w:lang w:val="en-US" w:eastAsia="zh-CN"/>
        </w:rPr>
        <w:t>、公益林等</w:t>
      </w:r>
      <w:r>
        <w:rPr>
          <w:rFonts w:hint="default" w:ascii="Times New Roman Regular" w:hAnsi="Times New Roman Regular" w:eastAsia="方正仿宋_GBK" w:cs="Times New Roman Regular"/>
          <w:bCs/>
          <w:color w:val="auto"/>
          <w:kern w:val="0"/>
          <w:sz w:val="32"/>
          <w:szCs w:val="32"/>
          <w:u w:val="none"/>
          <w:lang w:val="en-US" w:eastAsia="zh-CN"/>
        </w:rPr>
        <w:t>以及生态保护红线的生态破坏。工程施工过程中发现重点保护野生植物、特有植物、古树名木等应选择避让，确实无法避让的应报告相关部门并在专业人员指导下对保护植物进行移栽保护</w:t>
      </w:r>
      <w:r>
        <w:rPr>
          <w:rFonts w:hint="eastAsia" w:ascii="Times New Roman Regular" w:hAnsi="Times New Roman Regular" w:eastAsia="方正仿宋_GBK" w:cs="Times New Roman Regular"/>
          <w:bCs/>
          <w:color w:val="auto"/>
          <w:kern w:val="0"/>
          <w:sz w:val="32"/>
          <w:szCs w:val="32"/>
          <w:u w:val="none"/>
          <w:lang w:val="en-US" w:eastAsia="zh-CN"/>
        </w:rPr>
        <w:t>。</w:t>
      </w:r>
      <w:r>
        <w:rPr>
          <w:rFonts w:hint="default" w:ascii="Times New Roman Regular" w:hAnsi="Times New Roman Regular" w:eastAsia="方正仿宋_GBK" w:cs="Times New Roman Regular"/>
          <w:bCs/>
          <w:color w:val="auto"/>
          <w:kern w:val="0"/>
          <w:sz w:val="32"/>
          <w:szCs w:val="32"/>
          <w:u w:val="none"/>
          <w:lang w:val="en-US" w:eastAsia="zh-CN"/>
        </w:rPr>
        <w:t>加强施工人员培训，施工前对施工人员和工程管理人员进行宣传教育，树立各种保护动物的宣传牌，并发放宣传手册，介绍保护动物和常见动物的一般习性及保护动物的措施，提高施工人员的保护意识，自觉保护野生动物，严禁捕猎野生动物。</w:t>
      </w:r>
    </w:p>
    <w:p w14:paraId="41DB84A5">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lang w:val="en-US" w:eastAsia="zh-CN"/>
        </w:rPr>
      </w:pPr>
      <w:r>
        <w:rPr>
          <w:rFonts w:hint="default" w:ascii="Times New Roman Regular" w:hAnsi="Times New Roman Regular" w:eastAsia="方正仿宋_GBK" w:cs="Times New Roman Regular"/>
          <w:bCs/>
          <w:color w:val="auto"/>
          <w:kern w:val="0"/>
          <w:sz w:val="32"/>
          <w:szCs w:val="32"/>
          <w:lang w:val="en-US" w:eastAsia="zh-CN"/>
        </w:rPr>
        <w:t>（</w:t>
      </w:r>
      <w:r>
        <w:rPr>
          <w:rFonts w:hint="eastAsia" w:ascii="Times New Roman Regular" w:hAnsi="Times New Roman Regular" w:eastAsia="方正仿宋_GBK" w:cs="Times New Roman Regular"/>
          <w:bCs/>
          <w:color w:val="auto"/>
          <w:kern w:val="0"/>
          <w:sz w:val="32"/>
          <w:szCs w:val="32"/>
          <w:lang w:val="en-US" w:eastAsia="zh-CN"/>
        </w:rPr>
        <w:t>三</w:t>
      </w:r>
      <w:r>
        <w:rPr>
          <w:rFonts w:hint="default" w:ascii="Times New Roman Regular" w:hAnsi="Times New Roman Regular" w:eastAsia="方正仿宋_GBK" w:cs="Times New Roman Regular"/>
          <w:bCs/>
          <w:color w:val="auto"/>
          <w:kern w:val="0"/>
          <w:sz w:val="32"/>
          <w:szCs w:val="32"/>
          <w:lang w:val="en-US" w:eastAsia="zh-CN"/>
        </w:rPr>
        <w:t>）必须严格按《电磁环境控制限值》（GB8702-2014）、《输变电建设项目环境保护技术要求》（HJ1113-2020）</w:t>
      </w:r>
      <w:r>
        <w:rPr>
          <w:rFonts w:hint="eastAsia" w:ascii="Times New Roman Regular" w:hAnsi="Times New Roman Regular" w:eastAsia="方正仿宋_GBK" w:cs="Times New Roman Regular"/>
          <w:bCs/>
          <w:color w:val="auto"/>
          <w:kern w:val="0"/>
          <w:sz w:val="32"/>
          <w:szCs w:val="32"/>
          <w:lang w:val="en-US" w:eastAsia="zh-CN"/>
        </w:rPr>
        <w:t>、《110千伏～750千伏架空输电线路设计规范》（GB50545-2010）</w:t>
      </w:r>
      <w:r>
        <w:rPr>
          <w:rFonts w:hint="default" w:ascii="Times New Roman Regular" w:hAnsi="Times New Roman Regular" w:eastAsia="方正仿宋_GBK" w:cs="Times New Roman Regular"/>
          <w:bCs/>
          <w:color w:val="auto"/>
          <w:kern w:val="0"/>
          <w:sz w:val="32"/>
          <w:szCs w:val="32"/>
          <w:lang w:val="en-US" w:eastAsia="zh-CN"/>
        </w:rPr>
        <w:t>等相关规定设计、建设、运营。认真落实《报告表》提出的环境保护措施，确保项目运行后储能站边界及周边保护目标电磁环境满足《电磁环境控制限值》（GB8702-2014）中电场强度4</w:t>
      </w:r>
      <w:r>
        <w:rPr>
          <w:rFonts w:hint="eastAsia" w:ascii="Times New Roman Regular" w:hAnsi="Times New Roman Regular" w:eastAsia="方正仿宋_GBK" w:cs="Times New Roman Regular"/>
          <w:bCs/>
          <w:color w:val="auto"/>
          <w:kern w:val="0"/>
          <w:sz w:val="32"/>
          <w:szCs w:val="32"/>
          <w:lang w:val="en-US" w:eastAsia="zh-CN"/>
        </w:rPr>
        <w:t>千伏</w:t>
      </w:r>
      <w:r>
        <w:rPr>
          <w:rFonts w:hint="default" w:ascii="Times New Roman Regular" w:hAnsi="Times New Roman Regular" w:eastAsia="方正仿宋_GBK" w:cs="Times New Roman Regular"/>
          <w:bCs/>
          <w:color w:val="auto"/>
          <w:kern w:val="0"/>
          <w:sz w:val="32"/>
          <w:szCs w:val="32"/>
          <w:lang w:val="en-US" w:eastAsia="zh-CN"/>
        </w:rPr>
        <w:t>/</w:t>
      </w:r>
      <w:r>
        <w:rPr>
          <w:rFonts w:hint="eastAsia" w:ascii="Times New Roman Regular" w:hAnsi="Times New Roman Regular" w:eastAsia="方正仿宋_GBK" w:cs="Times New Roman Regular"/>
          <w:bCs/>
          <w:color w:val="auto"/>
          <w:kern w:val="0"/>
          <w:sz w:val="32"/>
          <w:szCs w:val="32"/>
          <w:lang w:val="en-US" w:eastAsia="zh-CN"/>
        </w:rPr>
        <w:t>米</w:t>
      </w:r>
      <w:r>
        <w:rPr>
          <w:rFonts w:hint="default" w:ascii="Times New Roman Regular" w:hAnsi="Times New Roman Regular" w:eastAsia="方正仿宋_GBK" w:cs="Times New Roman Regular"/>
          <w:bCs/>
          <w:color w:val="auto"/>
          <w:kern w:val="0"/>
          <w:sz w:val="32"/>
          <w:szCs w:val="32"/>
          <w:lang w:val="en-US" w:eastAsia="zh-CN"/>
        </w:rPr>
        <w:t>、磁感应强度100</w:t>
      </w:r>
      <w:r>
        <w:rPr>
          <w:rFonts w:hint="eastAsia" w:ascii="Times New Roman Regular" w:hAnsi="Times New Roman Regular" w:eastAsia="方正仿宋_GBK" w:cs="Times New Roman Regular"/>
          <w:bCs/>
          <w:color w:val="auto"/>
          <w:kern w:val="0"/>
          <w:sz w:val="32"/>
          <w:szCs w:val="32"/>
          <w:lang w:val="en-US" w:eastAsia="zh-CN"/>
        </w:rPr>
        <w:t>微特斯拉</w:t>
      </w:r>
      <w:r>
        <w:rPr>
          <w:rFonts w:hint="default" w:ascii="Times New Roman Regular" w:hAnsi="Times New Roman Regular" w:eastAsia="方正仿宋_GBK" w:cs="Times New Roman Regular"/>
          <w:bCs/>
          <w:color w:val="auto"/>
          <w:kern w:val="0"/>
          <w:sz w:val="32"/>
          <w:szCs w:val="32"/>
          <w:lang w:val="en-US" w:eastAsia="zh-CN"/>
        </w:rPr>
        <w:t>的公众曝露控制限值的要求。</w:t>
      </w:r>
    </w:p>
    <w:p w14:paraId="1D8AC01B">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lang w:val="en-US" w:eastAsia="zh-CN"/>
        </w:rPr>
      </w:pPr>
      <w:r>
        <w:rPr>
          <w:rFonts w:hint="default" w:ascii="Times New Roman Regular" w:hAnsi="Times New Roman Regular" w:eastAsia="方正仿宋_GBK" w:cs="Times New Roman Regular"/>
          <w:bCs/>
          <w:color w:val="auto"/>
          <w:kern w:val="0"/>
          <w:sz w:val="32"/>
          <w:szCs w:val="32"/>
          <w:lang w:val="en-US" w:eastAsia="zh-CN"/>
        </w:rPr>
        <w:t>（</w:t>
      </w:r>
      <w:r>
        <w:rPr>
          <w:rFonts w:hint="eastAsia" w:ascii="Times New Roman Regular" w:hAnsi="Times New Roman Regular" w:eastAsia="方正仿宋_GBK" w:cs="Times New Roman Regular"/>
          <w:bCs/>
          <w:color w:val="auto"/>
          <w:kern w:val="0"/>
          <w:sz w:val="32"/>
          <w:szCs w:val="32"/>
          <w:lang w:val="en-US" w:eastAsia="zh-CN"/>
        </w:rPr>
        <w:t>四</w:t>
      </w:r>
      <w:r>
        <w:rPr>
          <w:rFonts w:hint="default" w:ascii="Times New Roman Regular" w:hAnsi="Times New Roman Regular" w:eastAsia="方正仿宋_GBK" w:cs="Times New Roman Regular"/>
          <w:bCs/>
          <w:color w:val="auto"/>
          <w:kern w:val="0"/>
          <w:sz w:val="32"/>
          <w:szCs w:val="32"/>
          <w:lang w:val="en-US" w:eastAsia="zh-CN"/>
        </w:rPr>
        <w:t>）加强运行期的环境管理，将环境保护纳入到日常管理工作中，工程投运后及时开展环境监测，及时妥善处理环境问题。强化电磁环境影响的环境保护宣传工作，使公众科学认识工频电磁场的环境影响。加强线路沿线巡查和维护，使之保持良好的运行状态，发现线路异常或事故及时上报、检查，防止由于运行故障产生的噪声环境影响，确保输电线周边声环境满足《声环境质量标准》（GB3096-2008）中</w:t>
      </w:r>
      <w:r>
        <w:rPr>
          <w:rFonts w:hint="eastAsia" w:ascii="Times New Roman Regular" w:hAnsi="Times New Roman Regular" w:eastAsia="方正仿宋_GBK" w:cs="Times New Roman Regular"/>
          <w:bCs/>
          <w:color w:val="auto"/>
          <w:kern w:val="0"/>
          <w:sz w:val="32"/>
          <w:szCs w:val="32"/>
          <w:lang w:val="en-US" w:eastAsia="zh-CN"/>
        </w:rPr>
        <w:t>相应</w:t>
      </w:r>
      <w:r>
        <w:rPr>
          <w:rFonts w:hint="default" w:ascii="Times New Roman Regular" w:hAnsi="Times New Roman Regular" w:eastAsia="方正仿宋_GBK" w:cs="Times New Roman Regular"/>
          <w:bCs/>
          <w:color w:val="auto"/>
          <w:kern w:val="0"/>
          <w:sz w:val="32"/>
          <w:szCs w:val="32"/>
          <w:lang w:val="en-US" w:eastAsia="zh-CN"/>
        </w:rPr>
        <w:t>功能区标准限值要求。</w:t>
      </w:r>
    </w:p>
    <w:p w14:paraId="31682EFF">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lang w:val="en-US" w:eastAsia="zh-CN"/>
        </w:rPr>
      </w:pPr>
      <w:r>
        <w:rPr>
          <w:rFonts w:hint="eastAsia" w:ascii="Times New Roman Regular" w:hAnsi="Times New Roman Regular" w:eastAsia="方正仿宋_GBK" w:cs="Times New Roman Regular"/>
          <w:bCs/>
          <w:color w:val="auto"/>
          <w:kern w:val="0"/>
          <w:sz w:val="32"/>
          <w:szCs w:val="32"/>
          <w:lang w:val="en-US" w:eastAsia="zh-CN"/>
        </w:rPr>
        <w:t>（五）严格落实固体废物分类处置和综合利用措施。</w:t>
      </w:r>
      <w:r>
        <w:rPr>
          <w:rFonts w:hint="default" w:ascii="Times New Roman Regular" w:hAnsi="Times New Roman Regular" w:eastAsia="方正仿宋_GBK" w:cs="Times New Roman Regular"/>
          <w:bCs/>
          <w:color w:val="auto"/>
          <w:kern w:val="0"/>
          <w:sz w:val="32"/>
          <w:szCs w:val="32"/>
          <w:lang w:val="en-US" w:eastAsia="zh-CN"/>
        </w:rPr>
        <w:t>线路维护过程中更换废旧电气设备、材料等收集后交给原供应商回收处置，不得随意丢弃。</w:t>
      </w:r>
    </w:p>
    <w:p w14:paraId="2E7D25E0">
      <w:pPr>
        <w:keepNext w:val="0"/>
        <w:keepLines w:val="0"/>
        <w:pageBreakBefore w:val="0"/>
        <w:kinsoku/>
        <w:wordWrap/>
        <w:overflowPunct/>
        <w:bidi w:val="0"/>
        <w:adjustRightInd/>
        <w:spacing w:line="590" w:lineRule="exact"/>
        <w:ind w:firstLine="640" w:firstLineChars="200"/>
        <w:rPr>
          <w:rFonts w:hint="default" w:ascii="Times New Roman Regular" w:hAnsi="Times New Roman Regular" w:eastAsia="方正仿宋_GBK" w:cs="Times New Roman Regular"/>
          <w:bCs/>
          <w:color w:val="auto"/>
          <w:kern w:val="0"/>
          <w:sz w:val="32"/>
          <w:szCs w:val="32"/>
          <w:lang w:val="en-US" w:eastAsia="zh-CN"/>
        </w:rPr>
      </w:pPr>
      <w:r>
        <w:rPr>
          <w:rFonts w:hint="default" w:ascii="Times New Roman Regular" w:hAnsi="Times New Roman Regular" w:eastAsia="方正仿宋_GBK" w:cs="Times New Roman Regular"/>
          <w:bCs/>
          <w:color w:val="auto"/>
          <w:kern w:val="0"/>
          <w:sz w:val="32"/>
          <w:szCs w:val="32"/>
          <w:lang w:val="en-US" w:eastAsia="zh-CN"/>
        </w:rPr>
        <w:t>（</w:t>
      </w:r>
      <w:r>
        <w:rPr>
          <w:rFonts w:hint="eastAsia" w:ascii="Times New Roman Regular" w:hAnsi="Times New Roman Regular" w:eastAsia="方正仿宋_GBK" w:cs="Times New Roman Regular"/>
          <w:bCs/>
          <w:color w:val="auto"/>
          <w:kern w:val="0"/>
          <w:sz w:val="32"/>
          <w:szCs w:val="32"/>
          <w:lang w:val="en-US" w:eastAsia="zh-CN"/>
        </w:rPr>
        <w:t>六</w:t>
      </w:r>
      <w:r>
        <w:rPr>
          <w:rFonts w:hint="default" w:ascii="Times New Roman Regular" w:hAnsi="Times New Roman Regular" w:eastAsia="方正仿宋_GBK" w:cs="Times New Roman Regular"/>
          <w:bCs/>
          <w:color w:val="auto"/>
          <w:kern w:val="0"/>
          <w:sz w:val="32"/>
          <w:szCs w:val="32"/>
          <w:lang w:val="en-US" w:eastAsia="zh-CN"/>
        </w:rPr>
        <w:t>）严格落实各项环境风险防范措施，树立环境风险意识，强化环境风险责任，按要求制定突发环境事件应急预案，杜绝环境安全事故、环境污染事故的发生。</w:t>
      </w:r>
    </w:p>
    <w:p w14:paraId="40F530F6">
      <w:pPr>
        <w:keepNext w:val="0"/>
        <w:keepLines w:val="0"/>
        <w:pageBreakBefore w:val="0"/>
        <w:widowControl/>
        <w:kinsoku/>
        <w:wordWrap/>
        <w:overflowPunct/>
        <w:topLinePunct w:val="0"/>
        <w:autoSpaceDE w:val="0"/>
        <w:autoSpaceDN w:val="0"/>
        <w:bidi w:val="0"/>
        <w:adjustRightInd/>
        <w:spacing w:line="590" w:lineRule="exact"/>
        <w:ind w:firstLine="640" w:firstLineChars="200"/>
        <w:textAlignment w:val="top"/>
        <w:rPr>
          <w:rFonts w:hint="eastAsia" w:ascii="方正黑体_GBK" w:hAnsi="方正黑体_GBK" w:eastAsia="方正黑体_GBK" w:cs="方正黑体_GBK"/>
          <w:color w:val="auto"/>
          <w:sz w:val="32"/>
          <w:highlight w:val="none"/>
          <w:lang w:eastAsia="zh-CN"/>
        </w:rPr>
      </w:pPr>
      <w:r>
        <w:rPr>
          <w:rFonts w:hint="eastAsia" w:ascii="方正黑体_GBK" w:hAnsi="方正黑体_GBK" w:eastAsia="方正黑体_GBK" w:cs="方正黑体_GBK"/>
          <w:color w:val="auto"/>
          <w:sz w:val="32"/>
          <w:highlight w:val="none"/>
        </w:rPr>
        <w:t>三、</w:t>
      </w:r>
      <w:r>
        <w:rPr>
          <w:rFonts w:hint="eastAsia" w:ascii="方正黑体_GBK" w:hAnsi="方正黑体_GBK" w:eastAsia="方正黑体_GBK" w:cs="方正黑体_GBK"/>
          <w:color w:val="auto"/>
          <w:sz w:val="32"/>
          <w:highlight w:val="none"/>
          <w:lang w:eastAsia="zh-CN"/>
        </w:rPr>
        <w:t>其它要求</w:t>
      </w:r>
    </w:p>
    <w:p w14:paraId="24C6090C">
      <w:pPr>
        <w:keepNext w:val="0"/>
        <w:keepLines w:val="0"/>
        <w:pageBreakBefore w:val="0"/>
        <w:widowControl/>
        <w:kinsoku/>
        <w:wordWrap/>
        <w:overflowPunct/>
        <w:topLinePunct w:val="0"/>
        <w:autoSpaceDE w:val="0"/>
        <w:autoSpaceDN w:val="0"/>
        <w:bidi w:val="0"/>
        <w:adjustRightInd/>
        <w:spacing w:line="590" w:lineRule="exact"/>
        <w:ind w:firstLine="640" w:firstLineChars="200"/>
        <w:textAlignment w:val="top"/>
        <w:rPr>
          <w:rFonts w:hint="default" w:ascii="Times New Roman" w:hAnsi="Times New Roman" w:eastAsia="方正黑体_GBK" w:cs="Times New Roman"/>
          <w:sz w:val="32"/>
          <w:szCs w:val="32"/>
          <w:highlight w:val="none"/>
          <w:lang w:val="en-US" w:eastAsia="zh-CN"/>
        </w:rPr>
      </w:pPr>
      <w:r>
        <w:rPr>
          <w:rFonts w:hint="eastAsia" w:eastAsia="方正仿宋_GBK" w:cs="Times New Roman"/>
          <w:sz w:val="32"/>
          <w:szCs w:val="32"/>
          <w:highlight w:val="none"/>
          <w:lang w:eastAsia="zh-CN"/>
        </w:rPr>
        <w:t>（一）</w:t>
      </w:r>
      <w:r>
        <w:rPr>
          <w:rFonts w:hint="default" w:ascii="Times New Roman" w:hAnsi="Times New Roman" w:eastAsia="方正仿宋_GBK" w:cs="Times New Roman"/>
          <w:sz w:val="32"/>
          <w:szCs w:val="32"/>
          <w:highlight w:val="none"/>
        </w:rPr>
        <w:t>如项目建设和运行需要取得其他行政许可或办理相关手续的，你</w:t>
      </w:r>
      <w:r>
        <w:rPr>
          <w:rFonts w:hint="eastAsia" w:eastAsia="方正仿宋_GBK" w:cs="Times New Roman"/>
          <w:sz w:val="32"/>
          <w:szCs w:val="32"/>
          <w:highlight w:val="none"/>
          <w:lang w:eastAsia="zh-CN"/>
        </w:rPr>
        <w:t>公司</w:t>
      </w:r>
      <w:r>
        <w:rPr>
          <w:rFonts w:hint="default" w:ascii="Times New Roman" w:hAnsi="Times New Roman" w:eastAsia="方正仿宋_GBK" w:cs="Times New Roman"/>
          <w:sz w:val="32"/>
          <w:szCs w:val="32"/>
          <w:highlight w:val="none"/>
        </w:rPr>
        <w:t>应按规定办理审批等其他手续后方能开工建设或运行，并结合主管部门意见，进一步完善相关保护措施。</w:t>
      </w:r>
    </w:p>
    <w:p w14:paraId="69515245">
      <w:pPr>
        <w:keepNext w:val="0"/>
        <w:keepLines w:val="0"/>
        <w:pageBreakBefore w:val="0"/>
        <w:widowControl/>
        <w:kinsoku/>
        <w:wordWrap/>
        <w:overflowPunct/>
        <w:topLinePunct w:val="0"/>
        <w:autoSpaceDE w:val="0"/>
        <w:autoSpaceDN w:val="0"/>
        <w:bidi w:val="0"/>
        <w:adjustRightInd/>
        <w:spacing w:line="590" w:lineRule="exact"/>
        <w:ind w:firstLine="640" w:firstLineChars="200"/>
        <w:textAlignment w:val="top"/>
        <w:rPr>
          <w:rFonts w:hint="eastAsia"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（二）</w:t>
      </w:r>
      <w:r>
        <w:rPr>
          <w:rFonts w:hint="default" w:ascii="Times New Roman" w:hAnsi="Times New Roman" w:eastAsia="方正仿宋_GBK" w:cs="Times New Roman"/>
          <w:sz w:val="32"/>
          <w:szCs w:val="32"/>
          <w:highlight w:val="none"/>
          <w:lang w:val="en-US" w:eastAsia="zh-CN"/>
        </w:rPr>
        <w:t>你公司应落实生态环境保护主体责任，建立内部生态环境管理机制，明确机构、人员、职责和制度，加强生态环境管理，推进各项生态环境保护措施落实；项目建设必须严格执行配套建设的环境保护设施与主体工程同时设计、同时施工、同时投产使用的</w:t>
      </w:r>
      <w:r>
        <w:rPr>
          <w:rFonts w:hint="default" w:ascii="Times New Roman" w:hAnsi="Times New Roman" w:eastAsia="方正仿宋_GBK" w:cs="Times New Roman"/>
          <w:smallCaps w:val="0"/>
          <w:color w:val="auto"/>
          <w:sz w:val="32"/>
          <w:szCs w:val="32"/>
          <w:highlight w:val="none"/>
        </w:rPr>
        <w:t>环境保护</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三同时</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制度；项目正式投运前，应当按照规定的标准和程序，自行组织开展竣工环境保护验收，公开相关信息，经验收合格后方可正式投入</w:t>
      </w:r>
      <w:r>
        <w:rPr>
          <w:rFonts w:hint="eastAsia" w:ascii="Times New Roman" w:hAnsi="Times New Roman" w:eastAsia="方正仿宋_GBK" w:cs="Times New Roman"/>
          <w:sz w:val="32"/>
          <w:szCs w:val="32"/>
          <w:highlight w:val="none"/>
          <w:lang w:val="en-US" w:eastAsia="zh-CN"/>
        </w:rPr>
        <w:t>运行</w:t>
      </w:r>
      <w:r>
        <w:rPr>
          <w:rFonts w:hint="default" w:ascii="Times New Roman" w:hAnsi="Times New Roman" w:eastAsia="方正仿宋_GBK" w:cs="Times New Roman"/>
          <w:sz w:val="32"/>
          <w:szCs w:val="32"/>
          <w:highlight w:val="none"/>
          <w:lang w:val="en-US" w:eastAsia="zh-CN"/>
        </w:rPr>
        <w:t>。</w:t>
      </w:r>
    </w:p>
    <w:p w14:paraId="57CD26D3">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（三）</w:t>
      </w:r>
      <w:r>
        <w:rPr>
          <w:rFonts w:hint="default" w:ascii="Times New Roman" w:hAnsi="Times New Roman" w:eastAsia="方正仿宋_GBK" w:cs="Times New Roman"/>
          <w:sz w:val="32"/>
          <w:szCs w:val="32"/>
          <w:highlight w:val="none"/>
          <w:lang w:val="en-US" w:eastAsia="zh-CN"/>
        </w:rPr>
        <w:t>《报告表》经批准后，如工程的性质、规模、工艺、地点或者防治污染、防止生态破坏的措施发生重大变动的，应当重新报批环境影响评价文件。《报告表》自批准之日起满5年，建设项目方开工建设</w:t>
      </w:r>
      <w:r>
        <w:rPr>
          <w:rFonts w:hint="eastAsia" w:ascii="Times New Roman" w:hAnsi="Times New Roman" w:eastAsia="方正仿宋_GBK" w:cs="Times New Roman"/>
          <w:sz w:val="32"/>
          <w:szCs w:val="32"/>
          <w:highlight w:val="none"/>
          <w:lang w:val="en-US" w:eastAsia="zh-CN"/>
        </w:rPr>
        <w:t>的</w:t>
      </w:r>
      <w:r>
        <w:rPr>
          <w:rFonts w:hint="default" w:ascii="Times New Roman" w:hAnsi="Times New Roman" w:eastAsia="方正仿宋_GBK" w:cs="Times New Roman"/>
          <w:sz w:val="32"/>
          <w:szCs w:val="32"/>
          <w:highlight w:val="none"/>
          <w:lang w:val="en-US" w:eastAsia="zh-CN"/>
        </w:rPr>
        <w:t>，《报告表》应当报我局重新审核。</w:t>
      </w:r>
    </w:p>
    <w:p w14:paraId="4D398B6A">
      <w:pPr>
        <w:keepNext w:val="0"/>
        <w:keepLines w:val="0"/>
        <w:pageBreakBefore w:val="0"/>
        <w:widowControl/>
        <w:kinsoku/>
        <w:wordWrap/>
        <w:overflowPunct/>
        <w:topLinePunct w:val="0"/>
        <w:autoSpaceDE w:val="0"/>
        <w:autoSpaceDN w:val="0"/>
        <w:bidi w:val="0"/>
        <w:adjustRightInd/>
        <w:spacing w:line="590" w:lineRule="exact"/>
        <w:ind w:firstLine="640" w:firstLineChars="200"/>
        <w:textAlignment w:val="top"/>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（四）</w:t>
      </w:r>
      <w:r>
        <w:rPr>
          <w:rFonts w:hint="default" w:ascii="Times New Roman" w:hAnsi="Times New Roman" w:eastAsia="方正仿宋_GBK" w:cs="Times New Roman"/>
          <w:sz w:val="32"/>
          <w:szCs w:val="32"/>
          <w:highlight w:val="none"/>
          <w:lang w:val="en-US" w:eastAsia="zh-CN"/>
        </w:rPr>
        <w:t>玉溪市生态环境保护综合行政执法支队、玉溪市生态环境局</w:t>
      </w:r>
      <w:r>
        <w:rPr>
          <w:rFonts w:hint="eastAsia" w:eastAsia="方正仿宋_GBK" w:cs="Times New Roman"/>
          <w:sz w:val="32"/>
          <w:szCs w:val="32"/>
          <w:highlight w:val="none"/>
          <w:lang w:val="en-US" w:eastAsia="zh-CN"/>
        </w:rPr>
        <w:t>华宁</w:t>
      </w:r>
      <w:r>
        <w:rPr>
          <w:rFonts w:hint="default" w:ascii="Times New Roman" w:hAnsi="Times New Roman" w:eastAsia="方正仿宋_GBK" w:cs="Times New Roman"/>
          <w:sz w:val="32"/>
          <w:szCs w:val="32"/>
          <w:highlight w:val="none"/>
          <w:lang w:val="en-US" w:eastAsia="zh-CN"/>
        </w:rPr>
        <w:t>分局要切实承担事中事后监管责任，履行属地监管职责，按照相关法律法规及《关于进一步完善建设项目环境保护</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三同时</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及竣工环境保护自主验收监管工作机制的意见》（环执法〔2021〕70号）要求，加强对该项目环境保护</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三同时</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及自主验收的监管。</w:t>
      </w:r>
    </w:p>
    <w:p w14:paraId="2BBC6D9A">
      <w:pPr>
        <w:pStyle w:val="2"/>
        <w:rPr>
          <w:rFonts w:hint="default" w:ascii="Times New Roman" w:hAnsi="Times New Roman" w:eastAsia="方正仿宋_GBK" w:cs="Times New Roman"/>
          <w:sz w:val="32"/>
          <w:szCs w:val="32"/>
          <w:highlight w:val="none"/>
          <w:lang w:val="en-US" w:eastAsia="zh-CN"/>
        </w:rPr>
      </w:pPr>
    </w:p>
    <w:p w14:paraId="7C90884B">
      <w:pPr>
        <w:pStyle w:val="2"/>
        <w:rPr>
          <w:rFonts w:hint="default" w:ascii="Times New Roman" w:hAnsi="Times New Roman" w:eastAsia="方正仿宋_GBK" w:cs="Times New Roman"/>
          <w:sz w:val="32"/>
          <w:szCs w:val="32"/>
          <w:highlight w:val="none"/>
          <w:lang w:val="en-US" w:eastAsia="zh-CN"/>
        </w:rPr>
      </w:pPr>
    </w:p>
    <w:p w14:paraId="1ABBA12A">
      <w:pPr>
        <w:pStyle w:val="2"/>
        <w:rPr>
          <w:rFonts w:hint="default" w:ascii="Times New Roman" w:hAnsi="Times New Roman" w:eastAsia="方正仿宋_GBK" w:cs="Times New Roman"/>
          <w:sz w:val="32"/>
          <w:szCs w:val="32"/>
          <w:highlight w:val="none"/>
          <w:lang w:val="en-US" w:eastAsia="zh-CN"/>
        </w:rPr>
      </w:pPr>
    </w:p>
    <w:p w14:paraId="30E17FAC">
      <w:pPr>
        <w:pStyle w:val="2"/>
        <w:rPr>
          <w:rFonts w:hint="default" w:ascii="Times New Roman" w:hAnsi="Times New Roman" w:eastAsia="方正仿宋_GBK" w:cs="Times New Roman"/>
          <w:sz w:val="32"/>
          <w:szCs w:val="32"/>
          <w:highlight w:val="none"/>
          <w:lang w:val="en-US" w:eastAsia="zh-CN"/>
        </w:rPr>
      </w:pPr>
    </w:p>
    <w:p w14:paraId="7C84F156">
      <w:pPr>
        <w:keepNext w:val="0"/>
        <w:keepLines w:val="0"/>
        <w:pageBreakBefore w:val="0"/>
        <w:widowControl/>
        <w:kinsoku/>
        <w:wordWrap/>
        <w:overflowPunct/>
        <w:topLinePunct w:val="0"/>
        <w:autoSpaceDE w:val="0"/>
        <w:autoSpaceDN w:val="0"/>
        <w:bidi w:val="0"/>
        <w:adjustRightInd/>
        <w:snapToGrid w:val="0"/>
        <w:spacing w:line="590" w:lineRule="exact"/>
        <w:textAlignment w:val="top"/>
        <w:rPr>
          <w:rFonts w:eastAsia="方正仿宋_GBK"/>
          <w:bCs/>
          <w:color w:val="auto"/>
          <w:kern w:val="0"/>
          <w:sz w:val="32"/>
          <w:szCs w:val="32"/>
          <w:highlight w:val="none"/>
        </w:rPr>
      </w:pPr>
      <w:r>
        <w:rPr>
          <w:rFonts w:eastAsia="方正仿宋_GBK"/>
          <w:bCs/>
          <w:color w:val="auto"/>
          <w:kern w:val="0"/>
          <w:sz w:val="32"/>
          <w:szCs w:val="32"/>
          <w:highlight w:val="none"/>
        </w:rPr>
        <w:t xml:space="preserve">                               </w:t>
      </w:r>
      <w:r>
        <w:rPr>
          <w:rFonts w:hint="eastAsia" w:eastAsia="方正仿宋_GBK"/>
          <w:bCs/>
          <w:color w:val="auto"/>
          <w:kern w:val="0"/>
          <w:sz w:val="32"/>
          <w:szCs w:val="32"/>
          <w:highlight w:val="none"/>
          <w:lang w:val="en-US" w:eastAsia="zh-CN"/>
        </w:rPr>
        <w:t xml:space="preserve"> </w:t>
      </w:r>
      <w:r>
        <w:rPr>
          <w:rFonts w:eastAsia="方正仿宋_GBK"/>
          <w:bCs/>
          <w:color w:val="auto"/>
          <w:kern w:val="0"/>
          <w:sz w:val="32"/>
          <w:szCs w:val="32"/>
          <w:highlight w:val="none"/>
        </w:rPr>
        <w:t>202</w:t>
      </w:r>
      <w:r>
        <w:rPr>
          <w:rFonts w:hint="eastAsia" w:eastAsia="方正仿宋_GBK"/>
          <w:bCs/>
          <w:color w:val="auto"/>
          <w:kern w:val="0"/>
          <w:sz w:val="32"/>
          <w:szCs w:val="32"/>
          <w:highlight w:val="none"/>
          <w:lang w:val="en-US" w:eastAsia="zh-CN"/>
        </w:rPr>
        <w:t>6</w:t>
      </w:r>
      <w:r>
        <w:rPr>
          <w:rFonts w:eastAsia="方正仿宋_GBK"/>
          <w:bCs/>
          <w:color w:val="auto"/>
          <w:kern w:val="0"/>
          <w:sz w:val="32"/>
          <w:szCs w:val="32"/>
          <w:highlight w:val="none"/>
        </w:rPr>
        <w:t>年</w:t>
      </w:r>
      <w:r>
        <w:rPr>
          <w:rFonts w:hint="eastAsia" w:eastAsia="方正仿宋_GBK"/>
          <w:bCs/>
          <w:color w:val="auto"/>
          <w:kern w:val="0"/>
          <w:sz w:val="32"/>
          <w:szCs w:val="32"/>
          <w:highlight w:val="none"/>
          <w:lang w:val="en-US" w:eastAsia="zh-CN"/>
        </w:rPr>
        <w:t>6</w:t>
      </w:r>
      <w:r>
        <w:rPr>
          <w:rFonts w:eastAsia="方正仿宋_GBK"/>
          <w:bCs/>
          <w:color w:val="auto"/>
          <w:kern w:val="0"/>
          <w:sz w:val="32"/>
          <w:szCs w:val="32"/>
          <w:highlight w:val="none"/>
        </w:rPr>
        <w:t>月</w:t>
      </w:r>
      <w:r>
        <w:rPr>
          <w:rFonts w:hint="eastAsia" w:eastAsia="方正仿宋_GBK"/>
          <w:bCs/>
          <w:color w:val="auto"/>
          <w:kern w:val="0"/>
          <w:sz w:val="32"/>
          <w:szCs w:val="32"/>
          <w:highlight w:val="none"/>
          <w:lang w:val="en-US" w:eastAsia="zh-CN"/>
        </w:rPr>
        <w:t xml:space="preserve"> </w:t>
      </w:r>
      <w:r>
        <w:rPr>
          <w:rFonts w:eastAsia="方正仿宋_GBK"/>
          <w:bCs/>
          <w:color w:val="auto"/>
          <w:kern w:val="0"/>
          <w:sz w:val="32"/>
          <w:szCs w:val="32"/>
          <w:highlight w:val="none"/>
        </w:rPr>
        <w:t>日</w:t>
      </w:r>
    </w:p>
    <w:p w14:paraId="56000C6E">
      <w:pPr>
        <w:pStyle w:val="2"/>
        <w:rPr>
          <w:rFonts w:eastAsia="方正仿宋_GBK"/>
          <w:bCs/>
          <w:color w:val="auto"/>
          <w:kern w:val="0"/>
          <w:sz w:val="32"/>
          <w:szCs w:val="32"/>
          <w:highlight w:val="none"/>
        </w:rPr>
      </w:pPr>
    </w:p>
    <w:p w14:paraId="53017EEA">
      <w:pPr>
        <w:pStyle w:val="2"/>
        <w:rPr>
          <w:rFonts w:eastAsia="方正仿宋_GBK"/>
          <w:bCs/>
          <w:color w:val="auto"/>
          <w:kern w:val="0"/>
          <w:sz w:val="32"/>
          <w:szCs w:val="32"/>
          <w:highlight w:val="none"/>
        </w:rPr>
      </w:pPr>
      <w:bookmarkStart w:id="0" w:name="_GoBack"/>
      <w:bookmarkEnd w:id="0"/>
    </w:p>
    <w:p w14:paraId="2E3BFEB3">
      <w:pPr>
        <w:pStyle w:val="2"/>
        <w:rPr>
          <w:rFonts w:eastAsia="方正仿宋_GBK"/>
          <w:bCs/>
          <w:color w:val="auto"/>
          <w:kern w:val="0"/>
          <w:sz w:val="32"/>
          <w:szCs w:val="32"/>
          <w:highlight w:val="none"/>
        </w:rPr>
      </w:pPr>
    </w:p>
    <w:p w14:paraId="7052BD3A">
      <w:pPr>
        <w:pStyle w:val="2"/>
        <w:rPr>
          <w:rFonts w:eastAsia="方正仿宋_GBK"/>
          <w:bCs/>
          <w:color w:val="auto"/>
          <w:kern w:val="0"/>
          <w:sz w:val="32"/>
          <w:szCs w:val="32"/>
          <w:highlight w:val="none"/>
        </w:rPr>
      </w:pPr>
    </w:p>
    <w:sectPr>
      <w:headerReference r:id="rId3" w:type="default"/>
      <w:footerReference r:id="rId4" w:type="default"/>
      <w:footerReference r:id="rId5" w:type="even"/>
      <w:pgSz w:w="11906" w:h="16838"/>
      <w:pgMar w:top="1814" w:right="1474" w:bottom="1588" w:left="1588" w:header="1361" w:footer="119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oúì.">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BBBB">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48995" cy="519430"/>
              <wp:effectExtent l="0" t="0" r="0" b="0"/>
              <wp:wrapNone/>
              <wp:docPr id="4" name="文本框 2049"/>
              <wp:cNvGraphicFramePr/>
              <a:graphic xmlns:a="http://schemas.openxmlformats.org/drawingml/2006/main">
                <a:graphicData uri="http://schemas.microsoft.com/office/word/2010/wordprocessingShape">
                  <wps:wsp>
                    <wps:cNvSpPr txBox="1"/>
                    <wps:spPr>
                      <a:xfrm>
                        <a:off x="0" y="0"/>
                        <a:ext cx="848995" cy="519430"/>
                      </a:xfrm>
                      <a:prstGeom prst="rect">
                        <a:avLst/>
                      </a:prstGeom>
                      <a:noFill/>
                      <a:ln>
                        <a:noFill/>
                      </a:ln>
                      <a:effectLst/>
                    </wps:spPr>
                    <wps:txbx>
                      <w:txbxContent>
                        <w:p w14:paraId="3C26F05A">
                          <w:pPr>
                            <w:pStyle w:val="1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lIns="0" tIns="0" rIns="0" bIns="0" upright="1">
                      <a:spAutoFit/>
                    </wps:bodyPr>
                  </wps:wsp>
                </a:graphicData>
              </a:graphic>
            </wp:anchor>
          </w:drawing>
        </mc:Choice>
        <mc:Fallback>
          <w:pict>
            <v:shape id="文本框 2049" o:spid="_x0000_s1026" o:spt="202" type="#_x0000_t202" style="position:absolute;left:0pt;margin-top:0pt;height:40.9pt;width:66.85pt;mso-position-horizontal:outside;mso-position-horizontal-relative:margin;z-index:251659264;mso-width-relative:page;mso-height-relative:page;" filled="f" stroked="f" coordsize="21600,21600" o:gfxdata="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b52x3TAAAABAEAAA8AAAAAAAAAAQAgAAAAIgAAAGRycy9k&#10;b3ducmV2LnhtbFBLAQIUABQAAAAIAIdO4kBdY7R3zgEAAJwDAAAOAAAAAAAAAAEAIAAAACIBAABk&#10;cnMvZTJvRG9jLnhtbFBLBQYAAAAABgAGAFkBAABiBQAAAAA=&#10;">
              <v:fill on="f" focussize="0,0"/>
              <v:stroke on="f"/>
              <v:imagedata o:title=""/>
              <o:lock v:ext="edit" aspectratio="f"/>
              <v:textbox inset="0mm,0mm,0mm,0mm" style="mso-fit-shape-to-text:t;">
                <w:txbxContent>
                  <w:p w14:paraId="3C26F05A">
                    <w:pPr>
                      <w:pStyle w:val="1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1444E">
    <w:pPr>
      <w:pStyle w:val="12"/>
      <w:framePr w:wrap="around" w:vAnchor="text" w:hAnchor="margin" w:xAlign="center" w:y="1"/>
      <w:rPr>
        <w:rStyle w:val="18"/>
      </w:rPr>
    </w:pPr>
    <w:r>
      <w:fldChar w:fldCharType="begin"/>
    </w:r>
    <w:r>
      <w:rPr>
        <w:rStyle w:val="18"/>
      </w:rPr>
      <w:instrText xml:space="preserve">PAGE  </w:instrText>
    </w:r>
    <w:r>
      <w:fldChar w:fldCharType="end"/>
    </w:r>
  </w:p>
  <w:p w14:paraId="1F39DC76">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30B24">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NzFjOTljZmI2NGY1M2JhNTcwZTAxZjE1MDQwYmUifQ=="/>
  </w:docVars>
  <w:rsids>
    <w:rsidRoot w:val="FFFFBAA6"/>
    <w:rsid w:val="0004467B"/>
    <w:rsid w:val="00105460"/>
    <w:rsid w:val="0019182A"/>
    <w:rsid w:val="001C6B0F"/>
    <w:rsid w:val="002C232A"/>
    <w:rsid w:val="0032795B"/>
    <w:rsid w:val="00510665"/>
    <w:rsid w:val="005141AC"/>
    <w:rsid w:val="005204FA"/>
    <w:rsid w:val="005B6A98"/>
    <w:rsid w:val="005C702D"/>
    <w:rsid w:val="006223D8"/>
    <w:rsid w:val="00652F74"/>
    <w:rsid w:val="0069444D"/>
    <w:rsid w:val="006B5D95"/>
    <w:rsid w:val="006D0343"/>
    <w:rsid w:val="006F277F"/>
    <w:rsid w:val="008471D6"/>
    <w:rsid w:val="00852A90"/>
    <w:rsid w:val="00872787"/>
    <w:rsid w:val="00887AD0"/>
    <w:rsid w:val="00893870"/>
    <w:rsid w:val="009479DD"/>
    <w:rsid w:val="00970F1B"/>
    <w:rsid w:val="009E09DC"/>
    <w:rsid w:val="009E482C"/>
    <w:rsid w:val="00A356A7"/>
    <w:rsid w:val="00AC1ADE"/>
    <w:rsid w:val="00B221A3"/>
    <w:rsid w:val="00B251C8"/>
    <w:rsid w:val="00CE6C63"/>
    <w:rsid w:val="00D20A03"/>
    <w:rsid w:val="00DC1A15"/>
    <w:rsid w:val="00E8155B"/>
    <w:rsid w:val="00ED01DF"/>
    <w:rsid w:val="00F572AE"/>
    <w:rsid w:val="00FA0DE0"/>
    <w:rsid w:val="00FC40F3"/>
    <w:rsid w:val="01A5431E"/>
    <w:rsid w:val="02973E45"/>
    <w:rsid w:val="030C5A8C"/>
    <w:rsid w:val="036F7AE7"/>
    <w:rsid w:val="05291D36"/>
    <w:rsid w:val="05D272A1"/>
    <w:rsid w:val="05E42829"/>
    <w:rsid w:val="085D6AB9"/>
    <w:rsid w:val="0990577C"/>
    <w:rsid w:val="0AAB068B"/>
    <w:rsid w:val="0B1E1A79"/>
    <w:rsid w:val="0B223ED3"/>
    <w:rsid w:val="0B50653F"/>
    <w:rsid w:val="0BC10D08"/>
    <w:rsid w:val="0C1408D8"/>
    <w:rsid w:val="0F6851C6"/>
    <w:rsid w:val="0F906878"/>
    <w:rsid w:val="11303E0E"/>
    <w:rsid w:val="116A1778"/>
    <w:rsid w:val="11C07049"/>
    <w:rsid w:val="129E238A"/>
    <w:rsid w:val="12CF264F"/>
    <w:rsid w:val="165F6C25"/>
    <w:rsid w:val="19FB77DC"/>
    <w:rsid w:val="1A323D9B"/>
    <w:rsid w:val="1ADD2620"/>
    <w:rsid w:val="1B001F54"/>
    <w:rsid w:val="1B7F258B"/>
    <w:rsid w:val="202D3756"/>
    <w:rsid w:val="214D0565"/>
    <w:rsid w:val="222D3195"/>
    <w:rsid w:val="22951858"/>
    <w:rsid w:val="2299300E"/>
    <w:rsid w:val="23EA1528"/>
    <w:rsid w:val="2554170B"/>
    <w:rsid w:val="25ED38E1"/>
    <w:rsid w:val="27166BAC"/>
    <w:rsid w:val="2B263408"/>
    <w:rsid w:val="2BAF0C02"/>
    <w:rsid w:val="2C981B28"/>
    <w:rsid w:val="2CBE32BE"/>
    <w:rsid w:val="2CFF5B7D"/>
    <w:rsid w:val="2E5C271C"/>
    <w:rsid w:val="2E685D6E"/>
    <w:rsid w:val="32B04CFB"/>
    <w:rsid w:val="337FE5CA"/>
    <w:rsid w:val="363C7800"/>
    <w:rsid w:val="399D6B03"/>
    <w:rsid w:val="3B06084D"/>
    <w:rsid w:val="3B0E09E5"/>
    <w:rsid w:val="3BEF0A10"/>
    <w:rsid w:val="3C1557B6"/>
    <w:rsid w:val="3E593F35"/>
    <w:rsid w:val="3E80261B"/>
    <w:rsid w:val="3F2E61B7"/>
    <w:rsid w:val="3F7E037C"/>
    <w:rsid w:val="3FEF618F"/>
    <w:rsid w:val="41727F97"/>
    <w:rsid w:val="4379373F"/>
    <w:rsid w:val="439567FD"/>
    <w:rsid w:val="443936BE"/>
    <w:rsid w:val="45A73923"/>
    <w:rsid w:val="46665DE7"/>
    <w:rsid w:val="49B20AE1"/>
    <w:rsid w:val="4A393643"/>
    <w:rsid w:val="4AED5915"/>
    <w:rsid w:val="4B9F605C"/>
    <w:rsid w:val="4BBE132D"/>
    <w:rsid w:val="4C4111B6"/>
    <w:rsid w:val="4C6F7604"/>
    <w:rsid w:val="4D8647C8"/>
    <w:rsid w:val="4E95018F"/>
    <w:rsid w:val="50466D87"/>
    <w:rsid w:val="50E63583"/>
    <w:rsid w:val="51B643F6"/>
    <w:rsid w:val="52EA4A9A"/>
    <w:rsid w:val="55006055"/>
    <w:rsid w:val="559B388A"/>
    <w:rsid w:val="56310FE7"/>
    <w:rsid w:val="569F1961"/>
    <w:rsid w:val="59AC5F8A"/>
    <w:rsid w:val="5B5A22BC"/>
    <w:rsid w:val="5B9B465A"/>
    <w:rsid w:val="5BA33255"/>
    <w:rsid w:val="5BD412A0"/>
    <w:rsid w:val="5D3679C4"/>
    <w:rsid w:val="6108588D"/>
    <w:rsid w:val="629E385E"/>
    <w:rsid w:val="63C1051F"/>
    <w:rsid w:val="66CB18D8"/>
    <w:rsid w:val="68787996"/>
    <w:rsid w:val="68CF7577"/>
    <w:rsid w:val="69830EF4"/>
    <w:rsid w:val="6B080AA9"/>
    <w:rsid w:val="6BDEC942"/>
    <w:rsid w:val="6DA833E5"/>
    <w:rsid w:val="6E1C74D3"/>
    <w:rsid w:val="70B54176"/>
    <w:rsid w:val="71D676BA"/>
    <w:rsid w:val="72435799"/>
    <w:rsid w:val="737F06EF"/>
    <w:rsid w:val="73D8221A"/>
    <w:rsid w:val="752F6F4B"/>
    <w:rsid w:val="760C24D1"/>
    <w:rsid w:val="76A63885"/>
    <w:rsid w:val="7776CE4A"/>
    <w:rsid w:val="796939F9"/>
    <w:rsid w:val="7B081D9E"/>
    <w:rsid w:val="7BBC2287"/>
    <w:rsid w:val="7C644921"/>
    <w:rsid w:val="7CCF6B6D"/>
    <w:rsid w:val="7D8C38A7"/>
    <w:rsid w:val="7FA9139F"/>
    <w:rsid w:val="7FCF7385"/>
    <w:rsid w:val="7FFA3DDD"/>
    <w:rsid w:val="7FFDBCFA"/>
    <w:rsid w:val="8FEF2F52"/>
    <w:rsid w:val="99FB39AD"/>
    <w:rsid w:val="BFFB10EA"/>
    <w:rsid w:val="D7EFDC95"/>
    <w:rsid w:val="FFF72612"/>
    <w:rsid w:val="FFFFBA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jc w:val="center"/>
      <w:outlineLvl w:val="1"/>
    </w:pPr>
    <w:rPr>
      <w:sz w:val="24"/>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Cs w:val="20"/>
    </w:rPr>
  </w:style>
  <w:style w:type="paragraph" w:styleId="5">
    <w:name w:val="toa heading"/>
    <w:basedOn w:val="1"/>
    <w:next w:val="1"/>
    <w:qFormat/>
    <w:uiPriority w:val="0"/>
    <w:pPr>
      <w:spacing w:before="120"/>
    </w:pPr>
    <w:rPr>
      <w:rFonts w:ascii="Cambria" w:hAnsi="Cambria"/>
    </w:rPr>
  </w:style>
  <w:style w:type="paragraph" w:styleId="6">
    <w:name w:val="annotation text"/>
    <w:basedOn w:val="1"/>
    <w:qFormat/>
    <w:uiPriority w:val="0"/>
    <w:pPr>
      <w:jc w:val="left"/>
    </w:pPr>
  </w:style>
  <w:style w:type="paragraph" w:styleId="7">
    <w:name w:val="Body Text Indent"/>
    <w:basedOn w:val="1"/>
    <w:next w:val="8"/>
    <w:qFormat/>
    <w:uiPriority w:val="0"/>
    <w:pPr>
      <w:spacing w:line="0" w:lineRule="atLeast"/>
      <w:ind w:firstLine="527" w:firstLineChars="200"/>
    </w:pPr>
    <w:rPr>
      <w:rFonts w:ascii="仿宋_GB2312" w:eastAsia="仿宋_GB2312"/>
      <w:sz w:val="28"/>
    </w:rPr>
  </w:style>
  <w:style w:type="paragraph" w:styleId="8">
    <w:name w:val="Body Text First Indent 2"/>
    <w:basedOn w:val="7"/>
    <w:next w:val="9"/>
    <w:qFormat/>
    <w:uiPriority w:val="0"/>
    <w:pPr>
      <w:ind w:firstLine="420"/>
    </w:pPr>
  </w:style>
  <w:style w:type="paragraph" w:styleId="9">
    <w:name w:val="Body Text First Indent"/>
    <w:basedOn w:val="2"/>
    <w:next w:val="1"/>
    <w:qFormat/>
    <w:uiPriority w:val="0"/>
    <w:pPr>
      <w:ind w:firstLine="420" w:firstLineChars="100"/>
    </w:pPr>
  </w:style>
  <w:style w:type="paragraph" w:styleId="10">
    <w:name w:val="Plain Text"/>
    <w:basedOn w:val="1"/>
    <w:next w:val="11"/>
    <w:qFormat/>
    <w:uiPriority w:val="99"/>
    <w:rPr>
      <w:rFonts w:ascii="宋体" w:hAnsi="Courier New"/>
      <w:szCs w:val="20"/>
    </w:rPr>
  </w:style>
  <w:style w:type="paragraph" w:customStyle="1" w:styleId="11">
    <w:name w:val="Default"/>
    <w:qFormat/>
    <w:uiPriority w:val="99"/>
    <w:pPr>
      <w:widowControl w:val="0"/>
      <w:autoSpaceDE w:val="0"/>
      <w:autoSpaceDN w:val="0"/>
      <w:adjustRightInd w:val="0"/>
    </w:pPr>
    <w:rPr>
      <w:rFonts w:ascii="oúì." w:hAnsi="Times New Roman" w:eastAsia="oúì." w:cs="oúì."/>
      <w:color w:val="000000"/>
      <w:sz w:val="24"/>
      <w:szCs w:val="24"/>
      <w:lang w:val="en-US" w:eastAsia="zh-CN" w:bidi="ar-SA"/>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next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4">
    <w:name w:val="正文1"/>
    <w:basedOn w:val="1"/>
    <w:qFormat/>
    <w:uiPriority w:val="0"/>
    <w:pPr>
      <w:spacing w:line="360" w:lineRule="auto"/>
      <w:ind w:firstLine="200" w:firstLineChars="200"/>
      <w:jc w:val="left"/>
    </w:pPr>
    <w:rPr>
      <w:sz w:val="24"/>
    </w:rPr>
  </w:style>
  <w:style w:type="paragraph" w:styleId="15">
    <w:name w:val="Normal (Web)"/>
    <w:basedOn w:val="1"/>
    <w:qFormat/>
    <w:uiPriority w:val="0"/>
    <w:pPr>
      <w:spacing w:beforeAutospacing="1" w:afterAutospacing="1"/>
      <w:jc w:val="left"/>
    </w:pPr>
    <w:rPr>
      <w:kern w:val="0"/>
      <w:sz w:val="24"/>
    </w:rPr>
  </w:style>
  <w:style w:type="character" w:styleId="18">
    <w:name w:val="page number"/>
    <w:basedOn w:val="17"/>
    <w:qFormat/>
    <w:uiPriority w:val="0"/>
  </w:style>
  <w:style w:type="paragraph" w:customStyle="1" w:styleId="19">
    <w:name w:val="Normal Indent1"/>
    <w:basedOn w:val="1"/>
    <w:qFormat/>
    <w:uiPriority w:val="0"/>
    <w:pPr>
      <w:ind w:firstLine="420" w:firstLineChars="200"/>
    </w:pPr>
    <w:rPr>
      <w:szCs w:val="20"/>
    </w:rPr>
  </w:style>
  <w:style w:type="paragraph" w:customStyle="1" w:styleId="20">
    <w:name w:val="zxj正文z"/>
    <w:basedOn w:val="1"/>
    <w:qFormat/>
    <w:uiPriority w:val="0"/>
    <w:pPr>
      <w:spacing w:line="360" w:lineRule="auto"/>
      <w:ind w:firstLine="420" w:firstLineChars="200"/>
      <w:textAlignment w:val="top"/>
    </w:pPr>
    <w:rPr>
      <w:rFonts w:cstheme="minorBidi"/>
      <w:sz w:val="24"/>
      <w:szCs w:val="21"/>
    </w:rPr>
  </w:style>
  <w:style w:type="paragraph" w:customStyle="1" w:styleId="21">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22">
    <w:name w:val="内容"/>
    <w:basedOn w:val="1"/>
    <w:link w:val="23"/>
    <w:qFormat/>
    <w:uiPriority w:val="0"/>
    <w:pPr>
      <w:adjustRightInd w:val="0"/>
      <w:snapToGrid w:val="0"/>
      <w:spacing w:beforeLines="50" w:line="360" w:lineRule="auto"/>
      <w:ind w:firstLine="200" w:firstLineChars="200"/>
      <w:textAlignment w:val="center"/>
    </w:pPr>
    <w:rPr>
      <w:rFonts w:eastAsia="仿宋"/>
      <w:color w:val="000000"/>
      <w:sz w:val="28"/>
      <w:szCs w:val="28"/>
    </w:rPr>
  </w:style>
  <w:style w:type="character" w:customStyle="1" w:styleId="23">
    <w:name w:val="内容 Char"/>
    <w:link w:val="22"/>
    <w:qFormat/>
    <w:uiPriority w:val="0"/>
    <w:rPr>
      <w:rFonts w:eastAsia="仿宋"/>
      <w:color w:val="000000"/>
      <w:kern w:val="2"/>
      <w:sz w:val="28"/>
      <w:szCs w:val="28"/>
    </w:rPr>
  </w:style>
  <w:style w:type="paragraph" w:customStyle="1" w:styleId="24">
    <w:name w:val="纯文本1"/>
    <w:basedOn w:val="1"/>
    <w:qFormat/>
    <w:uiPriority w:val="0"/>
    <w:rPr>
      <w:rFonts w:ascii="宋体" w:hAnsi="Courier Ne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2288</Words>
  <Characters>2433</Characters>
  <Lines>14</Lines>
  <Paragraphs>3</Paragraphs>
  <TotalTime>45</TotalTime>
  <ScaleCrop>false</ScaleCrop>
  <LinksUpToDate>false</LinksUpToDate>
  <CharactersWithSpaces>2482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2024-03-17T05:23:00Z</dcterms:created>
  <dc:creator>Iron</dc:creator>
  <cp:lastModifiedBy>WPS_1608083393</cp:lastModifiedBy>
  <cp:lastPrinted>2026-01-29T01:07:00Z</cp:lastPrinted>
  <dcterms:modified xsi:type="dcterms:W3CDTF">2026-06-18T07:51:15Z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DACF981F0B9A46B389DEE6566A9E17A7_13</vt:lpwstr>
  </property>
  <property fmtid="{D5CDD505-2E9C-101B-9397-08002B2CF9AE}" pid="4" name="KSOTemplateDocerSaveRecord">
    <vt:lpwstr>eyJoZGlkIjoiZWI4YjcyM2E0ZTg3YjgyZjQyYTg2ZTRkMGM4ZDdhMWUiLCJ1c2VySWQiOiIxMTUyMzkwMTI4In0=</vt:lpwstr>
  </property>
</Properties>
</file>