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D610E">
      <w:pPr>
        <w:adjustRightInd w:val="0"/>
        <w:snapToGrid w:val="0"/>
        <w:jc w:val="center"/>
        <w:outlineLvl w:val="0"/>
        <w:rPr>
          <w:rFonts w:ascii="方正小标宋_GBK" w:hAnsi="Calibri" w:eastAsia="方正小标宋_GBK"/>
          <w:bCs/>
          <w:color w:val="auto"/>
          <w:sz w:val="72"/>
          <w:szCs w:val="72"/>
          <w:highlight w:val="none"/>
        </w:rPr>
      </w:pPr>
      <w:bookmarkStart w:id="0" w:name="_Toc28311"/>
      <w:r>
        <w:rPr>
          <w:rFonts w:hint="eastAsia" w:ascii="方正小标宋_GBK" w:hAnsi="Calibri" w:eastAsia="方正小标宋_GBK"/>
          <w:bCs/>
          <w:color w:val="auto"/>
          <w:sz w:val="72"/>
          <w:szCs w:val="72"/>
          <w:highlight w:val="none"/>
        </w:rPr>
        <w:t>建设项目环境影响报告表</w:t>
      </w:r>
      <w:bookmarkEnd w:id="0"/>
    </w:p>
    <w:p w14:paraId="62ED173E">
      <w:pPr>
        <w:rPr>
          <w:color w:val="auto"/>
          <w:highlight w:val="none"/>
        </w:rPr>
      </w:pPr>
    </w:p>
    <w:p w14:paraId="02A003B7">
      <w:pPr>
        <w:adjustRightInd w:val="0"/>
        <w:snapToGrid w:val="0"/>
        <w:spacing w:before="192" w:beforeLines="80"/>
        <w:jc w:val="center"/>
        <w:rPr>
          <w:rFonts w:hint="eastAsia" w:ascii="楷体_GB2312" w:hAnsi="Calibri" w:eastAsia="楷体_GB2312"/>
          <w:bCs/>
          <w:color w:val="auto"/>
          <w:sz w:val="48"/>
          <w:szCs w:val="48"/>
          <w:highlight w:val="none"/>
          <w:lang w:eastAsia="zh-CN"/>
        </w:rPr>
      </w:pPr>
      <w:r>
        <w:rPr>
          <w:rFonts w:hint="eastAsia" w:ascii="楷体_GB2312" w:hAnsi="Calibri" w:eastAsia="楷体_GB2312"/>
          <w:bCs/>
          <w:color w:val="auto"/>
          <w:sz w:val="48"/>
          <w:szCs w:val="48"/>
          <w:highlight w:val="none"/>
          <w:lang w:eastAsia="zh-CN"/>
        </w:rPr>
        <w:t>（</w:t>
      </w:r>
      <w:r>
        <w:rPr>
          <w:rFonts w:hint="eastAsia" w:ascii="楷体_GB2312" w:hAnsi="Calibri" w:eastAsia="楷体_GB2312"/>
          <w:bCs/>
          <w:color w:val="auto"/>
          <w:sz w:val="48"/>
          <w:szCs w:val="48"/>
          <w:highlight w:val="none"/>
        </w:rPr>
        <w:t>污染影响类</w:t>
      </w:r>
      <w:r>
        <w:rPr>
          <w:rFonts w:hint="eastAsia" w:ascii="楷体_GB2312" w:hAnsi="Calibri" w:eastAsia="楷体_GB2312"/>
          <w:bCs/>
          <w:color w:val="auto"/>
          <w:sz w:val="48"/>
          <w:szCs w:val="48"/>
          <w:highlight w:val="none"/>
          <w:lang w:eastAsia="zh-CN"/>
        </w:rPr>
        <w:t>）</w:t>
      </w:r>
    </w:p>
    <w:p w14:paraId="6EEDF26F">
      <w:pPr>
        <w:adjustRightInd w:val="0"/>
        <w:jc w:val="center"/>
        <w:textAlignment w:val="baseline"/>
        <w:rPr>
          <w:color w:val="auto"/>
          <w:highlight w:val="none"/>
        </w:rPr>
      </w:pPr>
    </w:p>
    <w:p w14:paraId="08633FA2">
      <w:pPr>
        <w:adjustRightInd w:val="0"/>
        <w:snapToGrid w:val="0"/>
        <w:spacing w:before="192" w:beforeLines="80"/>
        <w:jc w:val="center"/>
        <w:rPr>
          <w:rFonts w:hint="eastAsia" w:ascii="楷体_GB2312" w:hAnsi="Calibri" w:eastAsia="楷体_GB2312"/>
          <w:bCs/>
          <w:color w:val="auto"/>
          <w:sz w:val="48"/>
          <w:szCs w:val="48"/>
          <w:highlight w:val="none"/>
          <w:lang w:eastAsia="zh-CN"/>
        </w:rPr>
      </w:pPr>
    </w:p>
    <w:p w14:paraId="14089E38">
      <w:pPr>
        <w:adjustRightInd w:val="0"/>
        <w:snapToGrid w:val="0"/>
        <w:spacing w:before="192" w:beforeLines="80"/>
        <w:jc w:val="center"/>
        <w:rPr>
          <w:rFonts w:hint="eastAsia" w:ascii="楷体_GB2312" w:hAnsi="Calibri" w:eastAsia="楷体_GB2312"/>
          <w:bCs/>
          <w:color w:val="auto"/>
          <w:sz w:val="48"/>
          <w:szCs w:val="48"/>
          <w:highlight w:val="none"/>
          <w:lang w:eastAsia="zh-CN"/>
        </w:rPr>
      </w:pPr>
    </w:p>
    <w:p w14:paraId="2C5FBB46">
      <w:pPr>
        <w:adjustRightInd w:val="0"/>
        <w:snapToGrid w:val="0"/>
        <w:spacing w:before="192" w:beforeLines="80"/>
        <w:jc w:val="center"/>
        <w:rPr>
          <w:rFonts w:hint="eastAsia" w:ascii="楷体_GB2312" w:hAnsi="Calibri" w:eastAsia="楷体_GB2312"/>
          <w:bCs/>
          <w:color w:val="auto"/>
          <w:sz w:val="48"/>
          <w:szCs w:val="48"/>
          <w:highlight w:val="none"/>
          <w:lang w:eastAsia="zh-CN"/>
        </w:rPr>
      </w:pPr>
    </w:p>
    <w:p w14:paraId="2DD3729A">
      <w:pPr>
        <w:keepNext w:val="0"/>
        <w:keepLines w:val="0"/>
        <w:pageBreakBefore w:val="0"/>
        <w:widowControl w:val="0"/>
        <w:kinsoku/>
        <w:wordWrap/>
        <w:overflowPunct/>
        <w:topLinePunct w:val="0"/>
        <w:autoSpaceDE/>
        <w:autoSpaceDN/>
        <w:bidi w:val="0"/>
        <w:adjustRightInd w:val="0"/>
        <w:snapToGrid/>
        <w:spacing w:line="360" w:lineRule="auto"/>
        <w:ind w:left="2518" w:leftChars="342" w:hanging="1800" w:hangingChars="500"/>
        <w:jc w:val="both"/>
        <w:textAlignment w:val="baseline"/>
        <w:rPr>
          <w:rFonts w:ascii="仿宋_GB2312" w:hAnsi="仿宋_GB2312" w:eastAsia="仿宋_GB2312" w:cs="仿宋_GB2312"/>
          <w:color w:val="auto"/>
          <w:sz w:val="36"/>
          <w:szCs w:val="36"/>
          <w:highlight w:val="none"/>
          <w:u w:val="thick"/>
        </w:rPr>
      </w:pPr>
      <w:r>
        <w:rPr>
          <w:rFonts w:hint="eastAsia" w:ascii="仿宋_GB2312" w:hAnsi="仿宋_GB2312" w:eastAsia="仿宋_GB2312" w:cs="仿宋_GB2312"/>
          <w:color w:val="auto"/>
          <w:sz w:val="36"/>
          <w:szCs w:val="36"/>
          <w:highlight w:val="none"/>
        </w:rPr>
        <w:t>项目名称：</w:t>
      </w:r>
      <w:r>
        <w:rPr>
          <w:rFonts w:hint="eastAsia" w:ascii="仿宋_GB2312" w:hAnsi="仿宋_GB2312" w:eastAsia="仿宋_GB2312" w:cs="仿宋_GB2312"/>
          <w:color w:val="auto"/>
          <w:sz w:val="36"/>
          <w:szCs w:val="36"/>
          <w:highlight w:val="none"/>
          <w:u w:val="single"/>
        </w:rPr>
        <w:t xml:space="preserve">玉溪市新型材料环保石塑箱项目       </w:t>
      </w:r>
    </w:p>
    <w:p w14:paraId="54B28DF5">
      <w:pPr>
        <w:keepNext w:val="0"/>
        <w:keepLines w:val="0"/>
        <w:pageBreakBefore w:val="0"/>
        <w:kinsoku/>
        <w:wordWrap/>
        <w:overflowPunct/>
        <w:topLinePunct w:val="0"/>
        <w:autoSpaceDE/>
        <w:autoSpaceDN/>
        <w:bidi w:val="0"/>
        <w:adjustRightInd w:val="0"/>
        <w:snapToGrid/>
        <w:spacing w:line="360" w:lineRule="auto"/>
        <w:ind w:firstLine="720" w:firstLineChars="200"/>
        <w:jc w:val="both"/>
        <w:textAlignment w:val="baseline"/>
        <w:rPr>
          <w:rFonts w:ascii="仿宋_GB2312" w:hAnsi="仿宋_GB2312" w:eastAsia="仿宋_GB2312" w:cs="仿宋_GB2312"/>
          <w:color w:val="auto"/>
          <w:sz w:val="36"/>
          <w:szCs w:val="36"/>
          <w:highlight w:val="none"/>
          <w:u w:val="single"/>
        </w:rPr>
      </w:pPr>
      <w:r>
        <w:rPr>
          <w:rFonts w:hint="eastAsia" w:ascii="仿宋_GB2312" w:hAnsi="仿宋_GB2312" w:eastAsia="仿宋_GB2312" w:cs="仿宋_GB2312"/>
          <w:color w:val="auto"/>
          <w:sz w:val="36"/>
          <w:szCs w:val="36"/>
          <w:highlight w:val="none"/>
        </w:rPr>
        <w:t>建设单位</w:t>
      </w:r>
      <w:r>
        <w:rPr>
          <w:rFonts w:hint="eastAsia" w:ascii="仿宋_GB2312" w:hAnsi="仿宋_GB2312" w:eastAsia="仿宋_GB2312" w:cs="仿宋_GB2312"/>
          <w:color w:val="auto"/>
          <w:sz w:val="36"/>
          <w:szCs w:val="36"/>
          <w:highlight w:val="none"/>
          <w:lang w:eastAsia="zh-CN"/>
        </w:rPr>
        <w:t>（</w:t>
      </w:r>
      <w:r>
        <w:rPr>
          <w:rFonts w:hint="eastAsia" w:ascii="仿宋_GB2312" w:hAnsi="仿宋_GB2312" w:eastAsia="仿宋_GB2312" w:cs="仿宋_GB2312"/>
          <w:color w:val="auto"/>
          <w:sz w:val="36"/>
          <w:szCs w:val="36"/>
          <w:highlight w:val="none"/>
        </w:rPr>
        <w:t>盖章</w:t>
      </w:r>
      <w:r>
        <w:rPr>
          <w:rFonts w:hint="eastAsia" w:ascii="仿宋_GB2312" w:hAnsi="仿宋_GB2312" w:eastAsia="仿宋_GB2312" w:cs="仿宋_GB2312"/>
          <w:color w:val="auto"/>
          <w:sz w:val="36"/>
          <w:szCs w:val="36"/>
          <w:highlight w:val="none"/>
          <w:lang w:eastAsia="zh-CN"/>
        </w:rPr>
        <w:t>）</w:t>
      </w:r>
      <w:r>
        <w:rPr>
          <w:rFonts w:hint="eastAsia" w:ascii="仿宋_GB2312" w:hAnsi="仿宋_GB2312" w:eastAsia="仿宋_GB2312" w:cs="仿宋_GB2312"/>
          <w:color w:val="auto"/>
          <w:sz w:val="36"/>
          <w:szCs w:val="36"/>
          <w:highlight w:val="none"/>
        </w:rPr>
        <w:t>：</w:t>
      </w:r>
      <w:r>
        <w:rPr>
          <w:rFonts w:hint="eastAsia" w:ascii="仿宋_GB2312" w:hAnsi="仿宋_GB2312" w:eastAsia="仿宋_GB2312" w:cs="仿宋_GB2312"/>
          <w:color w:val="auto"/>
          <w:sz w:val="36"/>
          <w:szCs w:val="36"/>
          <w:highlight w:val="none"/>
          <w:u w:val="single"/>
        </w:rPr>
        <w:t xml:space="preserve"> 云南三缘新型材料有限公司  </w:t>
      </w:r>
    </w:p>
    <w:p w14:paraId="00E492C7">
      <w:pPr>
        <w:pStyle w:val="10"/>
        <w:keepNext w:val="0"/>
        <w:keepLines w:val="0"/>
        <w:pageBreakBefore w:val="0"/>
        <w:kinsoku/>
        <w:wordWrap/>
        <w:overflowPunct/>
        <w:topLinePunct w:val="0"/>
        <w:autoSpaceDE/>
        <w:autoSpaceDN/>
        <w:bidi w:val="0"/>
        <w:adjustRightInd w:val="0"/>
        <w:snapToGrid/>
        <w:spacing w:line="360" w:lineRule="auto"/>
        <w:ind w:firstLine="720" w:firstLineChars="200"/>
        <w:jc w:val="both"/>
        <w:textAlignment w:val="baseline"/>
        <w:rPr>
          <w:rFonts w:ascii="仿宋_GB2312" w:hAnsi="仿宋_GB2312" w:eastAsia="仿宋_GB2312" w:cs="仿宋_GB2312"/>
          <w:color w:val="auto"/>
          <w:sz w:val="36"/>
          <w:szCs w:val="36"/>
          <w:highlight w:val="none"/>
        </w:rPr>
      </w:pPr>
      <w:r>
        <w:rPr>
          <w:rFonts w:hint="eastAsia" w:ascii="仿宋_GB2312" w:hAnsi="仿宋_GB2312" w:eastAsia="仿宋_GB2312" w:cs="仿宋_GB2312"/>
          <w:color w:val="auto"/>
          <w:sz w:val="36"/>
          <w:szCs w:val="36"/>
          <w:highlight w:val="none"/>
        </w:rPr>
        <w:t>编制日期：</w:t>
      </w:r>
      <w:r>
        <w:rPr>
          <w:rFonts w:hint="eastAsia" w:ascii="仿宋_GB2312" w:hAnsi="仿宋_GB2312" w:eastAsia="仿宋_GB2312" w:cs="仿宋_GB2312"/>
          <w:color w:val="auto"/>
          <w:sz w:val="36"/>
          <w:szCs w:val="36"/>
          <w:highlight w:val="none"/>
          <w:u w:val="single"/>
        </w:rPr>
        <w:t xml:space="preserve">         202</w:t>
      </w:r>
      <w:r>
        <w:rPr>
          <w:rFonts w:hint="eastAsia" w:ascii="仿宋_GB2312" w:hAnsi="仿宋_GB2312" w:eastAsia="仿宋_GB2312" w:cs="仿宋_GB2312"/>
          <w:color w:val="auto"/>
          <w:sz w:val="36"/>
          <w:szCs w:val="36"/>
          <w:highlight w:val="none"/>
          <w:u w:val="single"/>
          <w:lang w:val="en-US" w:eastAsia="zh-CN"/>
        </w:rPr>
        <w:t>6</w:t>
      </w:r>
      <w:r>
        <w:rPr>
          <w:rFonts w:hint="eastAsia" w:ascii="仿宋_GB2312" w:hAnsi="仿宋_GB2312" w:eastAsia="仿宋_GB2312" w:cs="仿宋_GB2312"/>
          <w:color w:val="auto"/>
          <w:sz w:val="36"/>
          <w:szCs w:val="36"/>
          <w:highlight w:val="none"/>
          <w:u w:val="single"/>
        </w:rPr>
        <w:t>年</w:t>
      </w:r>
      <w:r>
        <w:rPr>
          <w:rFonts w:hint="eastAsia" w:ascii="仿宋_GB2312" w:hAnsi="仿宋_GB2312" w:eastAsia="仿宋_GB2312" w:cs="仿宋_GB2312"/>
          <w:color w:val="auto"/>
          <w:sz w:val="36"/>
          <w:szCs w:val="36"/>
          <w:highlight w:val="none"/>
          <w:u w:val="single"/>
          <w:lang w:val="en-US" w:eastAsia="zh-CN"/>
        </w:rPr>
        <w:t>6</w:t>
      </w:r>
      <w:r>
        <w:rPr>
          <w:rFonts w:hint="eastAsia" w:ascii="仿宋_GB2312" w:hAnsi="仿宋_GB2312" w:eastAsia="仿宋_GB2312" w:cs="仿宋_GB2312"/>
          <w:color w:val="auto"/>
          <w:sz w:val="36"/>
          <w:szCs w:val="36"/>
          <w:highlight w:val="none"/>
          <w:u w:val="single"/>
        </w:rPr>
        <w:t xml:space="preserve">月         </w:t>
      </w:r>
      <w:r>
        <w:rPr>
          <w:rFonts w:hint="eastAsia" w:ascii="仿宋_GB2312" w:hAnsi="仿宋_GB2312" w:eastAsia="仿宋_GB2312" w:cs="仿宋_GB2312"/>
          <w:color w:val="auto"/>
          <w:sz w:val="36"/>
          <w:szCs w:val="36"/>
          <w:highlight w:val="none"/>
          <w:u w:val="single"/>
          <w:lang w:val="en-US" w:eastAsia="zh-CN"/>
        </w:rPr>
        <w:t xml:space="preserve">   </w:t>
      </w:r>
      <w:r>
        <w:rPr>
          <w:rFonts w:hint="eastAsia" w:ascii="仿宋_GB2312" w:hAnsi="仿宋_GB2312" w:eastAsia="仿宋_GB2312" w:cs="仿宋_GB2312"/>
          <w:color w:val="auto"/>
          <w:sz w:val="36"/>
          <w:szCs w:val="36"/>
          <w:highlight w:val="none"/>
          <w:u w:val="single"/>
        </w:rPr>
        <w:t xml:space="preserve">    </w:t>
      </w:r>
    </w:p>
    <w:p w14:paraId="3816BEB1">
      <w:pPr>
        <w:adjustRightInd w:val="0"/>
        <w:snapToGrid w:val="0"/>
        <w:spacing w:before="192" w:beforeLines="80"/>
        <w:jc w:val="center"/>
        <w:rPr>
          <w:rFonts w:hint="eastAsia" w:ascii="楷体_GB2312" w:hAnsi="Calibri" w:eastAsia="楷体_GB2312"/>
          <w:bCs/>
          <w:color w:val="auto"/>
          <w:sz w:val="48"/>
          <w:szCs w:val="48"/>
          <w:highlight w:val="none"/>
          <w:lang w:eastAsia="zh-CN"/>
        </w:rPr>
      </w:pPr>
    </w:p>
    <w:p w14:paraId="2E3C08DC">
      <w:pPr>
        <w:adjustRightInd w:val="0"/>
        <w:snapToGrid w:val="0"/>
        <w:spacing w:before="192" w:beforeLines="80"/>
        <w:jc w:val="center"/>
        <w:rPr>
          <w:rFonts w:hint="eastAsia" w:ascii="楷体_GB2312" w:hAnsi="Calibri" w:eastAsia="楷体_GB2312"/>
          <w:bCs/>
          <w:color w:val="auto"/>
          <w:sz w:val="48"/>
          <w:szCs w:val="48"/>
          <w:highlight w:val="none"/>
          <w:lang w:eastAsia="zh-CN"/>
        </w:rPr>
      </w:pPr>
    </w:p>
    <w:p w14:paraId="45338752">
      <w:pPr>
        <w:adjustRightInd w:val="0"/>
        <w:snapToGrid w:val="0"/>
        <w:spacing w:before="192" w:beforeLines="80"/>
        <w:jc w:val="both"/>
        <w:rPr>
          <w:rFonts w:hint="eastAsia" w:ascii="楷体_GB2312" w:hAnsi="Calibri" w:eastAsia="楷体_GB2312"/>
          <w:bCs/>
          <w:color w:val="auto"/>
          <w:sz w:val="48"/>
          <w:szCs w:val="48"/>
          <w:highlight w:val="none"/>
          <w:lang w:eastAsia="zh-CN"/>
        </w:rPr>
      </w:pPr>
    </w:p>
    <w:p w14:paraId="72318E87">
      <w:pPr>
        <w:adjustRightInd w:val="0"/>
        <w:snapToGrid w:val="0"/>
        <w:spacing w:before="192" w:beforeLines="80"/>
        <w:jc w:val="center"/>
        <w:rPr>
          <w:rFonts w:hint="eastAsia" w:ascii="楷体_GB2312" w:hAnsi="Calibri" w:eastAsia="楷体_GB2312"/>
          <w:bCs/>
          <w:color w:val="auto"/>
          <w:sz w:val="48"/>
          <w:szCs w:val="48"/>
          <w:highlight w:val="none"/>
          <w:lang w:eastAsia="zh-CN"/>
        </w:rPr>
      </w:pPr>
    </w:p>
    <w:p w14:paraId="15C74A18">
      <w:pPr>
        <w:adjustRightInd w:val="0"/>
        <w:jc w:val="center"/>
        <w:textAlignment w:val="baseline"/>
        <w:rPr>
          <w:rFonts w:ascii="仿宋_GB2312" w:hAnsi="仿宋_GB2312" w:eastAsia="仿宋_GB2312" w:cs="仿宋_GB2312"/>
          <w:color w:val="auto"/>
          <w:sz w:val="36"/>
          <w:szCs w:val="36"/>
          <w:highlight w:val="none"/>
        </w:rPr>
      </w:pPr>
      <w:r>
        <w:rPr>
          <w:rFonts w:hint="eastAsia" w:ascii="仿宋_GB2312" w:hAnsi="仿宋_GB2312" w:eastAsia="仿宋_GB2312" w:cs="仿宋_GB2312"/>
          <w:color w:val="auto"/>
          <w:sz w:val="36"/>
          <w:szCs w:val="36"/>
          <w:highlight w:val="none"/>
        </w:rPr>
        <w:t>中华人民共和国生态环境部制</w:t>
      </w:r>
    </w:p>
    <w:p w14:paraId="28BF67B2">
      <w:pPr>
        <w:adjustRightInd w:val="0"/>
        <w:snapToGrid w:val="0"/>
        <w:spacing w:before="192" w:beforeLines="80"/>
        <w:jc w:val="center"/>
        <w:rPr>
          <w:rFonts w:hint="eastAsia" w:ascii="楷体_GB2312" w:hAnsi="Calibri" w:eastAsia="楷体_GB2312"/>
          <w:bCs/>
          <w:color w:val="auto"/>
          <w:sz w:val="48"/>
          <w:szCs w:val="48"/>
          <w:highlight w:val="none"/>
          <w:lang w:eastAsia="zh-CN"/>
        </w:rPr>
      </w:pPr>
    </w:p>
    <w:p w14:paraId="45970F34">
      <w:pPr>
        <w:rPr>
          <w:rFonts w:ascii="仿宋_GB2312" w:hAnsi="仿宋_GB2312" w:eastAsia="仿宋_GB2312" w:cs="仿宋_GB2312"/>
          <w:color w:val="auto"/>
          <w:sz w:val="36"/>
          <w:szCs w:val="36"/>
          <w:highlight w:val="none"/>
        </w:rPr>
      </w:pPr>
    </w:p>
    <w:p w14:paraId="5A0DD342">
      <w:pPr>
        <w:rPr>
          <w:rFonts w:ascii="仿宋_GB2312" w:hAnsi="仿宋_GB2312" w:eastAsia="仿宋_GB2312" w:cs="仿宋_GB2312"/>
          <w:color w:val="auto"/>
          <w:sz w:val="36"/>
          <w:szCs w:val="36"/>
          <w:highlight w:val="none"/>
        </w:rPr>
        <w:sectPr>
          <w:footerReference r:id="rId3" w:type="default"/>
          <w:pgSz w:w="11906" w:h="16838"/>
          <w:pgMar w:top="1701" w:right="1531" w:bottom="1701" w:left="1531" w:header="851" w:footer="1077" w:gutter="0"/>
          <w:cols w:space="720" w:num="1"/>
          <w:docGrid w:linePitch="312" w:charSpace="0"/>
        </w:sectPr>
      </w:pPr>
    </w:p>
    <w:sdt>
      <w:sdtPr>
        <w:rPr>
          <w:rFonts w:ascii="宋体" w:hAnsi="宋体"/>
          <w:i/>
          <w:color w:val="auto"/>
          <w:kern w:val="0"/>
          <w:sz w:val="44"/>
          <w:szCs w:val="44"/>
          <w:highlight w:val="none"/>
        </w:rPr>
        <w:id w:val="147453736"/>
        <w:docPartObj>
          <w:docPartGallery w:val="Table of Contents"/>
          <w:docPartUnique/>
        </w:docPartObj>
      </w:sdtPr>
      <w:sdtEndPr>
        <w:rPr>
          <w:rFonts w:hint="eastAsia" w:ascii="Times New Roman" w:hAnsi="Calibri"/>
          <w:bCs/>
          <w:i/>
          <w:color w:val="auto"/>
          <w:kern w:val="0"/>
          <w:sz w:val="21"/>
          <w:szCs w:val="30"/>
          <w:highlight w:val="none"/>
        </w:rPr>
      </w:sdtEndPr>
      <w:sdtContent>
        <w:p w14:paraId="728AE81E">
          <w:pPr>
            <w:jc w:val="center"/>
            <w:rPr>
              <w:rFonts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color w:val="auto"/>
              <w:sz w:val="36"/>
              <w:szCs w:val="36"/>
              <w:highlight w:val="none"/>
            </w:rPr>
            <w:t>目录</w:t>
          </w:r>
        </w:p>
        <w:p w14:paraId="2757A09A">
          <w:pPr>
            <w:pStyle w:val="89"/>
            <w:tabs>
              <w:tab w:val="right" w:leader="dot" w:pos="8844"/>
            </w:tabs>
            <w:rPr>
              <w:rFonts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z w:val="30"/>
              <w:szCs w:val="30"/>
              <w:highlight w:val="none"/>
            </w:rPr>
            <w:fldChar w:fldCharType="begin"/>
          </w:r>
          <w:r>
            <w:rPr>
              <w:rFonts w:hint="eastAsia" w:asciiTheme="minorEastAsia" w:hAnsiTheme="minorEastAsia" w:eastAsiaTheme="minorEastAsia" w:cstheme="minorEastAsia"/>
              <w:color w:val="auto"/>
              <w:sz w:val="30"/>
              <w:szCs w:val="30"/>
              <w:highlight w:val="none"/>
            </w:rPr>
            <w:instrText xml:space="preserve">TOC \o "1-1" \h \u </w:instrText>
          </w:r>
          <w:r>
            <w:rPr>
              <w:rFonts w:hint="eastAsia" w:asciiTheme="minorEastAsia" w:hAnsiTheme="minorEastAsia" w:eastAsiaTheme="minorEastAsia" w:cstheme="minorEastAsia"/>
              <w:color w:val="auto"/>
              <w:sz w:val="30"/>
              <w:szCs w:val="30"/>
              <w:highlight w:val="none"/>
            </w:rPr>
            <w:fldChar w:fldCharType="separate"/>
          </w:r>
        </w:p>
        <w:p w14:paraId="68A9CD22">
          <w:pPr>
            <w:pStyle w:val="89"/>
            <w:tabs>
              <w:tab w:val="right" w:leader="dot" w:pos="8844"/>
            </w:tabs>
            <w:spacing w:line="360" w:lineRule="auto"/>
            <w:rPr>
              <w:rFonts w:eastAsiaTheme="minorEastAsia"/>
              <w:color w:val="auto"/>
              <w:sz w:val="28"/>
              <w:szCs w:val="28"/>
              <w:highlight w:val="none"/>
            </w:rPr>
          </w:pPr>
          <w:r>
            <w:rPr>
              <w:color w:val="auto"/>
              <w:highlight w:val="none"/>
            </w:rPr>
            <w:fldChar w:fldCharType="begin"/>
          </w:r>
          <w:r>
            <w:rPr>
              <w:color w:val="auto"/>
              <w:highlight w:val="none"/>
            </w:rPr>
            <w:instrText xml:space="preserve"> HYPERLINK \l "_Toc21857" </w:instrText>
          </w:r>
          <w:r>
            <w:rPr>
              <w:color w:val="auto"/>
              <w:highlight w:val="none"/>
            </w:rPr>
            <w:fldChar w:fldCharType="separate"/>
          </w:r>
          <w:r>
            <w:rPr>
              <w:rFonts w:eastAsiaTheme="minorEastAsia"/>
              <w:snapToGrid w:val="0"/>
              <w:color w:val="auto"/>
              <w:sz w:val="28"/>
              <w:szCs w:val="28"/>
              <w:highlight w:val="none"/>
            </w:rPr>
            <w:t>一、建设项目基本情况</w:t>
          </w:r>
          <w:r>
            <w:rPr>
              <w:rFonts w:eastAsiaTheme="minorEastAsia"/>
              <w:color w:val="auto"/>
              <w:sz w:val="28"/>
              <w:szCs w:val="28"/>
              <w:highlight w:val="none"/>
            </w:rPr>
            <w:tab/>
          </w:r>
          <w:r>
            <w:rPr>
              <w:rFonts w:eastAsiaTheme="minorEastAsia"/>
              <w:color w:val="auto"/>
              <w:sz w:val="28"/>
              <w:szCs w:val="28"/>
              <w:highlight w:val="none"/>
            </w:rPr>
            <w:fldChar w:fldCharType="begin"/>
          </w:r>
          <w:r>
            <w:rPr>
              <w:rFonts w:eastAsiaTheme="minorEastAsia"/>
              <w:color w:val="auto"/>
              <w:sz w:val="28"/>
              <w:szCs w:val="28"/>
              <w:highlight w:val="none"/>
            </w:rPr>
            <w:instrText xml:space="preserve"> PAGEREF _Toc21857 \h </w:instrText>
          </w:r>
          <w:r>
            <w:rPr>
              <w:rFonts w:eastAsiaTheme="minorEastAsia"/>
              <w:color w:val="auto"/>
              <w:sz w:val="28"/>
              <w:szCs w:val="28"/>
              <w:highlight w:val="none"/>
            </w:rPr>
            <w:fldChar w:fldCharType="separate"/>
          </w:r>
          <w:r>
            <w:rPr>
              <w:rFonts w:eastAsiaTheme="minorEastAsia"/>
              <w:color w:val="auto"/>
              <w:sz w:val="28"/>
              <w:szCs w:val="28"/>
              <w:highlight w:val="none"/>
            </w:rPr>
            <w:t>1</w:t>
          </w:r>
          <w:r>
            <w:rPr>
              <w:rFonts w:eastAsiaTheme="minorEastAsia"/>
              <w:color w:val="auto"/>
              <w:sz w:val="28"/>
              <w:szCs w:val="28"/>
              <w:highlight w:val="none"/>
            </w:rPr>
            <w:fldChar w:fldCharType="end"/>
          </w:r>
          <w:r>
            <w:rPr>
              <w:rFonts w:eastAsiaTheme="minorEastAsia"/>
              <w:color w:val="auto"/>
              <w:sz w:val="28"/>
              <w:szCs w:val="28"/>
              <w:highlight w:val="none"/>
            </w:rPr>
            <w:fldChar w:fldCharType="end"/>
          </w:r>
        </w:p>
        <w:p w14:paraId="24896103">
          <w:pPr>
            <w:pStyle w:val="89"/>
            <w:tabs>
              <w:tab w:val="right" w:leader="dot" w:pos="8844"/>
            </w:tabs>
            <w:spacing w:line="360" w:lineRule="auto"/>
            <w:rPr>
              <w:rFonts w:eastAsiaTheme="minorEastAsia"/>
              <w:color w:val="auto"/>
              <w:sz w:val="28"/>
              <w:szCs w:val="28"/>
              <w:highlight w:val="none"/>
            </w:rPr>
          </w:pPr>
          <w:r>
            <w:rPr>
              <w:color w:val="auto"/>
              <w:highlight w:val="none"/>
            </w:rPr>
            <w:fldChar w:fldCharType="begin"/>
          </w:r>
          <w:r>
            <w:rPr>
              <w:color w:val="auto"/>
              <w:highlight w:val="none"/>
            </w:rPr>
            <w:instrText xml:space="preserve"> HYPERLINK \l "_Toc17251" </w:instrText>
          </w:r>
          <w:r>
            <w:rPr>
              <w:color w:val="auto"/>
              <w:highlight w:val="none"/>
            </w:rPr>
            <w:fldChar w:fldCharType="separate"/>
          </w:r>
          <w:r>
            <w:rPr>
              <w:rFonts w:eastAsiaTheme="minorEastAsia"/>
              <w:snapToGrid w:val="0"/>
              <w:color w:val="auto"/>
              <w:sz w:val="28"/>
              <w:szCs w:val="28"/>
              <w:highlight w:val="none"/>
            </w:rPr>
            <w:t>二、建设项目工程分析</w:t>
          </w:r>
          <w:r>
            <w:rPr>
              <w:rFonts w:eastAsiaTheme="minorEastAsia"/>
              <w:color w:val="auto"/>
              <w:sz w:val="28"/>
              <w:szCs w:val="28"/>
              <w:highlight w:val="none"/>
            </w:rPr>
            <w:tab/>
          </w:r>
          <w:r>
            <w:rPr>
              <w:rFonts w:eastAsiaTheme="minorEastAsia"/>
              <w:color w:val="auto"/>
              <w:sz w:val="28"/>
              <w:szCs w:val="28"/>
              <w:highlight w:val="none"/>
            </w:rPr>
            <w:fldChar w:fldCharType="begin"/>
          </w:r>
          <w:r>
            <w:rPr>
              <w:rFonts w:eastAsiaTheme="minorEastAsia"/>
              <w:color w:val="auto"/>
              <w:sz w:val="28"/>
              <w:szCs w:val="28"/>
              <w:highlight w:val="none"/>
            </w:rPr>
            <w:instrText xml:space="preserve"> PAGEREF _Toc17251 \h </w:instrText>
          </w:r>
          <w:r>
            <w:rPr>
              <w:rFonts w:eastAsiaTheme="minorEastAsia"/>
              <w:color w:val="auto"/>
              <w:sz w:val="28"/>
              <w:szCs w:val="28"/>
              <w:highlight w:val="none"/>
            </w:rPr>
            <w:fldChar w:fldCharType="separate"/>
          </w:r>
          <w:r>
            <w:rPr>
              <w:rFonts w:eastAsiaTheme="minorEastAsia"/>
              <w:color w:val="auto"/>
              <w:sz w:val="28"/>
              <w:szCs w:val="28"/>
              <w:highlight w:val="none"/>
            </w:rPr>
            <w:t>45</w:t>
          </w:r>
          <w:r>
            <w:rPr>
              <w:rFonts w:eastAsiaTheme="minorEastAsia"/>
              <w:color w:val="auto"/>
              <w:sz w:val="28"/>
              <w:szCs w:val="28"/>
              <w:highlight w:val="none"/>
            </w:rPr>
            <w:fldChar w:fldCharType="end"/>
          </w:r>
          <w:r>
            <w:rPr>
              <w:rFonts w:eastAsiaTheme="minorEastAsia"/>
              <w:color w:val="auto"/>
              <w:sz w:val="28"/>
              <w:szCs w:val="28"/>
              <w:highlight w:val="none"/>
            </w:rPr>
            <w:fldChar w:fldCharType="end"/>
          </w:r>
        </w:p>
        <w:p w14:paraId="2097E93A">
          <w:pPr>
            <w:pStyle w:val="89"/>
            <w:tabs>
              <w:tab w:val="right" w:leader="dot" w:pos="8844"/>
            </w:tabs>
            <w:spacing w:line="360" w:lineRule="auto"/>
            <w:rPr>
              <w:rFonts w:eastAsiaTheme="minorEastAsia"/>
              <w:color w:val="auto"/>
              <w:sz w:val="28"/>
              <w:szCs w:val="28"/>
              <w:highlight w:val="none"/>
            </w:rPr>
          </w:pPr>
          <w:r>
            <w:rPr>
              <w:color w:val="auto"/>
              <w:highlight w:val="none"/>
            </w:rPr>
            <w:fldChar w:fldCharType="begin"/>
          </w:r>
          <w:r>
            <w:rPr>
              <w:color w:val="auto"/>
              <w:highlight w:val="none"/>
            </w:rPr>
            <w:instrText xml:space="preserve"> HYPERLINK \l "_Toc7342" </w:instrText>
          </w:r>
          <w:r>
            <w:rPr>
              <w:color w:val="auto"/>
              <w:highlight w:val="none"/>
            </w:rPr>
            <w:fldChar w:fldCharType="separate"/>
          </w:r>
          <w:r>
            <w:rPr>
              <w:rFonts w:eastAsiaTheme="minorEastAsia"/>
              <w:snapToGrid w:val="0"/>
              <w:color w:val="auto"/>
              <w:sz w:val="28"/>
              <w:szCs w:val="28"/>
              <w:highlight w:val="none"/>
            </w:rPr>
            <w:t>三、区域环境质量现状、环境保护目标及评价标准</w:t>
          </w:r>
          <w:r>
            <w:rPr>
              <w:rFonts w:eastAsiaTheme="minorEastAsia"/>
              <w:color w:val="auto"/>
              <w:sz w:val="28"/>
              <w:szCs w:val="28"/>
              <w:highlight w:val="none"/>
            </w:rPr>
            <w:tab/>
          </w:r>
          <w:r>
            <w:rPr>
              <w:rFonts w:eastAsiaTheme="minorEastAsia"/>
              <w:color w:val="auto"/>
              <w:sz w:val="28"/>
              <w:szCs w:val="28"/>
              <w:highlight w:val="none"/>
            </w:rPr>
            <w:fldChar w:fldCharType="begin"/>
          </w:r>
          <w:r>
            <w:rPr>
              <w:rFonts w:eastAsiaTheme="minorEastAsia"/>
              <w:color w:val="auto"/>
              <w:sz w:val="28"/>
              <w:szCs w:val="28"/>
              <w:highlight w:val="none"/>
            </w:rPr>
            <w:instrText xml:space="preserve"> PAGEREF _Toc7342 \h </w:instrText>
          </w:r>
          <w:r>
            <w:rPr>
              <w:rFonts w:eastAsiaTheme="minorEastAsia"/>
              <w:color w:val="auto"/>
              <w:sz w:val="28"/>
              <w:szCs w:val="28"/>
              <w:highlight w:val="none"/>
            </w:rPr>
            <w:fldChar w:fldCharType="separate"/>
          </w:r>
          <w:r>
            <w:rPr>
              <w:rFonts w:eastAsiaTheme="minorEastAsia"/>
              <w:color w:val="auto"/>
              <w:sz w:val="28"/>
              <w:szCs w:val="28"/>
              <w:highlight w:val="none"/>
            </w:rPr>
            <w:t>60</w:t>
          </w:r>
          <w:r>
            <w:rPr>
              <w:rFonts w:eastAsiaTheme="minorEastAsia"/>
              <w:color w:val="auto"/>
              <w:sz w:val="28"/>
              <w:szCs w:val="28"/>
              <w:highlight w:val="none"/>
            </w:rPr>
            <w:fldChar w:fldCharType="end"/>
          </w:r>
          <w:r>
            <w:rPr>
              <w:rFonts w:eastAsiaTheme="minorEastAsia"/>
              <w:color w:val="auto"/>
              <w:sz w:val="28"/>
              <w:szCs w:val="28"/>
              <w:highlight w:val="none"/>
            </w:rPr>
            <w:fldChar w:fldCharType="end"/>
          </w:r>
        </w:p>
        <w:p w14:paraId="48969CF7">
          <w:pPr>
            <w:pStyle w:val="89"/>
            <w:tabs>
              <w:tab w:val="right" w:leader="dot" w:pos="8844"/>
            </w:tabs>
            <w:spacing w:line="360" w:lineRule="auto"/>
            <w:rPr>
              <w:rFonts w:eastAsiaTheme="minorEastAsia"/>
              <w:color w:val="auto"/>
              <w:sz w:val="28"/>
              <w:szCs w:val="28"/>
              <w:highlight w:val="none"/>
            </w:rPr>
          </w:pPr>
          <w:r>
            <w:rPr>
              <w:color w:val="auto"/>
              <w:highlight w:val="none"/>
            </w:rPr>
            <w:fldChar w:fldCharType="begin"/>
          </w:r>
          <w:r>
            <w:rPr>
              <w:color w:val="auto"/>
              <w:highlight w:val="none"/>
            </w:rPr>
            <w:instrText xml:space="preserve"> HYPERLINK \l "_Toc18316" </w:instrText>
          </w:r>
          <w:r>
            <w:rPr>
              <w:color w:val="auto"/>
              <w:highlight w:val="none"/>
            </w:rPr>
            <w:fldChar w:fldCharType="separate"/>
          </w:r>
          <w:r>
            <w:rPr>
              <w:rFonts w:eastAsiaTheme="minorEastAsia"/>
              <w:snapToGrid w:val="0"/>
              <w:color w:val="auto"/>
              <w:sz w:val="28"/>
              <w:szCs w:val="28"/>
              <w:highlight w:val="none"/>
            </w:rPr>
            <w:t>四、主要环境影响和保护措施</w:t>
          </w:r>
          <w:r>
            <w:rPr>
              <w:rFonts w:eastAsiaTheme="minorEastAsia"/>
              <w:color w:val="auto"/>
              <w:sz w:val="28"/>
              <w:szCs w:val="28"/>
              <w:highlight w:val="none"/>
            </w:rPr>
            <w:tab/>
          </w:r>
          <w:r>
            <w:rPr>
              <w:rFonts w:eastAsiaTheme="minorEastAsia"/>
              <w:color w:val="auto"/>
              <w:sz w:val="28"/>
              <w:szCs w:val="28"/>
              <w:highlight w:val="none"/>
            </w:rPr>
            <w:fldChar w:fldCharType="begin"/>
          </w:r>
          <w:r>
            <w:rPr>
              <w:rFonts w:eastAsiaTheme="minorEastAsia"/>
              <w:color w:val="auto"/>
              <w:sz w:val="28"/>
              <w:szCs w:val="28"/>
              <w:highlight w:val="none"/>
            </w:rPr>
            <w:instrText xml:space="preserve"> PAGEREF _Toc18316 \h </w:instrText>
          </w:r>
          <w:r>
            <w:rPr>
              <w:rFonts w:eastAsiaTheme="minorEastAsia"/>
              <w:color w:val="auto"/>
              <w:sz w:val="28"/>
              <w:szCs w:val="28"/>
              <w:highlight w:val="none"/>
            </w:rPr>
            <w:fldChar w:fldCharType="separate"/>
          </w:r>
          <w:r>
            <w:rPr>
              <w:rFonts w:eastAsiaTheme="minorEastAsia"/>
              <w:color w:val="auto"/>
              <w:sz w:val="28"/>
              <w:szCs w:val="28"/>
              <w:highlight w:val="none"/>
            </w:rPr>
            <w:t>69</w:t>
          </w:r>
          <w:r>
            <w:rPr>
              <w:rFonts w:eastAsiaTheme="minorEastAsia"/>
              <w:color w:val="auto"/>
              <w:sz w:val="28"/>
              <w:szCs w:val="28"/>
              <w:highlight w:val="none"/>
            </w:rPr>
            <w:fldChar w:fldCharType="end"/>
          </w:r>
          <w:r>
            <w:rPr>
              <w:rFonts w:eastAsiaTheme="minorEastAsia"/>
              <w:color w:val="auto"/>
              <w:sz w:val="28"/>
              <w:szCs w:val="28"/>
              <w:highlight w:val="none"/>
            </w:rPr>
            <w:fldChar w:fldCharType="end"/>
          </w:r>
        </w:p>
        <w:p w14:paraId="2A656F8F">
          <w:pPr>
            <w:pStyle w:val="89"/>
            <w:tabs>
              <w:tab w:val="right" w:leader="dot" w:pos="8844"/>
            </w:tabs>
            <w:spacing w:line="360" w:lineRule="auto"/>
            <w:rPr>
              <w:rFonts w:eastAsiaTheme="minorEastAsia"/>
              <w:color w:val="auto"/>
              <w:sz w:val="28"/>
              <w:szCs w:val="28"/>
              <w:highlight w:val="none"/>
            </w:rPr>
          </w:pPr>
          <w:r>
            <w:rPr>
              <w:color w:val="auto"/>
              <w:highlight w:val="none"/>
            </w:rPr>
            <w:fldChar w:fldCharType="begin"/>
          </w:r>
          <w:r>
            <w:rPr>
              <w:color w:val="auto"/>
              <w:highlight w:val="none"/>
            </w:rPr>
            <w:instrText xml:space="preserve"> HYPERLINK \l "_Toc165" </w:instrText>
          </w:r>
          <w:r>
            <w:rPr>
              <w:color w:val="auto"/>
              <w:highlight w:val="none"/>
            </w:rPr>
            <w:fldChar w:fldCharType="separate"/>
          </w:r>
          <w:r>
            <w:rPr>
              <w:rFonts w:eastAsiaTheme="minorEastAsia"/>
              <w:snapToGrid w:val="0"/>
              <w:color w:val="auto"/>
              <w:sz w:val="28"/>
              <w:szCs w:val="28"/>
              <w:highlight w:val="none"/>
            </w:rPr>
            <w:t>五、环境保护措施监督检查清单</w:t>
          </w:r>
          <w:r>
            <w:rPr>
              <w:rFonts w:eastAsiaTheme="minorEastAsia"/>
              <w:color w:val="auto"/>
              <w:sz w:val="28"/>
              <w:szCs w:val="28"/>
              <w:highlight w:val="none"/>
            </w:rPr>
            <w:tab/>
          </w:r>
          <w:r>
            <w:rPr>
              <w:rFonts w:eastAsiaTheme="minorEastAsia"/>
              <w:color w:val="auto"/>
              <w:sz w:val="28"/>
              <w:szCs w:val="28"/>
              <w:highlight w:val="none"/>
            </w:rPr>
            <w:fldChar w:fldCharType="begin"/>
          </w:r>
          <w:r>
            <w:rPr>
              <w:rFonts w:eastAsiaTheme="minorEastAsia"/>
              <w:color w:val="auto"/>
              <w:sz w:val="28"/>
              <w:szCs w:val="28"/>
              <w:highlight w:val="none"/>
            </w:rPr>
            <w:instrText xml:space="preserve"> PAGEREF _Toc165 \h </w:instrText>
          </w:r>
          <w:r>
            <w:rPr>
              <w:rFonts w:eastAsiaTheme="minorEastAsia"/>
              <w:color w:val="auto"/>
              <w:sz w:val="28"/>
              <w:szCs w:val="28"/>
              <w:highlight w:val="none"/>
            </w:rPr>
            <w:fldChar w:fldCharType="separate"/>
          </w:r>
          <w:r>
            <w:rPr>
              <w:rFonts w:eastAsiaTheme="minorEastAsia"/>
              <w:color w:val="auto"/>
              <w:sz w:val="28"/>
              <w:szCs w:val="28"/>
              <w:highlight w:val="none"/>
            </w:rPr>
            <w:t>97</w:t>
          </w:r>
          <w:r>
            <w:rPr>
              <w:rFonts w:eastAsiaTheme="minorEastAsia"/>
              <w:color w:val="auto"/>
              <w:sz w:val="28"/>
              <w:szCs w:val="28"/>
              <w:highlight w:val="none"/>
            </w:rPr>
            <w:fldChar w:fldCharType="end"/>
          </w:r>
          <w:r>
            <w:rPr>
              <w:rFonts w:eastAsiaTheme="minorEastAsia"/>
              <w:color w:val="auto"/>
              <w:sz w:val="28"/>
              <w:szCs w:val="28"/>
              <w:highlight w:val="none"/>
            </w:rPr>
            <w:fldChar w:fldCharType="end"/>
          </w:r>
        </w:p>
        <w:p w14:paraId="4D651791">
          <w:pPr>
            <w:pStyle w:val="89"/>
            <w:tabs>
              <w:tab w:val="right" w:leader="dot" w:pos="8844"/>
            </w:tabs>
            <w:spacing w:line="360" w:lineRule="auto"/>
            <w:rPr>
              <w:rFonts w:eastAsiaTheme="minorEastAsia"/>
              <w:color w:val="auto"/>
              <w:sz w:val="28"/>
              <w:szCs w:val="28"/>
              <w:highlight w:val="none"/>
            </w:rPr>
          </w:pPr>
          <w:r>
            <w:rPr>
              <w:color w:val="auto"/>
              <w:highlight w:val="none"/>
            </w:rPr>
            <w:fldChar w:fldCharType="begin"/>
          </w:r>
          <w:r>
            <w:rPr>
              <w:color w:val="auto"/>
              <w:highlight w:val="none"/>
            </w:rPr>
            <w:instrText xml:space="preserve"> HYPERLINK \l "_Toc20079" </w:instrText>
          </w:r>
          <w:r>
            <w:rPr>
              <w:color w:val="auto"/>
              <w:highlight w:val="none"/>
            </w:rPr>
            <w:fldChar w:fldCharType="separate"/>
          </w:r>
          <w:r>
            <w:rPr>
              <w:rFonts w:eastAsiaTheme="minorEastAsia"/>
              <w:snapToGrid w:val="0"/>
              <w:color w:val="auto"/>
              <w:sz w:val="28"/>
              <w:szCs w:val="28"/>
              <w:highlight w:val="none"/>
            </w:rPr>
            <w:t>六、结论</w:t>
          </w:r>
          <w:r>
            <w:rPr>
              <w:rFonts w:eastAsiaTheme="minorEastAsia"/>
              <w:color w:val="auto"/>
              <w:sz w:val="28"/>
              <w:szCs w:val="28"/>
              <w:highlight w:val="none"/>
            </w:rPr>
            <w:tab/>
          </w:r>
          <w:r>
            <w:rPr>
              <w:rFonts w:eastAsiaTheme="minorEastAsia"/>
              <w:color w:val="auto"/>
              <w:sz w:val="28"/>
              <w:szCs w:val="28"/>
              <w:highlight w:val="none"/>
            </w:rPr>
            <w:fldChar w:fldCharType="begin"/>
          </w:r>
          <w:r>
            <w:rPr>
              <w:rFonts w:eastAsiaTheme="minorEastAsia"/>
              <w:color w:val="auto"/>
              <w:sz w:val="28"/>
              <w:szCs w:val="28"/>
              <w:highlight w:val="none"/>
            </w:rPr>
            <w:instrText xml:space="preserve"> PAGEREF _Toc20079 \h </w:instrText>
          </w:r>
          <w:r>
            <w:rPr>
              <w:rFonts w:eastAsiaTheme="minorEastAsia"/>
              <w:color w:val="auto"/>
              <w:sz w:val="28"/>
              <w:szCs w:val="28"/>
              <w:highlight w:val="none"/>
            </w:rPr>
            <w:fldChar w:fldCharType="separate"/>
          </w:r>
          <w:r>
            <w:rPr>
              <w:rFonts w:eastAsiaTheme="minorEastAsia"/>
              <w:color w:val="auto"/>
              <w:sz w:val="28"/>
              <w:szCs w:val="28"/>
              <w:highlight w:val="none"/>
            </w:rPr>
            <w:t>103</w:t>
          </w:r>
          <w:r>
            <w:rPr>
              <w:rFonts w:eastAsiaTheme="minorEastAsia"/>
              <w:color w:val="auto"/>
              <w:sz w:val="28"/>
              <w:szCs w:val="28"/>
              <w:highlight w:val="none"/>
            </w:rPr>
            <w:fldChar w:fldCharType="end"/>
          </w:r>
          <w:r>
            <w:rPr>
              <w:rFonts w:eastAsiaTheme="minorEastAsia"/>
              <w:color w:val="auto"/>
              <w:sz w:val="28"/>
              <w:szCs w:val="28"/>
              <w:highlight w:val="none"/>
            </w:rPr>
            <w:fldChar w:fldCharType="end"/>
          </w:r>
        </w:p>
        <w:p w14:paraId="2F580088">
          <w:pPr>
            <w:pStyle w:val="89"/>
            <w:tabs>
              <w:tab w:val="right" w:leader="dot" w:pos="8844"/>
            </w:tabs>
            <w:spacing w:line="360" w:lineRule="auto"/>
            <w:rPr>
              <w:rFonts w:asciiTheme="minorEastAsia" w:hAnsiTheme="minorEastAsia" w:eastAsiaTheme="minorEastAsia" w:cstheme="minorEastAsia"/>
              <w:color w:val="auto"/>
              <w:sz w:val="30"/>
              <w:szCs w:val="30"/>
              <w:highlight w:val="none"/>
            </w:rPr>
          </w:pPr>
          <w:r>
            <w:rPr>
              <w:color w:val="auto"/>
              <w:highlight w:val="none"/>
            </w:rPr>
            <w:fldChar w:fldCharType="begin"/>
          </w:r>
          <w:r>
            <w:rPr>
              <w:color w:val="auto"/>
              <w:highlight w:val="none"/>
            </w:rPr>
            <w:instrText xml:space="preserve"> HYPERLINK \l "_Toc18241" </w:instrText>
          </w:r>
          <w:r>
            <w:rPr>
              <w:color w:val="auto"/>
              <w:highlight w:val="none"/>
            </w:rPr>
            <w:fldChar w:fldCharType="separate"/>
          </w:r>
          <w:r>
            <w:rPr>
              <w:rFonts w:eastAsiaTheme="minorEastAsia"/>
              <w:snapToGrid w:val="0"/>
              <w:color w:val="auto"/>
              <w:sz w:val="28"/>
              <w:szCs w:val="28"/>
              <w:highlight w:val="none"/>
            </w:rPr>
            <w:t>附表</w:t>
          </w:r>
          <w:r>
            <w:rPr>
              <w:rFonts w:eastAsiaTheme="minorEastAsia"/>
              <w:color w:val="auto"/>
              <w:sz w:val="28"/>
              <w:szCs w:val="28"/>
              <w:highlight w:val="none"/>
            </w:rPr>
            <w:tab/>
          </w:r>
          <w:r>
            <w:rPr>
              <w:rFonts w:eastAsiaTheme="minorEastAsia"/>
              <w:color w:val="auto"/>
              <w:sz w:val="28"/>
              <w:szCs w:val="28"/>
              <w:highlight w:val="none"/>
            </w:rPr>
            <w:fldChar w:fldCharType="begin"/>
          </w:r>
          <w:r>
            <w:rPr>
              <w:rFonts w:eastAsiaTheme="minorEastAsia"/>
              <w:color w:val="auto"/>
              <w:sz w:val="28"/>
              <w:szCs w:val="28"/>
              <w:highlight w:val="none"/>
            </w:rPr>
            <w:instrText xml:space="preserve"> PAGEREF _Toc18241 \h </w:instrText>
          </w:r>
          <w:r>
            <w:rPr>
              <w:rFonts w:eastAsiaTheme="minorEastAsia"/>
              <w:color w:val="auto"/>
              <w:sz w:val="28"/>
              <w:szCs w:val="28"/>
              <w:highlight w:val="none"/>
            </w:rPr>
            <w:fldChar w:fldCharType="separate"/>
          </w:r>
          <w:r>
            <w:rPr>
              <w:rFonts w:eastAsiaTheme="minorEastAsia"/>
              <w:color w:val="auto"/>
              <w:sz w:val="28"/>
              <w:szCs w:val="28"/>
              <w:highlight w:val="none"/>
            </w:rPr>
            <w:t>104</w:t>
          </w:r>
          <w:r>
            <w:rPr>
              <w:rFonts w:eastAsiaTheme="minorEastAsia"/>
              <w:color w:val="auto"/>
              <w:sz w:val="28"/>
              <w:szCs w:val="28"/>
              <w:highlight w:val="none"/>
            </w:rPr>
            <w:fldChar w:fldCharType="end"/>
          </w:r>
          <w:r>
            <w:rPr>
              <w:rFonts w:eastAsiaTheme="minorEastAsia"/>
              <w:color w:val="auto"/>
              <w:sz w:val="28"/>
              <w:szCs w:val="28"/>
              <w:highlight w:val="none"/>
            </w:rPr>
            <w:fldChar w:fldCharType="end"/>
          </w:r>
        </w:p>
        <w:p w14:paraId="7FC08852">
          <w:pPr>
            <w:pStyle w:val="11"/>
            <w:ind w:left="0"/>
            <w:jc w:val="both"/>
            <w:rPr>
              <w:rFonts w:ascii="Times New Roman"/>
              <w:bCs/>
              <w:color w:val="auto"/>
              <w:szCs w:val="30"/>
              <w:highlight w:val="none"/>
            </w:rPr>
          </w:pPr>
          <w:r>
            <w:rPr>
              <w:rFonts w:hint="eastAsia" w:asciiTheme="minorEastAsia" w:hAnsiTheme="minorEastAsia" w:eastAsiaTheme="minorEastAsia" w:cstheme="minorEastAsia"/>
              <w:color w:val="auto"/>
              <w:sz w:val="30"/>
              <w:szCs w:val="30"/>
              <w:highlight w:val="none"/>
            </w:rPr>
            <w:fldChar w:fldCharType="end"/>
          </w:r>
        </w:p>
      </w:sdtContent>
    </w:sdt>
    <w:p w14:paraId="45FB8323">
      <w:pPr>
        <w:widowControl/>
        <w:adjustRightInd w:val="0"/>
        <w:snapToGrid w:val="0"/>
        <w:spacing w:line="360" w:lineRule="auto"/>
        <w:jc w:val="left"/>
        <w:rPr>
          <w:rFonts w:hint="default" w:ascii="Times New Roman" w:hAnsi="Times New Roman" w:eastAsia="宋体" w:cs="Times New Roman"/>
          <w:b/>
          <w:color w:val="auto"/>
          <w:sz w:val="24"/>
          <w:szCs w:val="24"/>
          <w:highlight w:val="none"/>
        </w:rPr>
      </w:pPr>
      <w:bookmarkStart w:id="1" w:name="_Toc461298460"/>
    </w:p>
    <w:p w14:paraId="0C4B132A">
      <w:pPr>
        <w:widowControl/>
        <w:adjustRightInd w:val="0"/>
        <w:snapToGrid w:val="0"/>
        <w:spacing w:line="360" w:lineRule="auto"/>
        <w:jc w:val="left"/>
        <w:rPr>
          <w:rFonts w:hint="default" w:ascii="Times New Roman" w:hAnsi="Times New Roman" w:eastAsia="宋体" w:cs="Times New Roman"/>
          <w:b/>
          <w:color w:val="auto"/>
          <w:sz w:val="24"/>
          <w:szCs w:val="24"/>
          <w:highlight w:val="none"/>
        </w:rPr>
      </w:pPr>
    </w:p>
    <w:p w14:paraId="5717D3E9">
      <w:pP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br w:type="page"/>
      </w:r>
    </w:p>
    <w:p w14:paraId="5B875336">
      <w:pPr>
        <w:widowControl/>
        <w:adjustRightInd w:val="0"/>
        <w:snapToGrid w:val="0"/>
        <w:spacing w:line="360" w:lineRule="auto"/>
        <w:jc w:val="left"/>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附图：</w:t>
      </w:r>
    </w:p>
    <w:p w14:paraId="039A0082">
      <w:pPr>
        <w:widowControl/>
        <w:adjustRightInd w:val="0"/>
        <w:snapToGrid w:val="0"/>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附图1、项目地理位置图</w:t>
      </w:r>
    </w:p>
    <w:p w14:paraId="3CAE1C9B">
      <w:pPr>
        <w:widowControl/>
        <w:adjustRightInd w:val="0"/>
        <w:snapToGrid w:val="0"/>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附图2、项目平面布置</w:t>
      </w:r>
      <w:r>
        <w:rPr>
          <w:rFonts w:hint="default" w:ascii="Times New Roman" w:hAnsi="Times New Roman" w:eastAsia="宋体" w:cs="Times New Roman"/>
          <w:color w:val="auto"/>
          <w:sz w:val="24"/>
          <w:szCs w:val="24"/>
          <w:highlight w:val="none"/>
          <w:lang w:val="en-US" w:eastAsia="zh-CN"/>
        </w:rPr>
        <w:t>及环保设施布置</w:t>
      </w:r>
      <w:r>
        <w:rPr>
          <w:rFonts w:hint="default" w:ascii="Times New Roman" w:hAnsi="Times New Roman" w:eastAsia="宋体" w:cs="Times New Roman"/>
          <w:color w:val="auto"/>
          <w:sz w:val="24"/>
          <w:szCs w:val="24"/>
          <w:highlight w:val="none"/>
        </w:rPr>
        <w:t>图</w:t>
      </w:r>
    </w:p>
    <w:p w14:paraId="56026AEB">
      <w:pPr>
        <w:widowControl/>
        <w:adjustRightInd w:val="0"/>
        <w:snapToGrid w:val="0"/>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附图</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、项目与周边环境位置关系图</w:t>
      </w:r>
    </w:p>
    <w:p w14:paraId="725F2D1A">
      <w:pPr>
        <w:widowControl/>
        <w:adjustRightInd w:val="0"/>
        <w:snapToGrid w:val="0"/>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附图</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、项目区水系图</w:t>
      </w:r>
    </w:p>
    <w:p w14:paraId="1EFBE941">
      <w:pPr>
        <w:widowControl/>
        <w:adjustRightInd w:val="0"/>
        <w:snapToGrid w:val="0"/>
        <w:spacing w:line="360" w:lineRule="auto"/>
        <w:ind w:firstLine="480" w:firstLineChars="200"/>
        <w:jc w:val="left"/>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附图5、项目现场照片</w:t>
      </w:r>
    </w:p>
    <w:p w14:paraId="2A44987F">
      <w:pPr>
        <w:widowControl/>
        <w:adjustRightInd w:val="0"/>
        <w:snapToGrid w:val="0"/>
        <w:spacing w:line="360" w:lineRule="auto"/>
        <w:ind w:firstLine="480" w:firstLineChars="200"/>
        <w:jc w:val="left"/>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附图6、项目分区防渗图</w:t>
      </w:r>
    </w:p>
    <w:p w14:paraId="217959B1">
      <w:pPr>
        <w:widowControl/>
        <w:adjustRightInd w:val="0"/>
        <w:snapToGrid w:val="0"/>
        <w:spacing w:line="360" w:lineRule="auto"/>
        <w:jc w:val="left"/>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附件：</w:t>
      </w:r>
      <w:bookmarkEnd w:id="1"/>
    </w:p>
    <w:p w14:paraId="1CB3905A">
      <w:pPr>
        <w:widowControl/>
        <w:adjustRightInd w:val="0"/>
        <w:snapToGrid w:val="0"/>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附件1、</w:t>
      </w:r>
      <w:r>
        <w:rPr>
          <w:rFonts w:hint="eastAsia" w:cs="Times New Roman"/>
          <w:color w:val="auto"/>
          <w:sz w:val="24"/>
          <w:szCs w:val="24"/>
          <w:highlight w:val="none"/>
          <w:lang w:val="en-US" w:eastAsia="zh-CN"/>
        </w:rPr>
        <w:t>项目</w:t>
      </w:r>
      <w:r>
        <w:rPr>
          <w:rFonts w:hint="default" w:ascii="Times New Roman" w:hAnsi="Times New Roman" w:eastAsia="宋体" w:cs="Times New Roman"/>
          <w:color w:val="auto"/>
          <w:sz w:val="24"/>
          <w:szCs w:val="24"/>
          <w:highlight w:val="none"/>
        </w:rPr>
        <w:t>委托书</w:t>
      </w:r>
    </w:p>
    <w:p w14:paraId="357C93E4">
      <w:pPr>
        <w:widowControl/>
        <w:adjustRightInd w:val="0"/>
        <w:snapToGrid w:val="0"/>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附件2、投资项目备案证</w:t>
      </w:r>
    </w:p>
    <w:p w14:paraId="6F7B948B">
      <w:pPr>
        <w:widowControl/>
        <w:adjustRightInd w:val="0"/>
        <w:snapToGrid w:val="0"/>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附件3、</w:t>
      </w:r>
      <w:r>
        <w:rPr>
          <w:rFonts w:hint="default" w:ascii="Times New Roman" w:hAnsi="Times New Roman" w:eastAsia="宋体" w:cs="Times New Roman"/>
          <w:color w:val="auto"/>
          <w:sz w:val="24"/>
          <w:szCs w:val="24"/>
          <w:highlight w:val="none"/>
          <w:lang w:val="en-US" w:eastAsia="zh-CN"/>
        </w:rPr>
        <w:t>入园</w:t>
      </w:r>
      <w:r>
        <w:rPr>
          <w:rFonts w:hint="eastAsia" w:cs="Times New Roman"/>
          <w:color w:val="auto"/>
          <w:sz w:val="24"/>
          <w:szCs w:val="24"/>
          <w:highlight w:val="none"/>
          <w:lang w:val="en-US" w:eastAsia="zh-CN"/>
        </w:rPr>
        <w:t>通知书</w:t>
      </w:r>
    </w:p>
    <w:p w14:paraId="6A259628">
      <w:pPr>
        <w:widowControl/>
        <w:adjustRightInd w:val="0"/>
        <w:snapToGrid w:val="0"/>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附件4、</w:t>
      </w:r>
      <w:r>
        <w:rPr>
          <w:rFonts w:hint="default" w:ascii="Times New Roman" w:hAnsi="Times New Roman" w:eastAsia="宋体" w:cs="Times New Roman"/>
          <w:color w:val="auto"/>
          <w:sz w:val="24"/>
          <w:szCs w:val="24"/>
          <w:highlight w:val="none"/>
          <w:lang w:val="en-US" w:eastAsia="zh-CN"/>
        </w:rPr>
        <w:t>项目规划审查意见</w:t>
      </w:r>
      <w:r>
        <w:rPr>
          <w:rFonts w:hint="eastAsia" w:cs="Times New Roman"/>
          <w:color w:val="auto"/>
          <w:sz w:val="24"/>
          <w:szCs w:val="24"/>
          <w:highlight w:val="none"/>
          <w:lang w:val="en-US" w:eastAsia="zh-CN"/>
        </w:rPr>
        <w:t>（三区三线）</w:t>
      </w:r>
    </w:p>
    <w:p w14:paraId="389E1822">
      <w:pPr>
        <w:widowControl/>
        <w:adjustRightInd w:val="0"/>
        <w:snapToGrid w:val="0"/>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附件5、</w:t>
      </w:r>
      <w:r>
        <w:rPr>
          <w:rFonts w:hint="eastAsia" w:cs="Times New Roman"/>
          <w:color w:val="auto"/>
          <w:sz w:val="24"/>
          <w:szCs w:val="24"/>
          <w:highlight w:val="none"/>
          <w:lang w:val="en-US" w:eastAsia="zh-CN"/>
        </w:rPr>
        <w:t>生态环境</w:t>
      </w:r>
      <w:r>
        <w:rPr>
          <w:rFonts w:hint="default" w:ascii="Times New Roman" w:hAnsi="Times New Roman" w:eastAsia="宋体" w:cs="Times New Roman"/>
          <w:color w:val="auto"/>
          <w:sz w:val="24"/>
          <w:szCs w:val="24"/>
          <w:highlight w:val="none"/>
          <w:lang w:val="en-US" w:eastAsia="zh-CN"/>
        </w:rPr>
        <w:t>分区管控意见自主查询报告</w:t>
      </w:r>
    </w:p>
    <w:p w14:paraId="024A499D">
      <w:pPr>
        <w:widowControl/>
        <w:adjustRightInd w:val="0"/>
        <w:snapToGrid w:val="0"/>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附件</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厂房</w:t>
      </w:r>
      <w:r>
        <w:rPr>
          <w:rFonts w:hint="eastAsia" w:cs="Times New Roman"/>
          <w:color w:val="auto"/>
          <w:sz w:val="24"/>
          <w:szCs w:val="24"/>
          <w:highlight w:val="none"/>
          <w:lang w:val="en-US" w:eastAsia="zh-CN"/>
        </w:rPr>
        <w:t>（车间）</w:t>
      </w:r>
      <w:r>
        <w:rPr>
          <w:rFonts w:hint="default" w:ascii="Times New Roman" w:hAnsi="Times New Roman" w:eastAsia="宋体" w:cs="Times New Roman"/>
          <w:color w:val="auto"/>
          <w:sz w:val="24"/>
          <w:szCs w:val="24"/>
          <w:highlight w:val="none"/>
          <w:lang w:val="en-US" w:eastAsia="zh-CN"/>
        </w:rPr>
        <w:t>租赁</w:t>
      </w:r>
      <w:r>
        <w:rPr>
          <w:rFonts w:hint="eastAsia" w:cs="Times New Roman"/>
          <w:color w:val="auto"/>
          <w:sz w:val="24"/>
          <w:szCs w:val="24"/>
          <w:highlight w:val="none"/>
          <w:lang w:val="en-US" w:eastAsia="zh-CN"/>
        </w:rPr>
        <w:t>协议书</w:t>
      </w:r>
    </w:p>
    <w:p w14:paraId="32A1CD1D">
      <w:pPr>
        <w:widowControl/>
        <w:adjustRightInd w:val="0"/>
        <w:snapToGrid w:val="0"/>
        <w:spacing w:line="360" w:lineRule="auto"/>
        <w:ind w:firstLine="480" w:firstLineChars="200"/>
        <w:jc w:val="left"/>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附件7、污水处理补充协议</w:t>
      </w:r>
    </w:p>
    <w:p w14:paraId="738BE608">
      <w:pPr>
        <w:widowControl/>
        <w:adjustRightInd w:val="0"/>
        <w:snapToGrid w:val="0"/>
        <w:spacing w:line="360" w:lineRule="auto"/>
        <w:ind w:firstLine="480" w:firstLineChars="200"/>
        <w:jc w:val="left"/>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附件8、污水处理委托协议</w:t>
      </w:r>
    </w:p>
    <w:p w14:paraId="1A8B9B9B">
      <w:pPr>
        <w:widowControl/>
        <w:adjustRightInd w:val="0"/>
        <w:snapToGrid w:val="0"/>
        <w:spacing w:line="360" w:lineRule="auto"/>
        <w:ind w:firstLine="480" w:firstLineChars="200"/>
        <w:jc w:val="left"/>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附件9、污水处理委托协议情况说明</w:t>
      </w:r>
    </w:p>
    <w:p w14:paraId="7273BEED">
      <w:pPr>
        <w:widowControl/>
        <w:adjustRightInd w:val="0"/>
        <w:snapToGrid w:val="0"/>
        <w:spacing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附件</w:t>
      </w:r>
      <w:r>
        <w:rPr>
          <w:rFonts w:hint="eastAsia"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营业执照</w:t>
      </w:r>
    </w:p>
    <w:p w14:paraId="692F191F">
      <w:pPr>
        <w:widowControl/>
        <w:adjustRightInd w:val="0"/>
        <w:snapToGrid w:val="0"/>
        <w:spacing w:line="360" w:lineRule="auto"/>
        <w:ind w:firstLine="480" w:firstLineChars="200"/>
        <w:jc w:val="left"/>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附件11、聚丙烯MSDS报告</w:t>
      </w:r>
    </w:p>
    <w:p w14:paraId="72D6BE14">
      <w:pPr>
        <w:widowControl/>
        <w:adjustRightInd w:val="0"/>
        <w:snapToGrid w:val="0"/>
        <w:spacing w:line="360" w:lineRule="auto"/>
        <w:ind w:firstLine="480" w:firstLineChars="200"/>
        <w:jc w:val="left"/>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附件12、聚乙烯MSDS报告</w:t>
      </w:r>
    </w:p>
    <w:p w14:paraId="0AC9B937">
      <w:pPr>
        <w:widowControl/>
        <w:adjustRightInd w:val="0"/>
        <w:snapToGrid w:val="0"/>
        <w:spacing w:line="360" w:lineRule="auto"/>
        <w:ind w:firstLine="480" w:firstLineChars="200"/>
        <w:jc w:val="left"/>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附件13、填充母料MSDS报告</w:t>
      </w:r>
    </w:p>
    <w:p w14:paraId="3D800999">
      <w:pPr>
        <w:widowControl/>
        <w:adjustRightInd w:val="0"/>
        <w:snapToGrid w:val="0"/>
        <w:spacing w:line="360" w:lineRule="auto"/>
        <w:ind w:firstLine="480" w:firstLineChars="200"/>
        <w:jc w:val="left"/>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附件14、色母料MSDS报告</w:t>
      </w:r>
    </w:p>
    <w:p w14:paraId="5683A86B">
      <w:pPr>
        <w:widowControl/>
        <w:adjustRightInd w:val="0"/>
        <w:snapToGrid w:val="0"/>
        <w:spacing w:line="360" w:lineRule="auto"/>
        <w:ind w:firstLine="480" w:firstLineChars="200"/>
        <w:jc w:val="left"/>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附件15、消泡母料MSDS报告</w:t>
      </w:r>
    </w:p>
    <w:p w14:paraId="17EB0036">
      <w:pPr>
        <w:widowControl/>
        <w:adjustRightInd w:val="0"/>
        <w:snapToGrid w:val="0"/>
        <w:spacing w:line="360" w:lineRule="auto"/>
        <w:ind w:firstLine="480" w:firstLineChars="200"/>
        <w:jc w:val="left"/>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附件16、改性料MSDS报告</w:t>
      </w:r>
    </w:p>
    <w:p w14:paraId="7EC3350A">
      <w:pPr>
        <w:widowControl/>
        <w:adjustRightInd w:val="0"/>
        <w:snapToGrid w:val="0"/>
        <w:spacing w:line="360" w:lineRule="auto"/>
        <w:ind w:firstLine="480" w:firstLineChars="200"/>
        <w:jc w:val="left"/>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附件17、水性油墨MDDS报告</w:t>
      </w:r>
    </w:p>
    <w:p w14:paraId="1D47B8EB">
      <w:pPr>
        <w:widowControl/>
        <w:adjustRightInd w:val="0"/>
        <w:snapToGrid w:val="0"/>
        <w:spacing w:line="360" w:lineRule="auto"/>
        <w:ind w:firstLine="480" w:firstLineChars="200"/>
        <w:jc w:val="left"/>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附件1</w:t>
      </w:r>
      <w:r>
        <w:rPr>
          <w:rFonts w:hint="eastAsia" w:ascii="Times New Roman" w:hAnsi="Times New Roman" w:cs="Times New Roman"/>
          <w:color w:val="auto"/>
          <w:sz w:val="24"/>
          <w:szCs w:val="24"/>
          <w:highlight w:val="none"/>
          <w:lang w:val="en-US" w:eastAsia="zh-CN"/>
        </w:rPr>
        <w:t>8</w:t>
      </w:r>
      <w:r>
        <w:rPr>
          <w:rFonts w:hint="default" w:ascii="Times New Roman" w:hAnsi="Times New Roman" w:cs="Times New Roman"/>
          <w:color w:val="auto"/>
          <w:sz w:val="24"/>
          <w:szCs w:val="24"/>
          <w:highlight w:val="none"/>
          <w:lang w:val="en-US" w:eastAsia="zh-CN"/>
        </w:rPr>
        <w:t>、三级审核表</w:t>
      </w:r>
    </w:p>
    <w:p w14:paraId="5E3A25C4">
      <w:pPr>
        <w:widowControl/>
        <w:adjustRightInd w:val="0"/>
        <w:snapToGrid w:val="0"/>
        <w:spacing w:line="360" w:lineRule="auto"/>
        <w:ind w:firstLine="480" w:firstLineChars="200"/>
        <w:jc w:val="left"/>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附件1</w:t>
      </w:r>
      <w:r>
        <w:rPr>
          <w:rFonts w:hint="eastAsia" w:ascii="Times New Roman" w:hAnsi="Times New Roman" w:cs="Times New Roman"/>
          <w:color w:val="auto"/>
          <w:sz w:val="24"/>
          <w:szCs w:val="24"/>
          <w:highlight w:val="none"/>
          <w:lang w:val="en-US" w:eastAsia="zh-CN"/>
        </w:rPr>
        <w:t>9</w:t>
      </w:r>
      <w:r>
        <w:rPr>
          <w:rFonts w:hint="default" w:ascii="Times New Roman" w:hAnsi="Times New Roman" w:cs="Times New Roman"/>
          <w:color w:val="auto"/>
          <w:sz w:val="24"/>
          <w:szCs w:val="24"/>
          <w:highlight w:val="none"/>
          <w:lang w:val="en-US" w:eastAsia="zh-CN"/>
        </w:rPr>
        <w:t>、环境影响评价项目技术文件进度表</w:t>
      </w:r>
    </w:p>
    <w:p w14:paraId="2B81DB7A">
      <w:pPr>
        <w:widowControl/>
        <w:adjustRightInd w:val="0"/>
        <w:snapToGrid w:val="0"/>
        <w:spacing w:line="360" w:lineRule="auto"/>
        <w:ind w:firstLine="480" w:firstLineChars="200"/>
        <w:jc w:val="left"/>
        <w:rPr>
          <w:color w:val="auto"/>
          <w:highlight w:val="none"/>
        </w:rPr>
      </w:pPr>
      <w:r>
        <w:rPr>
          <w:rFonts w:hint="default" w:ascii="Times New Roman" w:hAnsi="Times New Roman" w:cs="Times New Roman"/>
          <w:color w:val="auto"/>
          <w:sz w:val="24"/>
          <w:szCs w:val="24"/>
          <w:highlight w:val="none"/>
          <w:lang w:val="en-US" w:eastAsia="zh-CN"/>
        </w:rPr>
        <w:t>附件</w:t>
      </w:r>
      <w:r>
        <w:rPr>
          <w:rFonts w:hint="eastAsia" w:ascii="Times New Roman" w:hAnsi="Times New Roman" w:cs="Times New Roman"/>
          <w:color w:val="auto"/>
          <w:sz w:val="24"/>
          <w:szCs w:val="24"/>
          <w:highlight w:val="none"/>
          <w:lang w:val="en-US" w:eastAsia="zh-CN"/>
        </w:rPr>
        <w:t>20</w:t>
      </w:r>
      <w:r>
        <w:rPr>
          <w:rFonts w:hint="default" w:ascii="Times New Roman" w:hAnsi="Times New Roman" w:cs="Times New Roman"/>
          <w:color w:val="auto"/>
          <w:sz w:val="24"/>
          <w:szCs w:val="24"/>
          <w:highlight w:val="none"/>
          <w:lang w:val="en-US" w:eastAsia="zh-CN"/>
        </w:rPr>
        <w:t>、环评合同</w:t>
      </w:r>
    </w:p>
    <w:p w14:paraId="017F65EC">
      <w:pPr>
        <w:pStyle w:val="21"/>
        <w:jc w:val="center"/>
        <w:rPr>
          <w:rFonts w:ascii="黑体" w:hAnsi="黑体" w:eastAsia="黑体"/>
          <w:snapToGrid w:val="0"/>
          <w:color w:val="auto"/>
          <w:sz w:val="30"/>
          <w:szCs w:val="30"/>
          <w:highlight w:val="none"/>
        </w:rPr>
        <w:sectPr>
          <w:pgSz w:w="11906" w:h="16838"/>
          <w:pgMar w:top="1701" w:right="1531" w:bottom="1701" w:left="1531" w:header="851" w:footer="1077" w:gutter="0"/>
          <w:cols w:space="720" w:num="1"/>
          <w:docGrid w:linePitch="312" w:charSpace="0"/>
        </w:sectPr>
      </w:pPr>
    </w:p>
    <w:p w14:paraId="7E69E55E">
      <w:pPr>
        <w:pStyle w:val="21"/>
        <w:jc w:val="center"/>
        <w:outlineLvl w:val="0"/>
        <w:rPr>
          <w:rFonts w:ascii="Times New Roman" w:hAnsi="Times New Roman" w:eastAsia="黑体"/>
          <w:snapToGrid w:val="0"/>
          <w:color w:val="auto"/>
          <w:sz w:val="30"/>
          <w:szCs w:val="30"/>
          <w:highlight w:val="none"/>
        </w:rPr>
      </w:pPr>
      <w:bookmarkStart w:id="2" w:name="_Toc21857"/>
      <w:r>
        <w:rPr>
          <w:rFonts w:ascii="Times New Roman" w:hAnsi="黑体" w:eastAsia="黑体"/>
          <w:snapToGrid w:val="0"/>
          <w:color w:val="auto"/>
          <w:sz w:val="30"/>
          <w:szCs w:val="30"/>
          <w:highlight w:val="none"/>
        </w:rPr>
        <w:t>一、建设项目基本情况</w:t>
      </w:r>
      <w:bookmarkEnd w:id="2"/>
    </w:p>
    <w:tbl>
      <w:tblPr>
        <w:tblStyle w:val="25"/>
        <w:tblW w:w="499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718"/>
        <w:gridCol w:w="12"/>
        <w:gridCol w:w="425"/>
        <w:gridCol w:w="2389"/>
        <w:gridCol w:w="2008"/>
        <w:gridCol w:w="3309"/>
      </w:tblGrid>
      <w:tr w14:paraId="7D2C9D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2" w:type="pct"/>
            <w:gridSpan w:val="3"/>
            <w:tcMar>
              <w:top w:w="16" w:type="dxa"/>
              <w:left w:w="16" w:type="dxa"/>
              <w:right w:w="16" w:type="dxa"/>
            </w:tcMar>
            <w:vAlign w:val="center"/>
          </w:tcPr>
          <w:p w14:paraId="3F0750A2">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建设项目名称</w:t>
            </w:r>
          </w:p>
        </w:tc>
        <w:tc>
          <w:tcPr>
            <w:tcW w:w="4347" w:type="pct"/>
            <w:gridSpan w:val="3"/>
            <w:vAlign w:val="center"/>
          </w:tcPr>
          <w:p w14:paraId="1FEC1DAA">
            <w:pPr>
              <w:adjustRightInd w:val="0"/>
              <w:snapToGrid w:val="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玉溪市新型材料环保石塑箱项目</w:t>
            </w:r>
          </w:p>
        </w:tc>
      </w:tr>
      <w:tr w14:paraId="566474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2" w:type="pct"/>
            <w:gridSpan w:val="3"/>
            <w:tcMar>
              <w:top w:w="16" w:type="dxa"/>
              <w:left w:w="16" w:type="dxa"/>
              <w:right w:w="16" w:type="dxa"/>
            </w:tcMar>
            <w:vAlign w:val="center"/>
          </w:tcPr>
          <w:p w14:paraId="14C6CE3E">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项目代码</w:t>
            </w:r>
          </w:p>
        </w:tc>
        <w:tc>
          <w:tcPr>
            <w:tcW w:w="4347" w:type="pct"/>
            <w:gridSpan w:val="3"/>
            <w:vAlign w:val="center"/>
          </w:tcPr>
          <w:p w14:paraId="3FCDDCC6">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2508-530402-04-01-454327</w:t>
            </w:r>
          </w:p>
        </w:tc>
      </w:tr>
      <w:tr w14:paraId="4B0D49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2" w:type="pct"/>
            <w:gridSpan w:val="3"/>
            <w:tcMar>
              <w:top w:w="16" w:type="dxa"/>
              <w:left w:w="16" w:type="dxa"/>
              <w:right w:w="16" w:type="dxa"/>
            </w:tcMar>
            <w:vAlign w:val="center"/>
          </w:tcPr>
          <w:p w14:paraId="1A0BD2BB">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建设单位</w:t>
            </w:r>
          </w:p>
          <w:p w14:paraId="16146C80">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联系人</w:t>
            </w:r>
          </w:p>
        </w:tc>
        <w:tc>
          <w:tcPr>
            <w:tcW w:w="1348" w:type="pct"/>
            <w:vAlign w:val="center"/>
          </w:tcPr>
          <w:p w14:paraId="22F131D2">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刘子坤</w:t>
            </w:r>
          </w:p>
        </w:tc>
        <w:tc>
          <w:tcPr>
            <w:tcW w:w="1133" w:type="pct"/>
            <w:vAlign w:val="center"/>
          </w:tcPr>
          <w:p w14:paraId="3DF06874">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联系方式</w:t>
            </w:r>
          </w:p>
        </w:tc>
        <w:tc>
          <w:tcPr>
            <w:tcW w:w="1866" w:type="pct"/>
            <w:vAlign w:val="center"/>
          </w:tcPr>
          <w:p w14:paraId="7D297534">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13987739131</w:t>
            </w:r>
          </w:p>
        </w:tc>
      </w:tr>
      <w:tr w14:paraId="605119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2" w:type="pct"/>
            <w:gridSpan w:val="3"/>
            <w:tcMar>
              <w:top w:w="16" w:type="dxa"/>
              <w:left w:w="16" w:type="dxa"/>
              <w:right w:w="16" w:type="dxa"/>
            </w:tcMar>
            <w:vAlign w:val="center"/>
          </w:tcPr>
          <w:p w14:paraId="724B95A7">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建设地点</w:t>
            </w:r>
          </w:p>
        </w:tc>
        <w:tc>
          <w:tcPr>
            <w:tcW w:w="4347" w:type="pct"/>
            <w:gridSpan w:val="3"/>
            <w:vAlign w:val="center"/>
          </w:tcPr>
          <w:p w14:paraId="78F9EDBF">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u w:val="single"/>
              </w:rPr>
              <w:t>云南</w:t>
            </w:r>
            <w:r>
              <w:rPr>
                <w:rFonts w:hint="default" w:ascii="Times New Roman" w:hAnsi="Times New Roman" w:cs="Times New Roman"/>
                <w:color w:val="auto"/>
                <w:sz w:val="24"/>
                <w:highlight w:val="none"/>
              </w:rPr>
              <w:t>省</w:t>
            </w:r>
            <w:r>
              <w:rPr>
                <w:rFonts w:hint="default" w:ascii="Times New Roman" w:hAnsi="Times New Roman" w:cs="Times New Roman"/>
                <w:color w:val="auto"/>
                <w:sz w:val="24"/>
                <w:highlight w:val="none"/>
                <w:u w:val="single"/>
              </w:rPr>
              <w:t>玉溪</w:t>
            </w:r>
            <w:r>
              <w:rPr>
                <w:rFonts w:hint="default" w:ascii="Times New Roman" w:hAnsi="Times New Roman" w:cs="Times New Roman"/>
                <w:color w:val="auto"/>
                <w:sz w:val="24"/>
                <w:highlight w:val="none"/>
              </w:rPr>
              <w:t>市</w:t>
            </w:r>
            <w:r>
              <w:rPr>
                <w:rFonts w:hint="default" w:ascii="Times New Roman" w:hAnsi="Times New Roman" w:cs="Times New Roman"/>
                <w:color w:val="auto"/>
                <w:sz w:val="24"/>
                <w:highlight w:val="none"/>
                <w:u w:val="single"/>
              </w:rPr>
              <w:t>红塔区研和街道贾井社区研和工业园区三缘电缆厂内</w:t>
            </w:r>
          </w:p>
        </w:tc>
      </w:tr>
      <w:tr w14:paraId="22E3BA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2" w:type="pct"/>
            <w:gridSpan w:val="3"/>
            <w:tcMar>
              <w:top w:w="16" w:type="dxa"/>
              <w:left w:w="16" w:type="dxa"/>
              <w:right w:w="16" w:type="dxa"/>
            </w:tcMar>
            <w:vAlign w:val="center"/>
          </w:tcPr>
          <w:p w14:paraId="44712A48">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地理坐标</w:t>
            </w:r>
          </w:p>
        </w:tc>
        <w:tc>
          <w:tcPr>
            <w:tcW w:w="4347" w:type="pct"/>
            <w:gridSpan w:val="3"/>
            <w:vAlign w:val="center"/>
          </w:tcPr>
          <w:p w14:paraId="45DFDE50">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u w:val="single"/>
              </w:rPr>
              <w:t xml:space="preserve"> 102 </w:t>
            </w:r>
            <w:r>
              <w:rPr>
                <w:rFonts w:hint="default" w:ascii="Times New Roman" w:hAnsi="Times New Roman" w:cs="Times New Roman"/>
                <w:color w:val="auto"/>
                <w:sz w:val="24"/>
                <w:highlight w:val="none"/>
              </w:rPr>
              <w:t>度</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30</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分</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47.09</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秒，</w:t>
            </w:r>
            <w:r>
              <w:rPr>
                <w:rFonts w:hint="default" w:ascii="Times New Roman" w:hAnsi="Times New Roman" w:cs="Times New Roman"/>
                <w:color w:val="auto"/>
                <w:sz w:val="24"/>
                <w:highlight w:val="none"/>
                <w:u w:val="single"/>
              </w:rPr>
              <w:t xml:space="preserve"> 24 </w:t>
            </w:r>
            <w:r>
              <w:rPr>
                <w:rFonts w:hint="default" w:ascii="Times New Roman" w:hAnsi="Times New Roman" w:cs="Times New Roman"/>
                <w:color w:val="auto"/>
                <w:sz w:val="24"/>
                <w:highlight w:val="none"/>
              </w:rPr>
              <w:t>度</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17</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分</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01.17</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秒）</w:t>
            </w:r>
          </w:p>
        </w:tc>
      </w:tr>
      <w:tr w14:paraId="09B1BB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2" w:type="pct"/>
            <w:gridSpan w:val="3"/>
            <w:tcMar>
              <w:top w:w="16" w:type="dxa"/>
              <w:left w:w="16" w:type="dxa"/>
              <w:right w:w="16" w:type="dxa"/>
            </w:tcMar>
            <w:vAlign w:val="center"/>
          </w:tcPr>
          <w:p w14:paraId="67EA8EC8">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国民经济</w:t>
            </w:r>
          </w:p>
          <w:p w14:paraId="1DA0458A">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行业类别</w:t>
            </w:r>
          </w:p>
        </w:tc>
        <w:tc>
          <w:tcPr>
            <w:tcW w:w="1348" w:type="pct"/>
            <w:vAlign w:val="center"/>
          </w:tcPr>
          <w:p w14:paraId="17B91303">
            <w:pPr>
              <w:jc w:val="center"/>
              <w:rPr>
                <w:rFonts w:hint="eastAsia"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rPr>
              <w:t>C29</w:t>
            </w:r>
            <w:r>
              <w:rPr>
                <w:rFonts w:hint="eastAsia" w:cs="Times New Roman" w:eastAsiaTheme="minorEastAsia"/>
                <w:color w:val="auto"/>
                <w:sz w:val="24"/>
                <w:highlight w:val="none"/>
                <w:lang w:val="en-US" w:eastAsia="zh-CN"/>
              </w:rPr>
              <w:t>26</w:t>
            </w:r>
            <w:r>
              <w:rPr>
                <w:rFonts w:hint="default" w:ascii="Times New Roman" w:hAnsi="Times New Roman" w:cs="Times New Roman" w:eastAsiaTheme="minorEastAsia"/>
                <w:color w:val="auto"/>
                <w:sz w:val="24"/>
                <w:highlight w:val="none"/>
              </w:rPr>
              <w:t xml:space="preserve"> 塑料</w:t>
            </w:r>
            <w:r>
              <w:rPr>
                <w:rFonts w:hint="eastAsia" w:cs="Times New Roman" w:eastAsiaTheme="minorEastAsia"/>
                <w:color w:val="auto"/>
                <w:sz w:val="24"/>
                <w:highlight w:val="none"/>
                <w:lang w:val="en-US" w:eastAsia="zh-CN"/>
              </w:rPr>
              <w:t>包装箱及容器制造</w:t>
            </w:r>
          </w:p>
        </w:tc>
        <w:tc>
          <w:tcPr>
            <w:tcW w:w="1133" w:type="pct"/>
            <w:vAlign w:val="center"/>
          </w:tcPr>
          <w:p w14:paraId="6D654C66">
            <w:pPr>
              <w:jc w:val="center"/>
              <w:rPr>
                <w:rFonts w:hint="default" w:ascii="Times New Roman" w:hAnsi="Times New Roman" w:cs="Times New Roman" w:eastAsiaTheme="minorEastAsia"/>
                <w:color w:val="auto"/>
                <w:sz w:val="24"/>
                <w:highlight w:val="none"/>
              </w:rPr>
            </w:pPr>
            <w:bookmarkStart w:id="3" w:name="_Hlk49843745"/>
            <w:r>
              <w:rPr>
                <w:rFonts w:hint="default" w:ascii="Times New Roman" w:hAnsi="Times New Roman" w:cs="Times New Roman" w:eastAsiaTheme="minorEastAsia"/>
                <w:color w:val="auto"/>
                <w:sz w:val="24"/>
                <w:highlight w:val="none"/>
              </w:rPr>
              <w:t>建设项目</w:t>
            </w:r>
          </w:p>
          <w:p w14:paraId="7E727C1E">
            <w:pPr>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行业类别</w:t>
            </w:r>
            <w:bookmarkEnd w:id="3"/>
          </w:p>
        </w:tc>
        <w:tc>
          <w:tcPr>
            <w:tcW w:w="1866" w:type="pct"/>
            <w:vAlign w:val="center"/>
          </w:tcPr>
          <w:p w14:paraId="39487A86">
            <w:pPr>
              <w:jc w:val="left"/>
              <w:rPr>
                <w:rFonts w:hint="default"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rPr>
              <w:t>二十六、橡胶和塑料制品业53 塑料制品业292</w:t>
            </w:r>
            <w:r>
              <w:rPr>
                <w:rFonts w:hint="eastAsia" w:cs="Times New Roman" w:eastAsiaTheme="minorEastAsia"/>
                <w:color w:val="auto"/>
                <w:sz w:val="24"/>
                <w:highlight w:val="none"/>
                <w:lang w:val="en-US" w:eastAsia="zh-CN"/>
              </w:rPr>
              <w:t xml:space="preserve"> 其他（年用非溶剂型低VOCs含量涂料10吨以下的除外）</w:t>
            </w:r>
          </w:p>
        </w:tc>
      </w:tr>
      <w:tr w14:paraId="527562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2" w:type="pct"/>
            <w:gridSpan w:val="3"/>
            <w:tcMar>
              <w:top w:w="16" w:type="dxa"/>
              <w:left w:w="16" w:type="dxa"/>
              <w:right w:w="16" w:type="dxa"/>
            </w:tcMar>
            <w:vAlign w:val="center"/>
          </w:tcPr>
          <w:p w14:paraId="528A031B">
            <w:pPr>
              <w:adjustRightInd w:val="0"/>
              <w:snapToGrid w:val="0"/>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建设性质</w:t>
            </w:r>
          </w:p>
        </w:tc>
        <w:tc>
          <w:tcPr>
            <w:tcW w:w="1348" w:type="pct"/>
            <w:vAlign w:val="center"/>
          </w:tcPr>
          <w:p w14:paraId="065FC982">
            <w:pPr>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☑新建（迁建）</w:t>
            </w:r>
          </w:p>
          <w:p w14:paraId="60F92561">
            <w:pPr>
              <w:jc w:val="left"/>
              <w:rPr>
                <w:rFonts w:hint="default" w:ascii="Times New Roman" w:hAnsi="Times New Roman" w:cs="Times New Roman" w:eastAsiaTheme="minorEastAsia"/>
                <w:color w:val="auto"/>
                <w:sz w:val="24"/>
                <w:highlight w:val="none"/>
              </w:rPr>
            </w:pP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改建</w:t>
            </w:r>
          </w:p>
          <w:p w14:paraId="7B1EAF16">
            <w:pPr>
              <w:jc w:val="left"/>
              <w:rPr>
                <w:rFonts w:hint="default" w:ascii="Times New Roman" w:hAnsi="Times New Roman" w:cs="Times New Roman" w:eastAsiaTheme="minorEastAsia"/>
                <w:color w:val="auto"/>
                <w:sz w:val="24"/>
                <w:highlight w:val="none"/>
              </w:rPr>
            </w:pP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扩建</w:t>
            </w:r>
          </w:p>
          <w:p w14:paraId="04B7637F">
            <w:pPr>
              <w:jc w:val="left"/>
              <w:rPr>
                <w:rFonts w:hint="default" w:ascii="Times New Roman" w:hAnsi="Times New Roman" w:cs="Times New Roman" w:eastAsiaTheme="minorEastAsia"/>
                <w:color w:val="auto"/>
                <w:sz w:val="24"/>
                <w:highlight w:val="none"/>
              </w:rPr>
            </w:pP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技术改造</w:t>
            </w:r>
          </w:p>
        </w:tc>
        <w:tc>
          <w:tcPr>
            <w:tcW w:w="1133" w:type="pct"/>
            <w:vAlign w:val="center"/>
          </w:tcPr>
          <w:p w14:paraId="6103A762">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建设项目</w:t>
            </w:r>
          </w:p>
          <w:p w14:paraId="53505DE7">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申报情形</w:t>
            </w:r>
          </w:p>
        </w:tc>
        <w:tc>
          <w:tcPr>
            <w:tcW w:w="1866" w:type="pct"/>
            <w:vAlign w:val="center"/>
          </w:tcPr>
          <w:p w14:paraId="1B201B93">
            <w:pPr>
              <w:jc w:val="left"/>
              <w:rPr>
                <w:rFonts w:hint="default" w:ascii="Times New Roman" w:hAnsi="Times New Roman" w:cs="Times New Roman" w:eastAsiaTheme="minorEastAsia"/>
                <w:color w:val="auto"/>
                <w:sz w:val="24"/>
                <w:highlight w:val="none"/>
              </w:rPr>
            </w:pP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首次申报项目</w:t>
            </w:r>
          </w:p>
          <w:p w14:paraId="3C9CD961">
            <w:pPr>
              <w:jc w:val="left"/>
              <w:rPr>
                <w:rFonts w:hint="default" w:ascii="Times New Roman" w:hAnsi="Times New Roman" w:cs="Times New Roman" w:eastAsiaTheme="minorEastAsia"/>
                <w:color w:val="auto"/>
                <w:sz w:val="24"/>
                <w:highlight w:val="none"/>
              </w:rPr>
            </w:pP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不予批准后再次申报项目</w:t>
            </w:r>
          </w:p>
          <w:p w14:paraId="34A80DCE">
            <w:pPr>
              <w:jc w:val="left"/>
              <w:rPr>
                <w:rFonts w:hint="default" w:ascii="Times New Roman" w:hAnsi="Times New Roman" w:cs="Times New Roman" w:eastAsiaTheme="minorEastAsia"/>
                <w:color w:val="auto"/>
                <w:sz w:val="24"/>
                <w:highlight w:val="none"/>
              </w:rPr>
            </w:pP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超五年重新审核项目</w:t>
            </w:r>
          </w:p>
          <w:p w14:paraId="58207104">
            <w:pPr>
              <w:jc w:val="left"/>
              <w:rPr>
                <w:rFonts w:hint="default" w:ascii="Times New Roman" w:hAnsi="Times New Roman" w:cs="Times New Roman"/>
                <w:color w:val="auto"/>
                <w:sz w:val="24"/>
                <w:highlight w:val="none"/>
              </w:rPr>
            </w:pP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重大变动重新报批项目</w:t>
            </w:r>
          </w:p>
        </w:tc>
      </w:tr>
      <w:tr w14:paraId="1E0B74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2" w:type="pct"/>
            <w:gridSpan w:val="3"/>
            <w:tcMar>
              <w:top w:w="16" w:type="dxa"/>
              <w:left w:w="16" w:type="dxa"/>
              <w:right w:w="16" w:type="dxa"/>
            </w:tcMar>
            <w:vAlign w:val="center"/>
          </w:tcPr>
          <w:p w14:paraId="261ABFE9">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项目审批（核准/备案）部门（选填）</w:t>
            </w:r>
          </w:p>
        </w:tc>
        <w:tc>
          <w:tcPr>
            <w:tcW w:w="1348" w:type="pct"/>
            <w:vAlign w:val="center"/>
          </w:tcPr>
          <w:p w14:paraId="0EBAA0E3">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玉溪市红塔区发展和改革局</w:t>
            </w:r>
          </w:p>
        </w:tc>
        <w:tc>
          <w:tcPr>
            <w:tcW w:w="1133" w:type="pct"/>
            <w:vAlign w:val="center"/>
          </w:tcPr>
          <w:p w14:paraId="4847A0D0">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项目审批（核准/备案）文号（选填）</w:t>
            </w:r>
          </w:p>
        </w:tc>
        <w:tc>
          <w:tcPr>
            <w:tcW w:w="1866" w:type="pct"/>
            <w:vAlign w:val="center"/>
          </w:tcPr>
          <w:p w14:paraId="05659FA6">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2508-530402-04-01-454327</w:t>
            </w:r>
          </w:p>
        </w:tc>
      </w:tr>
      <w:tr w14:paraId="50F289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2" w:type="pct"/>
            <w:gridSpan w:val="3"/>
            <w:tcMar>
              <w:top w:w="16" w:type="dxa"/>
              <w:left w:w="16" w:type="dxa"/>
              <w:right w:w="16" w:type="dxa"/>
            </w:tcMar>
            <w:vAlign w:val="center"/>
          </w:tcPr>
          <w:p w14:paraId="706A3078">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总投资（万元）</w:t>
            </w:r>
          </w:p>
        </w:tc>
        <w:tc>
          <w:tcPr>
            <w:tcW w:w="1348" w:type="pct"/>
            <w:vAlign w:val="center"/>
          </w:tcPr>
          <w:p w14:paraId="0F5A2DA9">
            <w:pPr>
              <w:adjustRightInd w:val="0"/>
              <w:snapToGrid w:val="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500</w:t>
            </w:r>
          </w:p>
        </w:tc>
        <w:tc>
          <w:tcPr>
            <w:tcW w:w="1133" w:type="pct"/>
            <w:tcMar>
              <w:top w:w="16" w:type="dxa"/>
              <w:left w:w="16" w:type="dxa"/>
              <w:right w:w="16" w:type="dxa"/>
            </w:tcMar>
            <w:vAlign w:val="center"/>
          </w:tcPr>
          <w:p w14:paraId="326B9DDC">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环保投资（万元）</w:t>
            </w:r>
          </w:p>
        </w:tc>
        <w:tc>
          <w:tcPr>
            <w:tcW w:w="1866" w:type="pct"/>
            <w:vAlign w:val="center"/>
          </w:tcPr>
          <w:p w14:paraId="23E32C96">
            <w:pPr>
              <w:adjustRightInd w:val="0"/>
              <w:snapToGrid w:val="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41.4</w:t>
            </w:r>
          </w:p>
        </w:tc>
      </w:tr>
      <w:tr w14:paraId="784643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2" w:type="pct"/>
            <w:gridSpan w:val="3"/>
            <w:tcMar>
              <w:top w:w="16" w:type="dxa"/>
              <w:left w:w="16" w:type="dxa"/>
              <w:right w:w="16" w:type="dxa"/>
            </w:tcMar>
            <w:vAlign w:val="center"/>
          </w:tcPr>
          <w:p w14:paraId="4BEC5334">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环保投资占比（%）</w:t>
            </w:r>
          </w:p>
        </w:tc>
        <w:tc>
          <w:tcPr>
            <w:tcW w:w="1348" w:type="pct"/>
            <w:vAlign w:val="center"/>
          </w:tcPr>
          <w:p w14:paraId="2970D1A7">
            <w:pPr>
              <w:adjustRightInd w:val="0"/>
              <w:snapToGrid w:val="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8.28</w:t>
            </w:r>
          </w:p>
        </w:tc>
        <w:tc>
          <w:tcPr>
            <w:tcW w:w="1133" w:type="pct"/>
            <w:tcMar>
              <w:top w:w="16" w:type="dxa"/>
              <w:left w:w="16" w:type="dxa"/>
              <w:right w:w="16" w:type="dxa"/>
            </w:tcMar>
            <w:vAlign w:val="center"/>
          </w:tcPr>
          <w:p w14:paraId="7177412A">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施工工期</w:t>
            </w:r>
          </w:p>
        </w:tc>
        <w:tc>
          <w:tcPr>
            <w:tcW w:w="1866" w:type="pct"/>
            <w:vAlign w:val="center"/>
          </w:tcPr>
          <w:p w14:paraId="1FC71C79">
            <w:pPr>
              <w:adjustRightInd w:val="0"/>
              <w:snapToGrid w:val="0"/>
              <w:jc w:val="center"/>
              <w:rPr>
                <w:rFonts w:hint="default" w:ascii="Times New Roman" w:hAnsi="Times New Roman" w:cs="Times New Roman"/>
                <w:color w:val="auto"/>
                <w:sz w:val="24"/>
                <w:highlight w:val="none"/>
              </w:rPr>
            </w:pPr>
            <w:r>
              <w:rPr>
                <w:rFonts w:hint="eastAsia" w:cs="Times New Roman"/>
                <w:color w:val="auto"/>
                <w:sz w:val="24"/>
                <w:highlight w:val="none"/>
                <w:lang w:val="en-US" w:eastAsia="zh-CN"/>
              </w:rPr>
              <w:t>6</w:t>
            </w:r>
            <w:r>
              <w:rPr>
                <w:rFonts w:hint="default" w:ascii="Times New Roman" w:hAnsi="Times New Roman" w:cs="Times New Roman"/>
                <w:color w:val="auto"/>
                <w:sz w:val="24"/>
                <w:highlight w:val="none"/>
              </w:rPr>
              <w:t>个月</w:t>
            </w:r>
          </w:p>
        </w:tc>
      </w:tr>
      <w:tr w14:paraId="69DAA4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652" w:type="pct"/>
            <w:gridSpan w:val="3"/>
            <w:tcMar>
              <w:top w:w="16" w:type="dxa"/>
              <w:left w:w="16" w:type="dxa"/>
              <w:right w:w="16" w:type="dxa"/>
            </w:tcMar>
            <w:vAlign w:val="center"/>
          </w:tcPr>
          <w:p w14:paraId="5167C4B3">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是否开工建设</w:t>
            </w:r>
          </w:p>
        </w:tc>
        <w:tc>
          <w:tcPr>
            <w:tcW w:w="1348" w:type="pct"/>
            <w:vAlign w:val="center"/>
          </w:tcPr>
          <w:p w14:paraId="2875E90B">
            <w:pPr>
              <w:adjustRightInd w:val="0"/>
              <w:snapToGrid w:val="0"/>
              <w:rPr>
                <w:rFonts w:hint="eastAsia" w:hAnsi="宋体"/>
                <w:color w:val="auto"/>
                <w:sz w:val="24"/>
                <w:highlight w:val="none"/>
              </w:rPr>
            </w:pPr>
            <w:r>
              <w:rPr>
                <w:rFonts w:hint="eastAsia" w:asciiTheme="minorEastAsia" w:hAnsiTheme="minorEastAsia" w:eastAsiaTheme="minorEastAsia"/>
                <w:color w:val="auto"/>
                <w:sz w:val="24"/>
                <w:highlight w:val="none"/>
                <w:lang w:eastAsia="zh-CN"/>
              </w:rPr>
              <w:t>☑</w:t>
            </w:r>
            <w:r>
              <w:rPr>
                <w:rFonts w:hAnsi="宋体"/>
                <w:color w:val="auto"/>
                <w:sz w:val="24"/>
                <w:highlight w:val="none"/>
              </w:rPr>
              <w:t>否</w:t>
            </w:r>
          </w:p>
          <w:p w14:paraId="3A4ED14C">
            <w:pPr>
              <w:adjustRightInd w:val="0"/>
              <w:snapToGrid w:val="0"/>
              <w:rPr>
                <w:rFonts w:hint="default" w:ascii="Times New Roman" w:hAnsi="Times New Roman" w:cs="Times New Roman"/>
                <w:color w:val="auto"/>
                <w:sz w:val="24"/>
                <w:highlight w:val="none"/>
              </w:rPr>
            </w:pPr>
            <w:r>
              <w:rPr>
                <w:rFonts w:hint="eastAsia" w:hAnsi="宋体"/>
                <w:color w:val="auto"/>
                <w:sz w:val="24"/>
                <w:highlight w:val="none"/>
              </w:rPr>
              <w:t>是：</w:t>
            </w:r>
            <w:r>
              <w:rPr>
                <w:rFonts w:hint="eastAsia" w:hAnsi="宋体"/>
                <w:color w:val="auto"/>
                <w:sz w:val="24"/>
                <w:highlight w:val="none"/>
                <w:u w:val="single"/>
              </w:rPr>
              <w:t xml:space="preserve">     </w:t>
            </w:r>
            <w:r>
              <w:rPr>
                <w:rFonts w:hint="eastAsia" w:hAnsi="宋体"/>
                <w:color w:val="auto"/>
                <w:sz w:val="24"/>
                <w:highlight w:val="none"/>
                <w:u w:val="single"/>
                <w:lang w:val="en-US" w:eastAsia="zh-CN"/>
              </w:rPr>
              <w:t xml:space="preserve">       </w:t>
            </w:r>
            <w:r>
              <w:rPr>
                <w:rFonts w:hint="eastAsia" w:hAnsi="宋体"/>
                <w:color w:val="auto"/>
                <w:sz w:val="24"/>
                <w:highlight w:val="none"/>
                <w:u w:val="single"/>
              </w:rPr>
              <w:t xml:space="preserve">  </w:t>
            </w:r>
          </w:p>
        </w:tc>
        <w:tc>
          <w:tcPr>
            <w:tcW w:w="1133" w:type="pct"/>
            <w:tcMar>
              <w:top w:w="16" w:type="dxa"/>
              <w:left w:w="16" w:type="dxa"/>
              <w:right w:w="16" w:type="dxa"/>
            </w:tcMar>
            <w:vAlign w:val="center"/>
          </w:tcPr>
          <w:p w14:paraId="3FE04DC8">
            <w:pPr>
              <w:adjustRightInd w:val="0"/>
              <w:snapToGrid w:val="0"/>
              <w:jc w:val="center"/>
              <w:rPr>
                <w:rFonts w:hint="default" w:ascii="Times New Roman" w:hAnsi="Times New Roman" w:cs="Times New Roman"/>
                <w:color w:val="auto"/>
                <w:spacing w:val="-6"/>
                <w:sz w:val="24"/>
                <w:highlight w:val="none"/>
              </w:rPr>
            </w:pPr>
            <w:r>
              <w:rPr>
                <w:rFonts w:hint="default" w:ascii="Times New Roman" w:hAnsi="Times New Roman" w:cs="Times New Roman"/>
                <w:color w:val="auto"/>
                <w:spacing w:val="-6"/>
                <w:sz w:val="24"/>
                <w:highlight w:val="none"/>
              </w:rPr>
              <w:t>用地（用海）</w:t>
            </w:r>
          </w:p>
          <w:p w14:paraId="7030F6D0">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pacing w:val="-6"/>
                <w:sz w:val="24"/>
                <w:highlight w:val="none"/>
              </w:rPr>
              <w:t>面积（m</w:t>
            </w:r>
            <w:r>
              <w:rPr>
                <w:rFonts w:hint="default" w:ascii="Times New Roman" w:hAnsi="Times New Roman" w:cs="Times New Roman"/>
                <w:color w:val="auto"/>
                <w:spacing w:val="-6"/>
                <w:sz w:val="24"/>
                <w:highlight w:val="none"/>
                <w:vertAlign w:val="superscript"/>
              </w:rPr>
              <w:t>2</w:t>
            </w:r>
            <w:r>
              <w:rPr>
                <w:rFonts w:hint="default" w:ascii="Times New Roman" w:hAnsi="Times New Roman" w:cs="Times New Roman"/>
                <w:color w:val="auto"/>
                <w:spacing w:val="-6"/>
                <w:sz w:val="24"/>
                <w:highlight w:val="none"/>
              </w:rPr>
              <w:t>）</w:t>
            </w:r>
          </w:p>
        </w:tc>
        <w:tc>
          <w:tcPr>
            <w:tcW w:w="1866" w:type="pct"/>
            <w:vAlign w:val="center"/>
          </w:tcPr>
          <w:p w14:paraId="33E77C4F">
            <w:pPr>
              <w:adjustRightInd w:val="0"/>
              <w:snapToGrid w:val="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3328</w:t>
            </w:r>
          </w:p>
        </w:tc>
      </w:tr>
      <w:tr w14:paraId="7D5527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vAlign w:val="center"/>
          </w:tcPr>
          <w:p w14:paraId="4F38F9DC">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专项评价设置情况</w:t>
            </w:r>
          </w:p>
        </w:tc>
        <w:tc>
          <w:tcPr>
            <w:tcW w:w="4594" w:type="pct"/>
            <w:gridSpan w:val="5"/>
            <w:vAlign w:val="center"/>
          </w:tcPr>
          <w:p w14:paraId="66188271">
            <w:pPr>
              <w:autoSpaceDE w:val="0"/>
              <w:autoSpaceDN w:val="0"/>
              <w:adjustRightInd w:val="0"/>
              <w:snapToGrid w:val="0"/>
              <w:spacing w:line="360" w:lineRule="auto"/>
              <w:ind w:firstLine="480" w:firstLineChars="200"/>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根据《建设项目环境影响报告表编制技术指南（污染影响类）（试行）》，专项设置原则及本项目专项设置情况如下：</w:t>
            </w:r>
          </w:p>
          <w:p w14:paraId="3E7F4AB8">
            <w:pPr>
              <w:autoSpaceDE w:val="0"/>
              <w:autoSpaceDN w:val="0"/>
              <w:adjustRightInd w:val="0"/>
              <w:snapToGrid w:val="0"/>
              <w:spacing w:line="360" w:lineRule="auto"/>
              <w:jc w:val="center"/>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rPr>
              <w:t>表1-1 专项设置原则及本项目专项设置情况一览表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2972"/>
              <w:gridCol w:w="3056"/>
              <w:gridCol w:w="928"/>
            </w:tblGrid>
            <w:tr w14:paraId="77622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5" w:type="pct"/>
                  <w:vAlign w:val="center"/>
                </w:tcPr>
                <w:p w14:paraId="326AFA27">
                  <w:pPr>
                    <w:autoSpaceDE w:val="0"/>
                    <w:autoSpaceDN w:val="0"/>
                    <w:adjustRightInd w:val="0"/>
                    <w:snapToGrid w:val="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专项评价类别</w:t>
                  </w:r>
                </w:p>
              </w:tc>
              <w:tc>
                <w:tcPr>
                  <w:tcW w:w="1878" w:type="pct"/>
                  <w:vAlign w:val="center"/>
                </w:tcPr>
                <w:p w14:paraId="144B8A03">
                  <w:pPr>
                    <w:autoSpaceDE w:val="0"/>
                    <w:autoSpaceDN w:val="0"/>
                    <w:adjustRightInd w:val="0"/>
                    <w:snapToGrid w:val="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设置原则</w:t>
                  </w:r>
                </w:p>
              </w:tc>
              <w:tc>
                <w:tcPr>
                  <w:tcW w:w="1931" w:type="pct"/>
                  <w:vAlign w:val="center"/>
                </w:tcPr>
                <w:p w14:paraId="73C6EAAC">
                  <w:pPr>
                    <w:autoSpaceDE w:val="0"/>
                    <w:autoSpaceDN w:val="0"/>
                    <w:adjustRightInd w:val="0"/>
                    <w:snapToGrid w:val="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本项目情况</w:t>
                  </w:r>
                </w:p>
              </w:tc>
              <w:tc>
                <w:tcPr>
                  <w:tcW w:w="585" w:type="pct"/>
                  <w:vAlign w:val="center"/>
                </w:tcPr>
                <w:p w14:paraId="3393B800">
                  <w:pPr>
                    <w:autoSpaceDE w:val="0"/>
                    <w:autoSpaceDN w:val="0"/>
                    <w:adjustRightInd w:val="0"/>
                    <w:snapToGrid w:val="0"/>
                    <w:jc w:val="center"/>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本项目是否设置专项</w:t>
                  </w:r>
                </w:p>
              </w:tc>
            </w:tr>
            <w:tr w14:paraId="1A4C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5" w:type="pct"/>
                  <w:vAlign w:val="center"/>
                </w:tcPr>
                <w:p w14:paraId="33BFAA35">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大气</w:t>
                  </w:r>
                </w:p>
              </w:tc>
              <w:tc>
                <w:tcPr>
                  <w:tcW w:w="1878" w:type="pct"/>
                  <w:vAlign w:val="center"/>
                </w:tcPr>
                <w:p w14:paraId="20687DAB">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排放废气含有毒有害污染物</w:t>
                  </w:r>
                  <w:r>
                    <w:rPr>
                      <w:rFonts w:hint="default" w:ascii="Times New Roman" w:hAnsi="Times New Roman" w:cs="Times New Roman"/>
                      <w:color w:val="auto"/>
                      <w:kern w:val="0"/>
                      <w:szCs w:val="21"/>
                      <w:highlight w:val="none"/>
                      <w:vertAlign w:val="superscript"/>
                    </w:rPr>
                    <w:t>1</w:t>
                  </w:r>
                  <w:r>
                    <w:rPr>
                      <w:rFonts w:hint="default" w:ascii="Times New Roman" w:hAnsi="Times New Roman" w:cs="Times New Roman"/>
                      <w:color w:val="auto"/>
                      <w:kern w:val="0"/>
                      <w:szCs w:val="21"/>
                      <w:highlight w:val="none"/>
                    </w:rPr>
                    <w:t>、二噁英、苯并[a]芘、氰化物、氯气且厂界外500米范围内有环境空气保护目标</w:t>
                  </w:r>
                  <w:r>
                    <w:rPr>
                      <w:rFonts w:hint="default" w:ascii="Times New Roman" w:hAnsi="Times New Roman" w:cs="Times New Roman"/>
                      <w:color w:val="auto"/>
                      <w:kern w:val="0"/>
                      <w:szCs w:val="21"/>
                      <w:highlight w:val="none"/>
                      <w:vertAlign w:val="superscript"/>
                    </w:rPr>
                    <w:t>2</w:t>
                  </w:r>
                  <w:r>
                    <w:rPr>
                      <w:rFonts w:hint="default" w:ascii="Times New Roman" w:hAnsi="Times New Roman" w:cs="Times New Roman"/>
                      <w:color w:val="auto"/>
                      <w:kern w:val="0"/>
                      <w:szCs w:val="21"/>
                      <w:highlight w:val="none"/>
                    </w:rPr>
                    <w:t>的建设项目</w:t>
                  </w:r>
                </w:p>
              </w:tc>
              <w:tc>
                <w:tcPr>
                  <w:tcW w:w="1931" w:type="pct"/>
                  <w:vAlign w:val="center"/>
                </w:tcPr>
                <w:p w14:paraId="19583EE7">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本项目排放的废气主要为</w:t>
                  </w:r>
                  <w:r>
                    <w:rPr>
                      <w:rFonts w:hint="eastAsia" w:cs="Times New Roman"/>
                      <w:color w:val="auto"/>
                      <w:kern w:val="0"/>
                      <w:szCs w:val="21"/>
                      <w:highlight w:val="none"/>
                      <w:lang w:val="en-US" w:eastAsia="zh-CN"/>
                    </w:rPr>
                    <w:t>非甲烷总烃</w:t>
                  </w:r>
                  <w:r>
                    <w:rPr>
                      <w:rFonts w:hint="default" w:ascii="Times New Roman" w:hAnsi="Times New Roman" w:cs="Times New Roman"/>
                      <w:color w:val="auto"/>
                      <w:kern w:val="0"/>
                      <w:szCs w:val="21"/>
                      <w:highlight w:val="none"/>
                    </w:rPr>
                    <w:t>，不涉及含有毒有害污染物、二噁英、苯并[a]芘、氰化物、氯气，厂界外500米范围内无环境空气保护目标。</w:t>
                  </w:r>
                </w:p>
              </w:tc>
              <w:tc>
                <w:tcPr>
                  <w:tcW w:w="585" w:type="pct"/>
                  <w:vAlign w:val="center"/>
                </w:tcPr>
                <w:p w14:paraId="4514C06E">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否</w:t>
                  </w:r>
                </w:p>
                <w:p w14:paraId="7699C9B4">
                  <w:pPr>
                    <w:autoSpaceDE w:val="0"/>
                    <w:autoSpaceDN w:val="0"/>
                    <w:adjustRightInd w:val="0"/>
                    <w:snapToGrid w:val="0"/>
                    <w:jc w:val="center"/>
                    <w:rPr>
                      <w:rFonts w:hint="default" w:ascii="Times New Roman" w:hAnsi="Times New Roman" w:cs="Times New Roman"/>
                      <w:color w:val="auto"/>
                      <w:kern w:val="0"/>
                      <w:szCs w:val="21"/>
                      <w:highlight w:val="none"/>
                    </w:rPr>
                  </w:pPr>
                </w:p>
              </w:tc>
            </w:tr>
            <w:tr w14:paraId="3242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5" w:type="pct"/>
                  <w:vAlign w:val="center"/>
                </w:tcPr>
                <w:p w14:paraId="0ECD9AA7">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地表水</w:t>
                  </w:r>
                </w:p>
              </w:tc>
              <w:tc>
                <w:tcPr>
                  <w:tcW w:w="1878" w:type="pct"/>
                  <w:vAlign w:val="center"/>
                </w:tcPr>
                <w:p w14:paraId="05149357">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新增工业废水直排建设项目（槽罐车外送污水处理厂的除外）；新增废水直排的污水集中处理厂</w:t>
                  </w:r>
                </w:p>
              </w:tc>
              <w:tc>
                <w:tcPr>
                  <w:tcW w:w="1931" w:type="pct"/>
                  <w:vAlign w:val="center"/>
                </w:tcPr>
                <w:p w14:paraId="2A2EFC07">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本项目无新增工业废水直排。项目</w:t>
                  </w:r>
                  <w:r>
                    <w:rPr>
                      <w:rFonts w:hint="eastAsia" w:cs="Times New Roman"/>
                      <w:color w:val="auto"/>
                      <w:kern w:val="0"/>
                      <w:szCs w:val="21"/>
                      <w:highlight w:val="none"/>
                      <w:lang w:val="en-US" w:eastAsia="zh-CN"/>
                    </w:rPr>
                    <w:t>设备冷却水</w:t>
                  </w:r>
                  <w:r>
                    <w:rPr>
                      <w:rFonts w:hint="default" w:ascii="Times New Roman" w:hAnsi="Times New Roman" w:cs="Times New Roman"/>
                      <w:color w:val="auto"/>
                      <w:kern w:val="0"/>
                      <w:szCs w:val="21"/>
                      <w:highlight w:val="none"/>
                    </w:rPr>
                    <w:t>循环使用，不外排；办公生活污水依托云南三缘电缆有限公司化粪池（10m³）</w:t>
                  </w:r>
                  <w:r>
                    <w:rPr>
                      <w:rFonts w:hint="eastAsia" w:cs="Times New Roman"/>
                      <w:color w:val="auto"/>
                      <w:kern w:val="0"/>
                      <w:szCs w:val="21"/>
                      <w:highlight w:val="none"/>
                      <w:lang w:val="en-US" w:eastAsia="zh-CN"/>
                    </w:rPr>
                    <w:t>预</w:t>
                  </w:r>
                  <w:r>
                    <w:rPr>
                      <w:rFonts w:hint="default" w:ascii="Times New Roman" w:hAnsi="Times New Roman" w:cs="Times New Roman"/>
                      <w:color w:val="auto"/>
                      <w:kern w:val="0"/>
                      <w:szCs w:val="21"/>
                      <w:highlight w:val="none"/>
                    </w:rPr>
                    <w:t>处理后</w:t>
                  </w:r>
                  <w:r>
                    <w:rPr>
                      <w:rFonts w:hint="eastAsia" w:cs="Times New Roman"/>
                      <w:color w:val="auto"/>
                      <w:kern w:val="0"/>
                      <w:szCs w:val="21"/>
                      <w:highlight w:val="none"/>
                      <w:lang w:eastAsia="zh-CN"/>
                    </w:rPr>
                    <w:t>，采用槽罐车外送至</w:t>
                  </w:r>
                  <w:r>
                    <w:rPr>
                      <w:rFonts w:hint="eastAsia" w:cs="Times New Roman"/>
                      <w:color w:val="auto"/>
                      <w:kern w:val="0"/>
                      <w:szCs w:val="21"/>
                      <w:highlight w:val="none"/>
                      <w:lang w:val="en-US" w:eastAsia="zh-CN"/>
                    </w:rPr>
                    <w:t>玉溪市第二</w:t>
                  </w:r>
                  <w:r>
                    <w:rPr>
                      <w:rFonts w:hint="eastAsia" w:cs="Times New Roman"/>
                      <w:color w:val="auto"/>
                      <w:kern w:val="0"/>
                      <w:szCs w:val="21"/>
                      <w:highlight w:val="none"/>
                      <w:lang w:eastAsia="zh-CN"/>
                    </w:rPr>
                    <w:t>污水处理</w:t>
                  </w:r>
                  <w:r>
                    <w:rPr>
                      <w:rFonts w:hint="eastAsia" w:cs="Times New Roman"/>
                      <w:color w:val="auto"/>
                      <w:kern w:val="0"/>
                      <w:szCs w:val="21"/>
                      <w:highlight w:val="none"/>
                      <w:lang w:val="en-US" w:eastAsia="zh-CN"/>
                    </w:rPr>
                    <w:t>厂</w:t>
                  </w:r>
                  <w:r>
                    <w:rPr>
                      <w:rFonts w:hint="eastAsia" w:cs="Times New Roman"/>
                      <w:color w:val="auto"/>
                      <w:kern w:val="0"/>
                      <w:szCs w:val="21"/>
                      <w:highlight w:val="none"/>
                      <w:lang w:eastAsia="zh-CN"/>
                    </w:rPr>
                    <w:t>处理</w:t>
                  </w:r>
                  <w:r>
                    <w:rPr>
                      <w:rFonts w:hint="default" w:ascii="Times New Roman" w:hAnsi="Times New Roman" w:cs="Times New Roman"/>
                      <w:color w:val="auto"/>
                      <w:kern w:val="0"/>
                      <w:szCs w:val="21"/>
                      <w:highlight w:val="none"/>
                    </w:rPr>
                    <w:t>。</w:t>
                  </w:r>
                </w:p>
                <w:p w14:paraId="6669935B">
                  <w:pPr>
                    <w:autoSpaceDE w:val="0"/>
                    <w:autoSpaceDN w:val="0"/>
                    <w:adjustRightInd w:val="0"/>
                    <w:snapToGrid w:val="0"/>
                    <w:jc w:val="left"/>
                    <w:rPr>
                      <w:rFonts w:hint="default" w:ascii="Times New Roman" w:hAnsi="Times New Roman"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属于间接排放。</w:t>
                  </w:r>
                </w:p>
              </w:tc>
              <w:tc>
                <w:tcPr>
                  <w:tcW w:w="585" w:type="pct"/>
                  <w:vAlign w:val="center"/>
                </w:tcPr>
                <w:p w14:paraId="206A1C50">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否</w:t>
                  </w:r>
                </w:p>
              </w:tc>
            </w:tr>
            <w:tr w14:paraId="5984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5" w:type="pct"/>
                  <w:vAlign w:val="center"/>
                </w:tcPr>
                <w:p w14:paraId="0DE6EB52">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环境风险</w:t>
                  </w:r>
                </w:p>
              </w:tc>
              <w:tc>
                <w:tcPr>
                  <w:tcW w:w="1878" w:type="pct"/>
                  <w:vAlign w:val="center"/>
                </w:tcPr>
                <w:p w14:paraId="62EF60F9">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有毒有害和易燃易爆危险物质存储量超过临界量</w:t>
                  </w:r>
                  <w:r>
                    <w:rPr>
                      <w:rFonts w:hint="default" w:ascii="Times New Roman" w:hAnsi="Times New Roman" w:cs="Times New Roman"/>
                      <w:color w:val="auto"/>
                      <w:kern w:val="0"/>
                      <w:szCs w:val="21"/>
                      <w:highlight w:val="none"/>
                      <w:vertAlign w:val="superscript"/>
                    </w:rPr>
                    <w:t>3</w:t>
                  </w:r>
                  <w:r>
                    <w:rPr>
                      <w:rFonts w:hint="default" w:ascii="Times New Roman" w:hAnsi="Times New Roman" w:cs="Times New Roman"/>
                      <w:color w:val="auto"/>
                      <w:kern w:val="0"/>
                      <w:szCs w:val="21"/>
                      <w:highlight w:val="none"/>
                    </w:rPr>
                    <w:t>的建设项目</w:t>
                  </w:r>
                </w:p>
              </w:tc>
              <w:tc>
                <w:tcPr>
                  <w:tcW w:w="1931" w:type="pct"/>
                  <w:vAlign w:val="center"/>
                </w:tcPr>
                <w:p w14:paraId="4FDDCAA5">
                  <w:pPr>
                    <w:autoSpaceDE w:val="0"/>
                    <w:autoSpaceDN w:val="0"/>
                    <w:adjustRightInd w:val="0"/>
                    <w:snapToGrid w:val="0"/>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本项目涉及的有毒有害和易燃易爆危险物质主要为</w:t>
                  </w:r>
                  <w:r>
                    <w:rPr>
                      <w:rFonts w:hint="eastAsia" w:cs="Times New Roman"/>
                      <w:color w:val="auto"/>
                      <w:kern w:val="0"/>
                      <w:szCs w:val="21"/>
                      <w:highlight w:val="none"/>
                      <w:lang w:val="en-US" w:eastAsia="zh-CN"/>
                    </w:rPr>
                    <w:t>危险废物</w:t>
                  </w:r>
                  <w:r>
                    <w:rPr>
                      <w:rFonts w:hint="default" w:ascii="Times New Roman" w:hAnsi="Times New Roman" w:cs="Times New Roman"/>
                      <w:color w:val="auto"/>
                      <w:kern w:val="0"/>
                      <w:szCs w:val="21"/>
                      <w:highlight w:val="none"/>
                      <w:lang w:val="en-US" w:eastAsia="zh-CN"/>
                    </w:rPr>
                    <w:t>，经计算Q值＜1，项目贮存量未超过临界值。</w:t>
                  </w:r>
                </w:p>
              </w:tc>
              <w:tc>
                <w:tcPr>
                  <w:tcW w:w="585" w:type="pct"/>
                  <w:vAlign w:val="center"/>
                </w:tcPr>
                <w:p w14:paraId="507BFF5A">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否</w:t>
                  </w:r>
                </w:p>
              </w:tc>
            </w:tr>
            <w:tr w14:paraId="40C2B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5" w:type="pct"/>
                  <w:vAlign w:val="center"/>
                </w:tcPr>
                <w:p w14:paraId="39359320">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生态</w:t>
                  </w:r>
                </w:p>
              </w:tc>
              <w:tc>
                <w:tcPr>
                  <w:tcW w:w="1878" w:type="pct"/>
                  <w:vAlign w:val="center"/>
                </w:tcPr>
                <w:p w14:paraId="19E1DC5C">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取水口下游500米范围内有重要水生生物的自然产卵场、索饵场、越冬场和洄游通道的新增河道取水的污染类建设项目</w:t>
                  </w:r>
                </w:p>
              </w:tc>
              <w:tc>
                <w:tcPr>
                  <w:tcW w:w="1931" w:type="pct"/>
                  <w:vAlign w:val="center"/>
                </w:tcPr>
                <w:p w14:paraId="0B8D4C1B">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项目不涉及</w:t>
                  </w:r>
                </w:p>
              </w:tc>
              <w:tc>
                <w:tcPr>
                  <w:tcW w:w="585" w:type="pct"/>
                  <w:vAlign w:val="center"/>
                </w:tcPr>
                <w:p w14:paraId="3176560C">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否</w:t>
                  </w:r>
                </w:p>
              </w:tc>
            </w:tr>
            <w:tr w14:paraId="2883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5" w:type="pct"/>
                  <w:vAlign w:val="center"/>
                </w:tcPr>
                <w:p w14:paraId="225B6BB0">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海洋</w:t>
                  </w:r>
                </w:p>
              </w:tc>
              <w:tc>
                <w:tcPr>
                  <w:tcW w:w="1878" w:type="pct"/>
                  <w:vAlign w:val="center"/>
                </w:tcPr>
                <w:p w14:paraId="06E16309">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直接向海排放污染物的海洋工程建设项目</w:t>
                  </w:r>
                </w:p>
              </w:tc>
              <w:tc>
                <w:tcPr>
                  <w:tcW w:w="1931" w:type="pct"/>
                  <w:vAlign w:val="center"/>
                </w:tcPr>
                <w:p w14:paraId="3169EA19">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项目不涉及</w:t>
                  </w:r>
                </w:p>
              </w:tc>
              <w:tc>
                <w:tcPr>
                  <w:tcW w:w="585" w:type="pct"/>
                  <w:vAlign w:val="center"/>
                </w:tcPr>
                <w:p w14:paraId="1060CDD9">
                  <w:pPr>
                    <w:autoSpaceDE w:val="0"/>
                    <w:autoSpaceDN w:val="0"/>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否</w:t>
                  </w:r>
                </w:p>
              </w:tc>
            </w:tr>
            <w:tr w14:paraId="0E752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4"/>
                  <w:vAlign w:val="center"/>
                </w:tcPr>
                <w:p w14:paraId="51A3DE79">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注：1.废气中有毒有害污染物指纳入《有毒有害大气污染物名录》的污染物（不包括无排放标准的污染物）。</w:t>
                  </w:r>
                </w:p>
                <w:p w14:paraId="68863247">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2.环境空气保护目标指自然保护区、风景名胜区、居住区、文化区和农村地区中人群较集中的区域。</w:t>
                  </w:r>
                </w:p>
                <w:p w14:paraId="1472AF56">
                  <w:pPr>
                    <w:autoSpaceDE w:val="0"/>
                    <w:autoSpaceDN w:val="0"/>
                    <w:adjustRightInd w:val="0"/>
                    <w:snapToGrid w:val="0"/>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3.临界量及其计算方法可参考《建设项目环境风险评价技术导则》（HJ 169）附录B、附录C。</w:t>
                  </w:r>
                </w:p>
              </w:tc>
            </w:tr>
          </w:tbl>
          <w:p w14:paraId="6F31E86D">
            <w:pPr>
              <w:autoSpaceDE w:val="0"/>
              <w:autoSpaceDN w:val="0"/>
              <w:adjustRightInd w:val="0"/>
              <w:snapToGrid w:val="0"/>
              <w:rPr>
                <w:rFonts w:hint="default" w:ascii="Times New Roman" w:hAnsi="Times New Roman" w:cs="Times New Roman"/>
                <w:color w:val="auto"/>
                <w:kern w:val="0"/>
                <w:sz w:val="24"/>
                <w:highlight w:val="none"/>
              </w:rPr>
            </w:pPr>
          </w:p>
        </w:tc>
      </w:tr>
      <w:tr w14:paraId="387B2F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vAlign w:val="center"/>
          </w:tcPr>
          <w:p w14:paraId="2DBA57C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规划情况</w:t>
            </w:r>
          </w:p>
        </w:tc>
        <w:tc>
          <w:tcPr>
            <w:tcW w:w="4594" w:type="pct"/>
            <w:gridSpan w:val="5"/>
            <w:vAlign w:val="center"/>
          </w:tcPr>
          <w:p w14:paraId="534284BB">
            <w:pPr>
              <w:pStyle w:val="77"/>
              <w:ind w:firstLine="480"/>
              <w:rPr>
                <w:rFonts w:hint="default" w:ascii="Times New Roman" w:hAnsi="Times New Roman" w:cs="Times New Roman"/>
                <w:color w:val="auto"/>
                <w:highlight w:val="none"/>
              </w:rPr>
            </w:pPr>
            <w:r>
              <w:rPr>
                <w:rFonts w:hint="default" w:ascii="Times New Roman" w:hAnsi="Times New Roman" w:cs="Times New Roman"/>
                <w:b/>
                <w:bCs/>
                <w:color w:val="auto"/>
                <w:highlight w:val="none"/>
              </w:rPr>
              <w:t>规划文件名称：</w:t>
            </w:r>
            <w:r>
              <w:rPr>
                <w:rFonts w:hint="default" w:ascii="Times New Roman" w:hAnsi="Times New Roman" w:cs="Times New Roman"/>
                <w:color w:val="auto"/>
                <w:highlight w:val="none"/>
              </w:rPr>
              <w:t>《云南红塔产业园区总体规划修编（2021-2035年）》</w:t>
            </w:r>
          </w:p>
          <w:p w14:paraId="588DFB21">
            <w:pPr>
              <w:pStyle w:val="77"/>
              <w:ind w:firstLine="480"/>
              <w:rPr>
                <w:rFonts w:hint="default" w:ascii="Times New Roman" w:hAnsi="Times New Roman" w:cs="Times New Roman"/>
                <w:color w:val="auto"/>
                <w:highlight w:val="none"/>
              </w:rPr>
            </w:pPr>
            <w:r>
              <w:rPr>
                <w:rFonts w:hint="default" w:ascii="Times New Roman" w:hAnsi="Times New Roman" w:cs="Times New Roman"/>
                <w:b/>
                <w:bCs/>
                <w:color w:val="auto"/>
                <w:highlight w:val="none"/>
              </w:rPr>
              <w:t>审批机关：</w:t>
            </w:r>
            <w:r>
              <w:rPr>
                <w:rFonts w:hint="default" w:ascii="Times New Roman" w:hAnsi="Times New Roman" w:cs="Times New Roman"/>
                <w:color w:val="auto"/>
                <w:highlight w:val="none"/>
              </w:rPr>
              <w:t>玉溪市人民政府</w:t>
            </w:r>
          </w:p>
          <w:p w14:paraId="2B164DB7">
            <w:pPr>
              <w:pStyle w:val="77"/>
              <w:ind w:firstLine="480"/>
              <w:rPr>
                <w:rFonts w:hint="default" w:ascii="Times New Roman" w:hAnsi="Times New Roman" w:cs="Times New Roman"/>
                <w:b/>
                <w:bCs/>
                <w:color w:val="auto"/>
                <w:sz w:val="24"/>
                <w:highlight w:val="none"/>
              </w:rPr>
            </w:pPr>
            <w:r>
              <w:rPr>
                <w:rFonts w:hint="default" w:ascii="Times New Roman" w:hAnsi="Times New Roman" w:cs="Times New Roman"/>
                <w:b/>
                <w:bCs/>
                <w:color w:val="auto"/>
                <w:highlight w:val="none"/>
              </w:rPr>
              <w:t>审批文件名称及文号：</w:t>
            </w:r>
            <w:r>
              <w:rPr>
                <w:rFonts w:hint="default" w:ascii="Times New Roman" w:hAnsi="Times New Roman" w:cs="Times New Roman"/>
                <w:color w:val="auto"/>
                <w:highlight w:val="none"/>
              </w:rPr>
              <w:t>《玉溪市人民政府关于云南红塔产业园区总体规划修编（2021-2035年）的批复》（玉政复〔2023〕21号）</w:t>
            </w:r>
          </w:p>
        </w:tc>
      </w:tr>
      <w:tr w14:paraId="23AD65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vAlign w:val="center"/>
          </w:tcPr>
          <w:p w14:paraId="091F5F6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规划环境影响评价情况</w:t>
            </w:r>
          </w:p>
        </w:tc>
        <w:tc>
          <w:tcPr>
            <w:tcW w:w="4594" w:type="pct"/>
            <w:gridSpan w:val="5"/>
            <w:vAlign w:val="center"/>
          </w:tcPr>
          <w:p w14:paraId="592C944B">
            <w:pPr>
              <w:pStyle w:val="77"/>
              <w:ind w:firstLine="480"/>
              <w:rPr>
                <w:rFonts w:hint="default" w:ascii="Times New Roman" w:hAnsi="Times New Roman" w:cs="Times New Roman"/>
                <w:color w:val="auto"/>
                <w:highlight w:val="none"/>
              </w:rPr>
            </w:pPr>
            <w:r>
              <w:rPr>
                <w:rFonts w:hint="default" w:ascii="Times New Roman" w:hAnsi="Times New Roman" w:cs="Times New Roman"/>
                <w:b/>
                <w:bCs/>
                <w:color w:val="auto"/>
                <w:highlight w:val="none"/>
              </w:rPr>
              <w:t>规划环评名称：</w:t>
            </w:r>
            <w:r>
              <w:rPr>
                <w:rFonts w:hint="default" w:ascii="Times New Roman" w:hAnsi="Times New Roman" w:cs="Times New Roman"/>
                <w:color w:val="auto"/>
                <w:highlight w:val="none"/>
              </w:rPr>
              <w:t>《云南红塔产业园区总体规划修编（2021-2035年）环境影响报告书》</w:t>
            </w:r>
          </w:p>
          <w:p w14:paraId="623088A3">
            <w:pPr>
              <w:pStyle w:val="77"/>
              <w:ind w:firstLine="480"/>
              <w:rPr>
                <w:rFonts w:hint="default" w:ascii="Times New Roman" w:hAnsi="Times New Roman" w:cs="Times New Roman"/>
                <w:color w:val="auto"/>
                <w:highlight w:val="none"/>
              </w:rPr>
            </w:pPr>
            <w:r>
              <w:rPr>
                <w:rFonts w:hint="default" w:ascii="Times New Roman" w:hAnsi="Times New Roman" w:cs="Times New Roman"/>
                <w:b/>
                <w:bCs/>
                <w:color w:val="auto"/>
                <w:highlight w:val="none"/>
              </w:rPr>
              <w:t>审查机关：</w:t>
            </w:r>
            <w:r>
              <w:rPr>
                <w:rFonts w:hint="default" w:ascii="Times New Roman" w:hAnsi="Times New Roman" w:cs="Times New Roman"/>
                <w:color w:val="auto"/>
                <w:highlight w:val="none"/>
              </w:rPr>
              <w:t>玉溪市生态环境局</w:t>
            </w:r>
          </w:p>
          <w:p w14:paraId="4B42F928">
            <w:pPr>
              <w:pStyle w:val="77"/>
              <w:ind w:firstLine="480"/>
              <w:rPr>
                <w:rFonts w:hint="default" w:ascii="Times New Roman" w:hAnsi="Times New Roman" w:cs="Times New Roman"/>
                <w:b/>
                <w:color w:val="auto"/>
                <w:kern w:val="0"/>
                <w:sz w:val="24"/>
                <w:highlight w:val="none"/>
              </w:rPr>
            </w:pPr>
            <w:r>
              <w:rPr>
                <w:rFonts w:hint="default" w:ascii="Times New Roman" w:hAnsi="Times New Roman" w:cs="Times New Roman"/>
                <w:b/>
                <w:bCs/>
                <w:color w:val="auto"/>
                <w:highlight w:val="none"/>
              </w:rPr>
              <w:t>审查文件名称及文号：</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玉溪市生态环境局关于《云南红塔产业园区总体规划修编（2021-2035年）环境影响报告书》审查意见的函</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（玉环函〔2023〕27号）</w:t>
            </w:r>
          </w:p>
        </w:tc>
      </w:tr>
      <w:tr w14:paraId="1BB2E1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2" w:type="pct"/>
            <w:gridSpan w:val="2"/>
            <w:vAlign w:val="center"/>
          </w:tcPr>
          <w:p w14:paraId="310453AC">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规划及规划环境影响评价符合性分析</w:t>
            </w:r>
          </w:p>
        </w:tc>
        <w:tc>
          <w:tcPr>
            <w:tcW w:w="4587" w:type="pct"/>
            <w:gridSpan w:val="4"/>
            <w:vAlign w:val="center"/>
          </w:tcPr>
          <w:p w14:paraId="4960ADAB">
            <w:pPr>
              <w:pStyle w:val="77"/>
              <w:ind w:firstLine="0" w:firstLineChars="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（一）与《云南红塔产业园区总体规划修编》（2021-2035年）符合性分</w:t>
            </w:r>
            <w:r>
              <w:rPr>
                <w:rFonts w:hint="default" w:ascii="Times New Roman" w:hAnsi="Times New Roman" w:cs="Times New Roman"/>
                <w:b/>
                <w:bCs/>
                <w:color w:val="auto"/>
                <w:kern w:val="0"/>
                <w:highlight w:val="none"/>
              </w:rPr>
              <w:t>析</w:t>
            </w:r>
          </w:p>
          <w:p w14:paraId="016A6836">
            <w:pPr>
              <w:pStyle w:val="77"/>
              <w:ind w:firstLine="480"/>
              <w:rPr>
                <w:rFonts w:hint="default" w:ascii="Times New Roman" w:hAnsi="Times New Roman" w:cs="Times New Roman"/>
                <w:b/>
                <w:bCs/>
                <w:color w:val="auto"/>
                <w:highlight w:val="none"/>
              </w:rPr>
            </w:pPr>
            <w:bookmarkStart w:id="4" w:name="_Hlk161927926"/>
            <w:r>
              <w:rPr>
                <w:rFonts w:hint="default" w:ascii="Times New Roman" w:hAnsi="Times New Roman" w:cs="Times New Roman"/>
                <w:b/>
                <w:bCs/>
                <w:color w:val="auto"/>
                <w:highlight w:val="none"/>
              </w:rPr>
              <w:t>1、规划范围及用地规模</w:t>
            </w:r>
          </w:p>
          <w:p w14:paraId="2B16F7FB">
            <w:pPr>
              <w:pStyle w:val="77"/>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云南红塔产业园区规划总用地面积为43.55平方公里，除研和片区双小地块在峨山县境内，其余区域均属于红塔区辖区范围内。分别位于红塔区西部、北部、中部、东部及南部。</w:t>
            </w:r>
          </w:p>
          <w:p w14:paraId="3A78D697">
            <w:pPr>
              <w:pStyle w:val="77"/>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（1）红塔片区</w:t>
            </w:r>
          </w:p>
          <w:p w14:paraId="4DE8F149">
            <w:pPr>
              <w:pStyle w:val="77"/>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规划总面积18.25平方公里。分为北城卧牛山地块、北城青龙山地块、莲池地块、观音山地块、大营街地块五个地块；卧牛山地块面积192.74公顷，青龙山地块面积110.07公顷，莲池地块80.98公顷，观音山地块1149.20公顷，大营街地块291.86公顷。观音山地块位于春和镇以西，东至昆玉铁路，北邻飞井水库，南接大营街片区，西至龙潭村；大营街地块处在大营街镇区西北部，北至桂井，东接汇溪路，南至西古城，西接摆衣村。卧牛山地块东至西河、南至梅园变、西至晋红高速、北至大凹村；青龙山地块东至青龙山脚，南至唐家营、西临213国道、北至上坝村；莲池地块东至西河、南至维和药业公司、西至莲水路、北至040乡道。</w:t>
            </w:r>
          </w:p>
          <w:p w14:paraId="38CDB362">
            <w:pPr>
              <w:pStyle w:val="77"/>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（2）研和片区</w:t>
            </w:r>
          </w:p>
          <w:p w14:paraId="55182434">
            <w:pPr>
              <w:pStyle w:val="77"/>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规划总面积25.30平方公里。分为地块一、地块二、地块三、地块四、双小地块，共五个地块；地块一面积39.36公顷，地块二面积963.53公顷，地块三面积354.62公顷，地块四面积563.16公顷，双小地块面积609.16公顷。地块一位于研和片区北侧，南至玉溪农职院，北至研和站，西至昆磨高速西侧，东至玉溪南站东侧；地块二位于大坡头片区，北至大栗园村，南至玉溪化肥厂，西至石头村，东至玉蒙铁路；地块三位于研和片区西部，北接赖井村界，南至和乐村和观音塘水库，西至定古大山翻身塘水库；地块四位于研和片区南部，北以中所村为界，南至研和和峨山县交界处，西至昆磨高速西侧，东至太标精工铸造有限公司；双小地块位于研和西南部，峨山县城东侧，西至民族中学，北邻回龙村，东至笔峰村，南连土官。</w:t>
            </w:r>
          </w:p>
          <w:p w14:paraId="318CF51A">
            <w:pPr>
              <w:pStyle w:val="77"/>
              <w:ind w:firstLine="48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2、产业园区定位</w:t>
            </w:r>
          </w:p>
          <w:p w14:paraId="0404811E">
            <w:pPr>
              <w:pStyle w:val="77"/>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将红塔工业园区发展成为</w:t>
            </w:r>
            <w:r>
              <w:rPr>
                <w:rFonts w:hint="eastAsia" w:cs="Times New Roman"/>
                <w:color w:val="auto"/>
                <w:highlight w:val="none"/>
                <w:lang w:eastAsia="zh-CN"/>
              </w:rPr>
              <w:t>“四区”</w:t>
            </w:r>
            <w:r>
              <w:rPr>
                <w:rFonts w:hint="default" w:ascii="Times New Roman" w:hAnsi="Times New Roman" w:cs="Times New Roman"/>
                <w:color w:val="auto"/>
                <w:highlight w:val="none"/>
              </w:rPr>
              <w:t>的功能定位。以建设全市新型工业化发展的引领区、产城深度融合发展实验区、高水平营商环境示范区、开放型经济和体制创新的先行区为目标，着力推进创新发展，加快产业调整升级步伐。</w:t>
            </w:r>
          </w:p>
          <w:p w14:paraId="3CAEA348">
            <w:pPr>
              <w:pStyle w:val="77"/>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（1）红塔片区</w:t>
            </w:r>
          </w:p>
          <w:p w14:paraId="530C2931">
            <w:pPr>
              <w:pStyle w:val="77"/>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红塔片区打造材料制造转型示范区。围绕高质量发展目标，坚持卷烟配套、装备制造等产业改造升级和新材料、生物医药等产业培育壮大</w:t>
            </w:r>
            <w:r>
              <w:rPr>
                <w:rFonts w:hint="eastAsia" w:cs="Times New Roman"/>
                <w:color w:val="auto"/>
                <w:highlight w:val="none"/>
                <w:lang w:eastAsia="zh-CN"/>
              </w:rPr>
              <w:t>“</w:t>
            </w:r>
            <w:r>
              <w:rPr>
                <w:rFonts w:hint="default" w:ascii="Times New Roman" w:hAnsi="Times New Roman" w:cs="Times New Roman"/>
                <w:color w:val="auto"/>
                <w:highlight w:val="none"/>
              </w:rPr>
              <w:t>双轮驱动</w:t>
            </w:r>
            <w:r>
              <w:rPr>
                <w:rFonts w:hint="eastAsia" w:cs="Times New Roman"/>
                <w:color w:val="auto"/>
                <w:highlight w:val="none"/>
                <w:lang w:eastAsia="zh-CN"/>
              </w:rPr>
              <w:t>”</w:t>
            </w:r>
            <w:r>
              <w:rPr>
                <w:rFonts w:hint="default" w:ascii="Times New Roman" w:hAnsi="Times New Roman" w:cs="Times New Roman"/>
                <w:color w:val="auto"/>
                <w:highlight w:val="none"/>
              </w:rPr>
              <w:t>，加快新旧动能转换，打造转型提升示范区，主导产业为先进制造业（装备制造）、新材料（冶金、新能源电池）。</w:t>
            </w:r>
          </w:p>
          <w:p w14:paraId="30BA4E25">
            <w:pPr>
              <w:pStyle w:val="77"/>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（2）研和片区</w:t>
            </w:r>
          </w:p>
          <w:p w14:paraId="7CF3F04A">
            <w:pPr>
              <w:pStyle w:val="77"/>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研和片区打造开放高端制造区。重点发展数控机床制造、金属冶炼及制品加工、现代物流等领域，形成组团特色，打造全国知名的</w:t>
            </w:r>
            <w:r>
              <w:rPr>
                <w:rFonts w:hint="eastAsia" w:cs="Times New Roman"/>
                <w:color w:val="auto"/>
                <w:highlight w:val="none"/>
                <w:lang w:eastAsia="zh-CN"/>
              </w:rPr>
              <w:t>“</w:t>
            </w:r>
            <w:r>
              <w:rPr>
                <w:rFonts w:hint="default" w:ascii="Times New Roman" w:hAnsi="Times New Roman" w:cs="Times New Roman"/>
                <w:color w:val="auto"/>
                <w:highlight w:val="none"/>
              </w:rPr>
              <w:t>专、精、特、新</w:t>
            </w:r>
            <w:r>
              <w:rPr>
                <w:rFonts w:hint="eastAsia" w:cs="Times New Roman"/>
                <w:color w:val="auto"/>
                <w:highlight w:val="none"/>
                <w:lang w:eastAsia="zh-CN"/>
              </w:rPr>
              <w:t>”</w:t>
            </w:r>
            <w:r>
              <w:rPr>
                <w:rFonts w:hint="default" w:ascii="Times New Roman" w:hAnsi="Times New Roman" w:cs="Times New Roman"/>
                <w:color w:val="auto"/>
                <w:highlight w:val="none"/>
              </w:rPr>
              <w:t>特色产业聚集区，主导产业为先进制造业（装备制造）。</w:t>
            </w:r>
          </w:p>
          <w:p w14:paraId="48230BBE">
            <w:pPr>
              <w:pStyle w:val="77"/>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本项目位于云南红塔产业园区</w:t>
            </w:r>
            <w:r>
              <w:rPr>
                <w:rFonts w:hint="eastAsia" w:cs="Times New Roman"/>
                <w:color w:val="auto"/>
                <w:highlight w:val="none"/>
                <w:lang w:val="en-US" w:eastAsia="zh-CN"/>
              </w:rPr>
              <w:t>研和地块，建设于</w:t>
            </w:r>
            <w:r>
              <w:rPr>
                <w:rFonts w:hint="default" w:ascii="Times New Roman" w:hAnsi="Times New Roman" w:cs="Times New Roman"/>
                <w:color w:val="auto"/>
                <w:highlight w:val="none"/>
              </w:rPr>
              <w:t>云南省玉溪市红塔区研和街道贾井社区研和工业园区三缘电缆厂内，属于研和</w:t>
            </w:r>
            <w:r>
              <w:rPr>
                <w:rFonts w:hint="eastAsia" w:ascii="Times New Roman" w:hAnsi="Times New Roman" w:cs="Times New Roman"/>
                <w:color w:val="auto"/>
                <w:highlight w:val="none"/>
                <w:lang w:val="en-US" w:eastAsia="zh-CN"/>
              </w:rPr>
              <w:t>片区</w:t>
            </w:r>
            <w:r>
              <w:rPr>
                <w:rFonts w:hint="default" w:ascii="Times New Roman" w:hAnsi="Times New Roman" w:cs="Times New Roman"/>
                <w:color w:val="auto"/>
                <w:highlight w:val="none"/>
              </w:rPr>
              <w:t>地块一。项目于2025年8月6日取得了玉溪市红塔区发展和改革局核发的云南省固定资产投资项目备案证（备案编号：2508-530402-04-01-454327）。项目于2025年8月22日，取得了云南红塔产业园区管理委员会核发的入园通知书</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同意项目入园</w:t>
            </w:r>
            <w:r>
              <w:rPr>
                <w:rFonts w:hint="eastAsia" w:cs="Times New Roman"/>
                <w:color w:val="auto"/>
                <w:highlight w:val="none"/>
                <w:lang w:val="en-US" w:eastAsia="zh-CN"/>
              </w:rPr>
              <w:t>。</w:t>
            </w:r>
            <w:r>
              <w:rPr>
                <w:rFonts w:hint="default" w:ascii="Times New Roman" w:hAnsi="Times New Roman" w:cs="Times New Roman"/>
                <w:color w:val="auto"/>
                <w:highlight w:val="none"/>
              </w:rPr>
              <w:t>因此，项目符合《云南红塔产业园区总体规划修编》（2021-2035年）规划要求。</w:t>
            </w:r>
          </w:p>
          <w:bookmarkEnd w:id="4"/>
          <w:p w14:paraId="52ADC700">
            <w:pPr>
              <w:pStyle w:val="77"/>
              <w:ind w:firstLine="0" w:firstLineChars="0"/>
              <w:rPr>
                <w:rFonts w:hint="default" w:ascii="Times New Roman" w:hAnsi="Times New Roman" w:cs="Times New Roman"/>
                <w:b/>
                <w:bCs/>
                <w:color w:val="auto"/>
                <w:kern w:val="0"/>
                <w:highlight w:val="none"/>
              </w:rPr>
            </w:pPr>
            <w:r>
              <w:rPr>
                <w:rFonts w:hint="default" w:ascii="Times New Roman" w:hAnsi="Times New Roman" w:cs="Times New Roman"/>
                <w:b/>
                <w:bCs/>
                <w:color w:val="auto"/>
                <w:highlight w:val="none"/>
              </w:rPr>
              <w:t>（二）</w:t>
            </w:r>
            <w:r>
              <w:rPr>
                <w:rFonts w:hint="default" w:ascii="Times New Roman" w:hAnsi="Times New Roman" w:cs="Times New Roman"/>
                <w:b/>
                <w:bCs/>
                <w:color w:val="auto"/>
                <w:kern w:val="0"/>
                <w:highlight w:val="none"/>
              </w:rPr>
              <w:t>与规划环境影响评价及审查意见符合性分析</w:t>
            </w:r>
          </w:p>
          <w:p w14:paraId="4374E374">
            <w:pPr>
              <w:pStyle w:val="77"/>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项目与《云南红塔产业园区总体规划修编（2021-2035年）环境影响报告书》结论符合性分析见表1-2，与《云南红塔产业园区总体规划修编（2021-2035年）环境影响报告书》审查意见符合性分析见表1-</w:t>
            </w:r>
            <w:r>
              <w:rPr>
                <w:rFonts w:hint="eastAsia" w:cs="Times New Roman"/>
                <w:color w:val="auto"/>
                <w:highlight w:val="none"/>
                <w:lang w:val="en-US" w:eastAsia="zh-CN"/>
              </w:rPr>
              <w:t>3</w:t>
            </w:r>
            <w:r>
              <w:rPr>
                <w:rFonts w:hint="default" w:ascii="Times New Roman" w:hAnsi="Times New Roman" w:cs="Times New Roman"/>
                <w:color w:val="auto"/>
                <w:highlight w:val="none"/>
              </w:rPr>
              <w:t>。</w:t>
            </w:r>
          </w:p>
          <w:p w14:paraId="127404C0">
            <w:pPr>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表1-2  项目与规划环评</w:t>
            </w:r>
            <w:r>
              <w:rPr>
                <w:rFonts w:hint="eastAsia" w:cs="Times New Roman"/>
                <w:b/>
                <w:color w:val="auto"/>
                <w:sz w:val="24"/>
                <w:highlight w:val="none"/>
                <w:lang w:val="en-US" w:eastAsia="zh-CN"/>
              </w:rPr>
              <w:t>报告书结论的</w:t>
            </w:r>
            <w:r>
              <w:rPr>
                <w:rFonts w:hint="default" w:ascii="Times New Roman" w:hAnsi="Times New Roman" w:cs="Times New Roman"/>
                <w:b/>
                <w:color w:val="auto"/>
                <w:sz w:val="24"/>
                <w:highlight w:val="none"/>
              </w:rPr>
              <w:t>相符性分析</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3352"/>
              <w:gridCol w:w="2872"/>
              <w:gridCol w:w="943"/>
            </w:tblGrid>
            <w:tr w14:paraId="3AD01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46DFC1AE">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2121" w:type="pct"/>
                  <w:vAlign w:val="center"/>
                </w:tcPr>
                <w:p w14:paraId="1116184A">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对策措施</w:t>
                  </w:r>
                </w:p>
              </w:tc>
              <w:tc>
                <w:tcPr>
                  <w:tcW w:w="1817" w:type="pct"/>
                  <w:vAlign w:val="center"/>
                </w:tcPr>
                <w:p w14:paraId="17AE8DD3">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本项目情况</w:t>
                  </w:r>
                </w:p>
              </w:tc>
              <w:tc>
                <w:tcPr>
                  <w:tcW w:w="595" w:type="pct"/>
                  <w:vAlign w:val="center"/>
                </w:tcPr>
                <w:p w14:paraId="1E83A14F">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符合性</w:t>
                  </w:r>
                </w:p>
              </w:tc>
            </w:tr>
            <w:tr w14:paraId="3BE0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4"/>
                  <w:vAlign w:val="center"/>
                </w:tcPr>
                <w:p w14:paraId="5CDD966B">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一、</w:t>
                  </w:r>
                  <w:r>
                    <w:rPr>
                      <w:rFonts w:hint="eastAsia" w:cs="Times New Roman"/>
                      <w:b/>
                      <w:bCs/>
                      <w:color w:val="auto"/>
                      <w:sz w:val="21"/>
                      <w:szCs w:val="21"/>
                      <w:highlight w:val="none"/>
                      <w:lang w:val="en-US" w:eastAsia="zh-CN"/>
                    </w:rPr>
                    <w:t>大气环境</w:t>
                  </w:r>
                </w:p>
              </w:tc>
            </w:tr>
            <w:tr w14:paraId="250BD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2D4C30DD">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2121" w:type="pct"/>
                  <w:vAlign w:val="center"/>
                </w:tcPr>
                <w:p w14:paraId="5EFB5ADC">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落实《中华人民共和国环境影响评价法》，重点开展工业区的各行业的环境影响评价；严格遵守国家、云南省、玉溪市的环保政策和规定，严格执行《产业结构调整指导目录（2019年本）》，严禁不符合产业政策的企业和淘汰工艺、产业入驻园区。严格新建、扩建项目审批，严把环保准入关。对不符合产业政策、区域发展规划要求，达不到排放标准和总量控制目标的项目，不得批准建设。</w:t>
                  </w:r>
                </w:p>
              </w:tc>
              <w:tc>
                <w:tcPr>
                  <w:tcW w:w="1817" w:type="pct"/>
                  <w:vAlign w:val="center"/>
                </w:tcPr>
                <w:p w14:paraId="77781D39">
                  <w:pPr>
                    <w:keepNext w:val="0"/>
                    <w:keepLines w:val="0"/>
                    <w:pageBreakBefore w:val="0"/>
                    <w:widowControl w:val="0"/>
                    <w:kinsoku/>
                    <w:wordWrap/>
                    <w:overflowPunct/>
                    <w:topLinePunct w:val="0"/>
                    <w:autoSpaceDE w:val="0"/>
                    <w:autoSpaceDN w:val="0"/>
                    <w:bidi w:val="0"/>
                    <w:spacing w:line="240" w:lineRule="auto"/>
                    <w:jc w:val="left"/>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1</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项目为塑料制品业，不属于《产业结构调整指导目录（2024年本）》中鼓励类、限制类、淘汰类，属于允许类。不属于《市场准入负面清单（2025年版）》禁止准入类。</w:t>
                  </w:r>
                </w:p>
                <w:p w14:paraId="4880D475">
                  <w:pPr>
                    <w:keepNext w:val="0"/>
                    <w:keepLines w:val="0"/>
                    <w:pageBreakBefore w:val="0"/>
                    <w:widowControl w:val="0"/>
                    <w:kinsoku/>
                    <w:wordWrap/>
                    <w:overflowPunct/>
                    <w:topLinePunct w:val="0"/>
                    <w:autoSpaceDE w:val="0"/>
                    <w:autoSpaceDN w:val="0"/>
                    <w:bidi w:val="0"/>
                    <w:spacing w:line="240" w:lineRule="auto"/>
                    <w:jc w:val="left"/>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2</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2025年8月6日</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项目取得玉溪市红塔区发展和改革局核发的固定资产投资项目备案证</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项目</w:t>
                  </w:r>
                  <w:r>
                    <w:rPr>
                      <w:rFonts w:hint="default" w:ascii="Times New Roman" w:hAnsi="Times New Roman" w:eastAsia="宋体" w:cs="Times New Roman"/>
                      <w:color w:val="auto"/>
                      <w:sz w:val="21"/>
                      <w:szCs w:val="21"/>
                      <w:highlight w:val="none"/>
                    </w:rPr>
                    <w:t>备案号：2508-530402-04-01-454327。</w:t>
                  </w:r>
                </w:p>
                <w:p w14:paraId="6BD99C2F">
                  <w:pPr>
                    <w:keepNext w:val="0"/>
                    <w:keepLines w:val="0"/>
                    <w:pageBreakBefore w:val="0"/>
                    <w:widowControl w:val="0"/>
                    <w:kinsoku/>
                    <w:wordWrap/>
                    <w:overflowPunct/>
                    <w:topLinePunct w:val="0"/>
                    <w:autoSpaceDE w:val="0"/>
                    <w:autoSpaceDN w:val="0"/>
                    <w:bidi w:val="0"/>
                    <w:spacing w:line="240" w:lineRule="auto"/>
                    <w:jc w:val="left"/>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3</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2025年8月22日，</w:t>
                  </w:r>
                  <w:r>
                    <w:rPr>
                      <w:rFonts w:hint="eastAsia" w:cs="Times New Roman"/>
                      <w:color w:val="auto"/>
                      <w:sz w:val="21"/>
                      <w:szCs w:val="21"/>
                      <w:highlight w:val="none"/>
                      <w:lang w:val="en-US" w:eastAsia="zh-CN"/>
                    </w:rPr>
                    <w:t>项目</w:t>
                  </w:r>
                  <w:r>
                    <w:rPr>
                      <w:rFonts w:hint="default" w:ascii="Times New Roman" w:hAnsi="Times New Roman" w:eastAsia="宋体" w:cs="Times New Roman"/>
                      <w:color w:val="auto"/>
                      <w:sz w:val="21"/>
                      <w:szCs w:val="21"/>
                      <w:highlight w:val="none"/>
                    </w:rPr>
                    <w:t>取得云南红塔产业园区管理委员会核发的入园通知书。因此，本项目符合园区产业政策，区域发展规划要求。</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4</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项目废气污染物为</w:t>
                  </w:r>
                  <w:r>
                    <w:rPr>
                      <w:rFonts w:hint="eastAsia" w:ascii="Times New Roman" w:hAnsi="Times New Roman" w:eastAsia="宋体" w:cs="Times New Roman"/>
                      <w:color w:val="auto"/>
                      <w:sz w:val="21"/>
                      <w:szCs w:val="21"/>
                      <w:highlight w:val="none"/>
                      <w:lang w:val="en-US" w:eastAsia="zh-CN"/>
                    </w:rPr>
                    <w:t>非甲烷总烃，各废气排放源均采取有效的治理措施。</w:t>
                  </w:r>
                </w:p>
              </w:tc>
              <w:tc>
                <w:tcPr>
                  <w:tcW w:w="595" w:type="pct"/>
                  <w:vAlign w:val="center"/>
                </w:tcPr>
                <w:p w14:paraId="1649B75B">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04E7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51444883">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2121" w:type="pct"/>
                  <w:vAlign w:val="center"/>
                </w:tcPr>
                <w:p w14:paraId="439E9831">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清洁生产，提倡清洁能源，全面推行清洁生产，减小能耗，工业生产中产生的可燃气体、高潜热废气及排放气应当回收利用，不具备回收利用条件而向大气排放的，必须严格采取污染防治措施，确保达标排放。在园区内加大煤气、液化气、天然气及电等清洁能源的普及率，削减大气污染物排放，有利于园区环境质量的提高和改善</w:t>
                  </w:r>
                  <w:r>
                    <w:rPr>
                      <w:rFonts w:hint="eastAsia" w:cs="Times New Roman"/>
                      <w:color w:val="auto"/>
                      <w:sz w:val="21"/>
                      <w:szCs w:val="21"/>
                      <w:highlight w:val="none"/>
                      <w:lang w:eastAsia="zh-CN"/>
                    </w:rPr>
                    <w:t>。</w:t>
                  </w:r>
                </w:p>
              </w:tc>
              <w:tc>
                <w:tcPr>
                  <w:tcW w:w="1817" w:type="pct"/>
                  <w:vAlign w:val="center"/>
                </w:tcPr>
                <w:p w14:paraId="36415808">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项目使用电能</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为</w:t>
                  </w:r>
                  <w:r>
                    <w:rPr>
                      <w:rFonts w:hint="default" w:ascii="Times New Roman" w:hAnsi="Times New Roman" w:eastAsia="宋体" w:cs="Times New Roman"/>
                      <w:color w:val="auto"/>
                      <w:sz w:val="21"/>
                      <w:szCs w:val="21"/>
                      <w:highlight w:val="none"/>
                    </w:rPr>
                    <w:t>清洁能源</w:t>
                  </w:r>
                  <w:r>
                    <w:rPr>
                      <w:rFonts w:hint="eastAsia" w:cs="Times New Roman"/>
                      <w:color w:val="auto"/>
                      <w:sz w:val="21"/>
                      <w:szCs w:val="21"/>
                      <w:highlight w:val="none"/>
                      <w:lang w:eastAsia="zh-CN"/>
                    </w:rPr>
                    <w:t>。</w:t>
                  </w:r>
                </w:p>
              </w:tc>
              <w:tc>
                <w:tcPr>
                  <w:tcW w:w="595" w:type="pct"/>
                  <w:vAlign w:val="center"/>
                </w:tcPr>
                <w:p w14:paraId="03DB08A5">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770DA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3B1ACC27">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2121" w:type="pct"/>
                  <w:vAlign w:val="center"/>
                </w:tcPr>
                <w:p w14:paraId="1D17C6D2">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采取清洁方式运输进出企业的大宗物料和产品，汽车运输部分应全部采用新能源汽车或达到国六排放标准的汽车</w:t>
                  </w:r>
                  <w:r>
                    <w:rPr>
                      <w:rFonts w:hint="eastAsia" w:cs="Times New Roman"/>
                      <w:color w:val="auto"/>
                      <w:sz w:val="21"/>
                      <w:szCs w:val="21"/>
                      <w:highlight w:val="none"/>
                      <w:lang w:eastAsia="zh-CN"/>
                    </w:rPr>
                    <w:t>。</w:t>
                  </w:r>
                </w:p>
              </w:tc>
              <w:tc>
                <w:tcPr>
                  <w:tcW w:w="1817" w:type="pct"/>
                  <w:vAlign w:val="center"/>
                </w:tcPr>
                <w:p w14:paraId="343334F7">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项目</w:t>
                  </w:r>
                  <w:r>
                    <w:rPr>
                      <w:rFonts w:hint="default" w:ascii="Times New Roman" w:hAnsi="Times New Roman" w:eastAsia="宋体" w:cs="Times New Roman"/>
                      <w:color w:val="auto"/>
                      <w:sz w:val="21"/>
                      <w:szCs w:val="21"/>
                      <w:highlight w:val="none"/>
                    </w:rPr>
                    <w:t>采取清洁方式运输</w:t>
                  </w:r>
                  <w:r>
                    <w:rPr>
                      <w:rFonts w:hint="eastAsia" w:cs="Times New Roman"/>
                      <w:color w:val="auto"/>
                      <w:sz w:val="21"/>
                      <w:szCs w:val="21"/>
                      <w:highlight w:val="none"/>
                      <w:lang w:val="en-US" w:eastAsia="zh-CN"/>
                    </w:rPr>
                    <w:t>物料和产品，</w:t>
                  </w:r>
                  <w:r>
                    <w:rPr>
                      <w:rFonts w:hint="default" w:ascii="Times New Roman" w:hAnsi="Times New Roman" w:eastAsia="宋体" w:cs="Times New Roman"/>
                      <w:color w:val="auto"/>
                      <w:sz w:val="21"/>
                      <w:szCs w:val="21"/>
                      <w:highlight w:val="none"/>
                    </w:rPr>
                    <w:t>运输汽车全部采用新能源汽车或达到国六排放标准的汽车。</w:t>
                  </w:r>
                </w:p>
              </w:tc>
              <w:tc>
                <w:tcPr>
                  <w:tcW w:w="595" w:type="pct"/>
                  <w:vAlign w:val="center"/>
                </w:tcPr>
                <w:p w14:paraId="2B83B6EE">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1F9B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610F9608">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p>
              </w:tc>
              <w:tc>
                <w:tcPr>
                  <w:tcW w:w="2121" w:type="pct"/>
                  <w:vAlign w:val="center"/>
                </w:tcPr>
                <w:p w14:paraId="2DFB96BC">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向大气排放废气污染物的排污单位，须采取切实可行的污染防治措施，确保达标排放。工业生产企业应当采取密闭、围挡、遮盖、清扫、洒水等措施，减少内部物料的堆存、传输、装卸等环节产生的粉尘和气态污染物的排放。</w:t>
                  </w:r>
                </w:p>
              </w:tc>
              <w:tc>
                <w:tcPr>
                  <w:tcW w:w="1817" w:type="pct"/>
                  <w:vAlign w:val="center"/>
                </w:tcPr>
                <w:p w14:paraId="27D27E5E">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本项目使用电能</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为</w:t>
                  </w:r>
                  <w:r>
                    <w:rPr>
                      <w:rFonts w:hint="default" w:ascii="Times New Roman" w:hAnsi="Times New Roman" w:eastAsia="宋体" w:cs="Times New Roman"/>
                      <w:color w:val="auto"/>
                      <w:sz w:val="21"/>
                      <w:szCs w:val="21"/>
                      <w:highlight w:val="none"/>
                    </w:rPr>
                    <w:t>清洁能源，大气污染物为</w:t>
                  </w:r>
                  <w:r>
                    <w:rPr>
                      <w:rFonts w:hint="eastAsia" w:cs="Times New Roman"/>
                      <w:color w:val="auto"/>
                      <w:sz w:val="21"/>
                      <w:szCs w:val="21"/>
                      <w:highlight w:val="none"/>
                      <w:lang w:val="en-US" w:eastAsia="zh-CN"/>
                    </w:rPr>
                    <w:t>非甲烷总烃</w:t>
                  </w:r>
                  <w:r>
                    <w:rPr>
                      <w:rFonts w:hint="default" w:ascii="Times New Roman" w:hAnsi="Times New Roman" w:eastAsia="宋体" w:cs="Times New Roman"/>
                      <w:color w:val="auto"/>
                      <w:sz w:val="21"/>
                      <w:szCs w:val="21"/>
                      <w:highlight w:val="none"/>
                    </w:rPr>
                    <w:t>，排放量小，不属于重污染企业。本项目</w:t>
                  </w:r>
                  <w:r>
                    <w:rPr>
                      <w:rFonts w:hint="eastAsia" w:cs="Times New Roman"/>
                      <w:color w:val="auto"/>
                      <w:sz w:val="21"/>
                      <w:szCs w:val="21"/>
                      <w:highlight w:val="none"/>
                      <w:lang w:val="en-US" w:eastAsia="zh-CN"/>
                    </w:rPr>
                    <w:t>生产</w:t>
                  </w:r>
                  <w:r>
                    <w:rPr>
                      <w:rFonts w:hint="default" w:ascii="Times New Roman" w:hAnsi="Times New Roman" w:eastAsia="宋体" w:cs="Times New Roman"/>
                      <w:color w:val="auto"/>
                      <w:sz w:val="21"/>
                      <w:szCs w:val="21"/>
                      <w:highlight w:val="none"/>
                    </w:rPr>
                    <w:t>过程中产生的</w:t>
                  </w:r>
                  <w:r>
                    <w:rPr>
                      <w:rFonts w:hint="eastAsia" w:cs="Times New Roman"/>
                      <w:color w:val="auto"/>
                      <w:sz w:val="21"/>
                      <w:szCs w:val="21"/>
                      <w:highlight w:val="none"/>
                      <w:lang w:val="en-US" w:eastAsia="zh-CN"/>
                    </w:rPr>
                    <w:t>塑料废气（以非甲烷总烃计）</w:t>
                  </w:r>
                  <w:r>
                    <w:rPr>
                      <w:rFonts w:hint="default" w:ascii="Times New Roman" w:hAnsi="Times New Roman" w:eastAsia="宋体" w:cs="Times New Roman"/>
                      <w:color w:val="auto"/>
                      <w:sz w:val="21"/>
                      <w:szCs w:val="21"/>
                      <w:highlight w:val="none"/>
                    </w:rPr>
                    <w:t>经</w:t>
                  </w:r>
                  <w:r>
                    <w:rPr>
                      <w:rFonts w:hint="eastAsia" w:cs="Times New Roman"/>
                      <w:color w:val="auto"/>
                      <w:sz w:val="21"/>
                      <w:szCs w:val="21"/>
                      <w:highlight w:val="none"/>
                      <w:lang w:val="en-US" w:eastAsia="zh-CN"/>
                    </w:rPr>
                    <w:t>包围型集气罩（含软帘）</w:t>
                  </w:r>
                  <w:r>
                    <w:rPr>
                      <w:rFonts w:hint="default" w:ascii="Times New Roman" w:hAnsi="Times New Roman" w:eastAsia="宋体" w:cs="Times New Roman"/>
                      <w:color w:val="auto"/>
                      <w:sz w:val="21"/>
                      <w:szCs w:val="21"/>
                      <w:highlight w:val="none"/>
                    </w:rPr>
                    <w:t>收集，经管道引入1套废气处理设施（活性炭吸附浓缩+CO处理工艺）（TA001）进行处理，处理后通过1根</w:t>
                  </w:r>
                  <w:r>
                    <w:rPr>
                      <w:rFonts w:hint="eastAsia"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m高排气筒排放（DA001）</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印刷废气经包围型集气罩（含软帘）收集，经管道引入1套废气处理设施（二级活性炭吸附）（TA002）进行处理，处理后通过1根20m高排气筒排放（DA002）。</w:t>
                  </w:r>
                  <w:r>
                    <w:rPr>
                      <w:rFonts w:hint="eastAsia" w:cs="Times New Roman"/>
                      <w:color w:val="auto"/>
                      <w:sz w:val="21"/>
                      <w:szCs w:val="21"/>
                      <w:highlight w:val="none"/>
                      <w:lang w:eastAsia="zh-CN"/>
                    </w:rPr>
                    <w:t>通过加强车间密闭管理，提高收集效率减少无组织排放。污染物经过处理，均能</w:t>
                  </w:r>
                  <w:r>
                    <w:rPr>
                      <w:rFonts w:hint="eastAsia" w:cs="Times New Roman"/>
                      <w:color w:val="auto"/>
                      <w:sz w:val="21"/>
                      <w:szCs w:val="21"/>
                      <w:highlight w:val="none"/>
                      <w:lang w:val="en-US" w:eastAsia="zh-CN"/>
                    </w:rPr>
                    <w:t>实现</w:t>
                  </w:r>
                  <w:r>
                    <w:rPr>
                      <w:rFonts w:hint="eastAsia" w:cs="Times New Roman"/>
                      <w:color w:val="auto"/>
                      <w:sz w:val="21"/>
                      <w:szCs w:val="21"/>
                      <w:highlight w:val="none"/>
                      <w:lang w:eastAsia="zh-CN"/>
                    </w:rPr>
                    <w:t>达标排放</w:t>
                  </w:r>
                  <w:r>
                    <w:rPr>
                      <w:rFonts w:hint="eastAsia" w:cs="Times New Roman"/>
                      <w:color w:val="auto"/>
                      <w:sz w:val="21"/>
                      <w:szCs w:val="21"/>
                      <w:highlight w:val="none"/>
                      <w:lang w:val="en-US" w:eastAsia="zh-CN"/>
                    </w:rPr>
                    <w:t>。</w:t>
                  </w:r>
                </w:p>
              </w:tc>
              <w:tc>
                <w:tcPr>
                  <w:tcW w:w="595" w:type="pct"/>
                  <w:vAlign w:val="center"/>
                </w:tcPr>
                <w:p w14:paraId="5146AE58">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354D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4"/>
                  <w:vAlign w:val="center"/>
                </w:tcPr>
                <w:p w14:paraId="7D0148AA">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二、</w:t>
                  </w:r>
                  <w:r>
                    <w:rPr>
                      <w:rFonts w:hint="eastAsia" w:cs="Times New Roman"/>
                      <w:b/>
                      <w:bCs/>
                      <w:color w:val="auto"/>
                      <w:sz w:val="21"/>
                      <w:szCs w:val="21"/>
                      <w:highlight w:val="none"/>
                      <w:lang w:val="en-US" w:eastAsia="zh-CN"/>
                    </w:rPr>
                    <w:t>地表水环境</w:t>
                  </w:r>
                </w:p>
              </w:tc>
            </w:tr>
            <w:tr w14:paraId="28BA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496D9118">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w:t>
                  </w:r>
                </w:p>
              </w:tc>
              <w:tc>
                <w:tcPr>
                  <w:tcW w:w="2121" w:type="pct"/>
                  <w:vAlign w:val="center"/>
                </w:tcPr>
                <w:p w14:paraId="28872F70">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rPr>
                    <w:t>根据玉溪市</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三线一单</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生态环境分区管控实施意见，本规划与其污染物排放管控要求相衔接，在区域水环境质量不能稳定达标前，排放受纳水体超标污染因子的新建、扩建项目，实行区域内现有污染源1.5-2倍的削减替代，建设项目环评需严格落实污染物的削减</w:t>
                  </w:r>
                  <w:r>
                    <w:rPr>
                      <w:rFonts w:hint="eastAsia" w:cs="Times New Roman"/>
                      <w:b w:val="0"/>
                      <w:bCs w:val="0"/>
                      <w:color w:val="auto"/>
                      <w:sz w:val="21"/>
                      <w:szCs w:val="21"/>
                      <w:highlight w:val="none"/>
                      <w:lang w:eastAsia="zh-CN"/>
                    </w:rPr>
                    <w:t>。</w:t>
                  </w:r>
                </w:p>
              </w:tc>
              <w:tc>
                <w:tcPr>
                  <w:tcW w:w="1817" w:type="pct"/>
                  <w:vAlign w:val="center"/>
                </w:tcPr>
                <w:p w14:paraId="5F3E5590">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项目设备冷却水循环使用，不外排；办公</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生活污水依托云南三缘电缆有限公司化粪池（10m³）预处理后，采用槽罐车外送至玉溪市第二污水处理厂处理。</w:t>
                  </w:r>
                </w:p>
              </w:tc>
              <w:tc>
                <w:tcPr>
                  <w:tcW w:w="595" w:type="pct"/>
                  <w:vAlign w:val="center"/>
                </w:tcPr>
                <w:p w14:paraId="1CF7F133">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cs="Times New Roman"/>
                      <w:b w:val="0"/>
                      <w:bCs w:val="0"/>
                      <w:color w:val="auto"/>
                      <w:sz w:val="21"/>
                      <w:szCs w:val="21"/>
                      <w:highlight w:val="none"/>
                      <w:lang w:val="en-US" w:eastAsia="zh-CN"/>
                    </w:rPr>
                    <w:t>符合</w:t>
                  </w:r>
                </w:p>
              </w:tc>
            </w:tr>
            <w:tr w14:paraId="6991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3DAD1701">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w:t>
                  </w:r>
                </w:p>
              </w:tc>
              <w:tc>
                <w:tcPr>
                  <w:tcW w:w="2121" w:type="pct"/>
                  <w:vAlign w:val="center"/>
                </w:tcPr>
                <w:p w14:paraId="63C03BA3">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加强各片区内村庄生活废水、农业面源治理力度，加强片区内生活污水管网建设，配套雨污分流排水管网，管网覆盖率达100%，农村生活污水处理根据玉溪市红塔区及峨山县的农村生活污水治理专项规划（2020-2030）尽快开展，积极推进各片区内村庄搬迁工作，确保玉溪大河及石邑河等河流沿线无生活污水直接</w:t>
                  </w:r>
                  <w:r>
                    <w:rPr>
                      <w:rFonts w:hint="eastAsia" w:cs="Times New Roman"/>
                      <w:b w:val="0"/>
                      <w:bCs w:val="0"/>
                      <w:color w:val="auto"/>
                      <w:sz w:val="21"/>
                      <w:szCs w:val="21"/>
                      <w:highlight w:val="none"/>
                      <w:lang w:val="en-US" w:eastAsia="zh-CN"/>
                    </w:rPr>
                    <w:t>排入。</w:t>
                  </w:r>
                </w:p>
              </w:tc>
              <w:tc>
                <w:tcPr>
                  <w:tcW w:w="1817" w:type="pct"/>
                  <w:vAlign w:val="center"/>
                </w:tcPr>
                <w:p w14:paraId="08D3C3AC">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项目设备冷却水循环使用，不外排；办公</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生活污水依托云南三缘电缆有限公司化粪池（10m³）预处理后，采用槽罐车外送至玉溪市第二污水处理厂处理。</w:t>
                  </w:r>
                </w:p>
              </w:tc>
              <w:tc>
                <w:tcPr>
                  <w:tcW w:w="595" w:type="pct"/>
                  <w:vAlign w:val="center"/>
                </w:tcPr>
                <w:p w14:paraId="693B200B">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符合</w:t>
                  </w:r>
                </w:p>
              </w:tc>
            </w:tr>
            <w:tr w14:paraId="7A4C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10D51E63">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w:t>
                  </w:r>
                </w:p>
              </w:tc>
              <w:tc>
                <w:tcPr>
                  <w:tcW w:w="2121" w:type="pct"/>
                  <w:vAlign w:val="center"/>
                </w:tcPr>
                <w:p w14:paraId="65EEE6E9">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建立健全，企业-产业组团-园区</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三级</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污染防控体系，配套完善企业及园区污水收集、处理和再生水回用系统，禁止含一类污染物的工业废水排入城镇污水处理厂；工业园区的入驻企业污水纳管前应达到《污水综合排放标准》三级标准和《污水排入城镇下水道水质标准》。大力开展再生水回用，完善废水收集-处理-回用-南盘江流域</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管理体系</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按不同用水水质要求回用于不同产业，外排废水应执行《城镇污水处理厂污染物排放标准》（GB18918-2002）一级A标准。若企业废水无法接入园区污水处理厂且需排水的需按照入河排污许可相关要求办理相关手续，且排放标准需满足受纳水体考核水质标准，方可直排。</w:t>
                  </w:r>
                </w:p>
              </w:tc>
              <w:tc>
                <w:tcPr>
                  <w:tcW w:w="1817" w:type="pct"/>
                  <w:vAlign w:val="center"/>
                </w:tcPr>
                <w:p w14:paraId="196A6EB5">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项目设备冷却水循环使用，不外排；办公</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生活污水依托云南三缘电缆有限公司化粪池（10m³）预处理后，采用槽罐车外送至玉溪市第二污水处理厂处理。</w:t>
                  </w:r>
                </w:p>
              </w:tc>
              <w:tc>
                <w:tcPr>
                  <w:tcW w:w="595" w:type="pct"/>
                  <w:vAlign w:val="center"/>
                </w:tcPr>
                <w:p w14:paraId="5FF480A0">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符合</w:t>
                  </w:r>
                </w:p>
              </w:tc>
            </w:tr>
            <w:tr w14:paraId="3B76E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44FCAFE1">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4</w:t>
                  </w:r>
                </w:p>
              </w:tc>
              <w:tc>
                <w:tcPr>
                  <w:tcW w:w="2121" w:type="pct"/>
                  <w:vAlign w:val="center"/>
                </w:tcPr>
                <w:p w14:paraId="237A0F5D">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严格环境准入政策，健全水环境风险防控措施，禁止未经处理达标的废水以任何形式进入区域地表水体。污水收集系统未建成通达前，中小型现有企业及新入驻企业应建设管网接入最近的截污管网。</w:t>
                  </w:r>
                </w:p>
              </w:tc>
              <w:tc>
                <w:tcPr>
                  <w:tcW w:w="1817" w:type="pct"/>
                  <w:vAlign w:val="center"/>
                </w:tcPr>
                <w:p w14:paraId="3F90536A">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项目设备冷却水循环使用，不外排；办公</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生活污水依托云南三缘电缆有限公司化粪池（10m³）预处理后，采用槽罐车外送至玉溪市第二污水处理厂处理。</w:t>
                  </w:r>
                </w:p>
              </w:tc>
              <w:tc>
                <w:tcPr>
                  <w:tcW w:w="595" w:type="pct"/>
                  <w:vAlign w:val="center"/>
                </w:tcPr>
                <w:p w14:paraId="0DC9DB99">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符合</w:t>
                  </w:r>
                </w:p>
              </w:tc>
            </w:tr>
            <w:tr w14:paraId="0A2A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4"/>
                  <w:vAlign w:val="center"/>
                </w:tcPr>
                <w:p w14:paraId="4EBB8000">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三、地下水</w:t>
                  </w:r>
                  <w:r>
                    <w:rPr>
                      <w:rFonts w:hint="eastAsia" w:cs="Times New Roman"/>
                      <w:b/>
                      <w:bCs/>
                      <w:color w:val="auto"/>
                      <w:sz w:val="21"/>
                      <w:szCs w:val="21"/>
                      <w:highlight w:val="none"/>
                      <w:lang w:val="en-US" w:eastAsia="zh-CN"/>
                    </w:rPr>
                    <w:t>环境</w:t>
                  </w:r>
                </w:p>
              </w:tc>
            </w:tr>
            <w:tr w14:paraId="21858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18F899EC">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2121" w:type="pct"/>
                  <w:vAlign w:val="center"/>
                </w:tcPr>
                <w:p w14:paraId="1435B486">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选址时，应对建设场地进行详细的工程地质勘察，查明覆盖层岩性条件、厚度及分布规律，详细查明场内岩溶发育程度及规律，为项目的污染防护规划提供准确的设计依据。存在较大环境风险的生产装置、危险化学品仓储设施和污水处理设施等，应避开岩溶强发育、存在较多落水洞或岩溶漏斗的区域。</w:t>
                  </w:r>
                </w:p>
              </w:tc>
              <w:tc>
                <w:tcPr>
                  <w:tcW w:w="1817" w:type="pct"/>
                  <w:vAlign w:val="center"/>
                </w:tcPr>
                <w:p w14:paraId="6B5B3E96">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根据环境风险评价，项目环境风险潜势判定为</w:t>
                  </w:r>
                  <w:r>
                    <w:rPr>
                      <w:rFonts w:hint="default" w:ascii="Times New Roman" w:hAnsi="Times New Roman" w:eastAsia="宋体" w:cs="Times New Roman"/>
                      <w:color w:val="auto"/>
                      <w:sz w:val="21"/>
                      <w:szCs w:val="21"/>
                      <w:highlight w:val="none"/>
                    </w:rPr>
                    <w:fldChar w:fldCharType="begin"/>
                  </w:r>
                  <w:r>
                    <w:rPr>
                      <w:rFonts w:hint="default" w:ascii="Times New Roman" w:hAnsi="Times New Roman" w:eastAsia="宋体" w:cs="Times New Roman"/>
                      <w:color w:val="auto"/>
                      <w:sz w:val="21"/>
                      <w:szCs w:val="21"/>
                      <w:highlight w:val="none"/>
                    </w:rPr>
                    <w:instrText xml:space="preserve"> = 1 \* ROMAN \* MERGEFORMAT </w:instrText>
                  </w:r>
                  <w:r>
                    <w:rPr>
                      <w:rFonts w:hint="default" w:ascii="Times New Roman" w:hAnsi="Times New Roman" w:eastAsia="宋体" w:cs="Times New Roman"/>
                      <w:color w:val="auto"/>
                      <w:sz w:val="21"/>
                      <w:szCs w:val="21"/>
                      <w:highlight w:val="none"/>
                    </w:rPr>
                    <w:fldChar w:fldCharType="separate"/>
                  </w:r>
                  <w:r>
                    <w:rPr>
                      <w:rFonts w:hint="default" w:ascii="Times New Roman" w:hAnsi="Times New Roman" w:eastAsia="宋体" w:cs="Times New Roman"/>
                      <w:color w:val="auto"/>
                      <w:sz w:val="21"/>
                      <w:szCs w:val="21"/>
                      <w:highlight w:val="none"/>
                    </w:rPr>
                    <w:t>I</w:t>
                  </w:r>
                  <w:r>
                    <w:rPr>
                      <w:rFonts w:hint="default" w:ascii="Times New Roman" w:hAnsi="Times New Roman" w:eastAsia="宋体" w:cs="Times New Roman"/>
                      <w:color w:val="auto"/>
                      <w:sz w:val="21"/>
                      <w:szCs w:val="21"/>
                      <w:highlight w:val="none"/>
                    </w:rPr>
                    <w:fldChar w:fldCharType="end"/>
                  </w:r>
                  <w:r>
                    <w:rPr>
                      <w:rFonts w:hint="default" w:ascii="Times New Roman" w:hAnsi="Times New Roman" w:eastAsia="宋体" w:cs="Times New Roman"/>
                      <w:color w:val="auto"/>
                      <w:sz w:val="21"/>
                      <w:szCs w:val="21"/>
                      <w:highlight w:val="none"/>
                    </w:rPr>
                    <w:t>，属于一般环境风险，且项目厂址区域不涉及岩溶发育区。</w:t>
                  </w:r>
                </w:p>
              </w:tc>
              <w:tc>
                <w:tcPr>
                  <w:tcW w:w="595" w:type="pct"/>
                  <w:vAlign w:val="center"/>
                </w:tcPr>
                <w:p w14:paraId="267CEC64">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681B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19C16A44">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2121" w:type="pct"/>
                  <w:vAlign w:val="center"/>
                </w:tcPr>
                <w:p w14:paraId="2C166821">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各入驻企业的装置区、贮罐、管道、设备、污水储存及处理构筑物采取相应措施，防止和降低污染物跑、冒、滴、漏，将污染物泄漏的环境风险事故降到最低程度；管线敷设尽量采用</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可视化</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原则，即管道尽可能地上敷设，做到污染物</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早发现、早处理</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，减少由于埋地管道泄漏而造成的地下水污染。</w:t>
                  </w:r>
                </w:p>
              </w:tc>
              <w:tc>
                <w:tcPr>
                  <w:tcW w:w="1817" w:type="pct"/>
                  <w:vAlign w:val="center"/>
                </w:tcPr>
                <w:p w14:paraId="72A58104">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项目采取了分区防渗措施，可有效防止对地下水造成污染</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对地下水影响较小。</w:t>
                  </w:r>
                </w:p>
              </w:tc>
              <w:tc>
                <w:tcPr>
                  <w:tcW w:w="595" w:type="pct"/>
                  <w:vAlign w:val="center"/>
                </w:tcPr>
                <w:p w14:paraId="52537E26">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01F9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0C1A184B">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2121" w:type="pct"/>
                  <w:vAlign w:val="center"/>
                </w:tcPr>
                <w:p w14:paraId="60229FE1">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制定应急预案，一旦发现地下水污染事故，立即启动应急预案、采取应急措施控制地下水污染，并使污染得到治理。</w:t>
                  </w:r>
                </w:p>
              </w:tc>
              <w:tc>
                <w:tcPr>
                  <w:tcW w:w="1817" w:type="pct"/>
                  <w:vAlign w:val="center"/>
                </w:tcPr>
                <w:p w14:paraId="2B5C6224">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项目将编制突发环境事件应急预案，报玉溪市生态环境局红塔分局备案。一旦发现地下水污染事故，立即启动应急预案、采取应急措施控制地下水污染，并使污染得到治理</w:t>
                  </w:r>
                  <w:r>
                    <w:rPr>
                      <w:rFonts w:hint="eastAsia" w:cs="Times New Roman"/>
                      <w:color w:val="auto"/>
                      <w:sz w:val="21"/>
                      <w:szCs w:val="21"/>
                      <w:highlight w:val="none"/>
                      <w:lang w:eastAsia="zh-CN"/>
                    </w:rPr>
                    <w:t>。</w:t>
                  </w:r>
                </w:p>
              </w:tc>
              <w:tc>
                <w:tcPr>
                  <w:tcW w:w="595" w:type="pct"/>
                  <w:vAlign w:val="center"/>
                </w:tcPr>
                <w:p w14:paraId="122DCC08">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74A2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4"/>
                  <w:vAlign w:val="center"/>
                </w:tcPr>
                <w:p w14:paraId="42CAAEDB">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四、</w:t>
                  </w:r>
                  <w:r>
                    <w:rPr>
                      <w:rFonts w:hint="eastAsia" w:cs="Times New Roman"/>
                      <w:b/>
                      <w:bCs/>
                      <w:color w:val="auto"/>
                      <w:sz w:val="21"/>
                      <w:szCs w:val="21"/>
                      <w:highlight w:val="none"/>
                      <w:lang w:val="en-US" w:eastAsia="zh-CN"/>
                    </w:rPr>
                    <w:t>声环境</w:t>
                  </w:r>
                </w:p>
              </w:tc>
            </w:tr>
            <w:tr w14:paraId="09D16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2976E32A">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2121" w:type="pct"/>
                  <w:vAlign w:val="center"/>
                </w:tcPr>
                <w:p w14:paraId="50F598A6">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为确保园区边界噪声达标排放，园区应加强监督管理，督促入驻园区的企业进行噪声治理，确保其厂界噪声达标排放，从产业布局着手控制噪声，严格执行《以噪声污染为主的工业企业卫生防护距离标准》（GB18083-2000），要按噪声达标距离进行产业布局。</w:t>
                  </w:r>
                </w:p>
              </w:tc>
              <w:tc>
                <w:tcPr>
                  <w:tcW w:w="1817" w:type="pct"/>
                  <w:vAlign w:val="center"/>
                </w:tcPr>
                <w:p w14:paraId="78EE02B3">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本项目不属于《以噪声污染为主的工业企业卫生防护距离标准》（GB</w:t>
                  </w:r>
                  <w:r>
                    <w:rPr>
                      <w:rFonts w:hint="eastAsia"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18083-2000）中提及的以噪声为主的工业企业，本项目优先选用低噪声设备，通过固定减振、厂房隔声进行生产设备噪声控制，根据本次环评预测结果，企业厂界噪声达标排放。</w:t>
                  </w:r>
                </w:p>
              </w:tc>
              <w:tc>
                <w:tcPr>
                  <w:tcW w:w="595" w:type="pct"/>
                  <w:vAlign w:val="center"/>
                </w:tcPr>
                <w:p w14:paraId="5DEA8A88">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184C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275A40DD">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2121" w:type="pct"/>
                  <w:vAlign w:val="center"/>
                </w:tcPr>
                <w:p w14:paraId="01F51724">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在村庄及居住区等噪声敏感目标与工业企业之间留出足够的退让距离，并在工业用地与居住区域之间设置绿化带以减小噪声影响</w:t>
                  </w:r>
                  <w:r>
                    <w:rPr>
                      <w:rFonts w:hint="eastAsia" w:cs="Times New Roman"/>
                      <w:color w:val="auto"/>
                      <w:sz w:val="21"/>
                      <w:szCs w:val="21"/>
                      <w:highlight w:val="none"/>
                      <w:lang w:eastAsia="zh-CN"/>
                    </w:rPr>
                    <w:t>。</w:t>
                  </w:r>
                </w:p>
              </w:tc>
              <w:tc>
                <w:tcPr>
                  <w:tcW w:w="1817" w:type="pct"/>
                  <w:vAlign w:val="center"/>
                </w:tcPr>
                <w:p w14:paraId="74ABF3FF">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项目50m范围内无声环境敏感目标</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项目</w:t>
                  </w:r>
                  <w:r>
                    <w:rPr>
                      <w:rFonts w:hint="eastAsia" w:cs="Times New Roman"/>
                      <w:color w:val="auto"/>
                      <w:sz w:val="21"/>
                      <w:szCs w:val="21"/>
                      <w:highlight w:val="none"/>
                      <w:lang w:val="en-US" w:eastAsia="zh-CN"/>
                    </w:rPr>
                    <w:t>生产运营</w:t>
                  </w:r>
                  <w:r>
                    <w:rPr>
                      <w:rFonts w:hint="default" w:ascii="Times New Roman" w:hAnsi="Times New Roman" w:eastAsia="宋体" w:cs="Times New Roman"/>
                      <w:color w:val="auto"/>
                      <w:sz w:val="21"/>
                      <w:szCs w:val="21"/>
                      <w:highlight w:val="none"/>
                    </w:rPr>
                    <w:t>选用低噪声设备，对高噪声设备采取相应的隔声、消声、减振等有效的噪声防治措施，根据噪声预测结果，项目厂界噪声可做到达标排放</w:t>
                  </w:r>
                  <w:r>
                    <w:rPr>
                      <w:rFonts w:hint="eastAsia" w:cs="Times New Roman"/>
                      <w:color w:val="auto"/>
                      <w:sz w:val="21"/>
                      <w:szCs w:val="21"/>
                      <w:highlight w:val="none"/>
                      <w:lang w:eastAsia="zh-CN"/>
                    </w:rPr>
                    <w:t>。</w:t>
                  </w:r>
                </w:p>
              </w:tc>
              <w:tc>
                <w:tcPr>
                  <w:tcW w:w="595" w:type="pct"/>
                  <w:vAlign w:val="center"/>
                </w:tcPr>
                <w:p w14:paraId="6556999A">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符合</w:t>
                  </w:r>
                </w:p>
              </w:tc>
            </w:tr>
            <w:tr w14:paraId="6167B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4"/>
                  <w:vAlign w:val="center"/>
                </w:tcPr>
                <w:p w14:paraId="36226ACB">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五、固体废物</w:t>
                  </w:r>
                </w:p>
              </w:tc>
            </w:tr>
            <w:tr w14:paraId="5BBB8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63414F9B">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2121" w:type="pct"/>
                  <w:vAlign w:val="center"/>
                </w:tcPr>
                <w:p w14:paraId="5B97D250">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生活垃圾应及时清运，积极开展合理利用和无害化处置，并进一步做到垃圾分类收集、贮存、运输和处置。</w:t>
                  </w:r>
                </w:p>
              </w:tc>
              <w:tc>
                <w:tcPr>
                  <w:tcW w:w="1817" w:type="pct"/>
                  <w:vAlign w:val="center"/>
                </w:tcPr>
                <w:p w14:paraId="505C996B">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项目运营期</w:t>
                  </w:r>
                  <w:r>
                    <w:rPr>
                      <w:rFonts w:hint="default" w:ascii="Times New Roman" w:hAnsi="Times New Roman" w:eastAsia="宋体" w:cs="Times New Roman"/>
                      <w:color w:val="auto"/>
                      <w:sz w:val="21"/>
                      <w:szCs w:val="21"/>
                      <w:highlight w:val="none"/>
                    </w:rPr>
                    <w:t>生活垃圾收集</w:t>
                  </w:r>
                  <w:r>
                    <w:rPr>
                      <w:rFonts w:hint="eastAsia" w:cs="Times New Roman"/>
                      <w:color w:val="auto"/>
                      <w:sz w:val="21"/>
                      <w:szCs w:val="21"/>
                      <w:highlight w:val="none"/>
                      <w:lang w:val="en-US" w:eastAsia="zh-CN"/>
                    </w:rPr>
                    <w:t>后委托</w:t>
                  </w:r>
                  <w:r>
                    <w:rPr>
                      <w:rFonts w:hint="default" w:ascii="Times New Roman" w:hAnsi="Times New Roman" w:eastAsia="宋体" w:cs="Times New Roman"/>
                      <w:color w:val="auto"/>
                      <w:sz w:val="21"/>
                      <w:szCs w:val="21"/>
                      <w:highlight w:val="none"/>
                    </w:rPr>
                    <w:t>园区环卫部门定期处置。</w:t>
                  </w:r>
                </w:p>
              </w:tc>
              <w:tc>
                <w:tcPr>
                  <w:tcW w:w="595" w:type="pct"/>
                  <w:vAlign w:val="center"/>
                </w:tcPr>
                <w:p w14:paraId="0B767D8F">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0B27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0B0C3BC7">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2121" w:type="pct"/>
                  <w:vAlign w:val="center"/>
                </w:tcPr>
                <w:p w14:paraId="38764D64">
                  <w:pPr>
                    <w:keepNext w:val="0"/>
                    <w:keepLines w:val="0"/>
                    <w:pageBreakBefore w:val="0"/>
                    <w:widowControl w:val="0"/>
                    <w:kinsoku/>
                    <w:wordWrap/>
                    <w:overflowPunct/>
                    <w:topLinePunct w:val="0"/>
                    <w:autoSpaceDE w:val="0"/>
                    <w:autoSpaceDN w:val="0"/>
                    <w:bidi w:val="0"/>
                    <w:spacing w:line="240" w:lineRule="auto"/>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大力推行清洁生产，采取措施（政策、经济上的优惠）鼓励工业企业通过改进或采用最新的清洁生产工艺，进行首端控制，源头治理，使企业尽可能少排或不排固体废物，减少工业固体废物产生。</w:t>
                  </w:r>
                </w:p>
                <w:p w14:paraId="7632A069">
                  <w:pPr>
                    <w:keepNext w:val="0"/>
                    <w:keepLines w:val="0"/>
                    <w:pageBreakBefore w:val="0"/>
                    <w:widowControl w:val="0"/>
                    <w:kinsoku/>
                    <w:wordWrap/>
                    <w:overflowPunct/>
                    <w:topLinePunct w:val="0"/>
                    <w:autoSpaceDE w:val="0"/>
                    <w:autoSpaceDN w:val="0"/>
                    <w:bidi w:val="0"/>
                    <w:spacing w:line="240" w:lineRule="auto"/>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发展循环经济：鼓励在企业内部和企业之间加强固体废物的回收与循环利用，合理开发和充分利用再生资源，开展工业废物跨行业、跨部门的综合利用，变废物为新的资源。</w:t>
                  </w:r>
                </w:p>
                <w:p w14:paraId="584A76E5">
                  <w:pPr>
                    <w:keepNext w:val="0"/>
                    <w:keepLines w:val="0"/>
                    <w:pageBreakBefore w:val="0"/>
                    <w:widowControl w:val="0"/>
                    <w:kinsoku/>
                    <w:wordWrap/>
                    <w:overflowPunct/>
                    <w:topLinePunct w:val="0"/>
                    <w:autoSpaceDE w:val="0"/>
                    <w:autoSpaceDN w:val="0"/>
                    <w:bidi w:val="0"/>
                    <w:spacing w:line="240" w:lineRule="auto"/>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进行无害化处理：企业对其产生的不能利用或者暂时不能利用的工业固体废物，必须按环保主管部门的规定建设贮存或处理设施、场所，并达到相应的环保标准。</w:t>
                  </w:r>
                </w:p>
              </w:tc>
              <w:tc>
                <w:tcPr>
                  <w:tcW w:w="1817" w:type="pct"/>
                  <w:vAlign w:val="center"/>
                </w:tcPr>
                <w:p w14:paraId="0B219BBA">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本项目生活垃圾、化粪池污泥</w:t>
                  </w:r>
                  <w:r>
                    <w:rPr>
                      <w:rFonts w:hint="eastAsia" w:cs="Times New Roman"/>
                      <w:color w:val="auto"/>
                      <w:sz w:val="21"/>
                      <w:szCs w:val="21"/>
                      <w:highlight w:val="none"/>
                      <w:lang w:val="en-US" w:eastAsia="zh-CN"/>
                    </w:rPr>
                    <w:t>委托</w:t>
                  </w:r>
                  <w:r>
                    <w:rPr>
                      <w:rFonts w:hint="default" w:ascii="Times New Roman" w:hAnsi="Times New Roman" w:eastAsia="宋体" w:cs="Times New Roman"/>
                      <w:color w:val="auto"/>
                      <w:sz w:val="21"/>
                      <w:szCs w:val="21"/>
                      <w:highlight w:val="none"/>
                    </w:rPr>
                    <w:t>园区环卫部门定期清运处置</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不合格产品、</w:t>
                  </w:r>
                  <w:r>
                    <w:rPr>
                      <w:rFonts w:hint="default" w:ascii="Times New Roman" w:hAnsi="Times New Roman" w:eastAsia="宋体" w:cs="Times New Roman"/>
                      <w:color w:val="auto"/>
                      <w:sz w:val="21"/>
                      <w:szCs w:val="21"/>
                      <w:highlight w:val="none"/>
                    </w:rPr>
                    <w:t>边角料收集后</w:t>
                  </w:r>
                  <w:r>
                    <w:rPr>
                      <w:rFonts w:hint="eastAsia" w:cs="Times New Roman"/>
                      <w:color w:val="auto"/>
                      <w:sz w:val="21"/>
                      <w:szCs w:val="21"/>
                      <w:highlight w:val="none"/>
                      <w:lang w:val="en-US" w:eastAsia="zh-CN"/>
                    </w:rPr>
                    <w:t>回用到生产，</w:t>
                  </w:r>
                  <w:r>
                    <w:rPr>
                      <w:rFonts w:hint="default" w:ascii="Times New Roman" w:hAnsi="Times New Roman" w:eastAsia="宋体" w:cs="Times New Roman"/>
                      <w:color w:val="auto"/>
                      <w:sz w:val="21"/>
                      <w:szCs w:val="21"/>
                      <w:highlight w:val="none"/>
                    </w:rPr>
                    <w:t>废活性炭</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废机油</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废油墨等危险废物分类暂存于危废暂存间，</w:t>
                  </w:r>
                  <w:r>
                    <w:rPr>
                      <w:rFonts w:hint="default" w:ascii="Times New Roman" w:hAnsi="Times New Roman" w:eastAsia="宋体" w:cs="Times New Roman"/>
                      <w:color w:val="auto"/>
                      <w:sz w:val="21"/>
                      <w:szCs w:val="21"/>
                      <w:highlight w:val="none"/>
                    </w:rPr>
                    <w:t>委托有危险废物处置、运输资质的单位定期清运处置，并建立转移联单，固废处置率为100%。</w:t>
                  </w:r>
                </w:p>
              </w:tc>
              <w:tc>
                <w:tcPr>
                  <w:tcW w:w="595" w:type="pct"/>
                  <w:vAlign w:val="center"/>
                </w:tcPr>
                <w:p w14:paraId="0886E493">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符合</w:t>
                  </w:r>
                </w:p>
              </w:tc>
            </w:tr>
            <w:tr w14:paraId="1D9F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29DBD771">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c>
                <w:tcPr>
                  <w:tcW w:w="2121" w:type="pct"/>
                  <w:vAlign w:val="center"/>
                </w:tcPr>
                <w:p w14:paraId="505EC62E">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产生危险废物的企业必须严格按照《危险废物贮存污染控制标准》（GB18597-2023）的要求建好危险废物的临时贮存场所，最后集中收集后委托有资质的单位集中处置或回收。</w:t>
                  </w:r>
                </w:p>
              </w:tc>
              <w:tc>
                <w:tcPr>
                  <w:tcW w:w="1817" w:type="pct"/>
                  <w:vAlign w:val="center"/>
                </w:tcPr>
                <w:p w14:paraId="2A339D24">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本项目严格按照《危险废物贮存污染控制标准》（GB</w:t>
                  </w:r>
                  <w:r>
                    <w:rPr>
                      <w:rFonts w:hint="eastAsia"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18597-2023）的要求新建危险废物暂存</w:t>
                  </w:r>
                  <w:r>
                    <w:rPr>
                      <w:rFonts w:hint="eastAsia" w:cs="Times New Roman"/>
                      <w:color w:val="auto"/>
                      <w:sz w:val="21"/>
                      <w:szCs w:val="21"/>
                      <w:highlight w:val="none"/>
                      <w:lang w:val="en-US" w:eastAsia="zh-CN"/>
                    </w:rPr>
                    <w:t>间</w:t>
                  </w:r>
                  <w:r>
                    <w:rPr>
                      <w:rFonts w:hint="default" w:ascii="Times New Roman" w:hAnsi="Times New Roman" w:eastAsia="宋体" w:cs="Times New Roman"/>
                      <w:color w:val="auto"/>
                      <w:sz w:val="21"/>
                      <w:szCs w:val="21"/>
                      <w:highlight w:val="none"/>
                    </w:rPr>
                    <w:t>，废活性炭</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废机油</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废催化剂等危险废物</w:t>
                  </w:r>
                  <w:r>
                    <w:rPr>
                      <w:rFonts w:hint="default" w:ascii="Times New Roman" w:hAnsi="Times New Roman" w:eastAsia="宋体" w:cs="Times New Roman"/>
                      <w:color w:val="auto"/>
                      <w:sz w:val="21"/>
                      <w:szCs w:val="21"/>
                      <w:highlight w:val="none"/>
                    </w:rPr>
                    <w:t>委托有危险废物处置资质的单位</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定期清运处理。</w:t>
                  </w:r>
                </w:p>
              </w:tc>
              <w:tc>
                <w:tcPr>
                  <w:tcW w:w="595" w:type="pct"/>
                  <w:vAlign w:val="center"/>
                </w:tcPr>
                <w:p w14:paraId="533C348E">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符合</w:t>
                  </w:r>
                </w:p>
              </w:tc>
            </w:tr>
            <w:tr w14:paraId="34CB0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4"/>
                  <w:vAlign w:val="center"/>
                </w:tcPr>
                <w:p w14:paraId="53DF3397">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七、环境风险</w:t>
                  </w:r>
                </w:p>
              </w:tc>
            </w:tr>
            <w:tr w14:paraId="420D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6B8E3584">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2121" w:type="pct"/>
                  <w:vAlign w:val="center"/>
                </w:tcPr>
                <w:p w14:paraId="49A7E8B6">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立健全化学品、持久性有机污染物、危险废物等环境风险防范与应急管理工作机制，强化危险化学品风险管控，严格执行危险化学品管控政策。强化核与辐射安全监管，推进放射性污染防治。加强企业内部环境风险三级防护措施，对涉风险的生产和储存设施设置围堰防护，企业内设置自流式事故雨水收集池和应急池，并输送至企业污水处理设施处理，与片区的收集池和应急池、污水处理设施连通。</w:t>
                  </w:r>
                </w:p>
              </w:tc>
              <w:tc>
                <w:tcPr>
                  <w:tcW w:w="1817" w:type="pct"/>
                  <w:vAlign w:val="center"/>
                </w:tcPr>
                <w:p w14:paraId="49976D5A">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本项目不涉及持久性有机污染物、不涉及核与辐射。入厂的原料均设置单独的原料区进行存放，且本项目</w:t>
                  </w:r>
                  <w:r>
                    <w:rPr>
                      <w:rFonts w:hint="eastAsia" w:cs="Times New Roman"/>
                      <w:color w:val="auto"/>
                      <w:sz w:val="21"/>
                      <w:szCs w:val="21"/>
                      <w:highlight w:val="none"/>
                      <w:lang w:val="en-US" w:eastAsia="zh-CN"/>
                    </w:rPr>
                    <w:t>废活性炭、</w:t>
                  </w:r>
                  <w:r>
                    <w:rPr>
                      <w:rFonts w:hint="default" w:ascii="Times New Roman" w:hAnsi="Times New Roman" w:eastAsia="宋体" w:cs="Times New Roman"/>
                      <w:color w:val="auto"/>
                      <w:sz w:val="21"/>
                      <w:szCs w:val="21"/>
                      <w:highlight w:val="none"/>
                    </w:rPr>
                    <w:t>废机油</w:t>
                  </w:r>
                  <w:r>
                    <w:rPr>
                      <w:rFonts w:hint="eastAsia" w:cs="Times New Roman"/>
                      <w:color w:val="auto"/>
                      <w:sz w:val="21"/>
                      <w:szCs w:val="21"/>
                      <w:highlight w:val="none"/>
                      <w:lang w:val="en-US" w:eastAsia="zh-CN"/>
                    </w:rPr>
                    <w:t>等危险废物分类</w:t>
                  </w:r>
                  <w:r>
                    <w:rPr>
                      <w:rFonts w:hint="default" w:ascii="Times New Roman" w:hAnsi="Times New Roman" w:eastAsia="宋体" w:cs="Times New Roman"/>
                      <w:color w:val="auto"/>
                      <w:sz w:val="21"/>
                      <w:szCs w:val="21"/>
                      <w:highlight w:val="none"/>
                    </w:rPr>
                    <w:t>收集后暂</w:t>
                  </w:r>
                  <w:r>
                    <w:rPr>
                      <w:rFonts w:hint="eastAsia" w:cs="Times New Roman"/>
                      <w:color w:val="auto"/>
                      <w:sz w:val="21"/>
                      <w:szCs w:val="21"/>
                      <w:highlight w:val="none"/>
                      <w:lang w:val="en-US" w:eastAsia="zh-CN"/>
                    </w:rPr>
                    <w:t>存</w:t>
                  </w:r>
                  <w:r>
                    <w:rPr>
                      <w:rFonts w:hint="default" w:ascii="Times New Roman" w:hAnsi="Times New Roman" w:eastAsia="宋体" w:cs="Times New Roman"/>
                      <w:color w:val="auto"/>
                      <w:sz w:val="21"/>
                      <w:szCs w:val="21"/>
                      <w:highlight w:val="none"/>
                    </w:rPr>
                    <w:t>于危废暂存</w:t>
                  </w:r>
                  <w:r>
                    <w:rPr>
                      <w:rFonts w:hint="eastAsia" w:cs="Times New Roman"/>
                      <w:color w:val="auto"/>
                      <w:sz w:val="21"/>
                      <w:szCs w:val="21"/>
                      <w:highlight w:val="none"/>
                      <w:lang w:val="en-US" w:eastAsia="zh-CN"/>
                    </w:rPr>
                    <w:t>间</w:t>
                  </w:r>
                  <w:r>
                    <w:rPr>
                      <w:rFonts w:hint="default" w:ascii="Times New Roman" w:hAnsi="Times New Roman" w:eastAsia="宋体" w:cs="Times New Roman"/>
                      <w:color w:val="auto"/>
                      <w:sz w:val="21"/>
                      <w:szCs w:val="21"/>
                      <w:highlight w:val="none"/>
                    </w:rPr>
                    <w:t>内</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定期委托有资质的单位进行处置。危险废物暂存</w:t>
                  </w:r>
                  <w:r>
                    <w:rPr>
                      <w:rFonts w:hint="eastAsia" w:cs="Times New Roman"/>
                      <w:color w:val="auto"/>
                      <w:sz w:val="21"/>
                      <w:szCs w:val="21"/>
                      <w:highlight w:val="none"/>
                      <w:lang w:val="en-US" w:eastAsia="zh-CN"/>
                    </w:rPr>
                    <w:t>间</w:t>
                  </w:r>
                  <w:r>
                    <w:rPr>
                      <w:rFonts w:hint="default" w:ascii="Times New Roman" w:hAnsi="Times New Roman" w:eastAsia="宋体" w:cs="Times New Roman"/>
                      <w:color w:val="auto"/>
                      <w:sz w:val="21"/>
                      <w:szCs w:val="21"/>
                      <w:highlight w:val="none"/>
                    </w:rPr>
                    <w:t>按要求进行建设、管理。并且本环评要求企业严格按照《企业事业单位突发环境事件应急预案备案管理办法（试行）》编制应急预案并报玉溪市生态环境局红塔分局备案。</w:t>
                  </w:r>
                </w:p>
              </w:tc>
              <w:tc>
                <w:tcPr>
                  <w:tcW w:w="595" w:type="pct"/>
                  <w:vAlign w:val="center"/>
                </w:tcPr>
                <w:p w14:paraId="514AEA5D">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7D32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4"/>
                  <w:vAlign w:val="center"/>
                </w:tcPr>
                <w:p w14:paraId="5FAF926F">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八、产业园区环境准入</w:t>
                  </w:r>
                </w:p>
              </w:tc>
            </w:tr>
            <w:tr w14:paraId="19F0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4BC8BAF7">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2121" w:type="pct"/>
                  <w:vAlign w:val="center"/>
                </w:tcPr>
                <w:p w14:paraId="75322935">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满足《玉溪市</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三线一单</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分区管控实施意见》。</w:t>
                  </w:r>
                </w:p>
              </w:tc>
              <w:tc>
                <w:tcPr>
                  <w:tcW w:w="1817" w:type="pct"/>
                  <w:vAlign w:val="center"/>
                </w:tcPr>
                <w:p w14:paraId="06B6D110">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本项目符合《玉溪市</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三线一单</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分区管控实施意见》</w:t>
                  </w:r>
                </w:p>
              </w:tc>
              <w:tc>
                <w:tcPr>
                  <w:tcW w:w="595" w:type="pct"/>
                  <w:vAlign w:val="center"/>
                </w:tcPr>
                <w:p w14:paraId="66720D17">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符合</w:t>
                  </w:r>
                </w:p>
              </w:tc>
            </w:tr>
            <w:tr w14:paraId="559B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00A0134E">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2121" w:type="pct"/>
                  <w:vAlign w:val="center"/>
                </w:tcPr>
                <w:p w14:paraId="1E2B7A20">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满足规划区产业定位，且不属于《产业结构调整目录（2019年）》《市场准入负面清单（2022）》中限制类和淘汰类。</w:t>
                  </w:r>
                </w:p>
              </w:tc>
              <w:tc>
                <w:tcPr>
                  <w:tcW w:w="1817" w:type="pct"/>
                  <w:vAlign w:val="center"/>
                </w:tcPr>
                <w:p w14:paraId="226B69D3">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项目为塑料制品业，不属于《产业结构调整指导目录（2024年本）》中限制类、淘汰类，属于允许类</w:t>
                  </w:r>
                  <w:r>
                    <w:rPr>
                      <w:rFonts w:hint="eastAsia" w:cs="Times New Roman"/>
                      <w:color w:val="auto"/>
                      <w:sz w:val="21"/>
                      <w:szCs w:val="21"/>
                      <w:highlight w:val="none"/>
                      <w:lang w:eastAsia="zh-CN"/>
                    </w:rPr>
                    <w:t>，不属于《市场准入负面清单（2025年版）》禁止准入类。</w:t>
                  </w:r>
                  <w:r>
                    <w:rPr>
                      <w:rFonts w:hint="default" w:ascii="Times New Roman" w:hAnsi="Times New Roman" w:eastAsia="宋体" w:cs="Times New Roman"/>
                      <w:color w:val="auto"/>
                      <w:sz w:val="21"/>
                      <w:szCs w:val="21"/>
                      <w:highlight w:val="none"/>
                    </w:rPr>
                    <w:t>2025年8月6日</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取得玉溪市红塔区发展和改革局核发的固定资产投资项目备案证，</w:t>
                  </w:r>
                  <w:r>
                    <w:rPr>
                      <w:rFonts w:hint="eastAsia" w:cs="Times New Roman"/>
                      <w:color w:val="auto"/>
                      <w:sz w:val="21"/>
                      <w:szCs w:val="21"/>
                      <w:highlight w:val="none"/>
                      <w:lang w:val="en-US" w:eastAsia="zh-CN"/>
                    </w:rPr>
                    <w:t>项目</w:t>
                  </w:r>
                  <w:r>
                    <w:rPr>
                      <w:rFonts w:hint="default" w:ascii="Times New Roman" w:hAnsi="Times New Roman" w:eastAsia="宋体" w:cs="Times New Roman"/>
                      <w:color w:val="auto"/>
                      <w:sz w:val="21"/>
                      <w:szCs w:val="21"/>
                      <w:highlight w:val="none"/>
                    </w:rPr>
                    <w:t>备案号：2508-530402-04-01-454327。2025年8月22日，取得云南红塔产业园区管理委员会核发的入园通知书。因此，本项目符合园区产业</w:t>
                  </w:r>
                  <w:r>
                    <w:rPr>
                      <w:rFonts w:hint="eastAsia" w:cs="Times New Roman"/>
                      <w:color w:val="auto"/>
                      <w:sz w:val="21"/>
                      <w:szCs w:val="21"/>
                      <w:highlight w:val="none"/>
                      <w:lang w:val="en-US" w:eastAsia="zh-CN"/>
                    </w:rPr>
                    <w:t>定位</w:t>
                  </w:r>
                  <w:r>
                    <w:rPr>
                      <w:rFonts w:hint="eastAsia" w:cs="Times New Roman"/>
                      <w:color w:val="auto"/>
                      <w:sz w:val="21"/>
                      <w:szCs w:val="21"/>
                      <w:highlight w:val="none"/>
                      <w:lang w:eastAsia="zh-CN"/>
                    </w:rPr>
                    <w:t>。</w:t>
                  </w:r>
                </w:p>
              </w:tc>
              <w:tc>
                <w:tcPr>
                  <w:tcW w:w="595" w:type="pct"/>
                  <w:vAlign w:val="center"/>
                </w:tcPr>
                <w:p w14:paraId="25CD1D7E">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符合</w:t>
                  </w:r>
                </w:p>
              </w:tc>
            </w:tr>
            <w:tr w14:paraId="254D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0F7D781F">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c>
                <w:tcPr>
                  <w:tcW w:w="2121" w:type="pct"/>
                  <w:vAlign w:val="center"/>
                </w:tcPr>
                <w:p w14:paraId="09358336">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新建项目单位GDP能源消耗降幅，在全市五年规划期末降幅的基础上再降10%，且需满足《工业重点领域能效标杆水平和基准水平（2023年版）》标杆水平。</w:t>
                  </w:r>
                </w:p>
              </w:tc>
              <w:tc>
                <w:tcPr>
                  <w:tcW w:w="1817" w:type="pct"/>
                  <w:vAlign w:val="center"/>
                </w:tcPr>
                <w:p w14:paraId="287F4A8B">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不涉及。</w:t>
                  </w:r>
                </w:p>
              </w:tc>
              <w:tc>
                <w:tcPr>
                  <w:tcW w:w="595" w:type="pct"/>
                  <w:vAlign w:val="center"/>
                </w:tcPr>
                <w:p w14:paraId="52AFF009">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符合</w:t>
                  </w:r>
                </w:p>
              </w:tc>
            </w:tr>
            <w:tr w14:paraId="7189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4212EA51">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w:t>
                  </w:r>
                </w:p>
              </w:tc>
              <w:tc>
                <w:tcPr>
                  <w:tcW w:w="2121" w:type="pct"/>
                  <w:vAlign w:val="center"/>
                </w:tcPr>
                <w:p w14:paraId="07D10E7E">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满足云南省水平线，重点行业还需满足清洁生产要求；近期万元工业增加值水耗不高于32</w:t>
                  </w:r>
                  <w:r>
                    <w:rPr>
                      <w:rFonts w:hint="eastAsia" w:cs="Times New Roman"/>
                      <w:color w:val="auto"/>
                      <w:sz w:val="21"/>
                      <w:szCs w:val="21"/>
                      <w:highlight w:val="none"/>
                      <w:lang w:val="en-US" w:eastAsia="zh-CN"/>
                    </w:rPr>
                    <w:t>m³</w:t>
                  </w:r>
                  <w:r>
                    <w:rPr>
                      <w:rFonts w:hint="default" w:ascii="Times New Roman" w:hAnsi="Times New Roman" w:eastAsia="宋体" w:cs="Times New Roman"/>
                      <w:color w:val="auto"/>
                      <w:sz w:val="21"/>
                      <w:szCs w:val="21"/>
                      <w:highlight w:val="none"/>
                    </w:rPr>
                    <w:t>，远期不高于26</w:t>
                  </w:r>
                  <w:r>
                    <w:rPr>
                      <w:rFonts w:hint="eastAsia" w:cs="Times New Roman"/>
                      <w:color w:val="auto"/>
                      <w:sz w:val="21"/>
                      <w:szCs w:val="21"/>
                      <w:highlight w:val="none"/>
                      <w:lang w:val="en-US" w:eastAsia="zh-CN"/>
                    </w:rPr>
                    <w:t>m³</w:t>
                  </w:r>
                  <w:r>
                    <w:rPr>
                      <w:rFonts w:hint="default" w:ascii="Times New Roman" w:hAnsi="Times New Roman" w:eastAsia="宋体" w:cs="Times New Roman"/>
                      <w:color w:val="auto"/>
                      <w:sz w:val="21"/>
                      <w:szCs w:val="21"/>
                      <w:highlight w:val="none"/>
                    </w:rPr>
                    <w:t>。</w:t>
                  </w:r>
                </w:p>
              </w:tc>
              <w:tc>
                <w:tcPr>
                  <w:tcW w:w="1817" w:type="pct"/>
                  <w:vAlign w:val="center"/>
                </w:tcPr>
                <w:p w14:paraId="0F22510C">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本项目用水量为</w:t>
                  </w:r>
                  <w:r>
                    <w:rPr>
                      <w:rFonts w:hint="eastAsia" w:cs="Times New Roman"/>
                      <w:color w:val="auto"/>
                      <w:sz w:val="21"/>
                      <w:szCs w:val="21"/>
                      <w:highlight w:val="none"/>
                      <w:lang w:val="en-US" w:eastAsia="zh-CN"/>
                    </w:rPr>
                    <w:t>4.7</w:t>
                  </w:r>
                  <w:r>
                    <w:rPr>
                      <w:rFonts w:hint="eastAsia" w:ascii="Times New Roman" w:hAnsi="Times New Roman" w:eastAsia="宋体" w:cs="Times New Roman"/>
                      <w:color w:val="auto"/>
                      <w:sz w:val="21"/>
                      <w:szCs w:val="21"/>
                      <w:highlight w:val="none"/>
                      <w:lang w:val="en-US" w:eastAsia="zh-CN"/>
                    </w:rPr>
                    <w:t>m³/d、</w:t>
                  </w:r>
                  <w:r>
                    <w:rPr>
                      <w:rFonts w:hint="eastAsia" w:cs="Times New Roman"/>
                      <w:color w:val="auto"/>
                      <w:sz w:val="21"/>
                      <w:szCs w:val="21"/>
                      <w:highlight w:val="none"/>
                      <w:lang w:val="en-US" w:eastAsia="zh-CN"/>
                    </w:rPr>
                    <w:t>1410</w:t>
                  </w:r>
                  <w:r>
                    <w:rPr>
                      <w:rFonts w:hint="eastAsia" w:ascii="Times New Roman" w:hAnsi="Times New Roman" w:eastAsia="宋体" w:cs="Times New Roman"/>
                      <w:color w:val="auto"/>
                      <w:sz w:val="21"/>
                      <w:szCs w:val="21"/>
                      <w:highlight w:val="none"/>
                      <w:lang w:val="en-US" w:eastAsia="zh-CN"/>
                    </w:rPr>
                    <w:t>m³/a</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用水量较小。</w:t>
                  </w:r>
                </w:p>
              </w:tc>
              <w:tc>
                <w:tcPr>
                  <w:tcW w:w="595" w:type="pct"/>
                  <w:vAlign w:val="center"/>
                </w:tcPr>
                <w:p w14:paraId="0DFE0BB6">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符合</w:t>
                  </w:r>
                </w:p>
              </w:tc>
            </w:tr>
            <w:tr w14:paraId="2173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5" w:type="pct"/>
                  <w:vAlign w:val="center"/>
                </w:tcPr>
                <w:p w14:paraId="7E593110">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w:t>
                  </w:r>
                </w:p>
              </w:tc>
              <w:tc>
                <w:tcPr>
                  <w:tcW w:w="2121" w:type="pct"/>
                  <w:vAlign w:val="center"/>
                </w:tcPr>
                <w:p w14:paraId="6ECD17CD">
                  <w:pPr>
                    <w:keepNext w:val="0"/>
                    <w:keepLines w:val="0"/>
                    <w:pageBreakBefore w:val="0"/>
                    <w:widowControl w:val="0"/>
                    <w:kinsoku/>
                    <w:wordWrap/>
                    <w:overflowPunct/>
                    <w:topLinePunct w:val="0"/>
                    <w:autoSpaceDE w:val="0"/>
                    <w:autoSpaceDN w:val="0"/>
                    <w:bidi w:val="0"/>
                    <w:spacing w:line="240" w:lineRule="auto"/>
                    <w:jc w:val="center"/>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规划末期碳排放总量不超过999.94万吨，一般项目近期单位工业增加值碳排放强度低于玉溪市平均工业碳排放强度要求；金属冶炼行业满足行</w:t>
                  </w:r>
                  <w:r>
                    <w:rPr>
                      <w:rFonts w:hint="eastAsia" w:cs="Times New Roman"/>
                      <w:color w:val="auto"/>
                      <w:sz w:val="21"/>
                      <w:szCs w:val="21"/>
                      <w:highlight w:val="none"/>
                      <w:lang w:eastAsia="zh-CN"/>
                    </w:rPr>
                    <w:t>业碳</w:t>
                  </w:r>
                  <w:r>
                    <w:rPr>
                      <w:rFonts w:hint="default" w:ascii="Times New Roman" w:hAnsi="Times New Roman" w:eastAsia="宋体" w:cs="Times New Roman"/>
                      <w:color w:val="auto"/>
                      <w:sz w:val="21"/>
                      <w:szCs w:val="21"/>
                      <w:highlight w:val="none"/>
                    </w:rPr>
                    <w:t>达峰规划相关要求</w:t>
                  </w:r>
                  <w:r>
                    <w:rPr>
                      <w:rFonts w:hint="eastAsia" w:cs="Times New Roman"/>
                      <w:color w:val="auto"/>
                      <w:sz w:val="21"/>
                      <w:szCs w:val="21"/>
                      <w:highlight w:val="none"/>
                      <w:lang w:eastAsia="zh-CN"/>
                    </w:rPr>
                    <w:t>。</w:t>
                  </w:r>
                </w:p>
              </w:tc>
              <w:tc>
                <w:tcPr>
                  <w:tcW w:w="1817" w:type="pct"/>
                  <w:vAlign w:val="center"/>
                </w:tcPr>
                <w:p w14:paraId="6C06F65D">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本项目为塑料制品业，不属于金属冶炼行业。</w:t>
                  </w:r>
                </w:p>
              </w:tc>
              <w:tc>
                <w:tcPr>
                  <w:tcW w:w="595" w:type="pct"/>
                  <w:vAlign w:val="center"/>
                </w:tcPr>
                <w:p w14:paraId="78AB7302">
                  <w:pPr>
                    <w:keepNext w:val="0"/>
                    <w:keepLines w:val="0"/>
                    <w:pageBreakBefore w:val="0"/>
                    <w:widowControl w:val="0"/>
                    <w:kinsoku/>
                    <w:wordWrap/>
                    <w:overflowPunct/>
                    <w:topLinePunct w:val="0"/>
                    <w:autoSpaceDE w:val="0"/>
                    <w:autoSpaceDN w:val="0"/>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bl>
          <w:p w14:paraId="6FA26A74">
            <w:pPr>
              <w:pStyle w:val="93"/>
              <w:ind w:firstLine="0"/>
              <w:jc w:val="center"/>
              <w:rPr>
                <w:rFonts w:hint="default" w:ascii="Times New Roman" w:hAnsi="Times New Roman" w:eastAsia="宋体" w:cs="Times New Roman"/>
                <w:b/>
                <w:color w:val="auto"/>
                <w:sz w:val="24"/>
                <w:highlight w:val="none"/>
                <w:lang w:val="en-US" w:eastAsia="zh-CN"/>
              </w:rPr>
            </w:pPr>
            <w:r>
              <w:rPr>
                <w:rFonts w:hint="default" w:ascii="Times New Roman" w:hAnsi="Times New Roman" w:cs="Times New Roman"/>
                <w:b/>
                <w:color w:val="auto"/>
                <w:sz w:val="24"/>
                <w:highlight w:val="none"/>
                <w:lang w:val="en-US"/>
              </w:rPr>
              <w:t>表1-3  项目与</w:t>
            </w:r>
            <w:r>
              <w:rPr>
                <w:rFonts w:hint="eastAsia" w:cs="Times New Roman"/>
                <w:b/>
                <w:color w:val="auto"/>
                <w:sz w:val="24"/>
                <w:highlight w:val="none"/>
                <w:lang w:val="en-US" w:eastAsia="zh-CN"/>
              </w:rPr>
              <w:t>园区</w:t>
            </w:r>
            <w:r>
              <w:rPr>
                <w:rFonts w:hint="default" w:ascii="Times New Roman" w:hAnsi="Times New Roman" w:cs="Times New Roman"/>
                <w:b/>
                <w:color w:val="auto"/>
                <w:sz w:val="24"/>
                <w:highlight w:val="none"/>
                <w:lang w:val="en-US"/>
              </w:rPr>
              <w:t>规划环评</w:t>
            </w:r>
            <w:r>
              <w:rPr>
                <w:rFonts w:hint="eastAsia" w:cs="Times New Roman"/>
                <w:b/>
                <w:color w:val="auto"/>
                <w:sz w:val="24"/>
                <w:highlight w:val="none"/>
                <w:lang w:val="en-US" w:eastAsia="zh-CN"/>
              </w:rPr>
              <w:t>审批</w:t>
            </w:r>
            <w:r>
              <w:rPr>
                <w:rFonts w:hint="default" w:ascii="Times New Roman" w:hAnsi="Times New Roman" w:cs="Times New Roman"/>
                <w:b/>
                <w:color w:val="auto"/>
                <w:sz w:val="24"/>
                <w:highlight w:val="none"/>
                <w:lang w:val="en-US"/>
              </w:rPr>
              <w:t>意见</w:t>
            </w:r>
            <w:r>
              <w:rPr>
                <w:rFonts w:hint="eastAsia" w:cs="Times New Roman"/>
                <w:b/>
                <w:color w:val="auto"/>
                <w:sz w:val="24"/>
                <w:highlight w:val="none"/>
                <w:lang w:val="en-US" w:eastAsia="zh-CN"/>
              </w:rPr>
              <w:t>的相符性</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3440"/>
              <w:gridCol w:w="2839"/>
              <w:gridCol w:w="925"/>
            </w:tblGrid>
            <w:tr w14:paraId="5244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vAlign w:val="center"/>
                </w:tcPr>
                <w:p w14:paraId="2DC7517A">
                  <w:pPr>
                    <w:pStyle w:val="93"/>
                    <w:spacing w:line="240" w:lineRule="auto"/>
                    <w:ind w:firstLine="0"/>
                    <w:jc w:val="center"/>
                    <w:rPr>
                      <w:rFonts w:hint="eastAsia" w:ascii="Times New Roman" w:hAnsi="Times New Roman" w:eastAsia="宋体" w:cs="Times New Roman"/>
                      <w:b/>
                      <w:bCs/>
                      <w:color w:val="auto"/>
                      <w:highlight w:val="none"/>
                      <w:lang w:val="en-US" w:eastAsia="zh-CN"/>
                    </w:rPr>
                  </w:pPr>
                  <w:r>
                    <w:rPr>
                      <w:rFonts w:hint="eastAsia" w:cs="Times New Roman"/>
                      <w:b/>
                      <w:bCs/>
                      <w:color w:val="auto"/>
                      <w:highlight w:val="none"/>
                      <w:lang w:val="en-US" w:eastAsia="zh-CN"/>
                    </w:rPr>
                    <w:t>序号</w:t>
                  </w:r>
                </w:p>
              </w:tc>
              <w:tc>
                <w:tcPr>
                  <w:tcW w:w="2176" w:type="pct"/>
                  <w:vAlign w:val="center"/>
                </w:tcPr>
                <w:p w14:paraId="622B9E64">
                  <w:pPr>
                    <w:pStyle w:val="93"/>
                    <w:spacing w:line="240" w:lineRule="auto"/>
                    <w:ind w:firstLine="0"/>
                    <w:jc w:val="center"/>
                    <w:rPr>
                      <w:rFonts w:hint="default" w:ascii="Times New Roman" w:hAnsi="Times New Roman" w:cs="Times New Roman"/>
                      <w:b/>
                      <w:bCs/>
                      <w:color w:val="auto"/>
                      <w:highlight w:val="none"/>
                      <w:lang w:val="en-US"/>
                    </w:rPr>
                  </w:pPr>
                  <w:r>
                    <w:rPr>
                      <w:rFonts w:hint="default" w:ascii="Times New Roman" w:hAnsi="Times New Roman" w:cs="Times New Roman"/>
                      <w:b/>
                      <w:bCs/>
                      <w:color w:val="auto"/>
                      <w:highlight w:val="none"/>
                      <w:lang w:val="en-US"/>
                    </w:rPr>
                    <w:t>审查意见要求</w:t>
                  </w:r>
                </w:p>
              </w:tc>
              <w:tc>
                <w:tcPr>
                  <w:tcW w:w="1796" w:type="pct"/>
                  <w:vAlign w:val="center"/>
                </w:tcPr>
                <w:p w14:paraId="309813B6">
                  <w:pPr>
                    <w:pStyle w:val="93"/>
                    <w:spacing w:line="240" w:lineRule="auto"/>
                    <w:ind w:firstLine="0"/>
                    <w:jc w:val="center"/>
                    <w:rPr>
                      <w:rFonts w:hint="default" w:ascii="Times New Roman" w:hAnsi="Times New Roman" w:cs="Times New Roman"/>
                      <w:b/>
                      <w:bCs/>
                      <w:color w:val="auto"/>
                      <w:highlight w:val="none"/>
                      <w:lang w:val="en-US"/>
                    </w:rPr>
                  </w:pPr>
                  <w:r>
                    <w:rPr>
                      <w:rFonts w:hint="default" w:ascii="Times New Roman" w:hAnsi="Times New Roman" w:cs="Times New Roman"/>
                      <w:b/>
                      <w:bCs/>
                      <w:color w:val="auto"/>
                      <w:highlight w:val="none"/>
                      <w:lang w:val="en-US"/>
                    </w:rPr>
                    <w:t>本项目情况</w:t>
                  </w:r>
                </w:p>
              </w:tc>
              <w:tc>
                <w:tcPr>
                  <w:tcW w:w="585" w:type="pct"/>
                  <w:vAlign w:val="center"/>
                </w:tcPr>
                <w:p w14:paraId="31D2CF58">
                  <w:pPr>
                    <w:pStyle w:val="93"/>
                    <w:spacing w:line="240" w:lineRule="auto"/>
                    <w:ind w:firstLine="0"/>
                    <w:jc w:val="center"/>
                    <w:rPr>
                      <w:rFonts w:hint="eastAsia" w:ascii="Times New Roman" w:hAnsi="Times New Roman" w:eastAsia="宋体" w:cs="Times New Roman"/>
                      <w:b/>
                      <w:bCs/>
                      <w:color w:val="auto"/>
                      <w:highlight w:val="none"/>
                      <w:lang w:val="en-US" w:eastAsia="zh-CN"/>
                    </w:rPr>
                  </w:pPr>
                  <w:r>
                    <w:rPr>
                      <w:rFonts w:hint="eastAsia" w:cs="Times New Roman"/>
                      <w:b/>
                      <w:bCs/>
                      <w:color w:val="auto"/>
                      <w:highlight w:val="none"/>
                      <w:lang w:val="en-US" w:eastAsia="zh-CN"/>
                    </w:rPr>
                    <w:t>符合性</w:t>
                  </w:r>
                </w:p>
              </w:tc>
            </w:tr>
            <w:tr w14:paraId="1612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vAlign w:val="center"/>
                </w:tcPr>
                <w:p w14:paraId="566FDBAC">
                  <w:pPr>
                    <w:pStyle w:val="93"/>
                    <w:spacing w:line="240" w:lineRule="auto"/>
                    <w:ind w:firstLine="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1</w:t>
                  </w:r>
                </w:p>
              </w:tc>
              <w:tc>
                <w:tcPr>
                  <w:tcW w:w="2176" w:type="pct"/>
                  <w:vAlign w:val="center"/>
                </w:tcPr>
                <w:p w14:paraId="1BA3D9EB">
                  <w:pPr>
                    <w:pStyle w:val="93"/>
                    <w:spacing w:line="240" w:lineRule="auto"/>
                    <w:ind w:firstLine="0"/>
                    <w:jc w:val="center"/>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加强《规划》引导，坚持绿色低碳高质量发展理念，结合生态环境分区管控要求，区域统筹保护好生态空间。落实国家、区域发展战略，坚持生态优先、集约高效，以生态环境质量改善为核心，做好与国土空间规划和</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三线一单</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（生态保护红线、环境质量底线、资源利用上线、生态环境准入清单）生态环境分区管控体系的协调衔接，产业园区应与红塔区、峨山县</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三区三线</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充分衔接，符合</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三区三线</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规划管控要求。按照国家生态工业示范园区标准推进《规划》实施，进一步优化《规划》的布局和发展规模。</w:t>
                  </w:r>
                </w:p>
              </w:tc>
              <w:tc>
                <w:tcPr>
                  <w:tcW w:w="1796" w:type="pct"/>
                  <w:vAlign w:val="center"/>
                </w:tcPr>
                <w:p w14:paraId="1C8C61E0">
                  <w:pPr>
                    <w:pStyle w:val="93"/>
                    <w:spacing w:line="240" w:lineRule="auto"/>
                    <w:ind w:firstLine="0"/>
                    <w:jc w:val="center"/>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项目为塑料制品业，不属于《产业结构调整指导目录（2024年本）》中限制类、淘汰类，属于允许类，不属于《市场准入负面清单（2025年版）》禁止准入类。2025年8月6日，取得玉溪市红塔区发展和改革局核发的固定资产投资项目备案证。2025年8月22日，取得云南红塔产业园区管理委员会核发的入园通知书</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因此，本项目符合园区产业定位。</w:t>
                  </w:r>
                </w:p>
              </w:tc>
              <w:tc>
                <w:tcPr>
                  <w:tcW w:w="585" w:type="pct"/>
                  <w:vAlign w:val="center"/>
                </w:tcPr>
                <w:p w14:paraId="27FB549A">
                  <w:pPr>
                    <w:pStyle w:val="93"/>
                    <w:spacing w:line="240" w:lineRule="auto"/>
                    <w:ind w:firstLine="0"/>
                    <w:jc w:val="center"/>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符合</w:t>
                  </w:r>
                </w:p>
              </w:tc>
            </w:tr>
            <w:tr w14:paraId="35E5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vAlign w:val="center"/>
                </w:tcPr>
                <w:p w14:paraId="36B039C5">
                  <w:pPr>
                    <w:pStyle w:val="93"/>
                    <w:spacing w:line="240" w:lineRule="auto"/>
                    <w:ind w:firstLine="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2</w:t>
                  </w:r>
                </w:p>
              </w:tc>
              <w:tc>
                <w:tcPr>
                  <w:tcW w:w="2176" w:type="pct"/>
                  <w:vAlign w:val="top"/>
                </w:tcPr>
                <w:p w14:paraId="4EFEC696">
                  <w:pPr>
                    <w:pStyle w:val="93"/>
                    <w:spacing w:line="240" w:lineRule="auto"/>
                    <w:ind w:firstLine="0"/>
                    <w:jc w:val="left"/>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进一步优化规划区空间布局，加强空间管控，严格对环境敏感区的保护，严禁不符合管控要求的各类开发和建设活动。规划区严格限制《环境保护综合名录》中</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高污染、高环境风险产品名录</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的企业入驻，其中大营街地块禁止上述企业入驻、禁止引入高污染燃料企业，禁止新建、扩建三类工业用地布局的项目。青龙山地块应优化布局，企业与红塔山自然保护区保持一定缓冲距离。</w:t>
                  </w:r>
                </w:p>
                <w:p w14:paraId="269FB568">
                  <w:pPr>
                    <w:pStyle w:val="93"/>
                    <w:spacing w:line="240" w:lineRule="auto"/>
                    <w:ind w:firstLine="0"/>
                    <w:jc w:val="left"/>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研和片区禁止布局有色金属冶炼行业。研和片区地块二和地块四、观音山地块位于岩溶含水层分布区，含水层天然防污性能弱，地下水环境较脆弱，在岩溶强发育、天窗、漏斗等分布区域，禁止布局危险化学品仓储设施和涉及酸洗、电镀等表面处理的工业项目等对地下水存在较大环境风险的设施。</w:t>
                  </w:r>
                </w:p>
                <w:p w14:paraId="352664BA">
                  <w:pPr>
                    <w:pStyle w:val="93"/>
                    <w:spacing w:line="240" w:lineRule="auto"/>
                    <w:ind w:firstLine="0"/>
                    <w:jc w:val="left"/>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产业园区按《云南省人民政府办公厅关于推动落后和低端低效产能退出的实施意见》（云政办发〔2022〕17号）相关要求，依法依规关停退出能耗、环保、质量、安全不达标和落后、过剩产能，分行业有序退出</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限制类</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产能，钢铁等行业实施超低排放改造，鼓励发展短流程工艺，压减粗钢产能。工业用地与人口密集区、自然保护区、河流岸线等敏感区间应合理设置绿化隔离带，留出必要的防护距离，防控布局性环境风险。</w:t>
                  </w:r>
                </w:p>
              </w:tc>
              <w:tc>
                <w:tcPr>
                  <w:tcW w:w="1796" w:type="pct"/>
                  <w:vAlign w:val="center"/>
                </w:tcPr>
                <w:p w14:paraId="1DE3DBBC">
                  <w:pPr>
                    <w:pStyle w:val="93"/>
                    <w:spacing w:line="240" w:lineRule="auto"/>
                    <w:ind w:firstLine="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项目位于云南红塔产业园区研和片区，项目为塑料制品业，不属于《环境保护综合名录》中</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高污染、高环境风险产品名录</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的企业、不属于有色金属冶炼行业。本项目符合产业政策，不属于限制类、淘汰类行业，且项目所在区域不属于人口密集区、自然保护区、河流岸线等敏感区域。</w:t>
                  </w:r>
                </w:p>
              </w:tc>
              <w:tc>
                <w:tcPr>
                  <w:tcW w:w="585" w:type="pct"/>
                  <w:vAlign w:val="center"/>
                </w:tcPr>
                <w:p w14:paraId="2E56AF07">
                  <w:pPr>
                    <w:pStyle w:val="93"/>
                    <w:spacing w:line="240" w:lineRule="auto"/>
                    <w:ind w:firstLine="0"/>
                    <w:jc w:val="center"/>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符合</w:t>
                  </w:r>
                </w:p>
              </w:tc>
            </w:tr>
            <w:tr w14:paraId="08DD2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vAlign w:val="center"/>
                </w:tcPr>
                <w:p w14:paraId="59B64C85">
                  <w:pPr>
                    <w:pStyle w:val="93"/>
                    <w:spacing w:line="240" w:lineRule="auto"/>
                    <w:ind w:firstLine="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3</w:t>
                  </w:r>
                </w:p>
              </w:tc>
              <w:tc>
                <w:tcPr>
                  <w:tcW w:w="2176" w:type="pct"/>
                  <w:vAlign w:val="top"/>
                </w:tcPr>
                <w:p w14:paraId="763AB0E7">
                  <w:pPr>
                    <w:pStyle w:val="93"/>
                    <w:spacing w:line="240" w:lineRule="auto"/>
                    <w:ind w:firstLine="0"/>
                    <w:jc w:val="both"/>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严守环境质量底线，严格环境管控。根据</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三线一单</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国家和云南省有关大气污染防治行动的相关要求，制定大气污染物总量管控要求，合理确定产业规模、布局、建设时序。采用先进的生产工艺路线、装备、清洁能源与原料，从源头上控制污染物的产生。入驻企业要采用先进高效的污染防治措施，重点做好外排废气中颗粒物削减、脱硫脱硝，挥发性有机物、异味等特征污染物的减排工作，大气污染物排放水平应达到国内先进水平，必要时对规划区开发强度及布局产业规模进行控制，重点行业建设项目应实行主要污染物区域削减。</w:t>
                  </w:r>
                </w:p>
                <w:p w14:paraId="3FD4DA05">
                  <w:pPr>
                    <w:pStyle w:val="93"/>
                    <w:spacing w:line="240" w:lineRule="auto"/>
                    <w:ind w:firstLine="0"/>
                    <w:jc w:val="both"/>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高度重视规划区废水收集、处理、回用、排放的环境管理。规划区实施</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雨污分流</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因地制宜建设初期雨水收集处理系统，配合红塔区等相关政府部门，加强玉溪大河等河道的水环境综合整治与生态修复工程。加快推进污水处理厂、再生水处理设施及配套管网建设和改造。区域水环境质量未达到水质目标前，建设项目实行流域内主要污染物倍量削减，除城镇污水处理厂入河排污口外，严格控制新设、改设或者扩大排污口。</w:t>
                  </w:r>
                </w:p>
                <w:p w14:paraId="6062C361">
                  <w:pPr>
                    <w:pStyle w:val="93"/>
                    <w:spacing w:line="240" w:lineRule="auto"/>
                    <w:ind w:firstLine="0"/>
                    <w:jc w:val="both"/>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项目建设应充分考虑对地下水环境的影响，优化布局，严格水文地质、工程地质勘察，合理规避地下暗河及落水洞发育区，做好地下水污染防治和监控，按相关规范要求采取针对性防渗措施。严格执行《地下水管理条例》中相关规定，在泉域保护范围以及岩溶强发育、存在较多落水洞和岩溶漏斗的区域内，不得新建、改建、扩建可能造成地下水污染的建设项目，确保区域地下水安全。</w:t>
                  </w:r>
                </w:p>
                <w:p w14:paraId="6A098655">
                  <w:pPr>
                    <w:pStyle w:val="93"/>
                    <w:spacing w:line="240" w:lineRule="auto"/>
                    <w:ind w:firstLine="0"/>
                    <w:jc w:val="both"/>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将土壤污染防治工作纳入规划区规划及相关环境保护规划，采取有效预防措施，防止、减少土壤污染。重视污染物通过大气—土壤一地下水等环境介质跨相输送、迁移和累积过程及影响，确保满足土壤环境管控要求。</w:t>
                  </w:r>
                </w:p>
                <w:p w14:paraId="1501E1BB">
                  <w:pPr>
                    <w:pStyle w:val="93"/>
                    <w:spacing w:line="240" w:lineRule="auto"/>
                    <w:ind w:firstLine="0"/>
                    <w:jc w:val="both"/>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危险废物须按规定严格管控，积极推进工业固体废物综合利用，确实需要暂存或安全填埋处置的，暂存（处置）场的选址、建设必须按照相关要求严格落实污染防治措施。</w:t>
                  </w:r>
                </w:p>
              </w:tc>
              <w:tc>
                <w:tcPr>
                  <w:tcW w:w="1796" w:type="pct"/>
                  <w:vAlign w:val="center"/>
                </w:tcPr>
                <w:p w14:paraId="5AFD6D54">
                  <w:pPr>
                    <w:adjustRightInd w:val="0"/>
                    <w:snapToGrid w:val="0"/>
                    <w:jc w:val="center"/>
                    <w:rPr>
                      <w:rFonts w:hint="default" w:ascii="Times New Roman" w:hAnsi="Times New Roman" w:cs="Times New Roman"/>
                      <w:color w:val="auto"/>
                      <w:kern w:val="24"/>
                      <w:szCs w:val="21"/>
                      <w:highlight w:val="none"/>
                    </w:rPr>
                  </w:pPr>
                  <w:r>
                    <w:rPr>
                      <w:rFonts w:hint="default" w:ascii="Times New Roman" w:hAnsi="Times New Roman" w:cs="Times New Roman"/>
                      <w:color w:val="auto"/>
                      <w:kern w:val="24"/>
                      <w:szCs w:val="21"/>
                      <w:highlight w:val="none"/>
                    </w:rPr>
                    <w:t>本项目生产过程中产生的塑料废气（以非甲烷总烃计）经包围型集气罩（含软帘）收集，经管道引入1套废气处理设施（活性炭吸附浓缩+CO处理工艺）（TA001）进行处理，处理后通过1根20m高排气筒排放（DA001），印刷废气经包围型集气罩（含软帘）收集，</w:t>
                  </w:r>
                </w:p>
                <w:p w14:paraId="6F72A782">
                  <w:pPr>
                    <w:adjustRightInd w:val="0"/>
                    <w:snapToGrid w:val="0"/>
                    <w:jc w:val="center"/>
                    <w:rPr>
                      <w:rFonts w:hint="default" w:ascii="Times New Roman" w:hAnsi="Times New Roman" w:cs="Times New Roman"/>
                      <w:color w:val="auto"/>
                      <w:highlight w:val="none"/>
                    </w:rPr>
                  </w:pPr>
                  <w:r>
                    <w:rPr>
                      <w:rFonts w:hint="default" w:ascii="Times New Roman" w:hAnsi="Times New Roman" w:cs="Times New Roman"/>
                      <w:color w:val="auto"/>
                      <w:kern w:val="24"/>
                      <w:szCs w:val="21"/>
                      <w:highlight w:val="none"/>
                    </w:rPr>
                    <w:t>经管道引入1套废气处理设施（二级活性炭吸附）（TA002）进行处理，处理后通过1根20m高排气筒排放（DA002）。项目设备冷却水循环使用，不外排</w:t>
                  </w:r>
                  <w:r>
                    <w:rPr>
                      <w:rFonts w:hint="default" w:ascii="Times New Roman" w:hAnsi="Times New Roman" w:eastAsia="宋体" w:cs="Times New Roman"/>
                      <w:b w:val="0"/>
                      <w:bCs w:val="0"/>
                      <w:color w:val="auto"/>
                      <w:sz w:val="21"/>
                      <w:szCs w:val="21"/>
                      <w:highlight w:val="none"/>
                    </w:rPr>
                    <w:t>；办公</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生活污水依托云南三缘电缆有限公司化粪池（10m³）预处理后，采用槽罐车外送至玉溪市第二污水处理厂处理</w:t>
                  </w:r>
                  <w:r>
                    <w:rPr>
                      <w:rFonts w:hint="default" w:ascii="Times New Roman" w:hAnsi="Times New Roman" w:cs="Times New Roman"/>
                      <w:color w:val="auto"/>
                      <w:kern w:val="24"/>
                      <w:szCs w:val="21"/>
                      <w:highlight w:val="none"/>
                    </w:rPr>
                    <w:t>。因此，项目无废水外排。本项目生活垃圾、化粪池污泥</w:t>
                  </w:r>
                  <w:r>
                    <w:rPr>
                      <w:rFonts w:hint="eastAsia" w:cs="Times New Roman"/>
                      <w:color w:val="auto"/>
                      <w:kern w:val="24"/>
                      <w:szCs w:val="21"/>
                      <w:highlight w:val="none"/>
                      <w:lang w:val="en-US" w:eastAsia="zh-CN"/>
                    </w:rPr>
                    <w:t>委托</w:t>
                  </w:r>
                  <w:r>
                    <w:rPr>
                      <w:rFonts w:hint="default" w:ascii="Times New Roman" w:hAnsi="Times New Roman" w:cs="Times New Roman"/>
                      <w:color w:val="auto"/>
                      <w:kern w:val="24"/>
                      <w:szCs w:val="21"/>
                      <w:highlight w:val="none"/>
                    </w:rPr>
                    <w:t>园区环卫部门定期清运处置。</w:t>
                  </w:r>
                  <w:r>
                    <w:rPr>
                      <w:rFonts w:hint="eastAsia" w:cs="Times New Roman"/>
                      <w:color w:val="auto"/>
                      <w:kern w:val="24"/>
                      <w:szCs w:val="21"/>
                      <w:highlight w:val="none"/>
                      <w:lang w:val="en-US" w:eastAsia="zh-CN"/>
                    </w:rPr>
                    <w:t>不合格产品、</w:t>
                  </w:r>
                  <w:r>
                    <w:rPr>
                      <w:rFonts w:hint="default" w:ascii="Times New Roman" w:hAnsi="Times New Roman" w:cs="Times New Roman"/>
                      <w:color w:val="auto"/>
                      <w:kern w:val="24"/>
                      <w:szCs w:val="21"/>
                      <w:highlight w:val="none"/>
                    </w:rPr>
                    <w:t>边角废料收集后作</w:t>
                  </w:r>
                  <w:r>
                    <w:rPr>
                      <w:rFonts w:hint="eastAsia" w:cs="Times New Roman"/>
                      <w:color w:val="auto"/>
                      <w:kern w:val="24"/>
                      <w:szCs w:val="21"/>
                      <w:highlight w:val="none"/>
                      <w:lang w:val="en-US" w:eastAsia="zh-CN"/>
                    </w:rPr>
                    <w:t>为</w:t>
                  </w:r>
                  <w:r>
                    <w:rPr>
                      <w:rFonts w:hint="default" w:ascii="Times New Roman" w:hAnsi="Times New Roman" w:cs="Times New Roman"/>
                      <w:color w:val="auto"/>
                      <w:kern w:val="24"/>
                      <w:szCs w:val="21"/>
                      <w:highlight w:val="none"/>
                    </w:rPr>
                    <w:t>生产原料</w:t>
                  </w:r>
                  <w:r>
                    <w:rPr>
                      <w:rFonts w:hint="eastAsia" w:cs="Times New Roman"/>
                      <w:color w:val="auto"/>
                      <w:kern w:val="24"/>
                      <w:szCs w:val="21"/>
                      <w:highlight w:val="none"/>
                      <w:lang w:val="en-US" w:eastAsia="zh-CN"/>
                    </w:rPr>
                    <w:t>回用至生产。</w:t>
                  </w:r>
                  <w:r>
                    <w:rPr>
                      <w:rFonts w:hint="default" w:ascii="Times New Roman" w:hAnsi="Times New Roman" w:cs="Times New Roman"/>
                      <w:color w:val="auto"/>
                      <w:kern w:val="24"/>
                      <w:szCs w:val="21"/>
                      <w:highlight w:val="none"/>
                    </w:rPr>
                    <w:t>废包装材料外售</w:t>
                  </w:r>
                  <w:r>
                    <w:rPr>
                      <w:rFonts w:hint="eastAsia" w:cs="Times New Roman"/>
                      <w:color w:val="auto"/>
                      <w:kern w:val="24"/>
                      <w:szCs w:val="21"/>
                      <w:highlight w:val="none"/>
                      <w:lang w:val="en-US" w:eastAsia="zh-CN"/>
                    </w:rPr>
                    <w:t>合理利用</w:t>
                  </w:r>
                  <w:r>
                    <w:rPr>
                      <w:rFonts w:hint="eastAsia" w:cs="Times New Roman"/>
                      <w:color w:val="auto"/>
                      <w:kern w:val="24"/>
                      <w:szCs w:val="21"/>
                      <w:highlight w:val="none"/>
                      <w:lang w:eastAsia="zh-CN"/>
                    </w:rPr>
                    <w:t>，</w:t>
                  </w:r>
                  <w:r>
                    <w:rPr>
                      <w:rFonts w:hint="default" w:ascii="Times New Roman" w:hAnsi="Times New Roman" w:cs="Times New Roman"/>
                      <w:color w:val="auto"/>
                      <w:kern w:val="24"/>
                      <w:szCs w:val="21"/>
                      <w:highlight w:val="none"/>
                    </w:rPr>
                    <w:t>废活性炭</w:t>
                  </w:r>
                  <w:r>
                    <w:rPr>
                      <w:rFonts w:hint="eastAsia" w:cs="Times New Roman"/>
                      <w:color w:val="auto"/>
                      <w:kern w:val="24"/>
                      <w:szCs w:val="21"/>
                      <w:highlight w:val="none"/>
                      <w:lang w:eastAsia="zh-CN"/>
                    </w:rPr>
                    <w:t>、</w:t>
                  </w:r>
                  <w:r>
                    <w:rPr>
                      <w:rFonts w:hint="default" w:ascii="Times New Roman" w:hAnsi="Times New Roman" w:cs="Times New Roman"/>
                      <w:color w:val="auto"/>
                      <w:kern w:val="24"/>
                      <w:szCs w:val="21"/>
                      <w:highlight w:val="none"/>
                    </w:rPr>
                    <w:t>废机油</w:t>
                  </w:r>
                  <w:r>
                    <w:rPr>
                      <w:rFonts w:hint="eastAsia" w:cs="Times New Roman"/>
                      <w:color w:val="auto"/>
                      <w:kern w:val="24"/>
                      <w:szCs w:val="21"/>
                      <w:highlight w:val="none"/>
                      <w:lang w:val="en-US" w:eastAsia="zh-CN"/>
                    </w:rPr>
                    <w:t>等危险废物分类暂存于危废暂存间，</w:t>
                  </w:r>
                  <w:r>
                    <w:rPr>
                      <w:rFonts w:hint="default" w:ascii="Times New Roman" w:hAnsi="Times New Roman" w:cs="Times New Roman"/>
                      <w:color w:val="auto"/>
                      <w:kern w:val="24"/>
                      <w:szCs w:val="21"/>
                      <w:highlight w:val="none"/>
                    </w:rPr>
                    <w:t>委托有危险废物处置、运输资质的单位定期清运处置，并建立转移联单，固废处置率为100%。本项目严格按照《危险废物贮存污染控制标准》（GB</w:t>
                  </w:r>
                  <w:r>
                    <w:rPr>
                      <w:rFonts w:hint="eastAsia" w:cs="Times New Roman"/>
                      <w:color w:val="auto"/>
                      <w:kern w:val="24"/>
                      <w:szCs w:val="21"/>
                      <w:highlight w:val="none"/>
                      <w:lang w:val="en-US" w:eastAsia="zh-CN"/>
                    </w:rPr>
                    <w:t xml:space="preserve"> </w:t>
                  </w:r>
                  <w:r>
                    <w:rPr>
                      <w:rFonts w:hint="default" w:ascii="Times New Roman" w:hAnsi="Times New Roman" w:cs="Times New Roman"/>
                      <w:color w:val="auto"/>
                      <w:kern w:val="24"/>
                      <w:szCs w:val="21"/>
                      <w:highlight w:val="none"/>
                    </w:rPr>
                    <w:t>18597-2023）的要求新建危险废物暂存</w:t>
                  </w:r>
                  <w:r>
                    <w:rPr>
                      <w:rFonts w:hint="eastAsia" w:cs="Times New Roman"/>
                      <w:color w:val="auto"/>
                      <w:kern w:val="24"/>
                      <w:szCs w:val="21"/>
                      <w:highlight w:val="none"/>
                      <w:lang w:val="en-US" w:eastAsia="zh-CN"/>
                    </w:rPr>
                    <w:t>间</w:t>
                  </w:r>
                  <w:r>
                    <w:rPr>
                      <w:rFonts w:hint="default" w:ascii="Times New Roman" w:hAnsi="Times New Roman" w:cs="Times New Roman"/>
                      <w:color w:val="auto"/>
                      <w:kern w:val="24"/>
                      <w:szCs w:val="21"/>
                      <w:highlight w:val="none"/>
                    </w:rPr>
                    <w:t>，废活性炭</w:t>
                  </w:r>
                  <w:r>
                    <w:rPr>
                      <w:rFonts w:hint="eastAsia" w:cs="Times New Roman"/>
                      <w:color w:val="auto"/>
                      <w:kern w:val="24"/>
                      <w:szCs w:val="21"/>
                      <w:highlight w:val="none"/>
                      <w:lang w:eastAsia="zh-CN"/>
                    </w:rPr>
                    <w:t>、</w:t>
                  </w:r>
                  <w:r>
                    <w:rPr>
                      <w:rFonts w:hint="default" w:ascii="Times New Roman" w:hAnsi="Times New Roman" w:cs="Times New Roman"/>
                      <w:color w:val="auto"/>
                      <w:kern w:val="24"/>
                      <w:szCs w:val="21"/>
                      <w:highlight w:val="none"/>
                    </w:rPr>
                    <w:t>废机油</w:t>
                  </w:r>
                  <w:r>
                    <w:rPr>
                      <w:rFonts w:hint="eastAsia" w:cs="Times New Roman"/>
                      <w:color w:val="auto"/>
                      <w:kern w:val="24"/>
                      <w:szCs w:val="21"/>
                      <w:highlight w:val="none"/>
                      <w:lang w:eastAsia="zh-CN"/>
                    </w:rPr>
                    <w:t>、</w:t>
                  </w:r>
                  <w:r>
                    <w:rPr>
                      <w:rFonts w:hint="eastAsia" w:cs="Times New Roman"/>
                      <w:color w:val="auto"/>
                      <w:kern w:val="24"/>
                      <w:szCs w:val="21"/>
                      <w:highlight w:val="none"/>
                      <w:lang w:val="en-US" w:eastAsia="zh-CN"/>
                    </w:rPr>
                    <w:t>废油墨桶等危险废物</w:t>
                  </w:r>
                  <w:r>
                    <w:rPr>
                      <w:rFonts w:hint="default" w:ascii="Times New Roman" w:hAnsi="Times New Roman" w:cs="Times New Roman"/>
                      <w:color w:val="auto"/>
                      <w:kern w:val="24"/>
                      <w:szCs w:val="21"/>
                      <w:highlight w:val="none"/>
                    </w:rPr>
                    <w:t>委托有危险废物处置资质的单位定期清运处理。</w:t>
                  </w:r>
                </w:p>
              </w:tc>
              <w:tc>
                <w:tcPr>
                  <w:tcW w:w="585" w:type="pct"/>
                  <w:vAlign w:val="center"/>
                </w:tcPr>
                <w:p w14:paraId="083EAFDE">
                  <w:pPr>
                    <w:pStyle w:val="93"/>
                    <w:spacing w:line="240" w:lineRule="auto"/>
                    <w:ind w:firstLine="0"/>
                    <w:jc w:val="center"/>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符合</w:t>
                  </w:r>
                </w:p>
              </w:tc>
            </w:tr>
            <w:tr w14:paraId="77BC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vAlign w:val="center"/>
                </w:tcPr>
                <w:p w14:paraId="6BA5FA8C">
                  <w:pPr>
                    <w:pStyle w:val="93"/>
                    <w:spacing w:line="240" w:lineRule="auto"/>
                    <w:ind w:firstLine="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4</w:t>
                  </w:r>
                </w:p>
              </w:tc>
              <w:tc>
                <w:tcPr>
                  <w:tcW w:w="2176" w:type="pct"/>
                  <w:vAlign w:val="center"/>
                </w:tcPr>
                <w:p w14:paraId="71ED65D1">
                  <w:pPr>
                    <w:pStyle w:val="93"/>
                    <w:spacing w:line="240" w:lineRule="auto"/>
                    <w:ind w:firstLine="0"/>
                    <w:jc w:val="center"/>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严格执行环境准入要求，加强入园项目生态环境准入管理。落实蓝天、碧水、净土保卫战有关管控要求，加强</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两高</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行业生态环境源头防控，引进项目的生产工艺、设备、污染物排放和资源利用等，应达到清洁生产国内先进水平。推进技术研发型、创新型产业发展，提升产业的技术水平和规划区的绿色低碳化水平。规划区招商引资、入园项目环评审批应严格执行生态环境准入要求。要以规划区的资源环境承载能力为基础，充分论证、有序发展，严禁引进工艺装备落后，不符合污染物排放总量控制要求的企业。</w:t>
                  </w:r>
                </w:p>
              </w:tc>
              <w:tc>
                <w:tcPr>
                  <w:tcW w:w="1796" w:type="pct"/>
                  <w:vAlign w:val="center"/>
                </w:tcPr>
                <w:p w14:paraId="535F3B8C">
                  <w:pPr>
                    <w:pStyle w:val="93"/>
                    <w:spacing w:line="240" w:lineRule="auto"/>
                    <w:ind w:firstLine="0"/>
                    <w:jc w:val="center"/>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本项目不属于</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两高</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行业，符合产业政策及园区规划，项目产生的</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三废</w:t>
                  </w:r>
                  <w:r>
                    <w:rPr>
                      <w:rFonts w:hint="eastAsia" w:cs="Times New Roman"/>
                      <w:color w:val="auto"/>
                      <w:highlight w:val="none"/>
                      <w:lang w:val="en-US" w:eastAsia="zh-CN"/>
                    </w:rPr>
                    <w:t>”</w:t>
                  </w:r>
                  <w:r>
                    <w:rPr>
                      <w:rFonts w:hint="default" w:ascii="Times New Roman" w:hAnsi="Times New Roman" w:cs="Times New Roman"/>
                      <w:color w:val="auto"/>
                      <w:highlight w:val="none"/>
                      <w:lang w:val="en-US"/>
                    </w:rPr>
                    <w:t>通过采取本环评提出的对策措施后，能保证污染物达标排放或妥善处理处置，项目的建设不会对选址区域的环境造成大的污染，环境风险可控。</w:t>
                  </w:r>
                </w:p>
              </w:tc>
              <w:tc>
                <w:tcPr>
                  <w:tcW w:w="585" w:type="pct"/>
                  <w:vAlign w:val="center"/>
                </w:tcPr>
                <w:p w14:paraId="146CB783">
                  <w:pPr>
                    <w:pStyle w:val="93"/>
                    <w:spacing w:line="240" w:lineRule="auto"/>
                    <w:ind w:firstLine="0"/>
                    <w:jc w:val="center"/>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符合</w:t>
                  </w:r>
                </w:p>
              </w:tc>
            </w:tr>
            <w:tr w14:paraId="1E33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2" w:type="pct"/>
                  <w:vAlign w:val="center"/>
                </w:tcPr>
                <w:p w14:paraId="182BD751">
                  <w:pPr>
                    <w:pStyle w:val="93"/>
                    <w:spacing w:line="240" w:lineRule="auto"/>
                    <w:ind w:firstLine="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5</w:t>
                  </w:r>
                </w:p>
              </w:tc>
              <w:tc>
                <w:tcPr>
                  <w:tcW w:w="2176" w:type="pct"/>
                  <w:vAlign w:val="center"/>
                </w:tcPr>
                <w:p w14:paraId="51C0C196">
                  <w:pPr>
                    <w:pStyle w:val="93"/>
                    <w:spacing w:line="240" w:lineRule="auto"/>
                    <w:ind w:firstLine="0"/>
                    <w:jc w:val="center"/>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建立健全区域环境风险防范和生态安全保障体系。加强园区内易导致环境风险的有毒有害和易燃易爆物质的生产、使用、贮运等管理，统筹考虑污染防治、生态恢复与建设、环境风险防范、环境管理等事宜；强化园区危险化学品储运的环境风险管理，制定建立厂区、园区、区域三级防控措施，强化环境监测与预警能力建设、环境风险应急与防范措施，建立应急响应联动机制和风险防控体系并编制应急预案，防范环境风险，避免事故废水排入园区外水体，保障区域环境安全。</w:t>
                  </w:r>
                </w:p>
              </w:tc>
              <w:tc>
                <w:tcPr>
                  <w:tcW w:w="1796" w:type="pct"/>
                  <w:vAlign w:val="center"/>
                </w:tcPr>
                <w:p w14:paraId="57628F67">
                  <w:pPr>
                    <w:pStyle w:val="93"/>
                    <w:spacing w:line="240" w:lineRule="auto"/>
                    <w:ind w:firstLine="0"/>
                    <w:jc w:val="center"/>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eastAsia="zh-CN"/>
                    </w:rPr>
                    <w:t>本项目按要求建立环境风险防范机制，环境风险物质由专人管理，项目建成后要求企业严格按照《企业事业单位突发环境事件应急预案备案管理办法（试行）》编制应急预案并报玉溪市生态环境局红塔分局备案。</w:t>
                  </w:r>
                </w:p>
              </w:tc>
              <w:tc>
                <w:tcPr>
                  <w:tcW w:w="585" w:type="pct"/>
                  <w:vAlign w:val="center"/>
                </w:tcPr>
                <w:p w14:paraId="3C5DADF7">
                  <w:pPr>
                    <w:pStyle w:val="93"/>
                    <w:spacing w:line="240" w:lineRule="auto"/>
                    <w:ind w:firstLine="0"/>
                    <w:jc w:val="center"/>
                    <w:rPr>
                      <w:rFonts w:hint="default" w:ascii="Times New Roman" w:hAnsi="Times New Roman" w:cs="Times New Roman"/>
                      <w:color w:val="auto"/>
                      <w:highlight w:val="none"/>
                      <w:lang w:val="en-US"/>
                    </w:rPr>
                  </w:pPr>
                  <w:r>
                    <w:rPr>
                      <w:rFonts w:hint="default" w:ascii="Times New Roman" w:hAnsi="Times New Roman" w:cs="Times New Roman"/>
                      <w:color w:val="auto"/>
                      <w:highlight w:val="none"/>
                      <w:lang w:val="en-US"/>
                    </w:rPr>
                    <w:t>符合</w:t>
                  </w:r>
                </w:p>
              </w:tc>
            </w:tr>
          </w:tbl>
          <w:p w14:paraId="4056C555">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综上所述，本项目的建设符合符合《云南红塔产业园区总体规划修编（2021-2035年）环境影响报告书》及规划环评审查意见的</w:t>
            </w:r>
            <w:r>
              <w:rPr>
                <w:rFonts w:hint="eastAsia" w:cs="Times New Roman"/>
                <w:color w:val="auto"/>
                <w:sz w:val="24"/>
                <w:highlight w:val="none"/>
                <w:lang w:val="en-US" w:eastAsia="zh-CN"/>
              </w:rPr>
              <w:t>环保</w:t>
            </w:r>
            <w:r>
              <w:rPr>
                <w:rFonts w:hint="default" w:ascii="Times New Roman" w:hAnsi="Times New Roman" w:cs="Times New Roman"/>
                <w:color w:val="auto"/>
                <w:sz w:val="24"/>
                <w:highlight w:val="none"/>
              </w:rPr>
              <w:t>要求。</w:t>
            </w:r>
          </w:p>
        </w:tc>
      </w:tr>
      <w:tr w14:paraId="063513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5" w:type="pct"/>
            <w:vAlign w:val="center"/>
          </w:tcPr>
          <w:p w14:paraId="4B2B1310">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其他符合性分析</w:t>
            </w:r>
          </w:p>
        </w:tc>
        <w:tc>
          <w:tcPr>
            <w:tcW w:w="4594" w:type="pct"/>
            <w:gridSpan w:val="5"/>
            <w:vAlign w:val="center"/>
          </w:tcPr>
          <w:p w14:paraId="53F6622E">
            <w:pPr>
              <w:autoSpaceDE w:val="0"/>
              <w:autoSpaceDN w:val="0"/>
              <w:adjustRightInd w:val="0"/>
              <w:snapToGrid w:val="0"/>
              <w:spacing w:line="360" w:lineRule="auto"/>
              <w:ind w:firstLine="482" w:firstLineChars="200"/>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w:t>
            </w:r>
            <w:r>
              <w:rPr>
                <w:rFonts w:hint="default" w:ascii="Times New Roman" w:hAnsi="Times New Roman" w:eastAsia="宋体" w:cs="Times New Roman"/>
                <w:b/>
                <w:bCs/>
                <w:color w:val="auto"/>
                <w:sz w:val="24"/>
                <w:highlight w:val="none"/>
                <w:lang w:val="en-US" w:eastAsia="zh-CN"/>
              </w:rPr>
              <w:t>一</w:t>
            </w:r>
            <w:r>
              <w:rPr>
                <w:rFonts w:hint="default" w:ascii="Times New Roman" w:hAnsi="Times New Roman" w:eastAsia="宋体" w:cs="Times New Roman"/>
                <w:b/>
                <w:bCs/>
                <w:color w:val="auto"/>
                <w:sz w:val="24"/>
                <w:highlight w:val="none"/>
              </w:rPr>
              <w:t>）建设项目与所在地生态环境分区管控符合性分析</w:t>
            </w:r>
          </w:p>
          <w:p w14:paraId="712781E4">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根据2024年6月7日玉溪市生态环境局发布的《玉溪市生态环境分区管控动态更新调整方案（2023年）》（玉市环〔2024〕40号）及2026年1月6日玉溪市生态环境局发布的《玉溪市生态环境分区管控动态更新调整方案》，本项目属于红塔区城区生活污染重点管控单元，经对照分析，项目符合所在地生态环境分区管控中与本项目有关的相关要求。</w:t>
            </w:r>
          </w:p>
          <w:p w14:paraId="07E20311">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项目与其符合性分析详见下表1-4。</w:t>
            </w:r>
          </w:p>
          <w:p w14:paraId="6133A947">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 w:val="24"/>
                <w:szCs w:val="24"/>
                <w:highlight w:val="none"/>
              </w:rPr>
            </w:pPr>
            <w:r>
              <w:rPr>
                <w:rFonts w:hint="default" w:ascii="Times New Roman" w:hAnsi="Times New Roman" w:cs="Times New Roman"/>
                <w:b/>
                <w:bCs/>
                <w:color w:val="auto"/>
                <w:sz w:val="24"/>
                <w:szCs w:val="24"/>
                <w:highlight w:val="none"/>
                <w:lang w:val="en-US" w:eastAsia="zh-CN"/>
              </w:rPr>
              <w:t>表1-</w:t>
            </w:r>
            <w:r>
              <w:rPr>
                <w:rFonts w:hint="eastAsia" w:cs="Times New Roman"/>
                <w:b/>
                <w:bCs/>
                <w:color w:val="auto"/>
                <w:sz w:val="24"/>
                <w:szCs w:val="24"/>
                <w:highlight w:val="none"/>
                <w:lang w:val="en-US" w:eastAsia="zh-CN"/>
              </w:rPr>
              <w:t>4</w:t>
            </w:r>
            <w:r>
              <w:rPr>
                <w:rFonts w:hint="default" w:ascii="Times New Roman" w:hAnsi="Times New Roman" w:cs="Times New Roman"/>
                <w:b/>
                <w:bCs/>
                <w:color w:val="auto"/>
                <w:sz w:val="24"/>
                <w:szCs w:val="24"/>
                <w:highlight w:val="none"/>
                <w:lang w:val="en-US" w:eastAsia="zh-CN"/>
              </w:rPr>
              <w:t xml:space="preserve">  </w:t>
            </w:r>
            <w:r>
              <w:rPr>
                <w:rFonts w:hint="default" w:ascii="Times New Roman" w:hAnsi="Times New Roman" w:cs="Times New Roman"/>
                <w:b/>
                <w:bCs/>
                <w:color w:val="auto"/>
                <w:sz w:val="24"/>
                <w:szCs w:val="24"/>
                <w:highlight w:val="none"/>
              </w:rPr>
              <w:t>项目与</w:t>
            </w:r>
            <w:r>
              <w:rPr>
                <w:rFonts w:hint="default" w:ascii="Times New Roman" w:hAnsi="Times New Roman" w:cs="Times New Roman"/>
                <w:b/>
                <w:bCs/>
                <w:color w:val="auto"/>
                <w:sz w:val="24"/>
                <w:szCs w:val="24"/>
                <w:highlight w:val="none"/>
                <w:lang w:val="en-US" w:eastAsia="zh-CN"/>
              </w:rPr>
              <w:t>所在地生态环境分区</w:t>
            </w:r>
            <w:r>
              <w:rPr>
                <w:rFonts w:hint="default" w:ascii="Times New Roman" w:hAnsi="Times New Roman" w:cs="Times New Roman"/>
                <w:b/>
                <w:bCs/>
                <w:color w:val="auto"/>
                <w:sz w:val="24"/>
                <w:szCs w:val="24"/>
                <w:highlight w:val="none"/>
              </w:rPr>
              <w:t>符合性分</w:t>
            </w:r>
            <w:r>
              <w:rPr>
                <w:rFonts w:hint="default" w:ascii="Times New Roman" w:hAnsi="Times New Roman" w:cs="Times New Roman"/>
                <w:b/>
                <w:color w:val="auto"/>
                <w:sz w:val="24"/>
                <w:szCs w:val="24"/>
                <w:highlight w:val="none"/>
              </w:rPr>
              <w:t>析</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4"/>
              <w:gridCol w:w="3069"/>
              <w:gridCol w:w="2825"/>
              <w:gridCol w:w="926"/>
            </w:tblGrid>
            <w:tr w14:paraId="1C6B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0" w:type="pct"/>
                  <w:gridSpan w:val="2"/>
                  <w:vAlign w:val="center"/>
                </w:tcPr>
                <w:p w14:paraId="09361862">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vertAlign w:val="baseline"/>
                    </w:rPr>
                  </w:pPr>
                  <w:r>
                    <w:rPr>
                      <w:rFonts w:hint="eastAsia" w:ascii="Times New Roman" w:hAnsi="Times New Roman" w:eastAsia="宋体" w:cs="Times New Roman"/>
                      <w:b/>
                      <w:bCs/>
                      <w:color w:val="auto"/>
                      <w:sz w:val="21"/>
                      <w:szCs w:val="21"/>
                      <w:highlight w:val="none"/>
                      <w:vertAlign w:val="baseline"/>
                      <w:lang w:val="en-US" w:eastAsia="zh-CN"/>
                    </w:rPr>
                    <w:t>实施意见</w:t>
                  </w:r>
                </w:p>
              </w:tc>
              <w:tc>
                <w:tcPr>
                  <w:tcW w:w="1785" w:type="pct"/>
                  <w:vAlign w:val="center"/>
                </w:tcPr>
                <w:p w14:paraId="4F0121B8">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本项目情况</w:t>
                  </w:r>
                </w:p>
              </w:tc>
              <w:tc>
                <w:tcPr>
                  <w:tcW w:w="583" w:type="pct"/>
                  <w:vAlign w:val="center"/>
                </w:tcPr>
                <w:p w14:paraId="7BAE254A">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符合性</w:t>
                  </w:r>
                </w:p>
              </w:tc>
            </w:tr>
            <w:tr w14:paraId="27EDD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4A21632E">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一、玉溪市</w:t>
                  </w:r>
                  <w:r>
                    <w:rPr>
                      <w:rFonts w:hint="eastAsia" w:ascii="Times New Roman" w:hAnsi="Times New Roman" w:eastAsia="宋体" w:cs="Times New Roman"/>
                      <w:color w:val="auto"/>
                      <w:sz w:val="21"/>
                      <w:szCs w:val="21"/>
                      <w:highlight w:val="none"/>
                      <w:vertAlign w:val="baseline"/>
                      <w:lang w:val="en-US" w:eastAsia="zh-CN"/>
                    </w:rPr>
                    <w:t>生态环境管控总体要求</w:t>
                  </w:r>
                </w:p>
              </w:tc>
            </w:tr>
            <w:tr w14:paraId="65A6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restart"/>
                  <w:vAlign w:val="center"/>
                </w:tcPr>
                <w:p w14:paraId="3196F6ED">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（一）空间布局约束</w:t>
                  </w:r>
                </w:p>
              </w:tc>
              <w:tc>
                <w:tcPr>
                  <w:tcW w:w="1939" w:type="pct"/>
                  <w:vAlign w:val="center"/>
                </w:tcPr>
                <w:p w14:paraId="6DD07ED1">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1.严格落实国家产业政策、国家产业结构调整指导目录。坚决遏制高耗能、高排放、低水平项目盲目发展，项目审批严格落实国家和云南省相关政策要求。严格落实钢铁、水泥、平板玻璃、电解铝等行业产能置换相关政策，严管严控新增电解铝和工业硅产能。</w:t>
                  </w:r>
                </w:p>
              </w:tc>
              <w:tc>
                <w:tcPr>
                  <w:tcW w:w="1785" w:type="pct"/>
                  <w:vAlign w:val="center"/>
                </w:tcPr>
                <w:p w14:paraId="6DF15177">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根据《产业结构调整指导目录（2024年本）》，项目不属于鼓励类、限制类、淘汰类范围，根据国务院《促进产业结构调整暂行规定》（国发〔2005〕40号），第十三条</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不属于鼓励类、限制类及淘汰类，且符合国家有关法律、法规和政策规定的，为允许类</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，故本项目视为允许类项目，符合产业政策。</w:t>
                  </w:r>
                </w:p>
              </w:tc>
              <w:tc>
                <w:tcPr>
                  <w:tcW w:w="583" w:type="pct"/>
                  <w:vAlign w:val="center"/>
                </w:tcPr>
                <w:p w14:paraId="30ECCB9F">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5BE3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4949A9FA">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4543594B">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2.加强河湖水域岸线空间管控，严格落实九大高原湖泊（抚仙湖、星云湖、杞麓湖）</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两线三区</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相关管控要求。加快推动重点区域、重点流域落后和过剩产能退出。依法加快城市建成区重污染企业搬迁改造或关闭退出。</w:t>
                  </w:r>
                </w:p>
              </w:tc>
              <w:tc>
                <w:tcPr>
                  <w:tcW w:w="1785" w:type="pct"/>
                  <w:vAlign w:val="center"/>
                </w:tcPr>
                <w:p w14:paraId="5E3D3611">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rPr>
                    <w:t>项目位于云南省玉溪市红塔区研和街道贾井社区研和工业园区三缘电缆厂内，属于云南红塔产业园区研和片区地块</w:t>
                  </w:r>
                  <w:r>
                    <w:rPr>
                      <w:rFonts w:hint="eastAsia" w:ascii="Times New Roman" w:hAnsi="Times New Roman" w:eastAsia="宋体" w:cs="Times New Roman"/>
                      <w:color w:val="auto"/>
                      <w:sz w:val="21"/>
                      <w:szCs w:val="21"/>
                      <w:highlight w:val="none"/>
                      <w:vertAlign w:val="baseline"/>
                      <w:lang w:val="en-US" w:eastAsia="zh-CN"/>
                    </w:rPr>
                    <w:t>一</w:t>
                  </w:r>
                  <w:r>
                    <w:rPr>
                      <w:rFonts w:hint="default" w:ascii="Times New Roman" w:hAnsi="Times New Roman" w:eastAsia="宋体" w:cs="Times New Roman"/>
                      <w:color w:val="auto"/>
                      <w:sz w:val="21"/>
                      <w:szCs w:val="21"/>
                      <w:highlight w:val="none"/>
                      <w:vertAlign w:val="baseline"/>
                    </w:rPr>
                    <w:t>，不在（抚仙湖、星云湖、杞麓湖）</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两线三区</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管控范围内</w:t>
                  </w:r>
                  <w:r>
                    <w:rPr>
                      <w:rFonts w:hint="eastAsia" w:ascii="Times New Roman" w:hAnsi="Times New Roman" w:eastAsia="宋体" w:cs="Times New Roman"/>
                      <w:color w:val="auto"/>
                      <w:sz w:val="21"/>
                      <w:szCs w:val="21"/>
                      <w:highlight w:val="none"/>
                      <w:vertAlign w:val="baseline"/>
                      <w:lang w:eastAsia="zh-CN"/>
                    </w:rPr>
                    <w:t>。</w:t>
                  </w:r>
                </w:p>
              </w:tc>
              <w:tc>
                <w:tcPr>
                  <w:tcW w:w="583" w:type="pct"/>
                  <w:vAlign w:val="center"/>
                </w:tcPr>
                <w:p w14:paraId="71DE3233">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206D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1335A893">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42EA2511">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3.禁止在合规园区外新建、扩建钢铁、石化、化工、焦化、建材、有色、制浆造纸行业中的高污染项目。禁止新建、扩建不符合国家石化、现代煤化工等产业布局规划的项目。禁止列入《云南省城镇人口密集区危险化学品生产企业搬迁改造名单》的搬迁改造企业在原址新建、扩建危险化学品生产项目。新建、改建、扩建</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两高</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项目须符合生态环境保护法律法规和相关法定规划，满足重点污染物排放总量控制、碳排放达峰目标、生态环境准入清单、相关规划环评和相应行业建设项目环境准入条件、环评文件审批原则要求。</w:t>
                  </w:r>
                </w:p>
              </w:tc>
              <w:tc>
                <w:tcPr>
                  <w:tcW w:w="1785" w:type="pct"/>
                  <w:vAlign w:val="center"/>
                </w:tcPr>
                <w:p w14:paraId="7F0E537E">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本项目为塑料制品业，位于云南省玉溪市红塔区研和街道贾井社区研和工业园区三缘电缆厂内，属于云南红塔产业园区研和片区地块</w:t>
                  </w:r>
                  <w:r>
                    <w:rPr>
                      <w:rFonts w:hint="eastAsia" w:ascii="Times New Roman" w:hAnsi="Times New Roman" w:eastAsia="宋体" w:cs="Times New Roman"/>
                      <w:color w:val="auto"/>
                      <w:sz w:val="21"/>
                      <w:szCs w:val="21"/>
                      <w:highlight w:val="none"/>
                      <w:vertAlign w:val="baseline"/>
                      <w:lang w:val="en-US" w:eastAsia="zh-CN"/>
                    </w:rPr>
                    <w:t>一</w:t>
                  </w:r>
                  <w:r>
                    <w:rPr>
                      <w:rFonts w:hint="default" w:ascii="Times New Roman" w:hAnsi="Times New Roman" w:eastAsia="宋体" w:cs="Times New Roman"/>
                      <w:color w:val="auto"/>
                      <w:sz w:val="21"/>
                      <w:szCs w:val="21"/>
                      <w:highlight w:val="none"/>
                      <w:vertAlign w:val="baseline"/>
                    </w:rPr>
                    <w:t>。本项目不属于新建、扩建不符合国家石化、现代煤化工等产业布局规划的项目、也不属于新建、改建、扩建</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两高</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项目，符合产业政策。</w:t>
                  </w:r>
                </w:p>
              </w:tc>
              <w:tc>
                <w:tcPr>
                  <w:tcW w:w="583" w:type="pct"/>
                  <w:vAlign w:val="center"/>
                </w:tcPr>
                <w:p w14:paraId="2713386B">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7EA8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0274AA12">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4D5851A2">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rPr>
                    <w:t>4.禁止在九大高原湖泊（抚仙湖、星云湖、杞麓湖）流域内新建、改建、扩建污染环境、高耗水、高耗能、破坏生态平衡和自然景观的项目</w:t>
                  </w:r>
                  <w:r>
                    <w:rPr>
                      <w:rFonts w:hint="eastAsia" w:ascii="Times New Roman" w:hAnsi="Times New Roman" w:eastAsia="宋体" w:cs="Times New Roman"/>
                      <w:color w:val="auto"/>
                      <w:sz w:val="21"/>
                      <w:szCs w:val="21"/>
                      <w:highlight w:val="none"/>
                      <w:vertAlign w:val="baseline"/>
                      <w:lang w:eastAsia="zh-CN"/>
                    </w:rPr>
                    <w:t>。</w:t>
                  </w:r>
                </w:p>
              </w:tc>
              <w:tc>
                <w:tcPr>
                  <w:tcW w:w="1785" w:type="pct"/>
                  <w:vAlign w:val="center"/>
                </w:tcPr>
                <w:p w14:paraId="66CC9472">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项目位于云南省玉溪市红塔区研和街道贾井社区研和工业园区三缘电缆厂内，属于云南红塔产业园区研和片区地块一</w:t>
                  </w:r>
                  <w:r>
                    <w:rPr>
                      <w:rFonts w:hint="eastAsia" w:ascii="Times New Roman" w:hAnsi="Times New Roman" w:eastAsia="宋体"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所在地不属于杞麓湖径流区，项目不属于高耗水、高耗能、破坏生态平衡和自然景观的项目。</w:t>
                  </w:r>
                </w:p>
              </w:tc>
              <w:tc>
                <w:tcPr>
                  <w:tcW w:w="583" w:type="pct"/>
                  <w:vAlign w:val="center"/>
                </w:tcPr>
                <w:p w14:paraId="65000286">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596C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67FC4C6C">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3165F7D7">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5.落实云南省碳达峰碳中和相关要求，处理好发展和减排、整体和局部、长远目标和短期目标、政府和市场的关系，坚定不移走生态优先、绿色低碳的高质量发展道路。</w:t>
                  </w:r>
                </w:p>
              </w:tc>
              <w:tc>
                <w:tcPr>
                  <w:tcW w:w="1785" w:type="pct"/>
                  <w:vAlign w:val="center"/>
                </w:tcPr>
                <w:p w14:paraId="6DCE67A1">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rPr>
                    <w:t>项目严格落实云南省碳达峰碳中和要求，全面契合生态环境管控总体要求与</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三线一单</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生态环境要求，坚持生态优先、绿色低碳发展路径。产业政策</w:t>
                  </w:r>
                  <w:r>
                    <w:rPr>
                      <w:rFonts w:hint="eastAsia" w:ascii="Times New Roman" w:hAnsi="Times New Roman" w:eastAsia="宋体" w:cs="Times New Roman"/>
                      <w:color w:val="auto"/>
                      <w:sz w:val="21"/>
                      <w:szCs w:val="21"/>
                      <w:highlight w:val="none"/>
                      <w:vertAlign w:val="baseline"/>
                      <w:lang w:val="en-US" w:eastAsia="zh-CN"/>
                    </w:rPr>
                    <w:t>为</w:t>
                  </w:r>
                  <w:r>
                    <w:rPr>
                      <w:rFonts w:hint="default" w:ascii="Times New Roman" w:hAnsi="Times New Roman" w:eastAsia="宋体" w:cs="Times New Roman"/>
                      <w:color w:val="auto"/>
                      <w:sz w:val="21"/>
                      <w:szCs w:val="21"/>
                      <w:highlight w:val="none"/>
                      <w:vertAlign w:val="baseline"/>
                    </w:rPr>
                    <w:t>允许类，非限制或淘汰类</w:t>
                  </w:r>
                  <w:r>
                    <w:rPr>
                      <w:rFonts w:hint="eastAsia" w:ascii="Times New Roman" w:hAnsi="Times New Roman" w:eastAsia="宋体"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项目位于云南省玉溪市红塔区研和街道贾井社区研和工业园区三缘电缆厂内，属于云南红塔产业园区研和片区地块一，根据红塔区自然资源局出具的三区三线查询结果</w:t>
                  </w:r>
                  <w:r>
                    <w:rPr>
                      <w:rFonts w:hint="eastAsia" w:ascii="Times New Roman" w:hAnsi="Times New Roman" w:eastAsia="宋体" w:cs="Times New Roman"/>
                      <w:color w:val="auto"/>
                      <w:sz w:val="21"/>
                      <w:szCs w:val="21"/>
                      <w:highlight w:val="none"/>
                      <w:vertAlign w:val="baseline"/>
                      <w:lang w:eastAsia="zh-CN"/>
                    </w:rPr>
                    <w:t>，</w:t>
                  </w:r>
                  <w:r>
                    <w:rPr>
                      <w:rFonts w:hint="eastAsia" w:ascii="Times New Roman" w:hAnsi="Times New Roman" w:eastAsia="宋体" w:cs="Times New Roman"/>
                      <w:color w:val="auto"/>
                      <w:sz w:val="21"/>
                      <w:szCs w:val="21"/>
                      <w:highlight w:val="none"/>
                      <w:vertAlign w:val="baseline"/>
                      <w:lang w:val="en-US" w:eastAsia="zh-CN"/>
                    </w:rPr>
                    <w:t>本项目</w:t>
                  </w:r>
                  <w:r>
                    <w:rPr>
                      <w:rFonts w:hint="default" w:ascii="Times New Roman" w:hAnsi="Times New Roman" w:eastAsia="宋体" w:cs="Times New Roman"/>
                      <w:color w:val="auto"/>
                      <w:sz w:val="21"/>
                      <w:szCs w:val="21"/>
                      <w:highlight w:val="none"/>
                      <w:vertAlign w:val="baseline"/>
                    </w:rPr>
                    <w:t>不在生态保护红线等禁止开发区域</w:t>
                  </w:r>
                  <w:r>
                    <w:rPr>
                      <w:rFonts w:hint="eastAsia" w:ascii="Times New Roman" w:hAnsi="Times New Roman" w:eastAsia="宋体" w:cs="Times New Roman"/>
                      <w:color w:val="auto"/>
                      <w:sz w:val="21"/>
                      <w:szCs w:val="21"/>
                      <w:highlight w:val="none"/>
                      <w:vertAlign w:val="baseline"/>
                      <w:lang w:eastAsia="zh-CN"/>
                    </w:rPr>
                    <w:t>，根据现场勘察，本项目不涉及一般生态空间。</w:t>
                  </w:r>
                </w:p>
              </w:tc>
              <w:tc>
                <w:tcPr>
                  <w:tcW w:w="583" w:type="pct"/>
                  <w:vAlign w:val="center"/>
                </w:tcPr>
                <w:p w14:paraId="7D6AA9BF">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0242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restart"/>
                  <w:vAlign w:val="center"/>
                </w:tcPr>
                <w:p w14:paraId="7DD43B96">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eastAsia" w:ascii="Times New Roman" w:hAnsi="Times New Roman" w:eastAsia="宋体" w:cs="Times New Roman"/>
                      <w:color w:val="auto"/>
                      <w:sz w:val="21"/>
                      <w:szCs w:val="21"/>
                      <w:highlight w:val="none"/>
                      <w:vertAlign w:val="baseline"/>
                      <w:lang w:eastAsia="zh-CN"/>
                    </w:rPr>
                    <w:t>（</w:t>
                  </w:r>
                  <w:r>
                    <w:rPr>
                      <w:rFonts w:hint="eastAsia" w:ascii="Times New Roman" w:hAnsi="Times New Roman" w:eastAsia="宋体" w:cs="Times New Roman"/>
                      <w:color w:val="auto"/>
                      <w:sz w:val="21"/>
                      <w:szCs w:val="21"/>
                      <w:highlight w:val="none"/>
                      <w:vertAlign w:val="baseline"/>
                      <w:lang w:val="en-US" w:eastAsia="zh-CN"/>
                    </w:rPr>
                    <w:t>二</w:t>
                  </w:r>
                  <w:r>
                    <w:rPr>
                      <w:rFonts w:hint="eastAsia" w:ascii="Times New Roman" w:hAnsi="Times New Roman" w:eastAsia="宋体"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污染物排放管控</w:t>
                  </w:r>
                </w:p>
              </w:tc>
              <w:tc>
                <w:tcPr>
                  <w:tcW w:w="1939" w:type="pct"/>
                  <w:vAlign w:val="center"/>
                </w:tcPr>
                <w:p w14:paraId="2D275867">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1.严格落实强制性清洁生产审核要求，引导重点行业实施清洁生产改造，到2025年底，重点行业企业基本达到国内清洁生产先进水平。</w:t>
                  </w:r>
                </w:p>
              </w:tc>
              <w:tc>
                <w:tcPr>
                  <w:tcW w:w="1785" w:type="pct"/>
                  <w:vAlign w:val="center"/>
                </w:tcPr>
                <w:p w14:paraId="32BEB462">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rPr>
                    <w:t>项目以聚丙烯为原料，不使用有毒有害物质且非高耗能行业，</w:t>
                  </w:r>
                  <w:r>
                    <w:rPr>
                      <w:rFonts w:hint="eastAsia" w:ascii="Times New Roman" w:hAnsi="Times New Roman" w:eastAsia="宋体" w:cs="Times New Roman"/>
                      <w:color w:val="auto"/>
                      <w:sz w:val="21"/>
                      <w:szCs w:val="21"/>
                      <w:highlight w:val="none"/>
                      <w:vertAlign w:val="baseline"/>
                      <w:lang w:val="en-US" w:eastAsia="zh-CN"/>
                    </w:rPr>
                    <w:t>经环保设施处理后</w:t>
                  </w:r>
                  <w:r>
                    <w:rPr>
                      <w:rFonts w:hint="default" w:ascii="Times New Roman" w:hAnsi="Times New Roman" w:eastAsia="宋体" w:cs="Times New Roman"/>
                      <w:color w:val="auto"/>
                      <w:sz w:val="21"/>
                      <w:szCs w:val="21"/>
                      <w:highlight w:val="none"/>
                      <w:vertAlign w:val="baseline"/>
                    </w:rPr>
                    <w:t>非甲烷总烃排放达标</w:t>
                  </w:r>
                  <w:r>
                    <w:rPr>
                      <w:rFonts w:hint="eastAsia" w:ascii="Times New Roman" w:hAnsi="Times New Roman" w:eastAsia="宋体" w:cs="Times New Roman"/>
                      <w:color w:val="auto"/>
                      <w:sz w:val="21"/>
                      <w:szCs w:val="21"/>
                      <w:highlight w:val="none"/>
                      <w:vertAlign w:val="baseline"/>
                      <w:lang w:eastAsia="zh-CN"/>
                    </w:rPr>
                    <w:t>。</w:t>
                  </w:r>
                </w:p>
              </w:tc>
              <w:tc>
                <w:tcPr>
                  <w:tcW w:w="583" w:type="pct"/>
                  <w:vAlign w:val="center"/>
                </w:tcPr>
                <w:p w14:paraId="116D1181">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6E7D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172E2495">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27F98437">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2.加大</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三湖</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（抚仙湖、星云湖、杞麓湖）及</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两江</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（南盘江干流、红河水系玉溪段）流域的保护和治理，推进流域环湖截污治污，加强湖泊内源污染风险防范，开展污水处理提质增效、农业面源污染治理、入河排污口整治、开发区污染治理、</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三磷</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和重金属行业排查等专项行动，建立水环境质量管理长效机制，持续巩固治理成效。持续打好城市黑臭水体治理攻坚战，有效控制入河污染物排放，强化溯源整治，推进城镇污水管网全覆盖。</w:t>
                  </w:r>
                </w:p>
              </w:tc>
              <w:tc>
                <w:tcPr>
                  <w:tcW w:w="1785" w:type="pct"/>
                  <w:vAlign w:val="center"/>
                </w:tcPr>
                <w:p w14:paraId="13F41490">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rPr>
                    <w:t>本项目为</w:t>
                  </w:r>
                  <w:r>
                    <w:rPr>
                      <w:rFonts w:hint="eastAsia" w:ascii="Times New Roman" w:hAnsi="Times New Roman" w:eastAsia="宋体" w:cs="Times New Roman"/>
                      <w:color w:val="auto"/>
                      <w:sz w:val="21"/>
                      <w:szCs w:val="21"/>
                      <w:highlight w:val="none"/>
                      <w:vertAlign w:val="baseline"/>
                      <w:lang w:val="en-US" w:eastAsia="zh-CN"/>
                    </w:rPr>
                    <w:t>塑料制品业</w:t>
                  </w:r>
                  <w:r>
                    <w:rPr>
                      <w:rFonts w:hint="default" w:ascii="Times New Roman" w:hAnsi="Times New Roman" w:eastAsia="宋体" w:cs="Times New Roman"/>
                      <w:color w:val="auto"/>
                      <w:sz w:val="21"/>
                      <w:szCs w:val="21"/>
                      <w:highlight w:val="none"/>
                      <w:vertAlign w:val="baseline"/>
                    </w:rPr>
                    <w:t>，生产工序简单，主要能耗为电能，属于清洁能源，碳排放量较少</w:t>
                  </w:r>
                  <w:r>
                    <w:rPr>
                      <w:rFonts w:hint="eastAsia" w:ascii="Times New Roman" w:hAnsi="Times New Roman" w:eastAsia="宋体" w:cs="Times New Roman"/>
                      <w:color w:val="auto"/>
                      <w:sz w:val="21"/>
                      <w:szCs w:val="21"/>
                      <w:highlight w:val="none"/>
                      <w:vertAlign w:val="baseline"/>
                      <w:lang w:eastAsia="zh-CN"/>
                    </w:rPr>
                    <w:t>。</w:t>
                  </w:r>
                  <w:r>
                    <w:rPr>
                      <w:rFonts w:hint="default" w:ascii="Times New Roman" w:hAnsi="Times New Roman" w:eastAsia="宋体" w:cs="Times New Roman"/>
                      <w:b w:val="0"/>
                      <w:bCs w:val="0"/>
                      <w:color w:val="auto"/>
                      <w:sz w:val="21"/>
                      <w:szCs w:val="21"/>
                      <w:highlight w:val="none"/>
                    </w:rPr>
                    <w:t>项目设备冷却水循环使用，不外排；办公</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生活污水依托云南三缘电缆有限公司化粪池（10m³）预处理后，采用槽罐车外送至玉溪市第二污水处理厂处理</w:t>
                  </w:r>
                  <w:r>
                    <w:rPr>
                      <w:rFonts w:hint="eastAsia" w:ascii="Times New Roman" w:hAnsi="Times New Roman" w:eastAsia="宋体" w:cs="Times New Roman"/>
                      <w:color w:val="auto"/>
                      <w:sz w:val="21"/>
                      <w:szCs w:val="21"/>
                      <w:highlight w:val="none"/>
                      <w:vertAlign w:val="baseline"/>
                      <w:lang w:eastAsia="zh-CN"/>
                    </w:rPr>
                    <w:t>。因此，项目无废水外排。</w:t>
                  </w:r>
                </w:p>
              </w:tc>
              <w:tc>
                <w:tcPr>
                  <w:tcW w:w="583" w:type="pct"/>
                  <w:vAlign w:val="center"/>
                </w:tcPr>
                <w:p w14:paraId="0A7454CC">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618C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357D1189">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136ECDD5">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3.严格保护城乡饮用水水源地，整治饮用水水源保护区内的污染源，确保饮水安全。</w:t>
                  </w:r>
                </w:p>
              </w:tc>
              <w:tc>
                <w:tcPr>
                  <w:tcW w:w="1785" w:type="pct"/>
                  <w:vAlign w:val="center"/>
                </w:tcPr>
                <w:p w14:paraId="2C0E8157">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项目位于云南省玉溪市红塔区研和街道贾井社区研和工业园区三缘电缆厂内，属于云南红塔产业园区研和片区地块一，不涉及饮用水源保护区，项目的建设不会对城乡饮用水水源地造成污染。</w:t>
                  </w:r>
                </w:p>
              </w:tc>
              <w:tc>
                <w:tcPr>
                  <w:tcW w:w="583" w:type="pct"/>
                  <w:vAlign w:val="center"/>
                </w:tcPr>
                <w:p w14:paraId="04FAB0AC">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6262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4044F48A">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744DE57D">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rPr>
                    <w:t>4.开展细颗粒物和臭氧协同控制、挥发性有机物和氮氧化物协同减排。石化、化工、包装印刷、工业涂装等VOCs排放重点源，纳入重点排污单位名录，推进挥发性有机物综合治理，实施原辅材料和产品源头替代工程，排污口安装自动监控设施。推进运输结构调整，开展清洁柴油车（机）、清洁油品、车用尿素等专项行动，开展建筑施工工地扬尘专项治理；加大餐饮油烟污染、恶臭异味治理力度，强化秸秆综合利用和禁烧管控。推动有色金属、钢铁、磷化工、建材等重点行业节能降碳升级改造，淘汰落后工艺技术和生产装置，实施煤电、水泥、焦化企业超低排放改造，到2025年，钢铁行业全面完成超低排放改造</w:t>
                  </w:r>
                  <w:r>
                    <w:rPr>
                      <w:rFonts w:hint="eastAsia" w:ascii="Times New Roman" w:hAnsi="Times New Roman" w:eastAsia="宋体" w:cs="Times New Roman"/>
                      <w:color w:val="auto"/>
                      <w:sz w:val="21"/>
                      <w:szCs w:val="21"/>
                      <w:highlight w:val="none"/>
                      <w:vertAlign w:val="baseline"/>
                      <w:lang w:eastAsia="zh-CN"/>
                    </w:rPr>
                    <w:t>。</w:t>
                  </w:r>
                </w:p>
              </w:tc>
              <w:tc>
                <w:tcPr>
                  <w:tcW w:w="1785" w:type="pct"/>
                  <w:vAlign w:val="center"/>
                </w:tcPr>
                <w:p w14:paraId="3483B501">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本项目为塑料制品业，生产工序简单，主要能耗为电能，属于清洁能源，碳排放量较少。本项目生产过程中产生的塑料废气（以非甲烷总烃计）经包围型集气罩（含软帘）收集，经管道引入1套废气处理设施（活性炭吸附浓缩+CO处理工艺）（TA001）进行处理，处理后通过1根20m高排气筒排放（DA001），印刷废气经包围型集气罩（含软帘）收集，经管道引入1套废气处理设施（二级活性炭吸附）（TA002）进行处理，处理后通过1根20m高排气筒排放（DA002）。</w:t>
                  </w:r>
                </w:p>
              </w:tc>
              <w:tc>
                <w:tcPr>
                  <w:tcW w:w="583" w:type="pct"/>
                  <w:vAlign w:val="center"/>
                </w:tcPr>
                <w:p w14:paraId="5E242E74">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14E1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3F783D36">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70923A77">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5.加大环境污染物减排力度，到2025年，实现氮氧化物减排1224吨，挥发性有机物减排1393吨，化学需氧量减排2461吨，氨氮减排230吨。</w:t>
                  </w:r>
                </w:p>
              </w:tc>
              <w:tc>
                <w:tcPr>
                  <w:tcW w:w="1785" w:type="pct"/>
                  <w:vAlign w:val="center"/>
                </w:tcPr>
                <w:p w14:paraId="3201997F">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rPr>
                    <w:t>项目采用低VOCs含量、低反应活性的原辅材料，不使用含芳香烃、含卤素有机化合物。</w:t>
                  </w:r>
                  <w:r>
                    <w:rPr>
                      <w:rFonts w:hint="default" w:ascii="Times New Roman" w:hAnsi="Times New Roman" w:eastAsia="宋体" w:cs="Times New Roman"/>
                      <w:color w:val="auto"/>
                      <w:sz w:val="21"/>
                      <w:szCs w:val="21"/>
                      <w:highlight w:val="none"/>
                    </w:rPr>
                    <w:t>本项目</w:t>
                  </w:r>
                  <w:r>
                    <w:rPr>
                      <w:rFonts w:hint="eastAsia" w:cs="Times New Roman"/>
                      <w:color w:val="auto"/>
                      <w:sz w:val="21"/>
                      <w:szCs w:val="21"/>
                      <w:highlight w:val="none"/>
                      <w:lang w:val="en-US" w:eastAsia="zh-CN"/>
                    </w:rPr>
                    <w:t>生产</w:t>
                  </w:r>
                  <w:r>
                    <w:rPr>
                      <w:rFonts w:hint="default" w:ascii="Times New Roman" w:hAnsi="Times New Roman" w:eastAsia="宋体" w:cs="Times New Roman"/>
                      <w:color w:val="auto"/>
                      <w:sz w:val="21"/>
                      <w:szCs w:val="21"/>
                      <w:highlight w:val="none"/>
                    </w:rPr>
                    <w:t>过程中产生的</w:t>
                  </w:r>
                  <w:r>
                    <w:rPr>
                      <w:rFonts w:hint="eastAsia" w:cs="Times New Roman"/>
                      <w:color w:val="auto"/>
                      <w:sz w:val="21"/>
                      <w:szCs w:val="21"/>
                      <w:highlight w:val="none"/>
                      <w:lang w:val="en-US" w:eastAsia="zh-CN"/>
                    </w:rPr>
                    <w:t>塑料废气（以非甲烷总烃计）</w:t>
                  </w:r>
                  <w:r>
                    <w:rPr>
                      <w:rFonts w:hint="default" w:ascii="Times New Roman" w:hAnsi="Times New Roman" w:eastAsia="宋体" w:cs="Times New Roman"/>
                      <w:color w:val="auto"/>
                      <w:sz w:val="21"/>
                      <w:szCs w:val="21"/>
                      <w:highlight w:val="none"/>
                    </w:rPr>
                    <w:t>经</w:t>
                  </w:r>
                  <w:r>
                    <w:rPr>
                      <w:rFonts w:hint="eastAsia" w:cs="Times New Roman"/>
                      <w:color w:val="auto"/>
                      <w:sz w:val="21"/>
                      <w:szCs w:val="21"/>
                      <w:highlight w:val="none"/>
                      <w:lang w:val="en-US" w:eastAsia="zh-CN"/>
                    </w:rPr>
                    <w:t>包围型集气罩（含软帘）</w:t>
                  </w:r>
                  <w:r>
                    <w:rPr>
                      <w:rFonts w:hint="default" w:ascii="Times New Roman" w:hAnsi="Times New Roman" w:eastAsia="宋体" w:cs="Times New Roman"/>
                      <w:color w:val="auto"/>
                      <w:sz w:val="21"/>
                      <w:szCs w:val="21"/>
                      <w:highlight w:val="none"/>
                    </w:rPr>
                    <w:t>收集，经管道引入1套废气处理设施（活性炭吸附浓缩+CO处理工艺）（TA001）进行处理，处理后通过1根</w:t>
                  </w:r>
                  <w:r>
                    <w:rPr>
                      <w:rFonts w:hint="eastAsia"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m高排气筒排放（DA001）</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印刷废气经包围型集气罩（含软帘）收集，经管道引入1套废气处理设施（二级活性炭吸附）（TA002）进行处理，处理后通过1根20m高排气筒排放（DA002）</w:t>
                  </w:r>
                  <w:r>
                    <w:rPr>
                      <w:rFonts w:hint="eastAsia" w:ascii="Times New Roman" w:hAnsi="Times New Roman" w:eastAsia="宋体" w:cs="Times New Roman"/>
                      <w:color w:val="auto"/>
                      <w:sz w:val="21"/>
                      <w:szCs w:val="21"/>
                      <w:highlight w:val="none"/>
                      <w:vertAlign w:val="baseline"/>
                      <w:lang w:eastAsia="zh-CN"/>
                    </w:rPr>
                    <w:t>。</w:t>
                  </w:r>
                </w:p>
              </w:tc>
              <w:tc>
                <w:tcPr>
                  <w:tcW w:w="583" w:type="pct"/>
                  <w:vAlign w:val="center"/>
                </w:tcPr>
                <w:p w14:paraId="2850F13C">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5E99C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4D95F2D1">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7A7F8EC6">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6.严格管控农用地，不得在特定农产品禁止生产区域种植食用农产品；安全利用农用地，制定受污染耕地安全利用方案，降低农产品超标风险。合理规划污染地块土地用途，从严管控农药、化工、有色金属等行业企业重度污染地块开发利用，对列入建设用地土壤污染风险管控和修复名录的地块不得作为住宅、公共管理与公共服务用地，不得办理土地征收、收回、收购、土地供应以及改变土地用途等手续，应当依法开展土壤污染状况调查、治理与修复，并符合相应规划用地土壤环境质量要求后，方可进入用地程序。</w:t>
                  </w:r>
                </w:p>
              </w:tc>
              <w:tc>
                <w:tcPr>
                  <w:tcW w:w="1785" w:type="pct"/>
                  <w:vAlign w:val="center"/>
                </w:tcPr>
                <w:p w14:paraId="1534157F">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项目位于云南省玉溪市红塔区研和街道贾井社区研和工业园区三缘电缆厂内，属于云南红塔产业园区研和片区地块一</w:t>
                  </w:r>
                  <w:r>
                    <w:rPr>
                      <w:rFonts w:hint="eastAsia" w:ascii="Times New Roman" w:hAnsi="Times New Roman" w:eastAsia="宋体"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2025年8月6日，项目取得玉溪市红塔区发展和改革局核发的固定资产投资项目备案证，备案号：2508-530402-04-01-454327。2025年8月22日，取得云南红塔产业园区管理委员会核发的入园通知书</w:t>
                  </w:r>
                  <w:r>
                    <w:rPr>
                      <w:rFonts w:hint="eastAsia" w:ascii="Times New Roman" w:hAnsi="Times New Roman" w:eastAsia="宋体"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同意项目选址，用地合理，不涉及占用农用地。</w:t>
                  </w:r>
                </w:p>
              </w:tc>
              <w:tc>
                <w:tcPr>
                  <w:tcW w:w="583" w:type="pct"/>
                  <w:vAlign w:val="center"/>
                </w:tcPr>
                <w:p w14:paraId="53500515">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4FC3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189FB0A0">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31E9C11B">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7.加快</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无废城市</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建设，产生工业固体废物的单位应当建立健全工业固体废物产生、收集、贮存、运输、利用、处置全过程的污染环境防治责任制度，按照国家有关规定建立工业固体废物管理台账，加强重金属污染物排放管理，落实区域</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减量替代</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和</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等量替代</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要求，重金属污染物排放量2025年比2020年削减4%。</w:t>
                  </w:r>
                </w:p>
              </w:tc>
              <w:tc>
                <w:tcPr>
                  <w:tcW w:w="1785" w:type="pct"/>
                  <w:vAlign w:val="center"/>
                </w:tcPr>
                <w:p w14:paraId="6D7F90DF">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rPr>
                    <w:t>本项目生活垃圾、化粪池污泥由园区环卫部门定期清运处置。不合格产品、边角废料收集后作为生产原料回用至生产。废包装材料外售至废品回收站，废活性炭</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废机油</w:t>
                  </w:r>
                  <w:r>
                    <w:rPr>
                      <w:rFonts w:hint="eastAsia" w:cs="Times New Roman"/>
                      <w:color w:val="auto"/>
                      <w:sz w:val="21"/>
                      <w:szCs w:val="21"/>
                      <w:highlight w:val="none"/>
                      <w:vertAlign w:val="baseline"/>
                      <w:lang w:val="en-US" w:eastAsia="zh-CN"/>
                    </w:rPr>
                    <w:t>等</w:t>
                  </w:r>
                  <w:r>
                    <w:rPr>
                      <w:rFonts w:hint="default" w:ascii="Times New Roman" w:hAnsi="Times New Roman" w:eastAsia="宋体" w:cs="Times New Roman"/>
                      <w:color w:val="auto"/>
                      <w:sz w:val="21"/>
                      <w:szCs w:val="21"/>
                      <w:highlight w:val="none"/>
                      <w:vertAlign w:val="baseline"/>
                    </w:rPr>
                    <w:t>委托有危险废物处置、运输资质的单位定期清运处置，并建立转移联单，固废处置率为100%。本项目严格按照《危险废物贮存污染控制标准》（GB</w:t>
                  </w:r>
                  <w:r>
                    <w:rPr>
                      <w:rFonts w:hint="eastAsia" w:cs="Times New Roman"/>
                      <w:color w:val="auto"/>
                      <w:sz w:val="21"/>
                      <w:szCs w:val="21"/>
                      <w:highlight w:val="none"/>
                      <w:vertAlign w:val="baseline"/>
                      <w:lang w:val="en-US" w:eastAsia="zh-CN"/>
                    </w:rPr>
                    <w:t xml:space="preserve"> </w:t>
                  </w:r>
                  <w:r>
                    <w:rPr>
                      <w:rFonts w:hint="default" w:ascii="Times New Roman" w:hAnsi="Times New Roman" w:eastAsia="宋体" w:cs="Times New Roman"/>
                      <w:color w:val="auto"/>
                      <w:sz w:val="21"/>
                      <w:szCs w:val="21"/>
                      <w:highlight w:val="none"/>
                      <w:vertAlign w:val="baseline"/>
                    </w:rPr>
                    <w:t>18597-2023）的要求新建危险废物暂存</w:t>
                  </w:r>
                  <w:r>
                    <w:rPr>
                      <w:rFonts w:hint="eastAsia" w:cs="Times New Roman"/>
                      <w:color w:val="auto"/>
                      <w:sz w:val="21"/>
                      <w:szCs w:val="21"/>
                      <w:highlight w:val="none"/>
                      <w:vertAlign w:val="baseline"/>
                      <w:lang w:val="en-US" w:eastAsia="zh-CN"/>
                    </w:rPr>
                    <w:t>间</w:t>
                  </w:r>
                  <w:r>
                    <w:rPr>
                      <w:rFonts w:hint="default" w:ascii="Times New Roman" w:hAnsi="Times New Roman" w:eastAsia="宋体" w:cs="Times New Roman"/>
                      <w:color w:val="auto"/>
                      <w:sz w:val="21"/>
                      <w:szCs w:val="21"/>
                      <w:highlight w:val="none"/>
                      <w:vertAlign w:val="baseline"/>
                    </w:rPr>
                    <w:t>，废活性炭</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废机油</w:t>
                  </w:r>
                  <w:r>
                    <w:rPr>
                      <w:rFonts w:hint="eastAsia" w:cs="Times New Roman"/>
                      <w:color w:val="auto"/>
                      <w:sz w:val="21"/>
                      <w:szCs w:val="21"/>
                      <w:highlight w:val="none"/>
                      <w:vertAlign w:val="baseline"/>
                      <w:lang w:val="en-US" w:eastAsia="zh-CN"/>
                    </w:rPr>
                    <w:t>等危险废物</w:t>
                  </w:r>
                  <w:r>
                    <w:rPr>
                      <w:rFonts w:hint="default" w:ascii="Times New Roman" w:hAnsi="Times New Roman" w:eastAsia="宋体" w:cs="Times New Roman"/>
                      <w:color w:val="auto"/>
                      <w:sz w:val="21"/>
                      <w:szCs w:val="21"/>
                      <w:highlight w:val="none"/>
                      <w:vertAlign w:val="baseline"/>
                    </w:rPr>
                    <w:t>委托有危险废物处置资质的单位定期清运处理</w:t>
                  </w:r>
                  <w:r>
                    <w:rPr>
                      <w:rFonts w:hint="eastAsia" w:ascii="Times New Roman" w:hAnsi="Times New Roman" w:eastAsia="宋体" w:cs="Times New Roman"/>
                      <w:color w:val="auto"/>
                      <w:sz w:val="21"/>
                      <w:szCs w:val="21"/>
                      <w:highlight w:val="none"/>
                      <w:vertAlign w:val="baseline"/>
                      <w:lang w:eastAsia="zh-CN"/>
                    </w:rPr>
                    <w:t>。</w:t>
                  </w:r>
                </w:p>
              </w:tc>
              <w:tc>
                <w:tcPr>
                  <w:tcW w:w="583" w:type="pct"/>
                  <w:vAlign w:val="center"/>
                </w:tcPr>
                <w:p w14:paraId="669165C6">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7B82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37464B65">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3B9AEB15">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8.到2025年，中心城区细颗粒物（PM2.5）平均浓度控制在21微克/立方米以内，城市空气质量优良天数比率达到98.5%以上，坚决防范重度及以上污染天气发生，全市地表水国控断面优良水体比例达80%，消除城市黑臭水体，消除劣Ⅴ类水体。</w:t>
                  </w:r>
                </w:p>
              </w:tc>
              <w:tc>
                <w:tcPr>
                  <w:tcW w:w="1785" w:type="pct"/>
                  <w:vAlign w:val="center"/>
                </w:tcPr>
                <w:p w14:paraId="50CB744E">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本项目不涉及。</w:t>
                  </w:r>
                </w:p>
              </w:tc>
              <w:tc>
                <w:tcPr>
                  <w:tcW w:w="583" w:type="pct"/>
                  <w:vAlign w:val="center"/>
                </w:tcPr>
                <w:p w14:paraId="2B098388">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w:t>
                  </w:r>
                </w:p>
              </w:tc>
            </w:tr>
            <w:tr w14:paraId="196C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restart"/>
                  <w:vAlign w:val="center"/>
                </w:tcPr>
                <w:p w14:paraId="234C1A57">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eastAsia" w:ascii="Times New Roman" w:hAnsi="Times New Roman" w:eastAsia="宋体" w:cs="Times New Roman"/>
                      <w:color w:val="auto"/>
                      <w:sz w:val="21"/>
                      <w:szCs w:val="21"/>
                      <w:highlight w:val="none"/>
                      <w:vertAlign w:val="baseline"/>
                      <w:lang w:eastAsia="zh-CN"/>
                    </w:rPr>
                    <w:t>（</w:t>
                  </w:r>
                  <w:r>
                    <w:rPr>
                      <w:rFonts w:hint="eastAsia" w:ascii="Times New Roman" w:hAnsi="Times New Roman" w:eastAsia="宋体" w:cs="Times New Roman"/>
                      <w:color w:val="auto"/>
                      <w:sz w:val="21"/>
                      <w:szCs w:val="21"/>
                      <w:highlight w:val="none"/>
                      <w:vertAlign w:val="baseline"/>
                      <w:lang w:val="en-US" w:eastAsia="zh-CN"/>
                    </w:rPr>
                    <w:t>三</w:t>
                  </w:r>
                  <w:r>
                    <w:rPr>
                      <w:rFonts w:hint="eastAsia" w:ascii="Times New Roman" w:hAnsi="Times New Roman" w:eastAsia="宋体"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环境风险防控</w:t>
                  </w:r>
                </w:p>
              </w:tc>
              <w:tc>
                <w:tcPr>
                  <w:tcW w:w="1939" w:type="pct"/>
                  <w:vAlign w:val="center"/>
                </w:tcPr>
                <w:p w14:paraId="72EAEB68">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1.强化与其他滇中城市的大气、水污染防治联防联控协作机制，加强区域内重污染天气和跨界水体风险应急联动。</w:t>
                  </w:r>
                </w:p>
              </w:tc>
              <w:tc>
                <w:tcPr>
                  <w:tcW w:w="1785" w:type="pct"/>
                  <w:shd w:val="clear" w:color="auto" w:fill="auto"/>
                  <w:vAlign w:val="center"/>
                </w:tcPr>
                <w:p w14:paraId="5D6BB6B3">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default" w:ascii="Times New Roman" w:hAnsi="Times New Roman" w:eastAsia="宋体" w:cs="Times New Roman"/>
                      <w:color w:val="auto"/>
                      <w:sz w:val="21"/>
                      <w:szCs w:val="21"/>
                      <w:highlight w:val="none"/>
                    </w:rPr>
                    <w:t>本项目</w:t>
                  </w:r>
                  <w:r>
                    <w:rPr>
                      <w:rFonts w:hint="eastAsia" w:cs="Times New Roman"/>
                      <w:color w:val="auto"/>
                      <w:sz w:val="21"/>
                      <w:szCs w:val="21"/>
                      <w:highlight w:val="none"/>
                      <w:lang w:val="en-US" w:eastAsia="zh-CN"/>
                    </w:rPr>
                    <w:t>生产</w:t>
                  </w:r>
                  <w:r>
                    <w:rPr>
                      <w:rFonts w:hint="default" w:ascii="Times New Roman" w:hAnsi="Times New Roman" w:eastAsia="宋体" w:cs="Times New Roman"/>
                      <w:color w:val="auto"/>
                      <w:sz w:val="21"/>
                      <w:szCs w:val="21"/>
                      <w:highlight w:val="none"/>
                    </w:rPr>
                    <w:t>过程中产生的</w:t>
                  </w:r>
                  <w:r>
                    <w:rPr>
                      <w:rFonts w:hint="eastAsia" w:cs="Times New Roman"/>
                      <w:color w:val="auto"/>
                      <w:sz w:val="21"/>
                      <w:szCs w:val="21"/>
                      <w:highlight w:val="none"/>
                      <w:lang w:val="en-US" w:eastAsia="zh-CN"/>
                    </w:rPr>
                    <w:t>塑料废气（以非甲烷总烃计）</w:t>
                  </w:r>
                  <w:r>
                    <w:rPr>
                      <w:rFonts w:hint="default" w:ascii="Times New Roman" w:hAnsi="Times New Roman" w:eastAsia="宋体" w:cs="Times New Roman"/>
                      <w:color w:val="auto"/>
                      <w:sz w:val="21"/>
                      <w:szCs w:val="21"/>
                      <w:highlight w:val="none"/>
                    </w:rPr>
                    <w:t>经</w:t>
                  </w:r>
                  <w:r>
                    <w:rPr>
                      <w:rFonts w:hint="eastAsia" w:cs="Times New Roman"/>
                      <w:color w:val="auto"/>
                      <w:sz w:val="21"/>
                      <w:szCs w:val="21"/>
                      <w:highlight w:val="none"/>
                      <w:lang w:val="en-US" w:eastAsia="zh-CN"/>
                    </w:rPr>
                    <w:t>包围型集气罩（含软帘）</w:t>
                  </w:r>
                  <w:r>
                    <w:rPr>
                      <w:rFonts w:hint="default" w:ascii="Times New Roman" w:hAnsi="Times New Roman" w:eastAsia="宋体" w:cs="Times New Roman"/>
                      <w:color w:val="auto"/>
                      <w:sz w:val="21"/>
                      <w:szCs w:val="21"/>
                      <w:highlight w:val="none"/>
                    </w:rPr>
                    <w:t>收集，经管道引入1套废气处理设施（活性炭吸附浓缩+CO处理工艺）（TA001）进行处理，处理后通过1根</w:t>
                  </w:r>
                  <w:r>
                    <w:rPr>
                      <w:rFonts w:hint="eastAsia"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m高排气筒排放（DA001）</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印刷废气经包围型集气罩（含软帘）收集，经管道引入1套废气处理设施（二级活性炭吸附）（TA002）进行处理，处理后通过1根20m高排气筒排放（DA002）。</w:t>
                  </w:r>
                  <w:r>
                    <w:rPr>
                      <w:rFonts w:hint="default" w:ascii="Times New Roman" w:hAnsi="Times New Roman" w:eastAsia="宋体" w:cs="Times New Roman"/>
                      <w:b w:val="0"/>
                      <w:bCs w:val="0"/>
                      <w:color w:val="auto"/>
                      <w:sz w:val="21"/>
                      <w:szCs w:val="21"/>
                      <w:highlight w:val="none"/>
                    </w:rPr>
                    <w:t>项目设备冷却水循环使用，不外排；办公</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生活污水依托云南三缘电缆有限公司化粪池（10m³）预处理后，采用槽罐车外送至玉溪市第二污水处理厂处理</w:t>
                  </w:r>
                  <w:r>
                    <w:rPr>
                      <w:rFonts w:hint="default" w:ascii="Times New Roman" w:hAnsi="Times New Roman" w:eastAsia="宋体" w:cs="Times New Roman"/>
                      <w:color w:val="auto"/>
                      <w:kern w:val="0"/>
                      <w:sz w:val="21"/>
                      <w:szCs w:val="21"/>
                      <w:highlight w:val="none"/>
                      <w:vertAlign w:val="baseline"/>
                      <w:lang w:val="en-US" w:eastAsia="zh-CN" w:bidi="ar-SA"/>
                    </w:rPr>
                    <w:t>。因此，项目无废水外排。</w:t>
                  </w:r>
                </w:p>
              </w:tc>
              <w:tc>
                <w:tcPr>
                  <w:tcW w:w="583" w:type="pct"/>
                  <w:shd w:val="clear" w:color="auto" w:fill="auto"/>
                  <w:vAlign w:val="center"/>
                </w:tcPr>
                <w:p w14:paraId="16FDC401">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符合</w:t>
                  </w:r>
                </w:p>
              </w:tc>
            </w:tr>
            <w:tr w14:paraId="53D7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223A269F">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2EC8F5C6">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2.开展涉危险废物涉重金属企业、化工园区等重点领域环境风险调查评估，加强危险化学品运输全链条安全监管。完善环境应急管理体系，提升市县两级环境应急响应能力，推进应急物资库建设。开展涉铊企业排查整治行动。建立</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平战结合</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医疗废物应急处置体系。</w:t>
                  </w:r>
                </w:p>
              </w:tc>
              <w:tc>
                <w:tcPr>
                  <w:tcW w:w="1785" w:type="pct"/>
                  <w:shd w:val="clear" w:color="auto" w:fill="auto"/>
                  <w:vAlign w:val="center"/>
                </w:tcPr>
                <w:p w14:paraId="5350BD9F">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default" w:ascii="Times New Roman" w:hAnsi="Times New Roman" w:eastAsia="宋体" w:cs="Times New Roman"/>
                      <w:color w:val="auto"/>
                      <w:kern w:val="0"/>
                      <w:sz w:val="21"/>
                      <w:szCs w:val="21"/>
                      <w:highlight w:val="none"/>
                      <w:vertAlign w:val="baseline"/>
                      <w:lang w:val="en-US" w:eastAsia="zh-CN" w:bidi="ar-SA"/>
                    </w:rPr>
                    <w:t>本项目为塑料制品业，不涉及医疗废物，项目运营期间不会对水环境、大气环境造成污染，更不涉及重金属，项目产生的废机油</w:t>
                  </w:r>
                  <w:r>
                    <w:rPr>
                      <w:rFonts w:hint="eastAsia" w:cs="Times New Roman"/>
                      <w:color w:val="auto"/>
                      <w:kern w:val="0"/>
                      <w:sz w:val="21"/>
                      <w:szCs w:val="21"/>
                      <w:highlight w:val="none"/>
                      <w:vertAlign w:val="baseline"/>
                      <w:lang w:val="en-US" w:eastAsia="zh-CN" w:bidi="ar-SA"/>
                    </w:rPr>
                    <w:t>、</w:t>
                  </w:r>
                  <w:r>
                    <w:rPr>
                      <w:rFonts w:hint="default" w:ascii="Times New Roman" w:hAnsi="Times New Roman" w:eastAsia="宋体" w:cs="Times New Roman"/>
                      <w:color w:val="auto"/>
                      <w:kern w:val="0"/>
                      <w:sz w:val="21"/>
                      <w:szCs w:val="21"/>
                      <w:highlight w:val="none"/>
                      <w:vertAlign w:val="baseline"/>
                      <w:lang w:val="en-US" w:eastAsia="zh-CN" w:bidi="ar-SA"/>
                    </w:rPr>
                    <w:t>废</w:t>
                  </w:r>
                  <w:r>
                    <w:rPr>
                      <w:rFonts w:hint="eastAsia" w:ascii="Times New Roman" w:hAnsi="Times New Roman" w:eastAsia="宋体" w:cs="Times New Roman"/>
                      <w:color w:val="auto"/>
                      <w:kern w:val="0"/>
                      <w:sz w:val="21"/>
                      <w:szCs w:val="21"/>
                      <w:highlight w:val="none"/>
                      <w:vertAlign w:val="baseline"/>
                      <w:lang w:val="en-US" w:eastAsia="zh-CN" w:bidi="ar-SA"/>
                    </w:rPr>
                    <w:t>活性炭</w:t>
                  </w:r>
                  <w:r>
                    <w:rPr>
                      <w:rFonts w:hint="eastAsia" w:cs="Times New Roman"/>
                      <w:color w:val="auto"/>
                      <w:kern w:val="0"/>
                      <w:sz w:val="21"/>
                      <w:szCs w:val="21"/>
                      <w:highlight w:val="none"/>
                      <w:vertAlign w:val="baseline"/>
                      <w:lang w:val="en-US" w:eastAsia="zh-CN" w:bidi="ar-SA"/>
                    </w:rPr>
                    <w:t>等危险废物</w:t>
                  </w:r>
                  <w:r>
                    <w:rPr>
                      <w:rFonts w:hint="default" w:ascii="Times New Roman" w:hAnsi="Times New Roman" w:eastAsia="宋体" w:cs="Times New Roman"/>
                      <w:color w:val="auto"/>
                      <w:kern w:val="0"/>
                      <w:sz w:val="21"/>
                      <w:szCs w:val="21"/>
                      <w:highlight w:val="none"/>
                      <w:vertAlign w:val="baseline"/>
                      <w:lang w:val="en-US" w:eastAsia="zh-CN" w:bidi="ar-SA"/>
                    </w:rPr>
                    <w:t>均委托有资质的单位进行收集、转运和处置，</w:t>
                  </w:r>
                  <w:r>
                    <w:rPr>
                      <w:rFonts w:hint="eastAsia" w:ascii="Times New Roman" w:hAnsi="Times New Roman" w:eastAsia="宋体" w:cs="Times New Roman"/>
                      <w:color w:val="auto"/>
                      <w:kern w:val="0"/>
                      <w:sz w:val="21"/>
                      <w:szCs w:val="21"/>
                      <w:highlight w:val="none"/>
                      <w:vertAlign w:val="baseline"/>
                      <w:lang w:val="en-US" w:eastAsia="zh-CN" w:bidi="ar-SA"/>
                    </w:rPr>
                    <w:t>并</w:t>
                  </w:r>
                  <w:r>
                    <w:rPr>
                      <w:rFonts w:hint="default" w:ascii="Times New Roman" w:hAnsi="Times New Roman" w:eastAsia="宋体" w:cs="Times New Roman"/>
                      <w:color w:val="auto"/>
                      <w:kern w:val="0"/>
                      <w:sz w:val="21"/>
                      <w:szCs w:val="21"/>
                      <w:highlight w:val="none"/>
                      <w:vertAlign w:val="baseline"/>
                      <w:lang w:val="en-US" w:eastAsia="zh-CN" w:bidi="ar-SA"/>
                    </w:rPr>
                    <w:t>按照《企业事业单位突发环境事件应急预案备案管理办法（试行）》编制应急预案并报玉溪市生态环境局红塔分局备案。</w:t>
                  </w:r>
                </w:p>
              </w:tc>
              <w:tc>
                <w:tcPr>
                  <w:tcW w:w="583" w:type="pct"/>
                  <w:shd w:val="clear" w:color="auto" w:fill="auto"/>
                  <w:vAlign w:val="center"/>
                </w:tcPr>
                <w:p w14:paraId="41BBDBF8">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符合</w:t>
                  </w:r>
                </w:p>
              </w:tc>
            </w:tr>
            <w:tr w14:paraId="274C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restart"/>
                  <w:vAlign w:val="center"/>
                </w:tcPr>
                <w:p w14:paraId="10CA4481">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（四）资源开发效率要求</w:t>
                  </w:r>
                </w:p>
              </w:tc>
              <w:tc>
                <w:tcPr>
                  <w:tcW w:w="1939" w:type="pct"/>
                  <w:vAlign w:val="center"/>
                </w:tcPr>
                <w:p w14:paraId="62B0CC42">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1.降低水、土地、能源、矿产资源消耗强度，强化约束性指标管理。</w:t>
                  </w:r>
                </w:p>
              </w:tc>
              <w:tc>
                <w:tcPr>
                  <w:tcW w:w="1785" w:type="pct"/>
                  <w:vAlign w:val="center"/>
                </w:tcPr>
                <w:p w14:paraId="4AE584C0">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rPr>
                    <w:t>本项目生产用水由市政给水管供给、生活用水由市政给水管供给自来水，用水量较少；项目不单独新增占地，可降低土地资源消耗强度</w:t>
                  </w:r>
                  <w:r>
                    <w:rPr>
                      <w:rFonts w:hint="eastAsia" w:ascii="Times New Roman" w:hAnsi="Times New Roman" w:eastAsia="宋体" w:cs="Times New Roman"/>
                      <w:color w:val="auto"/>
                      <w:sz w:val="21"/>
                      <w:szCs w:val="21"/>
                      <w:highlight w:val="none"/>
                      <w:vertAlign w:val="baseline"/>
                      <w:lang w:eastAsia="zh-CN"/>
                    </w:rPr>
                    <w:t>。</w:t>
                  </w:r>
                </w:p>
              </w:tc>
              <w:tc>
                <w:tcPr>
                  <w:tcW w:w="583" w:type="pct"/>
                  <w:vAlign w:val="center"/>
                </w:tcPr>
                <w:p w14:paraId="247F7FF2">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23E10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630F86C8">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67DAC621">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rPr>
                    <w:t>2.实行最严格的水资源管理制度，严格用水总量、强度指标管理，严格取水管控，建立重点监控取水单位名录，强化重点监控取水单位管理。全市年用水总量、万元工业增加值用水量降幅等指标达到省考核要求</w:t>
                  </w:r>
                  <w:r>
                    <w:rPr>
                      <w:rFonts w:hint="eastAsia" w:ascii="Times New Roman" w:hAnsi="Times New Roman" w:eastAsia="宋体" w:cs="Times New Roman"/>
                      <w:color w:val="auto"/>
                      <w:sz w:val="21"/>
                      <w:szCs w:val="21"/>
                      <w:highlight w:val="none"/>
                      <w:vertAlign w:val="baseline"/>
                      <w:lang w:eastAsia="zh-CN"/>
                    </w:rPr>
                    <w:t>。</w:t>
                  </w:r>
                </w:p>
              </w:tc>
              <w:tc>
                <w:tcPr>
                  <w:tcW w:w="1785" w:type="pct"/>
                  <w:vAlign w:val="center"/>
                </w:tcPr>
                <w:p w14:paraId="0248A63E">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本项目生产用水、生活用水均由市政给水管供给；</w:t>
                  </w:r>
                  <w:r>
                    <w:rPr>
                      <w:rFonts w:hint="default" w:ascii="Times New Roman" w:hAnsi="Times New Roman" w:eastAsia="宋体" w:cs="Times New Roman"/>
                      <w:b w:val="0"/>
                      <w:bCs w:val="0"/>
                      <w:color w:val="auto"/>
                      <w:sz w:val="21"/>
                      <w:szCs w:val="21"/>
                      <w:highlight w:val="none"/>
                    </w:rPr>
                    <w:t>项目设备冷却水循环使用，不外排；办公</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生活污水依托云南三缘电缆有限公司化粪池（10m³）预处理后，采用槽罐车外送至玉溪市第二污水处理厂处理</w:t>
                  </w:r>
                  <w:r>
                    <w:rPr>
                      <w:rFonts w:hint="default" w:ascii="Times New Roman" w:hAnsi="Times New Roman" w:eastAsia="宋体" w:cs="Times New Roman"/>
                      <w:color w:val="auto"/>
                      <w:sz w:val="21"/>
                      <w:szCs w:val="21"/>
                      <w:highlight w:val="none"/>
                      <w:vertAlign w:val="baseline"/>
                    </w:rPr>
                    <w:t>。因此，项目无废水外排。</w:t>
                  </w:r>
                </w:p>
              </w:tc>
              <w:tc>
                <w:tcPr>
                  <w:tcW w:w="583" w:type="pct"/>
                  <w:vAlign w:val="center"/>
                </w:tcPr>
                <w:p w14:paraId="0D368196">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0B99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5A646478">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3A459380">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3.坚持最严格的耕地保护制度，守住耕地保护红线。坚持节约用地，严格执行耕地占补平衡等制度，提高土地投资强度和单位面积产出水平。</w:t>
                  </w:r>
                </w:p>
              </w:tc>
              <w:tc>
                <w:tcPr>
                  <w:tcW w:w="1785" w:type="pct"/>
                  <w:vAlign w:val="center"/>
                </w:tcPr>
                <w:p w14:paraId="6C462219">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rPr>
                    <w:t>项目位于云南省玉溪市红塔区研和街道贾井社区研和工业园区三缘电缆厂内，属于云南红塔产业园区研和片区地块一，</w:t>
                  </w:r>
                  <w:r>
                    <w:rPr>
                      <w:rFonts w:hint="eastAsia" w:ascii="Times New Roman" w:hAnsi="Times New Roman" w:eastAsia="宋体" w:cs="Times New Roman"/>
                      <w:color w:val="auto"/>
                      <w:sz w:val="21"/>
                      <w:szCs w:val="21"/>
                      <w:highlight w:val="none"/>
                      <w:vertAlign w:val="baseline"/>
                      <w:lang w:val="en-US" w:eastAsia="zh-CN"/>
                    </w:rPr>
                    <w:t>不涉及耕地。</w:t>
                  </w:r>
                </w:p>
              </w:tc>
              <w:tc>
                <w:tcPr>
                  <w:tcW w:w="583" w:type="pct"/>
                  <w:vAlign w:val="center"/>
                </w:tcPr>
                <w:p w14:paraId="71815F31">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4CE0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22A8E369">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078DFB67">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4.全市单位GDP二氧化碳排放累计下降率完成云南省下达的指标；单位GDP能耗持续下降，到2025年，全市单位GDP能耗累计下降率14%。</w:t>
                  </w:r>
                </w:p>
              </w:tc>
              <w:tc>
                <w:tcPr>
                  <w:tcW w:w="1785" w:type="pct"/>
                  <w:shd w:val="clear" w:color="auto" w:fill="auto"/>
                  <w:vAlign w:val="center"/>
                </w:tcPr>
                <w:p w14:paraId="7AC24C24">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本项目不涉及。</w:t>
                  </w:r>
                </w:p>
              </w:tc>
              <w:tc>
                <w:tcPr>
                  <w:tcW w:w="583" w:type="pct"/>
                  <w:shd w:val="clear" w:color="auto" w:fill="auto"/>
                  <w:vAlign w:val="center"/>
                </w:tcPr>
                <w:p w14:paraId="4D18EBA2">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w:t>
                  </w:r>
                </w:p>
              </w:tc>
            </w:tr>
            <w:tr w14:paraId="0071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6A73121C">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63EC33F7">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5.高污染燃料禁燃区按照《高污染燃料目录》及当地有关禁燃区管理规定执行。</w:t>
                  </w:r>
                </w:p>
              </w:tc>
              <w:tc>
                <w:tcPr>
                  <w:tcW w:w="1785" w:type="pct"/>
                  <w:vAlign w:val="center"/>
                </w:tcPr>
                <w:p w14:paraId="65A8CB5A">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本项目使用电能，不涉及高污染燃料。</w:t>
                  </w:r>
                </w:p>
              </w:tc>
              <w:tc>
                <w:tcPr>
                  <w:tcW w:w="583" w:type="pct"/>
                  <w:vAlign w:val="center"/>
                </w:tcPr>
                <w:p w14:paraId="19E5C7D2">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65343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137991A3">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39E99811">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6.实施高效节水灌溉工程，大力推广高效节水灌溉措施，到2025年，农田灌溉水有效利用系数达到0.55。</w:t>
                  </w:r>
                </w:p>
              </w:tc>
              <w:tc>
                <w:tcPr>
                  <w:tcW w:w="1785" w:type="pct"/>
                  <w:shd w:val="clear" w:color="auto" w:fill="auto"/>
                  <w:vAlign w:val="center"/>
                </w:tcPr>
                <w:p w14:paraId="37D78F9F">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本项目不涉及。</w:t>
                  </w:r>
                </w:p>
              </w:tc>
              <w:tc>
                <w:tcPr>
                  <w:tcW w:w="583" w:type="pct"/>
                  <w:shd w:val="clear" w:color="auto" w:fill="auto"/>
                  <w:vAlign w:val="center"/>
                </w:tcPr>
                <w:p w14:paraId="0E033B5F">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w:t>
                  </w:r>
                </w:p>
              </w:tc>
            </w:tr>
            <w:tr w14:paraId="4497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22C2683D">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二、重点管控单元生态环境准入清单</w:t>
                  </w:r>
                  <w:r>
                    <w:rPr>
                      <w:rFonts w:hint="eastAsia" w:ascii="Times New Roman" w:hAnsi="Times New Roman" w:eastAsia="宋体" w:cs="Times New Roman"/>
                      <w:color w:val="auto"/>
                      <w:sz w:val="21"/>
                      <w:szCs w:val="21"/>
                      <w:highlight w:val="none"/>
                      <w:vertAlign w:val="baseline"/>
                      <w:lang w:eastAsia="zh-CN"/>
                    </w:rPr>
                    <w:t>（红塔区产业园区重点管控单元）</w:t>
                  </w:r>
                </w:p>
              </w:tc>
            </w:tr>
            <w:tr w14:paraId="2EEF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restart"/>
                  <w:vAlign w:val="center"/>
                </w:tcPr>
                <w:p w14:paraId="61BBBA6B">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（一）空间布局约束</w:t>
                  </w:r>
                </w:p>
              </w:tc>
              <w:tc>
                <w:tcPr>
                  <w:tcW w:w="1939" w:type="pct"/>
                  <w:vAlign w:val="center"/>
                </w:tcPr>
                <w:p w14:paraId="6B3036D2">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1.合理规划产业分区和功能定位，禁止不符合产业政策、产业结构调整指导目录和园区规划要求的项目入园区。</w:t>
                  </w:r>
                </w:p>
              </w:tc>
              <w:tc>
                <w:tcPr>
                  <w:tcW w:w="1785" w:type="pct"/>
                  <w:vAlign w:val="center"/>
                </w:tcPr>
                <w:p w14:paraId="55134FC3">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rPr>
                    <w:t>项目位于云南省玉溪市红塔区研和街道贾井社区研和工业园区三缘电缆厂内，属于云南红塔产业园区研和片区地块一</w:t>
                  </w:r>
                  <w:r>
                    <w:rPr>
                      <w:rFonts w:hint="eastAsia" w:ascii="Times New Roman" w:hAnsi="Times New Roman" w:eastAsia="宋体" w:cs="Times New Roman"/>
                      <w:color w:val="auto"/>
                      <w:sz w:val="21"/>
                      <w:szCs w:val="21"/>
                      <w:highlight w:val="none"/>
                      <w:vertAlign w:val="baseline"/>
                      <w:lang w:eastAsia="zh-CN"/>
                    </w:rPr>
                    <w:t>，</w:t>
                  </w:r>
                  <w:r>
                    <w:rPr>
                      <w:rFonts w:hint="eastAsia" w:ascii="Times New Roman" w:hAnsi="Times New Roman" w:eastAsia="宋体" w:cs="Times New Roman"/>
                      <w:color w:val="auto"/>
                      <w:sz w:val="21"/>
                      <w:szCs w:val="21"/>
                      <w:highlight w:val="none"/>
                      <w:vertAlign w:val="baseline"/>
                      <w:lang w:val="en-US" w:eastAsia="zh-CN"/>
                    </w:rPr>
                    <w:t>2</w:t>
                  </w:r>
                  <w:r>
                    <w:rPr>
                      <w:rFonts w:hint="eastAsia" w:ascii="Times New Roman" w:hAnsi="Times New Roman" w:eastAsia="宋体" w:cs="Times New Roman"/>
                      <w:color w:val="auto"/>
                      <w:sz w:val="21"/>
                      <w:szCs w:val="21"/>
                      <w:highlight w:val="none"/>
                      <w:vertAlign w:val="baseline"/>
                      <w:lang w:eastAsia="zh-CN"/>
                    </w:rPr>
                    <w:t>025年8月6日，项目取得玉溪市红塔区发展和改革局核发的固定资产投资项目备案证，备案号：2508-530402-04-01-454327。2025年8月22日，取得云南红塔产业园区管理委员会核发的入园通知书，同意项目选址，</w:t>
                  </w:r>
                  <w:r>
                    <w:rPr>
                      <w:rFonts w:hint="eastAsia" w:ascii="Times New Roman" w:hAnsi="Times New Roman" w:eastAsia="宋体" w:cs="Times New Roman"/>
                      <w:color w:val="auto"/>
                      <w:sz w:val="21"/>
                      <w:szCs w:val="21"/>
                      <w:highlight w:val="none"/>
                      <w:vertAlign w:val="baseline"/>
                      <w:lang w:val="en-US" w:eastAsia="zh-CN"/>
                    </w:rPr>
                    <w:t>因此项目符合园区规划要求。</w:t>
                  </w:r>
                </w:p>
              </w:tc>
              <w:tc>
                <w:tcPr>
                  <w:tcW w:w="583" w:type="pct"/>
                  <w:vAlign w:val="center"/>
                </w:tcPr>
                <w:p w14:paraId="69285F2F">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00D0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054FD554">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62CFE67B">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2.红塔片区限制扩建水泥、化工等大气重污染型企业；限制以废水、高架点源废气为特征污染的工业企业入园。</w:t>
                  </w:r>
                </w:p>
              </w:tc>
              <w:tc>
                <w:tcPr>
                  <w:tcW w:w="1785" w:type="pct"/>
                  <w:vAlign w:val="center"/>
                </w:tcPr>
                <w:p w14:paraId="49BA16FB">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本项目位于研和片区</w:t>
                  </w:r>
                  <w:r>
                    <w:rPr>
                      <w:rFonts w:hint="eastAsia" w:cs="Times New Roman"/>
                      <w:color w:val="auto"/>
                      <w:sz w:val="21"/>
                      <w:szCs w:val="21"/>
                      <w:highlight w:val="none"/>
                      <w:vertAlign w:val="baseline"/>
                      <w:lang w:val="en-US" w:eastAsia="zh-CN"/>
                    </w:rPr>
                    <w:t>地块一</w:t>
                  </w:r>
                  <w:r>
                    <w:rPr>
                      <w:rFonts w:hint="default" w:ascii="Times New Roman" w:hAnsi="Times New Roman" w:eastAsia="宋体" w:cs="Times New Roman"/>
                      <w:color w:val="auto"/>
                      <w:sz w:val="21"/>
                      <w:szCs w:val="21"/>
                      <w:highlight w:val="none"/>
                      <w:vertAlign w:val="baseline"/>
                    </w:rPr>
                    <w:t>，且本项目不属于水泥、化工等大气重污染型企业，不属于以废水、高架点源废气为特征污染的工业企业。</w:t>
                  </w:r>
                </w:p>
              </w:tc>
              <w:tc>
                <w:tcPr>
                  <w:tcW w:w="583" w:type="pct"/>
                  <w:vAlign w:val="center"/>
                </w:tcPr>
                <w:p w14:paraId="4A0E53B0">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60C5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0674F31D">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1C7938D4">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3.九龙片区、南片区、大营街地块、莲池地块、卧牛山地块、青龙山地块禁止高风险、高污染行业以及《云南省城镇人口密集区危险化学品生产企业搬迁改造实施方案》中相关企业入驻，禁止布局排放有毒有害气体的项目。</w:t>
                  </w:r>
                </w:p>
              </w:tc>
              <w:tc>
                <w:tcPr>
                  <w:tcW w:w="1785" w:type="pct"/>
                  <w:vAlign w:val="center"/>
                </w:tcPr>
                <w:p w14:paraId="2AEF44C8">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rPr>
                    <w:t>本项目位于研和片区地块</w:t>
                  </w:r>
                  <w:r>
                    <w:rPr>
                      <w:rFonts w:hint="eastAsia" w:cs="Times New Roman"/>
                      <w:color w:val="auto"/>
                      <w:sz w:val="21"/>
                      <w:szCs w:val="21"/>
                      <w:highlight w:val="none"/>
                      <w:vertAlign w:val="baseline"/>
                      <w:lang w:val="en-US" w:eastAsia="zh-CN"/>
                    </w:rPr>
                    <w:t>一</w:t>
                  </w:r>
                  <w:r>
                    <w:rPr>
                      <w:rFonts w:hint="default" w:ascii="Times New Roman" w:hAnsi="Times New Roman" w:eastAsia="宋体" w:cs="Times New Roman"/>
                      <w:color w:val="auto"/>
                      <w:sz w:val="21"/>
                      <w:szCs w:val="21"/>
                      <w:highlight w:val="none"/>
                      <w:vertAlign w:val="baseline"/>
                    </w:rPr>
                    <w:t>，且项目不属于高风险、高污染行业以及《云南省城镇人口密集区危险化学品生产企业搬迁改造实施方案》中相关企业</w:t>
                  </w:r>
                  <w:r>
                    <w:rPr>
                      <w:rFonts w:hint="eastAsia" w:ascii="Times New Roman" w:hAnsi="Times New Roman" w:eastAsia="宋体" w:cs="Times New Roman"/>
                      <w:color w:val="auto"/>
                      <w:sz w:val="21"/>
                      <w:szCs w:val="21"/>
                      <w:highlight w:val="none"/>
                      <w:vertAlign w:val="baseline"/>
                      <w:lang w:eastAsia="zh-CN"/>
                    </w:rPr>
                    <w:t>。</w:t>
                  </w:r>
                </w:p>
              </w:tc>
              <w:tc>
                <w:tcPr>
                  <w:tcW w:w="583" w:type="pct"/>
                  <w:vAlign w:val="center"/>
                </w:tcPr>
                <w:p w14:paraId="02729701">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5A4B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4B247A91">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1EB828DB">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4.研和片区地块一、核心区南片区、红塔片区禁止新增三类工业项目。金属冶炼项目总规模不得新增，新增金属冶炼项目必须严格落实产能减量置换、污染物削减方案要求，污染物排放必须满足超低排放要求。</w:t>
                  </w:r>
                </w:p>
              </w:tc>
              <w:tc>
                <w:tcPr>
                  <w:tcW w:w="1785" w:type="pct"/>
                  <w:vAlign w:val="center"/>
                </w:tcPr>
                <w:p w14:paraId="12673375">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eastAsia" w:ascii="Times New Roman" w:hAnsi="Times New Roman" w:eastAsia="宋体" w:cs="Times New Roman"/>
                      <w:color w:val="auto"/>
                      <w:sz w:val="21"/>
                      <w:szCs w:val="21"/>
                      <w:highlight w:val="none"/>
                      <w:vertAlign w:val="baseline"/>
                      <w:lang w:val="en-US" w:eastAsia="zh-CN"/>
                    </w:rPr>
                    <w:t>项目</w:t>
                  </w:r>
                  <w:r>
                    <w:rPr>
                      <w:rFonts w:hint="default" w:ascii="Times New Roman" w:hAnsi="Times New Roman" w:eastAsia="宋体" w:cs="Times New Roman"/>
                      <w:color w:val="auto"/>
                      <w:sz w:val="21"/>
                      <w:szCs w:val="21"/>
                      <w:highlight w:val="none"/>
                      <w:vertAlign w:val="baseline"/>
                    </w:rPr>
                    <w:t>属于云南红塔产业园区研和片区地块一</w:t>
                  </w:r>
                  <w:r>
                    <w:rPr>
                      <w:rFonts w:hint="eastAsia" w:ascii="Times New Roman" w:hAnsi="Times New Roman" w:eastAsia="宋体"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本项目为塑料制品业</w:t>
                  </w:r>
                  <w:r>
                    <w:rPr>
                      <w:rFonts w:hint="eastAsia" w:cs="Times New Roman"/>
                      <w:color w:val="auto"/>
                      <w:sz w:val="21"/>
                      <w:szCs w:val="21"/>
                      <w:highlight w:val="none"/>
                      <w:vertAlign w:val="baseline"/>
                      <w:lang w:eastAsia="zh-CN"/>
                    </w:rPr>
                    <w:t>，</w:t>
                  </w:r>
                  <w:r>
                    <w:rPr>
                      <w:rFonts w:hint="eastAsia" w:ascii="Times New Roman" w:hAnsi="Times New Roman" w:eastAsia="宋体" w:cs="Times New Roman"/>
                      <w:color w:val="auto"/>
                      <w:sz w:val="21"/>
                      <w:szCs w:val="21"/>
                      <w:highlight w:val="none"/>
                      <w:vertAlign w:val="baseline"/>
                      <w:lang w:val="en-US" w:eastAsia="zh-CN"/>
                    </w:rPr>
                    <w:t>不属于</w:t>
                  </w:r>
                  <w:r>
                    <w:rPr>
                      <w:rFonts w:hint="eastAsia" w:ascii="Times New Roman" w:hAnsi="Times New Roman" w:eastAsia="宋体" w:cs="Times New Roman"/>
                      <w:color w:val="auto"/>
                      <w:sz w:val="21"/>
                      <w:szCs w:val="21"/>
                      <w:highlight w:val="none"/>
                      <w:vertAlign w:val="baseline"/>
                      <w:lang w:eastAsia="zh-CN"/>
                    </w:rPr>
                    <w:t>三类工业项目，且项目不属于金属冶炼项目。</w:t>
                  </w:r>
                </w:p>
              </w:tc>
              <w:tc>
                <w:tcPr>
                  <w:tcW w:w="583" w:type="pct"/>
                  <w:vAlign w:val="center"/>
                </w:tcPr>
                <w:p w14:paraId="5AAB64B7">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2BBC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2B01E730">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5598DBAB">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5.研和片区禁止使用高污染燃料及涉及重金属排放的企业入驻。装备制造产业禁止投资电镀、金属表面处理等排放重金属废水、废气项目。禁止布局有色金属冶炼，禁止新增粗钢、生铁冶炼产能，金属冶炼及制品加工行业尽量布局完善产业链，促进园区金属冶炼行业转型升级。同时与周边居住区间需保留足够的防护距离。</w:t>
                  </w:r>
                </w:p>
              </w:tc>
              <w:tc>
                <w:tcPr>
                  <w:tcW w:w="1785" w:type="pct"/>
                  <w:vAlign w:val="center"/>
                </w:tcPr>
                <w:p w14:paraId="2A07B7F2">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rPr>
                    <w:t>本项目使用电能，不</w:t>
                  </w:r>
                  <w:r>
                    <w:rPr>
                      <w:rFonts w:hint="eastAsia" w:ascii="Times New Roman" w:hAnsi="Times New Roman" w:eastAsia="宋体" w:cs="Times New Roman"/>
                      <w:color w:val="auto"/>
                      <w:sz w:val="21"/>
                      <w:szCs w:val="21"/>
                      <w:highlight w:val="none"/>
                      <w:vertAlign w:val="baseline"/>
                      <w:lang w:val="en-US" w:eastAsia="zh-CN"/>
                    </w:rPr>
                    <w:t>使用</w:t>
                  </w:r>
                  <w:r>
                    <w:rPr>
                      <w:rFonts w:hint="default" w:ascii="Times New Roman" w:hAnsi="Times New Roman" w:eastAsia="宋体" w:cs="Times New Roman"/>
                      <w:color w:val="auto"/>
                      <w:sz w:val="21"/>
                      <w:szCs w:val="21"/>
                      <w:highlight w:val="none"/>
                      <w:vertAlign w:val="baseline"/>
                    </w:rPr>
                    <w:t>高污染燃料，且本项目不涉及重金属排放。不涉及重金属、粗钢、生铁冶炼。本项目厂界外500米范围内无大气环境保护目标</w:t>
                  </w:r>
                  <w:r>
                    <w:rPr>
                      <w:rFonts w:hint="eastAsia" w:ascii="Times New Roman" w:hAnsi="Times New Roman" w:eastAsia="宋体" w:cs="Times New Roman"/>
                      <w:color w:val="auto"/>
                      <w:sz w:val="21"/>
                      <w:szCs w:val="21"/>
                      <w:highlight w:val="none"/>
                      <w:vertAlign w:val="baseline"/>
                      <w:lang w:val="en-US" w:eastAsia="zh-CN"/>
                    </w:rPr>
                    <w:t>。</w:t>
                  </w:r>
                </w:p>
              </w:tc>
              <w:tc>
                <w:tcPr>
                  <w:tcW w:w="583" w:type="pct"/>
                  <w:vAlign w:val="center"/>
                </w:tcPr>
                <w:p w14:paraId="748AD924">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4813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35981CCE">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6C25DBE7">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6.太标钢铁加快布局特种钢材铸造等黑色金属精深加工，完成超低排放改造和产能置换。新兴钢铁、玉昆钢铁、汇溪金属完成搬迁升级改造。</w:t>
                  </w:r>
                </w:p>
              </w:tc>
              <w:tc>
                <w:tcPr>
                  <w:tcW w:w="1785" w:type="pct"/>
                  <w:shd w:val="clear" w:color="auto" w:fill="auto"/>
                  <w:vAlign w:val="center"/>
                </w:tcPr>
                <w:p w14:paraId="1A0A7F60">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本项目不涉及。</w:t>
                  </w:r>
                </w:p>
              </w:tc>
              <w:tc>
                <w:tcPr>
                  <w:tcW w:w="583" w:type="pct"/>
                  <w:shd w:val="clear" w:color="auto" w:fill="auto"/>
                  <w:vAlign w:val="center"/>
                </w:tcPr>
                <w:p w14:paraId="76DFC72C">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w:t>
                  </w:r>
                </w:p>
              </w:tc>
            </w:tr>
            <w:tr w14:paraId="2D4A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4349CEC6">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018439BE">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7.生物医药大健康产业禁止投资新建药品、食品、饲料、化妆品等用途的维生素B1、维生素B2、维生素B12、维生素E原料生产装置。</w:t>
                  </w:r>
                </w:p>
              </w:tc>
              <w:tc>
                <w:tcPr>
                  <w:tcW w:w="1785" w:type="pct"/>
                  <w:shd w:val="clear" w:color="auto" w:fill="auto"/>
                  <w:vAlign w:val="center"/>
                </w:tcPr>
                <w:p w14:paraId="368BF7CC">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本项目不涉及。</w:t>
                  </w:r>
                </w:p>
              </w:tc>
              <w:tc>
                <w:tcPr>
                  <w:tcW w:w="583" w:type="pct"/>
                  <w:shd w:val="clear" w:color="auto" w:fill="auto"/>
                  <w:vAlign w:val="center"/>
                </w:tcPr>
                <w:p w14:paraId="041F60F4">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w:t>
                  </w:r>
                </w:p>
              </w:tc>
            </w:tr>
            <w:tr w14:paraId="7283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5CC89FCD">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26F06592">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8.在玉溪大河、石邑河水质达标前，核心区、研和片区禁止引入高废水产生的项目。</w:t>
                  </w:r>
                </w:p>
              </w:tc>
              <w:tc>
                <w:tcPr>
                  <w:tcW w:w="1785" w:type="pct"/>
                  <w:vAlign w:val="center"/>
                </w:tcPr>
                <w:p w14:paraId="5C6B8636">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rPr>
                    <w:t>项目设备冷却水循环使用，不外排</w:t>
                  </w:r>
                  <w:r>
                    <w:rPr>
                      <w:rFonts w:hint="eastAsia" w:ascii="Times New Roman" w:hAnsi="Times New Roman" w:eastAsia="宋体" w:cs="Times New Roman"/>
                      <w:color w:val="auto"/>
                      <w:sz w:val="21"/>
                      <w:szCs w:val="21"/>
                      <w:highlight w:val="none"/>
                      <w:vertAlign w:val="baseline"/>
                      <w:lang w:eastAsia="zh-CN"/>
                    </w:rPr>
                    <w:t>。</w:t>
                  </w:r>
                </w:p>
              </w:tc>
              <w:tc>
                <w:tcPr>
                  <w:tcW w:w="583" w:type="pct"/>
                  <w:vAlign w:val="center"/>
                </w:tcPr>
                <w:p w14:paraId="68F865F0">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488F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restart"/>
                  <w:vAlign w:val="center"/>
                </w:tcPr>
                <w:p w14:paraId="77AB2BBF">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（二）污染物排放管控</w:t>
                  </w:r>
                </w:p>
              </w:tc>
              <w:tc>
                <w:tcPr>
                  <w:tcW w:w="1939" w:type="pct"/>
                  <w:vAlign w:val="center"/>
                </w:tcPr>
                <w:p w14:paraId="528422FC">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1.加强控制颗粒物的排放，红塔片区、南片区维持现状水平，污染排放等量或减量替代，不允许新增大气污染物。</w:t>
                  </w:r>
                </w:p>
              </w:tc>
              <w:tc>
                <w:tcPr>
                  <w:tcW w:w="1785" w:type="pct"/>
                  <w:shd w:val="clear" w:color="auto" w:fill="auto"/>
                  <w:vAlign w:val="center"/>
                </w:tcPr>
                <w:p w14:paraId="6271377F">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本项目不涉及。</w:t>
                  </w:r>
                </w:p>
              </w:tc>
              <w:tc>
                <w:tcPr>
                  <w:tcW w:w="583" w:type="pct"/>
                  <w:shd w:val="clear" w:color="auto" w:fill="auto"/>
                  <w:vAlign w:val="center"/>
                </w:tcPr>
                <w:p w14:paraId="0415D3E2">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w:t>
                  </w:r>
                </w:p>
              </w:tc>
            </w:tr>
            <w:tr w14:paraId="415F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464C2E00">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6B5EE41B">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2.入驻企业采用低（无）VOCs含量、低反应活性的原辅材料，加快对芳香烃、含卤素有机化合物的绿色替代，全面加强无组织排放控制，新建治污设施或对现有治污设施实施改造，有效降低VOCs的排放量。</w:t>
                  </w:r>
                </w:p>
              </w:tc>
              <w:tc>
                <w:tcPr>
                  <w:tcW w:w="1785" w:type="pct"/>
                  <w:vAlign w:val="center"/>
                </w:tcPr>
                <w:p w14:paraId="5EE7DEE4">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项目采用低VOCs含量、低反应活性的原辅材料，不使用含芳香烃、含卤素有机化合物。</w:t>
                  </w:r>
                  <w:r>
                    <w:rPr>
                      <w:rFonts w:hint="default" w:ascii="Times New Roman" w:hAnsi="Times New Roman" w:eastAsia="宋体" w:cs="Times New Roman"/>
                      <w:color w:val="auto"/>
                      <w:sz w:val="21"/>
                      <w:szCs w:val="21"/>
                      <w:highlight w:val="none"/>
                    </w:rPr>
                    <w:t>本项目</w:t>
                  </w:r>
                  <w:r>
                    <w:rPr>
                      <w:rFonts w:hint="eastAsia" w:cs="Times New Roman"/>
                      <w:color w:val="auto"/>
                      <w:sz w:val="21"/>
                      <w:szCs w:val="21"/>
                      <w:highlight w:val="none"/>
                      <w:lang w:val="en-US" w:eastAsia="zh-CN"/>
                    </w:rPr>
                    <w:t>生产</w:t>
                  </w:r>
                  <w:r>
                    <w:rPr>
                      <w:rFonts w:hint="default" w:ascii="Times New Roman" w:hAnsi="Times New Roman" w:eastAsia="宋体" w:cs="Times New Roman"/>
                      <w:color w:val="auto"/>
                      <w:sz w:val="21"/>
                      <w:szCs w:val="21"/>
                      <w:highlight w:val="none"/>
                    </w:rPr>
                    <w:t>过程中产生的</w:t>
                  </w:r>
                  <w:r>
                    <w:rPr>
                      <w:rFonts w:hint="eastAsia" w:cs="Times New Roman"/>
                      <w:color w:val="auto"/>
                      <w:sz w:val="21"/>
                      <w:szCs w:val="21"/>
                      <w:highlight w:val="none"/>
                      <w:lang w:val="en-US" w:eastAsia="zh-CN"/>
                    </w:rPr>
                    <w:t>塑料废气（以非甲烷总烃计）</w:t>
                  </w:r>
                  <w:r>
                    <w:rPr>
                      <w:rFonts w:hint="default" w:ascii="Times New Roman" w:hAnsi="Times New Roman" w:eastAsia="宋体" w:cs="Times New Roman"/>
                      <w:color w:val="auto"/>
                      <w:sz w:val="21"/>
                      <w:szCs w:val="21"/>
                      <w:highlight w:val="none"/>
                    </w:rPr>
                    <w:t>经</w:t>
                  </w:r>
                  <w:r>
                    <w:rPr>
                      <w:rFonts w:hint="eastAsia" w:cs="Times New Roman"/>
                      <w:color w:val="auto"/>
                      <w:sz w:val="21"/>
                      <w:szCs w:val="21"/>
                      <w:highlight w:val="none"/>
                      <w:lang w:val="en-US" w:eastAsia="zh-CN"/>
                    </w:rPr>
                    <w:t>包围型集气罩（含软帘）</w:t>
                  </w:r>
                  <w:r>
                    <w:rPr>
                      <w:rFonts w:hint="default" w:ascii="Times New Roman" w:hAnsi="Times New Roman" w:eastAsia="宋体" w:cs="Times New Roman"/>
                      <w:color w:val="auto"/>
                      <w:sz w:val="21"/>
                      <w:szCs w:val="21"/>
                      <w:highlight w:val="none"/>
                    </w:rPr>
                    <w:t>收集，经管道引入1套废气处理设施（活性炭吸附浓缩+CO处理工艺）（TA001）进行处理，处理后通过1根</w:t>
                  </w:r>
                  <w:r>
                    <w:rPr>
                      <w:rFonts w:hint="eastAsia"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m高排气筒排放（DA001）</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印刷废气经包围型集气罩（含软帘）收集，经管道引入1套废气处理设施（二级活性炭吸附）（TA002）进行处理，处理后通过1根20m高排气筒排放（DA002）。</w:t>
                  </w:r>
                </w:p>
              </w:tc>
              <w:tc>
                <w:tcPr>
                  <w:tcW w:w="583" w:type="pct"/>
                  <w:vAlign w:val="center"/>
                </w:tcPr>
                <w:p w14:paraId="678E6913">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0973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1B273AC4">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2B2CB1B4">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3.钢铁企业按照超低排放要求，配套建设高效脱硫、脱硝、除尘设施，落实物料储存、输送及生产工艺过程无组织排放管控措施，大宗物料和产品采取清洁方式运输，加强企业污染排放监测监控。</w:t>
                  </w:r>
                </w:p>
              </w:tc>
              <w:tc>
                <w:tcPr>
                  <w:tcW w:w="1785" w:type="pct"/>
                  <w:vAlign w:val="center"/>
                </w:tcPr>
                <w:p w14:paraId="591A266D">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rPr>
                    <w:t>本项目不属于钢铁企业</w:t>
                  </w:r>
                  <w:r>
                    <w:rPr>
                      <w:rFonts w:hint="eastAsia" w:ascii="Times New Roman" w:hAnsi="Times New Roman" w:eastAsia="宋体" w:cs="Times New Roman"/>
                      <w:color w:val="auto"/>
                      <w:sz w:val="21"/>
                      <w:szCs w:val="21"/>
                      <w:highlight w:val="none"/>
                      <w:vertAlign w:val="baseline"/>
                      <w:lang w:eastAsia="zh-CN"/>
                    </w:rPr>
                    <w:t>。</w:t>
                  </w:r>
                </w:p>
              </w:tc>
              <w:tc>
                <w:tcPr>
                  <w:tcW w:w="583" w:type="pct"/>
                  <w:vAlign w:val="center"/>
                </w:tcPr>
                <w:p w14:paraId="3EB83546">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w:t>
                  </w:r>
                </w:p>
              </w:tc>
            </w:tr>
            <w:tr w14:paraId="6981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6E107294">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5375CE73">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4.研和片区污水处理厂未建成前，企业废水自行处置后回用，不外排；污水处理厂投入运行后，企业外排废水实行受纳水体超标因子1.5—2倍削减替代。南片区、九龙片区、大营街地块、观音山地块、莲池地块等区域污水进入第三污水处理厂。</w:t>
                  </w:r>
                </w:p>
              </w:tc>
              <w:tc>
                <w:tcPr>
                  <w:tcW w:w="1785" w:type="pct"/>
                  <w:vAlign w:val="center"/>
                </w:tcPr>
                <w:p w14:paraId="01678413">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rPr>
                    <w:t>项目设备冷却水循环使用，不外排；办公</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生活污水依托云南三缘电缆有限公司化粪池（10m³）预处理后，采用槽罐车外送至玉溪市第二污水处理厂处理</w:t>
                  </w:r>
                  <w:r>
                    <w:rPr>
                      <w:rFonts w:hint="default" w:ascii="Times New Roman" w:hAnsi="Times New Roman" w:eastAsia="宋体" w:cs="Times New Roman"/>
                      <w:color w:val="auto"/>
                      <w:sz w:val="21"/>
                      <w:szCs w:val="21"/>
                      <w:highlight w:val="none"/>
                      <w:vertAlign w:val="baseline"/>
                    </w:rPr>
                    <w:t>。因此，项目无废水外排</w:t>
                  </w:r>
                  <w:r>
                    <w:rPr>
                      <w:rFonts w:hint="eastAsia" w:ascii="Times New Roman" w:hAnsi="Times New Roman" w:eastAsia="宋体" w:cs="Times New Roman"/>
                      <w:color w:val="auto"/>
                      <w:sz w:val="21"/>
                      <w:szCs w:val="21"/>
                      <w:highlight w:val="none"/>
                      <w:vertAlign w:val="baseline"/>
                      <w:lang w:eastAsia="zh-CN"/>
                    </w:rPr>
                    <w:t>。</w:t>
                  </w:r>
                </w:p>
              </w:tc>
              <w:tc>
                <w:tcPr>
                  <w:tcW w:w="583" w:type="pct"/>
                  <w:vAlign w:val="center"/>
                </w:tcPr>
                <w:p w14:paraId="1540D1BC">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5EB7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restart"/>
                  <w:vAlign w:val="center"/>
                </w:tcPr>
                <w:p w14:paraId="16FE8A68">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（三）环境风险防控</w:t>
                  </w:r>
                </w:p>
              </w:tc>
              <w:tc>
                <w:tcPr>
                  <w:tcW w:w="1939" w:type="pct"/>
                  <w:vAlign w:val="center"/>
                </w:tcPr>
                <w:p w14:paraId="7259F20F">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1.九龙片区不得在飞井海水库流域范围内新建扩建对水体污染严重的项目，防止出现飞井海水库的污染风险。</w:t>
                  </w:r>
                </w:p>
              </w:tc>
              <w:tc>
                <w:tcPr>
                  <w:tcW w:w="1785" w:type="pct"/>
                  <w:shd w:val="clear" w:color="auto" w:fill="auto"/>
                  <w:vAlign w:val="center"/>
                </w:tcPr>
                <w:p w14:paraId="710DC512">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本项目不涉及。</w:t>
                  </w:r>
                </w:p>
              </w:tc>
              <w:tc>
                <w:tcPr>
                  <w:tcW w:w="583" w:type="pct"/>
                  <w:shd w:val="clear" w:color="auto" w:fill="auto"/>
                  <w:vAlign w:val="center"/>
                </w:tcPr>
                <w:p w14:paraId="611091FB">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w:t>
                  </w:r>
                </w:p>
              </w:tc>
            </w:tr>
            <w:tr w14:paraId="40403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4D765B34">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1742B36A">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2.研和片区慎重布局危险化学品仓储设施和污水处理设施等对地下水存在较大环境风险的设施。</w:t>
                  </w:r>
                </w:p>
              </w:tc>
              <w:tc>
                <w:tcPr>
                  <w:tcW w:w="1785" w:type="pct"/>
                  <w:vAlign w:val="center"/>
                </w:tcPr>
                <w:p w14:paraId="6E30FD3B">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本项目不涉及危险化学品仓储设施和污水处理设施。</w:t>
                  </w:r>
                </w:p>
              </w:tc>
              <w:tc>
                <w:tcPr>
                  <w:tcW w:w="583" w:type="pct"/>
                  <w:vAlign w:val="center"/>
                </w:tcPr>
                <w:p w14:paraId="1BE504FD">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w:t>
                  </w:r>
                </w:p>
              </w:tc>
            </w:tr>
            <w:tr w14:paraId="0CDC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289E0B01">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35E6BC26">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3.岩溶发育区域，应严格落实分区防渗要求，不宜布置日常储量构成重大危险源的使用危险化学品的项目。区域设置地下水监测井定期监测，防止事故情况下污染区域地下水。</w:t>
                  </w:r>
                </w:p>
              </w:tc>
              <w:tc>
                <w:tcPr>
                  <w:tcW w:w="1785" w:type="pct"/>
                  <w:vAlign w:val="center"/>
                </w:tcPr>
                <w:p w14:paraId="4CC08742">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rPr>
                    <w:t>根据《云南红塔产业园区总体规划修编（2021-2035年）环境影响报告书》：</w:t>
                  </w:r>
                  <w:r>
                    <w:rPr>
                      <w:rFonts w:hint="eastAsia" w:cs="Times New Roman"/>
                      <w:color w:val="auto"/>
                      <w:sz w:val="21"/>
                      <w:szCs w:val="21"/>
                      <w:highlight w:val="none"/>
                      <w:vertAlign w:val="baseline"/>
                      <w:lang w:val="en-US" w:eastAsia="zh-CN"/>
                    </w:rPr>
                    <w:t>云南红塔产业园</w:t>
                  </w:r>
                  <w:r>
                    <w:rPr>
                      <w:rFonts w:hint="default" w:ascii="Times New Roman" w:hAnsi="Times New Roman" w:eastAsia="宋体" w:cs="Times New Roman"/>
                      <w:color w:val="auto"/>
                      <w:sz w:val="21"/>
                      <w:szCs w:val="21"/>
                      <w:highlight w:val="none"/>
                      <w:vertAlign w:val="baseline"/>
                    </w:rPr>
                    <w:t>区研和片区地块二、地块四区域存在岩溶含水层分布</w:t>
                  </w:r>
                  <w:r>
                    <w:rPr>
                      <w:rFonts w:hint="eastAsia" w:ascii="Times New Roman" w:hAnsi="Times New Roman" w:eastAsia="宋体"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项目位于云南省玉溪市红塔区研和街道贾井社区研和工业园区三缘电缆厂内，属于云南红塔产业园区研和片区地块一</w:t>
                  </w:r>
                  <w:r>
                    <w:rPr>
                      <w:rFonts w:hint="eastAsia" w:ascii="Times New Roman" w:hAnsi="Times New Roman" w:eastAsia="宋体" w:cs="Times New Roman"/>
                      <w:color w:val="auto"/>
                      <w:sz w:val="21"/>
                      <w:szCs w:val="21"/>
                      <w:highlight w:val="none"/>
                      <w:vertAlign w:val="baseline"/>
                      <w:lang w:eastAsia="zh-CN"/>
                    </w:rPr>
                    <w:t>，</w:t>
                  </w:r>
                  <w:r>
                    <w:rPr>
                      <w:rFonts w:hint="eastAsia" w:ascii="Times New Roman" w:hAnsi="Times New Roman" w:eastAsia="宋体" w:cs="Times New Roman"/>
                      <w:color w:val="auto"/>
                      <w:sz w:val="21"/>
                      <w:szCs w:val="21"/>
                      <w:highlight w:val="none"/>
                      <w:vertAlign w:val="baseline"/>
                      <w:lang w:val="en-US" w:eastAsia="zh-CN"/>
                    </w:rPr>
                    <w:t>不涉及。</w:t>
                  </w:r>
                </w:p>
              </w:tc>
              <w:tc>
                <w:tcPr>
                  <w:tcW w:w="583" w:type="pct"/>
                  <w:vAlign w:val="center"/>
                </w:tcPr>
                <w:p w14:paraId="2BF23539">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w:t>
                  </w:r>
                </w:p>
              </w:tc>
            </w:tr>
            <w:tr w14:paraId="656D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0BE66031">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16DCF57A">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4.居民分布密集区和学校周边区域不宜布置日常储量构成重大危险源的使用危险化学品的项目。</w:t>
                  </w:r>
                </w:p>
              </w:tc>
              <w:tc>
                <w:tcPr>
                  <w:tcW w:w="1785" w:type="pct"/>
                  <w:vAlign w:val="center"/>
                </w:tcPr>
                <w:p w14:paraId="7E72C8C4">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项目不涉及危险化学品。</w:t>
                  </w:r>
                </w:p>
              </w:tc>
              <w:tc>
                <w:tcPr>
                  <w:tcW w:w="583" w:type="pct"/>
                  <w:vAlign w:val="center"/>
                </w:tcPr>
                <w:p w14:paraId="2D41BE56">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287B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30852DAC">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1B1BF751">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5.工业企业应有完善的风险防范措施，其最大可信事故半致死浓度范围内不得有居民点存在。</w:t>
                  </w:r>
                </w:p>
              </w:tc>
              <w:tc>
                <w:tcPr>
                  <w:tcW w:w="1785" w:type="pct"/>
                  <w:vAlign w:val="center"/>
                </w:tcPr>
                <w:p w14:paraId="750A2EB0">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本项目严格按照《危险废物贮存污染控制标准》（GB</w:t>
                  </w:r>
                  <w:r>
                    <w:rPr>
                      <w:rFonts w:hint="eastAsia" w:cs="Times New Roman"/>
                      <w:color w:val="auto"/>
                      <w:sz w:val="21"/>
                      <w:szCs w:val="21"/>
                      <w:highlight w:val="none"/>
                      <w:vertAlign w:val="baseline"/>
                      <w:lang w:val="en-US" w:eastAsia="zh-CN"/>
                    </w:rPr>
                    <w:t xml:space="preserve"> </w:t>
                  </w:r>
                  <w:r>
                    <w:rPr>
                      <w:rFonts w:hint="default" w:ascii="Times New Roman" w:hAnsi="Times New Roman" w:eastAsia="宋体" w:cs="Times New Roman"/>
                      <w:color w:val="auto"/>
                      <w:sz w:val="21"/>
                      <w:szCs w:val="21"/>
                      <w:highlight w:val="none"/>
                      <w:vertAlign w:val="baseline"/>
                    </w:rPr>
                    <w:t>18597-2023）的要求新建危险废物暂存</w:t>
                  </w:r>
                  <w:r>
                    <w:rPr>
                      <w:rFonts w:hint="eastAsia" w:cs="Times New Roman"/>
                      <w:color w:val="auto"/>
                      <w:sz w:val="21"/>
                      <w:szCs w:val="21"/>
                      <w:highlight w:val="none"/>
                      <w:vertAlign w:val="baseline"/>
                      <w:lang w:val="en-US" w:eastAsia="zh-CN"/>
                    </w:rPr>
                    <w:t>间</w:t>
                  </w:r>
                  <w:r>
                    <w:rPr>
                      <w:rFonts w:hint="default" w:ascii="Times New Roman" w:hAnsi="Times New Roman" w:eastAsia="宋体" w:cs="Times New Roman"/>
                      <w:color w:val="auto"/>
                      <w:sz w:val="21"/>
                      <w:szCs w:val="21"/>
                      <w:highlight w:val="none"/>
                      <w:vertAlign w:val="baseline"/>
                    </w:rPr>
                    <w:t>，废活性炭</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废机油</w:t>
                  </w:r>
                  <w:r>
                    <w:rPr>
                      <w:rFonts w:hint="eastAsia" w:cs="Times New Roman"/>
                      <w:color w:val="auto"/>
                      <w:sz w:val="21"/>
                      <w:szCs w:val="21"/>
                      <w:highlight w:val="none"/>
                      <w:vertAlign w:val="baseline"/>
                      <w:lang w:val="en-US" w:eastAsia="zh-CN"/>
                    </w:rPr>
                    <w:t>等危险废物</w:t>
                  </w:r>
                  <w:r>
                    <w:rPr>
                      <w:rFonts w:hint="default" w:ascii="Times New Roman" w:hAnsi="Times New Roman" w:eastAsia="宋体" w:cs="Times New Roman"/>
                      <w:color w:val="auto"/>
                      <w:sz w:val="21"/>
                      <w:szCs w:val="21"/>
                      <w:highlight w:val="none"/>
                      <w:vertAlign w:val="baseline"/>
                    </w:rPr>
                    <w:t>委托有危险废物处置资质的单位定期清运处理。</w:t>
                  </w:r>
                </w:p>
              </w:tc>
              <w:tc>
                <w:tcPr>
                  <w:tcW w:w="583" w:type="pct"/>
                  <w:vAlign w:val="center"/>
                </w:tcPr>
                <w:p w14:paraId="26551537">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5E146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170D86FB">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60C52865">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6.及时完成重污染企业周边环境防护距离内居民的搬迁工作。</w:t>
                  </w:r>
                </w:p>
              </w:tc>
              <w:tc>
                <w:tcPr>
                  <w:tcW w:w="1785" w:type="pct"/>
                  <w:vAlign w:val="center"/>
                </w:tcPr>
                <w:p w14:paraId="45E48C73">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rPr>
                    <w:t>本项目不属于重污染项目</w:t>
                  </w:r>
                  <w:r>
                    <w:rPr>
                      <w:rFonts w:hint="eastAsia" w:ascii="Times New Roman" w:hAnsi="Times New Roman" w:eastAsia="宋体" w:cs="Times New Roman"/>
                      <w:color w:val="auto"/>
                      <w:sz w:val="21"/>
                      <w:szCs w:val="21"/>
                      <w:highlight w:val="none"/>
                      <w:vertAlign w:val="baseline"/>
                      <w:lang w:eastAsia="zh-CN"/>
                    </w:rPr>
                    <w:t>。</w:t>
                  </w:r>
                </w:p>
              </w:tc>
              <w:tc>
                <w:tcPr>
                  <w:tcW w:w="583" w:type="pct"/>
                  <w:vAlign w:val="center"/>
                </w:tcPr>
                <w:p w14:paraId="2F9093E7">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w:t>
                  </w:r>
                </w:p>
              </w:tc>
            </w:tr>
            <w:tr w14:paraId="0465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Merge w:val="continue"/>
                  <w:vAlign w:val="center"/>
                </w:tcPr>
                <w:p w14:paraId="61FDEC0F">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p>
              </w:tc>
              <w:tc>
                <w:tcPr>
                  <w:tcW w:w="1939" w:type="pct"/>
                  <w:vAlign w:val="center"/>
                </w:tcPr>
                <w:p w14:paraId="0C023168">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7.制定突发环境事件应急预案，完善风险管理机制，加强风险控制防范。建立区域环境监测制度，加强规划实施的跟踪监测与管理。</w:t>
                  </w:r>
                </w:p>
              </w:tc>
              <w:tc>
                <w:tcPr>
                  <w:tcW w:w="1785" w:type="pct"/>
                  <w:vAlign w:val="center"/>
                </w:tcPr>
                <w:p w14:paraId="29638CAF">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项目建成后建设单位按照《突发事件应急预案管理办法的通知》规定，编制《突发环境事件应急预案》，并报</w:t>
                  </w:r>
                  <w:r>
                    <w:rPr>
                      <w:rFonts w:hint="eastAsia" w:ascii="Times New Roman" w:hAnsi="Times New Roman" w:eastAsia="宋体" w:cs="Times New Roman"/>
                      <w:color w:val="auto"/>
                      <w:sz w:val="21"/>
                      <w:szCs w:val="21"/>
                      <w:highlight w:val="none"/>
                      <w:vertAlign w:val="baseline"/>
                      <w:lang w:val="en-US" w:eastAsia="zh-CN"/>
                    </w:rPr>
                    <w:t>玉溪市生态环境局红塔分局</w:t>
                  </w:r>
                  <w:r>
                    <w:rPr>
                      <w:rFonts w:hint="default" w:ascii="Times New Roman" w:hAnsi="Times New Roman" w:eastAsia="宋体" w:cs="Times New Roman"/>
                      <w:color w:val="auto"/>
                      <w:sz w:val="21"/>
                      <w:szCs w:val="21"/>
                      <w:highlight w:val="none"/>
                      <w:vertAlign w:val="baseline"/>
                    </w:rPr>
                    <w:t>审查备案。</w:t>
                  </w:r>
                </w:p>
              </w:tc>
              <w:tc>
                <w:tcPr>
                  <w:tcW w:w="583" w:type="pct"/>
                  <w:vAlign w:val="center"/>
                </w:tcPr>
                <w:p w14:paraId="73C62698">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3F56E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vAlign w:val="center"/>
                </w:tcPr>
                <w:p w14:paraId="6B207D18">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（四）资源开发效率要求</w:t>
                  </w:r>
                </w:p>
              </w:tc>
              <w:tc>
                <w:tcPr>
                  <w:tcW w:w="1939" w:type="pct"/>
                  <w:vAlign w:val="center"/>
                </w:tcPr>
                <w:p w14:paraId="1912B993">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园区工业废水集中处理率不低于90%，再生水利用率达到30%，工业用水重复率不低于80%。</w:t>
                  </w:r>
                </w:p>
              </w:tc>
              <w:tc>
                <w:tcPr>
                  <w:tcW w:w="1785" w:type="pct"/>
                  <w:vAlign w:val="center"/>
                </w:tcPr>
                <w:p w14:paraId="05E81895">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rPr>
                    <w:t>项目设备冷却水循环使用，不外排；办公生活污水依托云南三缘电缆有限公司化粪池（10m³）预处理后，采用槽罐车外送至玉溪市第二污水处理厂处理</w:t>
                  </w:r>
                  <w:r>
                    <w:rPr>
                      <w:rFonts w:hint="eastAsia" w:ascii="Times New Roman" w:hAnsi="Times New Roman" w:eastAsia="宋体"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工业水循环利用率为100%。</w:t>
                  </w:r>
                </w:p>
              </w:tc>
              <w:tc>
                <w:tcPr>
                  <w:tcW w:w="583" w:type="pct"/>
                  <w:vAlign w:val="center"/>
                </w:tcPr>
                <w:p w14:paraId="13B585A2">
                  <w:pPr>
                    <w:pStyle w:val="10"/>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bl>
          <w:p w14:paraId="0991DFCC">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经对照分析，项目符合所在地</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三线一单</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中与本项目有关的相关要求。</w:t>
            </w:r>
          </w:p>
          <w:p w14:paraId="410483B1">
            <w:pPr>
              <w:autoSpaceDE w:val="0"/>
              <w:autoSpaceDN w:val="0"/>
              <w:adjustRightInd w:val="0"/>
              <w:snapToGrid w:val="0"/>
              <w:spacing w:line="360" w:lineRule="auto"/>
              <w:ind w:firstLine="482" w:firstLineChars="200"/>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（二）建设项目与相关生态环境保护法律法规政策、生态环境保护规划符合性分析</w:t>
            </w:r>
          </w:p>
          <w:p w14:paraId="10E71BCB">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1、与《中华人民共和国大气污染防治法》（2018年10月26日）符合性分析</w:t>
            </w:r>
          </w:p>
          <w:p w14:paraId="60D31A0A">
            <w:pPr>
              <w:autoSpaceDE w:val="0"/>
              <w:autoSpaceDN w:val="0"/>
              <w:adjustRightInd w:val="0"/>
              <w:snapToGrid w:val="0"/>
              <w:spacing w:line="360" w:lineRule="auto"/>
              <w:ind w:firstLine="482" w:firstLineChars="200"/>
              <w:jc w:val="center"/>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rPr>
              <w:t>表1-</w:t>
            </w:r>
            <w:r>
              <w:rPr>
                <w:rFonts w:hint="eastAsia" w:cs="Times New Roman"/>
                <w:b/>
                <w:bCs/>
                <w:color w:val="auto"/>
                <w:kern w:val="0"/>
                <w:sz w:val="24"/>
                <w:highlight w:val="none"/>
                <w:lang w:val="en-US" w:eastAsia="zh-CN"/>
              </w:rPr>
              <w:t xml:space="preserve">5  </w:t>
            </w:r>
            <w:r>
              <w:rPr>
                <w:rFonts w:hint="default" w:ascii="Times New Roman" w:hAnsi="Times New Roman" w:cs="Times New Roman"/>
                <w:b/>
                <w:bCs/>
                <w:color w:val="auto"/>
                <w:kern w:val="0"/>
                <w:sz w:val="24"/>
                <w:highlight w:val="none"/>
              </w:rPr>
              <w:t>与</w:t>
            </w:r>
            <w:r>
              <w:rPr>
                <w:rFonts w:hint="default" w:ascii="Times New Roman" w:hAnsi="Times New Roman" w:cs="Times New Roman"/>
                <w:b/>
                <w:bCs/>
                <w:color w:val="auto"/>
                <w:sz w:val="24"/>
                <w:highlight w:val="none"/>
              </w:rPr>
              <w:t>《中华人民共和国大气污染防治法》</w:t>
            </w:r>
            <w:r>
              <w:rPr>
                <w:rFonts w:hint="default" w:ascii="Times New Roman" w:hAnsi="Times New Roman" w:cs="Times New Roman"/>
                <w:b/>
                <w:bCs/>
                <w:color w:val="auto"/>
                <w:kern w:val="0"/>
                <w:sz w:val="24"/>
                <w:highlight w:val="none"/>
              </w:rPr>
              <w:t>符合性分析一览表</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19"/>
              <w:gridCol w:w="3356"/>
              <w:gridCol w:w="942"/>
            </w:tblGrid>
            <w:tr w14:paraId="0DE7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5" w:type="pct"/>
                  <w:vAlign w:val="center"/>
                </w:tcPr>
                <w:p w14:paraId="24C70F01">
                  <w:pPr>
                    <w:pStyle w:val="91"/>
                    <w:adjustRightInd w:val="0"/>
                    <w:snapToGrid w:val="0"/>
                    <w:ind w:firstLine="0" w:firstLineChars="0"/>
                    <w:jc w:val="center"/>
                    <w:rPr>
                      <w:rFonts w:hint="default" w:ascii="Times New Roman" w:hAnsi="Times New Roman" w:eastAsia="宋体" w:cs="Times New Roman"/>
                      <w:b/>
                      <w:bCs/>
                      <w:caps/>
                      <w:color w:val="auto"/>
                      <w:szCs w:val="21"/>
                      <w:highlight w:val="none"/>
                      <w:lang w:val="en-US" w:eastAsia="zh-CN"/>
                    </w:rPr>
                  </w:pPr>
                  <w:r>
                    <w:rPr>
                      <w:rFonts w:hint="eastAsia" w:cs="Times New Roman"/>
                      <w:b/>
                      <w:bCs/>
                      <w:color w:val="auto"/>
                      <w:szCs w:val="21"/>
                      <w:highlight w:val="none"/>
                      <w:lang w:val="en-US" w:eastAsia="zh-CN"/>
                    </w:rPr>
                    <w:t>与本项目相关的条文</w:t>
                  </w:r>
                </w:p>
              </w:tc>
              <w:tc>
                <w:tcPr>
                  <w:tcW w:w="2119" w:type="pct"/>
                  <w:vAlign w:val="center"/>
                </w:tcPr>
                <w:p w14:paraId="6A7A121B">
                  <w:pPr>
                    <w:pStyle w:val="91"/>
                    <w:adjustRightInd w:val="0"/>
                    <w:snapToGrid w:val="0"/>
                    <w:ind w:firstLine="0" w:firstLineChars="0"/>
                    <w:jc w:val="center"/>
                    <w:rPr>
                      <w:rFonts w:hint="eastAsia" w:ascii="Times New Roman" w:hAnsi="Times New Roman" w:eastAsia="宋体" w:cs="Times New Roman"/>
                      <w:b/>
                      <w:bCs/>
                      <w:caps/>
                      <w:color w:val="auto"/>
                      <w:szCs w:val="21"/>
                      <w:highlight w:val="none"/>
                      <w:lang w:val="en-US" w:eastAsia="zh-CN"/>
                    </w:rPr>
                  </w:pPr>
                  <w:r>
                    <w:rPr>
                      <w:rFonts w:hint="default" w:ascii="Times New Roman" w:hAnsi="Times New Roman" w:cs="Times New Roman"/>
                      <w:b/>
                      <w:bCs/>
                      <w:color w:val="auto"/>
                      <w:szCs w:val="21"/>
                      <w:highlight w:val="none"/>
                    </w:rPr>
                    <w:t>项目</w:t>
                  </w:r>
                  <w:r>
                    <w:rPr>
                      <w:rFonts w:hint="eastAsia" w:cs="Times New Roman"/>
                      <w:b/>
                      <w:bCs/>
                      <w:color w:val="auto"/>
                      <w:szCs w:val="21"/>
                      <w:highlight w:val="none"/>
                      <w:lang w:val="en-US" w:eastAsia="zh-CN"/>
                    </w:rPr>
                    <w:t>情况</w:t>
                  </w:r>
                </w:p>
              </w:tc>
              <w:tc>
                <w:tcPr>
                  <w:tcW w:w="594" w:type="pct"/>
                  <w:vAlign w:val="center"/>
                </w:tcPr>
                <w:p w14:paraId="232B811B">
                  <w:pPr>
                    <w:pStyle w:val="91"/>
                    <w:adjustRightInd w:val="0"/>
                    <w:snapToGrid w:val="0"/>
                    <w:ind w:firstLine="0" w:firstLineChars="0"/>
                    <w:jc w:val="center"/>
                    <w:rPr>
                      <w:rFonts w:hint="default" w:ascii="Times New Roman" w:hAnsi="Times New Roman" w:cs="Times New Roman"/>
                      <w:b/>
                      <w:bCs/>
                      <w:caps/>
                      <w:color w:val="auto"/>
                      <w:szCs w:val="21"/>
                      <w:highlight w:val="none"/>
                    </w:rPr>
                  </w:pPr>
                  <w:r>
                    <w:rPr>
                      <w:rFonts w:hint="default" w:ascii="Times New Roman" w:hAnsi="Times New Roman" w:cs="Times New Roman"/>
                      <w:b/>
                      <w:bCs/>
                      <w:color w:val="auto"/>
                      <w:szCs w:val="21"/>
                      <w:highlight w:val="none"/>
                    </w:rPr>
                    <w:t>符合性</w:t>
                  </w:r>
                </w:p>
              </w:tc>
            </w:tr>
            <w:tr w14:paraId="1311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5" w:type="pct"/>
                  <w:vAlign w:val="center"/>
                </w:tcPr>
                <w:p w14:paraId="745AF896">
                  <w:pPr>
                    <w:pStyle w:val="91"/>
                    <w:adjustRightInd w:val="0"/>
                    <w:snapToGrid w:val="0"/>
                    <w:ind w:firstLine="0" w:firstLineChars="0"/>
                    <w:jc w:val="center"/>
                    <w:rPr>
                      <w:rFonts w:hint="default" w:ascii="Times New Roman" w:hAnsi="Times New Roman" w:cs="Times New Roman"/>
                      <w:caps/>
                      <w:color w:val="auto"/>
                      <w:szCs w:val="21"/>
                      <w:highlight w:val="none"/>
                    </w:rPr>
                  </w:pPr>
                  <w:r>
                    <w:rPr>
                      <w:rFonts w:hint="default" w:ascii="Times New Roman" w:hAnsi="Times New Roman" w:cs="Times New Roman"/>
                      <w:caps/>
                      <w:color w:val="auto"/>
                      <w:szCs w:val="21"/>
                      <w:highlight w:val="none"/>
                    </w:rPr>
                    <w:t>第七条 企业事业单位和其他生产经营者应当采取有效措施，防止、减少大气污染，对所造成的损害依法承担责任。</w:t>
                  </w:r>
                </w:p>
              </w:tc>
              <w:tc>
                <w:tcPr>
                  <w:tcW w:w="2119" w:type="pct"/>
                  <w:vAlign w:val="center"/>
                </w:tcPr>
                <w:p w14:paraId="762EB508">
                  <w:pPr>
                    <w:pStyle w:val="91"/>
                    <w:adjustRightInd w:val="0"/>
                    <w:snapToGrid w:val="0"/>
                    <w:ind w:firstLine="0" w:firstLineChars="0"/>
                    <w:jc w:val="center"/>
                    <w:rPr>
                      <w:rFonts w:hint="default" w:ascii="Times New Roman" w:hAnsi="Times New Roman" w:cs="Times New Roman"/>
                      <w:caps/>
                      <w:color w:val="auto"/>
                      <w:szCs w:val="21"/>
                      <w:highlight w:val="none"/>
                    </w:rPr>
                  </w:pPr>
                  <w:r>
                    <w:rPr>
                      <w:rFonts w:hint="default" w:ascii="Times New Roman" w:hAnsi="Times New Roman" w:eastAsia="宋体" w:cs="Times New Roman"/>
                      <w:color w:val="auto"/>
                      <w:sz w:val="21"/>
                      <w:szCs w:val="21"/>
                      <w:highlight w:val="none"/>
                    </w:rPr>
                    <w:t>本项目</w:t>
                  </w:r>
                  <w:r>
                    <w:rPr>
                      <w:rFonts w:hint="eastAsia" w:cs="Times New Roman"/>
                      <w:color w:val="auto"/>
                      <w:sz w:val="21"/>
                      <w:szCs w:val="21"/>
                      <w:highlight w:val="none"/>
                      <w:lang w:val="en-US" w:eastAsia="zh-CN"/>
                    </w:rPr>
                    <w:t>生产</w:t>
                  </w:r>
                  <w:r>
                    <w:rPr>
                      <w:rFonts w:hint="default" w:ascii="Times New Roman" w:hAnsi="Times New Roman" w:eastAsia="宋体" w:cs="Times New Roman"/>
                      <w:color w:val="auto"/>
                      <w:sz w:val="21"/>
                      <w:szCs w:val="21"/>
                      <w:highlight w:val="none"/>
                    </w:rPr>
                    <w:t>过程中产生的</w:t>
                  </w:r>
                  <w:r>
                    <w:rPr>
                      <w:rFonts w:hint="eastAsia" w:cs="Times New Roman"/>
                      <w:color w:val="auto"/>
                      <w:sz w:val="21"/>
                      <w:szCs w:val="21"/>
                      <w:highlight w:val="none"/>
                      <w:lang w:val="en-US" w:eastAsia="zh-CN"/>
                    </w:rPr>
                    <w:t>塑料废气（以非甲烷总烃计）</w:t>
                  </w:r>
                  <w:r>
                    <w:rPr>
                      <w:rFonts w:hint="default" w:ascii="Times New Roman" w:hAnsi="Times New Roman" w:eastAsia="宋体" w:cs="Times New Roman"/>
                      <w:color w:val="auto"/>
                      <w:sz w:val="21"/>
                      <w:szCs w:val="21"/>
                      <w:highlight w:val="none"/>
                    </w:rPr>
                    <w:t>经</w:t>
                  </w:r>
                  <w:r>
                    <w:rPr>
                      <w:rFonts w:hint="eastAsia" w:cs="Times New Roman"/>
                      <w:color w:val="auto"/>
                      <w:sz w:val="21"/>
                      <w:szCs w:val="21"/>
                      <w:highlight w:val="none"/>
                      <w:lang w:val="en-US" w:eastAsia="zh-CN"/>
                    </w:rPr>
                    <w:t>包围型集气罩（含软帘）</w:t>
                  </w:r>
                  <w:r>
                    <w:rPr>
                      <w:rFonts w:hint="default" w:ascii="Times New Roman" w:hAnsi="Times New Roman" w:eastAsia="宋体" w:cs="Times New Roman"/>
                      <w:color w:val="auto"/>
                      <w:sz w:val="21"/>
                      <w:szCs w:val="21"/>
                      <w:highlight w:val="none"/>
                    </w:rPr>
                    <w:t>收集，经管道引入1套废气处理设施（活性炭吸附浓缩+CO处理工艺）（TA001）进行处理，处理后通过1根</w:t>
                  </w:r>
                  <w:r>
                    <w:rPr>
                      <w:rFonts w:hint="eastAsia"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m高排气筒排放（DA001）</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印刷废气经包围型集气罩（含软帘）收集，经管道引入1套废气处理设施（二级活性炭吸附）（TA002）进行处理，处理后通过1根20m高排气筒排放（DA002）。</w:t>
                  </w:r>
                  <w:r>
                    <w:rPr>
                      <w:rFonts w:hint="default" w:ascii="Times New Roman" w:hAnsi="Times New Roman" w:cs="Times New Roman"/>
                      <w:bCs/>
                      <w:color w:val="auto"/>
                      <w:highlight w:val="none"/>
                    </w:rPr>
                    <w:t>项目运营期废气均能够实现达标排放，不会改变区域环境空气质量功能。</w:t>
                  </w:r>
                </w:p>
              </w:tc>
              <w:tc>
                <w:tcPr>
                  <w:tcW w:w="594" w:type="pct"/>
                  <w:vAlign w:val="center"/>
                </w:tcPr>
                <w:p w14:paraId="3DF2676F">
                  <w:pPr>
                    <w:pStyle w:val="91"/>
                    <w:adjustRightInd w:val="0"/>
                    <w:snapToGrid w:val="0"/>
                    <w:ind w:firstLine="0" w:firstLineChars="0"/>
                    <w:jc w:val="center"/>
                    <w:rPr>
                      <w:rFonts w:hint="default" w:ascii="Times New Roman" w:hAnsi="Times New Roman" w:cs="Times New Roman"/>
                      <w:caps/>
                      <w:color w:val="auto"/>
                      <w:szCs w:val="21"/>
                      <w:highlight w:val="none"/>
                    </w:rPr>
                  </w:pPr>
                  <w:r>
                    <w:rPr>
                      <w:rFonts w:hint="default" w:ascii="Times New Roman" w:hAnsi="Times New Roman" w:cs="Times New Roman"/>
                      <w:color w:val="auto"/>
                      <w:szCs w:val="21"/>
                      <w:highlight w:val="none"/>
                    </w:rPr>
                    <w:t>符合</w:t>
                  </w:r>
                </w:p>
              </w:tc>
            </w:tr>
            <w:tr w14:paraId="3889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5" w:type="pct"/>
                  <w:vAlign w:val="center"/>
                </w:tcPr>
                <w:p w14:paraId="684D00D9">
                  <w:pPr>
                    <w:pStyle w:val="91"/>
                    <w:adjustRightInd w:val="0"/>
                    <w:snapToGrid w:val="0"/>
                    <w:ind w:firstLine="0" w:firstLineChars="0"/>
                    <w:jc w:val="center"/>
                    <w:rPr>
                      <w:rFonts w:hint="default" w:ascii="Times New Roman" w:hAnsi="Times New Roman" w:cs="Times New Roman"/>
                      <w:caps/>
                      <w:color w:val="auto"/>
                      <w:szCs w:val="21"/>
                      <w:highlight w:val="none"/>
                    </w:rPr>
                  </w:pPr>
                  <w:r>
                    <w:rPr>
                      <w:rFonts w:hint="default" w:ascii="Times New Roman" w:hAnsi="Times New Roman" w:cs="Times New Roman"/>
                      <w:caps/>
                      <w:color w:val="auto"/>
                      <w:szCs w:val="21"/>
                      <w:highlight w:val="none"/>
                    </w:rPr>
                    <w:t>第十八条 企业事业单位和其他生产经营者建设对大气环境有影响的项目，应当依法进行环境影响评价、公开环境影响评价文件；向大气排放污染物的，应当符合大气污染物排放标准，遵守重点大气污染物排放总量控制要求。</w:t>
                  </w:r>
                </w:p>
              </w:tc>
              <w:tc>
                <w:tcPr>
                  <w:tcW w:w="2119" w:type="pct"/>
                  <w:vAlign w:val="center"/>
                </w:tcPr>
                <w:p w14:paraId="6BFEBE59">
                  <w:pPr>
                    <w:pStyle w:val="91"/>
                    <w:adjustRightInd w:val="0"/>
                    <w:snapToGrid w:val="0"/>
                    <w:ind w:firstLine="0" w:firstLineChars="0"/>
                    <w:jc w:val="center"/>
                    <w:rPr>
                      <w:rFonts w:hint="default" w:ascii="Times New Roman" w:hAnsi="Times New Roman" w:cs="Times New Roman"/>
                      <w:caps/>
                      <w:color w:val="auto"/>
                      <w:szCs w:val="21"/>
                      <w:highlight w:val="none"/>
                    </w:rPr>
                  </w:pPr>
                  <w:r>
                    <w:rPr>
                      <w:rFonts w:hint="default" w:ascii="Times New Roman" w:hAnsi="Times New Roman" w:cs="Times New Roman"/>
                      <w:caps/>
                      <w:color w:val="auto"/>
                      <w:szCs w:val="21"/>
                      <w:highlight w:val="none"/>
                    </w:rPr>
                    <w:t>本项目依法进行环境影响评价，废气经处理后可以达标排放。本项目无重点大气污染物排放总量控制要求。</w:t>
                  </w:r>
                </w:p>
              </w:tc>
              <w:tc>
                <w:tcPr>
                  <w:tcW w:w="594" w:type="pct"/>
                  <w:vAlign w:val="center"/>
                </w:tcPr>
                <w:p w14:paraId="7C5C8C8B">
                  <w:pPr>
                    <w:pStyle w:val="91"/>
                    <w:adjustRightInd w:val="0"/>
                    <w:snapToGrid w:val="0"/>
                    <w:ind w:firstLine="0" w:firstLineChars="0"/>
                    <w:jc w:val="center"/>
                    <w:rPr>
                      <w:rFonts w:hint="default" w:ascii="Times New Roman" w:hAnsi="Times New Roman" w:cs="Times New Roman"/>
                      <w:caps/>
                      <w:color w:val="auto"/>
                      <w:szCs w:val="21"/>
                      <w:highlight w:val="none"/>
                    </w:rPr>
                  </w:pPr>
                  <w:r>
                    <w:rPr>
                      <w:rFonts w:hint="default" w:ascii="Times New Roman" w:hAnsi="Times New Roman" w:cs="Times New Roman"/>
                      <w:color w:val="auto"/>
                      <w:szCs w:val="21"/>
                      <w:highlight w:val="none"/>
                    </w:rPr>
                    <w:t>符合</w:t>
                  </w:r>
                </w:p>
              </w:tc>
            </w:tr>
            <w:tr w14:paraId="6979F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5" w:type="pct"/>
                  <w:vAlign w:val="center"/>
                </w:tcPr>
                <w:p w14:paraId="57ECAD08">
                  <w:pPr>
                    <w:pStyle w:val="91"/>
                    <w:adjustRightInd w:val="0"/>
                    <w:snapToGrid w:val="0"/>
                    <w:ind w:firstLine="0" w:firstLineChars="0"/>
                    <w:jc w:val="center"/>
                    <w:rPr>
                      <w:rFonts w:hint="default" w:ascii="Times New Roman" w:hAnsi="Times New Roman" w:cs="Times New Roman"/>
                      <w:caps/>
                      <w:color w:val="auto"/>
                      <w:szCs w:val="21"/>
                      <w:highlight w:val="none"/>
                    </w:rPr>
                  </w:pPr>
                  <w:r>
                    <w:rPr>
                      <w:rFonts w:hint="default" w:ascii="Times New Roman" w:hAnsi="Times New Roman" w:cs="Times New Roman"/>
                      <w:caps/>
                      <w:color w:val="auto"/>
                      <w:szCs w:val="21"/>
                      <w:highlight w:val="none"/>
                    </w:rPr>
                    <w:t>第十九条 排放工业废气或者本法第七十八条规定名录中所列有毒有害大气污染物的企业事业单位、集中供热设施的燃煤热源生产运营单位以及其他依法实行排污许可管理的单位，应当取得排污许可证。排污许可的具体办法和实施步骤由国务院规定。</w:t>
                  </w:r>
                </w:p>
              </w:tc>
              <w:tc>
                <w:tcPr>
                  <w:tcW w:w="2119" w:type="pct"/>
                  <w:vAlign w:val="center"/>
                </w:tcPr>
                <w:p w14:paraId="318D53EA">
                  <w:pPr>
                    <w:pStyle w:val="91"/>
                    <w:adjustRightInd w:val="0"/>
                    <w:snapToGrid w:val="0"/>
                    <w:ind w:firstLine="0" w:firstLineChars="0"/>
                    <w:jc w:val="center"/>
                    <w:rPr>
                      <w:rFonts w:hint="default" w:ascii="Times New Roman" w:hAnsi="Times New Roman" w:cs="Times New Roman"/>
                      <w:caps/>
                      <w:color w:val="auto"/>
                      <w:szCs w:val="21"/>
                      <w:highlight w:val="none"/>
                    </w:rPr>
                  </w:pPr>
                  <w:r>
                    <w:rPr>
                      <w:rFonts w:hint="default" w:ascii="Times New Roman" w:hAnsi="Times New Roman" w:cs="Times New Roman"/>
                      <w:caps/>
                      <w:color w:val="auto"/>
                      <w:szCs w:val="21"/>
                      <w:highlight w:val="none"/>
                    </w:rPr>
                    <w:t>本项目属于其他依法实行排污许可管理的单位，根据《固定污染源排污许可分类管理名录》（2019年版），本项目属于排污许可</w:t>
                  </w:r>
                  <w:r>
                    <w:rPr>
                      <w:rFonts w:hint="eastAsia" w:cs="Times New Roman"/>
                      <w:caps/>
                      <w:color w:val="auto"/>
                      <w:szCs w:val="21"/>
                      <w:highlight w:val="none"/>
                      <w:lang w:val="en-US" w:eastAsia="zh-CN"/>
                    </w:rPr>
                    <w:t>简化</w:t>
                  </w:r>
                  <w:r>
                    <w:rPr>
                      <w:rFonts w:hint="default" w:ascii="Times New Roman" w:hAnsi="Times New Roman" w:cs="Times New Roman"/>
                      <w:caps/>
                      <w:color w:val="auto"/>
                      <w:szCs w:val="21"/>
                      <w:highlight w:val="none"/>
                    </w:rPr>
                    <w:t>管理单位，实行排污许可</w:t>
                  </w:r>
                  <w:r>
                    <w:rPr>
                      <w:rFonts w:hint="eastAsia" w:cs="Times New Roman"/>
                      <w:caps/>
                      <w:color w:val="auto"/>
                      <w:szCs w:val="21"/>
                      <w:highlight w:val="none"/>
                      <w:lang w:val="en-US" w:eastAsia="zh-CN"/>
                    </w:rPr>
                    <w:t>简化</w:t>
                  </w:r>
                  <w:r>
                    <w:rPr>
                      <w:rFonts w:hint="default" w:ascii="Times New Roman" w:hAnsi="Times New Roman" w:cs="Times New Roman"/>
                      <w:caps/>
                      <w:color w:val="auto"/>
                      <w:szCs w:val="21"/>
                      <w:highlight w:val="none"/>
                    </w:rPr>
                    <w:t>管理。本项目在启动生产设施或者发生实际排污之前</w:t>
                  </w:r>
                  <w:r>
                    <w:rPr>
                      <w:rFonts w:hint="eastAsia" w:cs="Times New Roman"/>
                      <w:caps/>
                      <w:color w:val="auto"/>
                      <w:szCs w:val="21"/>
                      <w:highlight w:val="none"/>
                      <w:lang w:val="en-US" w:eastAsia="zh-CN"/>
                    </w:rPr>
                    <w:t>申请排污许可证</w:t>
                  </w:r>
                  <w:r>
                    <w:rPr>
                      <w:rFonts w:hint="default" w:ascii="Times New Roman" w:hAnsi="Times New Roman" w:cs="Times New Roman"/>
                      <w:caps/>
                      <w:color w:val="auto"/>
                      <w:szCs w:val="21"/>
                      <w:highlight w:val="none"/>
                    </w:rPr>
                    <w:t>。</w:t>
                  </w:r>
                </w:p>
              </w:tc>
              <w:tc>
                <w:tcPr>
                  <w:tcW w:w="594" w:type="pct"/>
                  <w:vAlign w:val="center"/>
                </w:tcPr>
                <w:p w14:paraId="2316A461">
                  <w:pPr>
                    <w:pStyle w:val="91"/>
                    <w:adjustRightInd w:val="0"/>
                    <w:snapToGrid w:val="0"/>
                    <w:ind w:firstLine="0" w:firstLineChars="0"/>
                    <w:jc w:val="center"/>
                    <w:rPr>
                      <w:rFonts w:hint="default" w:ascii="Times New Roman" w:hAnsi="Times New Roman" w:cs="Times New Roman"/>
                      <w:caps/>
                      <w:color w:val="auto"/>
                      <w:szCs w:val="21"/>
                      <w:highlight w:val="none"/>
                    </w:rPr>
                  </w:pPr>
                  <w:r>
                    <w:rPr>
                      <w:rFonts w:hint="default" w:ascii="Times New Roman" w:hAnsi="Times New Roman" w:cs="Times New Roman"/>
                      <w:color w:val="auto"/>
                      <w:szCs w:val="21"/>
                      <w:highlight w:val="none"/>
                    </w:rPr>
                    <w:t>符合</w:t>
                  </w:r>
                </w:p>
              </w:tc>
            </w:tr>
            <w:tr w14:paraId="4A9C8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5" w:type="pct"/>
                  <w:vAlign w:val="center"/>
                </w:tcPr>
                <w:p w14:paraId="6C424073">
                  <w:pPr>
                    <w:adjustRightInd w:val="0"/>
                    <w:jc w:val="center"/>
                    <w:rPr>
                      <w:rFonts w:hint="default" w:ascii="Times New Roman" w:hAnsi="Times New Roman" w:cs="Times New Roman"/>
                      <w:caps/>
                      <w:color w:val="auto"/>
                      <w:szCs w:val="21"/>
                      <w:highlight w:val="none"/>
                    </w:rPr>
                  </w:pPr>
                  <w:r>
                    <w:rPr>
                      <w:rFonts w:hint="eastAsia" w:hAnsi="Calibri"/>
                      <w:color w:val="auto"/>
                      <w:szCs w:val="21"/>
                      <w:highlight w:val="none"/>
                    </w:rPr>
                    <w:t>第二十七条 国家对严重污染大气环境的工艺、设备和产品实行淘汰制度。</w:t>
                  </w:r>
                </w:p>
              </w:tc>
              <w:tc>
                <w:tcPr>
                  <w:tcW w:w="2119" w:type="pct"/>
                  <w:vAlign w:val="center"/>
                </w:tcPr>
                <w:p w14:paraId="44C6C5F8">
                  <w:pPr>
                    <w:adjustRightInd w:val="0"/>
                    <w:jc w:val="center"/>
                    <w:rPr>
                      <w:rFonts w:hint="default" w:ascii="Times New Roman" w:hAnsi="Times New Roman" w:cs="Times New Roman"/>
                      <w:caps/>
                      <w:color w:val="auto"/>
                      <w:szCs w:val="21"/>
                      <w:highlight w:val="none"/>
                    </w:rPr>
                  </w:pPr>
                  <w:r>
                    <w:rPr>
                      <w:rFonts w:hint="eastAsia" w:hAnsi="Calibri"/>
                      <w:color w:val="auto"/>
                      <w:szCs w:val="21"/>
                      <w:highlight w:val="none"/>
                    </w:rPr>
                    <w:t>根据《产业结构调整指导目录（2024年本）》，本项目项目不属于鼓励类、限制类和淘汰类，属于允许类项目。</w:t>
                  </w:r>
                </w:p>
              </w:tc>
              <w:tc>
                <w:tcPr>
                  <w:tcW w:w="594" w:type="pct"/>
                  <w:vAlign w:val="center"/>
                </w:tcPr>
                <w:p w14:paraId="5BF5CC04">
                  <w:pPr>
                    <w:pStyle w:val="91"/>
                    <w:adjustRightInd w:val="0"/>
                    <w:snapToGrid w:val="0"/>
                    <w:ind w:firstLine="0" w:firstLineChars="0"/>
                    <w:jc w:val="center"/>
                    <w:rPr>
                      <w:rFonts w:hint="default" w:ascii="Times New Roman" w:hAnsi="Times New Roman" w:cs="Times New Roman"/>
                      <w:caps/>
                      <w:color w:val="auto"/>
                      <w:szCs w:val="21"/>
                      <w:highlight w:val="none"/>
                    </w:rPr>
                  </w:pPr>
                  <w:r>
                    <w:rPr>
                      <w:rFonts w:hint="default" w:ascii="Times New Roman" w:hAnsi="Times New Roman" w:cs="Times New Roman"/>
                      <w:color w:val="auto"/>
                      <w:szCs w:val="21"/>
                      <w:highlight w:val="none"/>
                    </w:rPr>
                    <w:t>符合</w:t>
                  </w:r>
                </w:p>
              </w:tc>
            </w:tr>
            <w:tr w14:paraId="401E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5" w:type="pct"/>
                  <w:vAlign w:val="center"/>
                </w:tcPr>
                <w:p w14:paraId="102E14AC">
                  <w:pPr>
                    <w:pStyle w:val="91"/>
                    <w:adjustRightInd w:val="0"/>
                    <w:snapToGrid w:val="0"/>
                    <w:ind w:firstLine="0" w:firstLineChars="0"/>
                    <w:jc w:val="center"/>
                    <w:rPr>
                      <w:rFonts w:hint="default" w:ascii="Times New Roman" w:hAnsi="Times New Roman" w:cs="Times New Roman"/>
                      <w:caps/>
                      <w:color w:val="auto"/>
                      <w:szCs w:val="21"/>
                      <w:highlight w:val="none"/>
                    </w:rPr>
                  </w:pPr>
                  <w:r>
                    <w:rPr>
                      <w:rFonts w:hint="default" w:ascii="Times New Roman" w:hAnsi="Times New Roman" w:cs="Times New Roman"/>
                      <w:caps/>
                      <w:color w:val="auto"/>
                      <w:szCs w:val="21"/>
                      <w:highlight w:val="none"/>
                    </w:rPr>
                    <w:t>第四十三条 钢铁、建材、有色金属、石油、化工等企业生产过程中排放粉尘、硫化物和氮氧化物的，应当采用清洁生产工艺，配套建设除尘、脱硫、脱硝等装置，或者采取技术改造等其他控制大气污染物排放的措施。</w:t>
                  </w:r>
                </w:p>
              </w:tc>
              <w:tc>
                <w:tcPr>
                  <w:tcW w:w="2119" w:type="pct"/>
                  <w:vAlign w:val="center"/>
                </w:tcPr>
                <w:p w14:paraId="4BF7B0C4">
                  <w:pPr>
                    <w:pStyle w:val="91"/>
                    <w:adjustRightInd w:val="0"/>
                    <w:snapToGrid w:val="0"/>
                    <w:ind w:firstLine="0" w:firstLineChars="0"/>
                    <w:jc w:val="center"/>
                    <w:rPr>
                      <w:rFonts w:hint="default" w:ascii="Times New Roman" w:hAnsi="Times New Roman" w:cs="Times New Roman"/>
                      <w:caps/>
                      <w:color w:val="auto"/>
                      <w:szCs w:val="21"/>
                      <w:highlight w:val="none"/>
                    </w:rPr>
                  </w:pPr>
                  <w:r>
                    <w:rPr>
                      <w:rFonts w:hint="default" w:ascii="Times New Roman" w:hAnsi="Times New Roman" w:eastAsia="宋体" w:cs="Times New Roman"/>
                      <w:color w:val="auto"/>
                      <w:sz w:val="21"/>
                      <w:szCs w:val="21"/>
                      <w:highlight w:val="none"/>
                    </w:rPr>
                    <w:t>本项目</w:t>
                  </w:r>
                  <w:r>
                    <w:rPr>
                      <w:rFonts w:hint="eastAsia" w:cs="Times New Roman"/>
                      <w:color w:val="auto"/>
                      <w:sz w:val="21"/>
                      <w:szCs w:val="21"/>
                      <w:highlight w:val="none"/>
                      <w:lang w:val="en-US" w:eastAsia="zh-CN"/>
                    </w:rPr>
                    <w:t>生产</w:t>
                  </w:r>
                  <w:r>
                    <w:rPr>
                      <w:rFonts w:hint="default" w:ascii="Times New Roman" w:hAnsi="Times New Roman" w:eastAsia="宋体" w:cs="Times New Roman"/>
                      <w:color w:val="auto"/>
                      <w:sz w:val="21"/>
                      <w:szCs w:val="21"/>
                      <w:highlight w:val="none"/>
                    </w:rPr>
                    <w:t>过程中产生的</w:t>
                  </w:r>
                  <w:r>
                    <w:rPr>
                      <w:rFonts w:hint="eastAsia" w:cs="Times New Roman"/>
                      <w:color w:val="auto"/>
                      <w:sz w:val="21"/>
                      <w:szCs w:val="21"/>
                      <w:highlight w:val="none"/>
                      <w:lang w:val="en-US" w:eastAsia="zh-CN"/>
                    </w:rPr>
                    <w:t>塑料废气（以非甲烷总烃计）</w:t>
                  </w:r>
                  <w:r>
                    <w:rPr>
                      <w:rFonts w:hint="default" w:ascii="Times New Roman" w:hAnsi="Times New Roman" w:eastAsia="宋体" w:cs="Times New Roman"/>
                      <w:color w:val="auto"/>
                      <w:sz w:val="21"/>
                      <w:szCs w:val="21"/>
                      <w:highlight w:val="none"/>
                    </w:rPr>
                    <w:t>经</w:t>
                  </w:r>
                  <w:r>
                    <w:rPr>
                      <w:rFonts w:hint="eastAsia" w:cs="Times New Roman"/>
                      <w:color w:val="auto"/>
                      <w:sz w:val="21"/>
                      <w:szCs w:val="21"/>
                      <w:highlight w:val="none"/>
                      <w:lang w:val="en-US" w:eastAsia="zh-CN"/>
                    </w:rPr>
                    <w:t>包围型集气罩（含软帘）</w:t>
                  </w:r>
                  <w:r>
                    <w:rPr>
                      <w:rFonts w:hint="default" w:ascii="Times New Roman" w:hAnsi="Times New Roman" w:eastAsia="宋体" w:cs="Times New Roman"/>
                      <w:color w:val="auto"/>
                      <w:sz w:val="21"/>
                      <w:szCs w:val="21"/>
                      <w:highlight w:val="none"/>
                    </w:rPr>
                    <w:t>收集，经管道引入1套废气处理设施（活性炭吸附浓缩+CO处理工艺）（TA001）进行处理，处理后通过1根</w:t>
                  </w:r>
                  <w:r>
                    <w:rPr>
                      <w:rFonts w:hint="eastAsia"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m高排气筒排放（DA001）</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印刷废气经包围型集气罩（含软帘）收集，经管道引入1套废气处理设施（二级活性炭吸附）（TA002）进行处理，处理后通过1根20m高排气筒排放（DA002）</w:t>
                  </w:r>
                  <w:r>
                    <w:rPr>
                      <w:rFonts w:hint="default" w:ascii="Times New Roman" w:hAnsi="Times New Roman" w:cs="Times New Roman"/>
                      <w:bCs/>
                      <w:color w:val="auto"/>
                      <w:highlight w:val="none"/>
                    </w:rPr>
                    <w:t>。</w:t>
                  </w:r>
                </w:p>
              </w:tc>
              <w:tc>
                <w:tcPr>
                  <w:tcW w:w="594" w:type="pct"/>
                  <w:vAlign w:val="center"/>
                </w:tcPr>
                <w:p w14:paraId="1D1F1002">
                  <w:pPr>
                    <w:pStyle w:val="91"/>
                    <w:adjustRightInd w:val="0"/>
                    <w:snapToGrid w:val="0"/>
                    <w:ind w:firstLine="0" w:firstLineChars="0"/>
                    <w:jc w:val="center"/>
                    <w:rPr>
                      <w:rFonts w:hint="default" w:ascii="Times New Roman" w:hAnsi="Times New Roman" w:cs="Times New Roman"/>
                      <w:caps/>
                      <w:color w:val="auto"/>
                      <w:szCs w:val="21"/>
                      <w:highlight w:val="none"/>
                    </w:rPr>
                  </w:pPr>
                  <w:r>
                    <w:rPr>
                      <w:rFonts w:hint="default" w:ascii="Times New Roman" w:hAnsi="Times New Roman" w:cs="Times New Roman"/>
                      <w:color w:val="auto"/>
                      <w:szCs w:val="21"/>
                      <w:highlight w:val="none"/>
                    </w:rPr>
                    <w:t>符合</w:t>
                  </w:r>
                </w:p>
              </w:tc>
            </w:tr>
          </w:tbl>
          <w:p w14:paraId="05F68786">
            <w:pPr>
              <w:autoSpaceDE w:val="0"/>
              <w:autoSpaceDN w:val="0"/>
              <w:adjustRightInd w:val="0"/>
              <w:snapToGrid w:val="0"/>
              <w:spacing w:line="360" w:lineRule="auto"/>
              <w:ind w:firstLine="480" w:firstLineChars="200"/>
              <w:jc w:val="left"/>
              <w:rPr>
                <w:rFonts w:hint="default" w:ascii="Times New Roman" w:hAnsi="Times New Roman" w:eastAsia="宋体" w:cs="Times New Roman"/>
                <w:bCs/>
                <w:color w:val="auto"/>
                <w:kern w:val="0"/>
                <w:sz w:val="24"/>
                <w:highlight w:val="none"/>
              </w:rPr>
            </w:pPr>
            <w:r>
              <w:rPr>
                <w:rFonts w:hint="default" w:ascii="Times New Roman" w:hAnsi="Times New Roman" w:eastAsia="宋体" w:cs="Times New Roman"/>
                <w:bCs/>
                <w:color w:val="auto"/>
                <w:kern w:val="0"/>
                <w:sz w:val="24"/>
                <w:highlight w:val="none"/>
              </w:rPr>
              <w:t>综上，本项目符合《中华人民共和国大气污染防治法》（2018年10月26日）的相关规定。</w:t>
            </w:r>
          </w:p>
          <w:p w14:paraId="7F0C7D17">
            <w:pPr>
              <w:autoSpaceDE w:val="0"/>
              <w:autoSpaceDN w:val="0"/>
              <w:adjustRightInd w:val="0"/>
              <w:snapToGrid w:val="0"/>
              <w:spacing w:line="360" w:lineRule="auto"/>
              <w:ind w:firstLine="480" w:firstLineChars="200"/>
              <w:jc w:val="left"/>
              <w:rPr>
                <w:rFonts w:hint="default" w:ascii="Times New Roman" w:hAnsi="Times New Roman" w:eastAsia="宋体" w:cs="Times New Roman"/>
                <w:bCs/>
                <w:color w:val="auto"/>
                <w:kern w:val="0"/>
                <w:sz w:val="24"/>
                <w:highlight w:val="none"/>
                <w:lang w:val="en-US" w:eastAsia="zh-CN"/>
              </w:rPr>
            </w:pPr>
            <w:r>
              <w:rPr>
                <w:rFonts w:hint="default" w:ascii="Times New Roman" w:hAnsi="Times New Roman" w:eastAsia="宋体" w:cs="Times New Roman"/>
                <w:bCs/>
                <w:color w:val="auto"/>
                <w:kern w:val="0"/>
                <w:sz w:val="24"/>
                <w:highlight w:val="none"/>
                <w:lang w:val="en-US" w:eastAsia="zh-CN"/>
              </w:rPr>
              <w:t>2、与《中华人民共和国水污染防治法》（2018年1月1日）符合性分析</w:t>
            </w:r>
          </w:p>
          <w:p w14:paraId="076E6D2D">
            <w:pPr>
              <w:autoSpaceDE w:val="0"/>
              <w:autoSpaceDN w:val="0"/>
              <w:adjustRightInd w:val="0"/>
              <w:snapToGrid w:val="0"/>
              <w:spacing w:line="360" w:lineRule="auto"/>
              <w:ind w:firstLine="482" w:firstLineChars="200"/>
              <w:jc w:val="center"/>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表</w:t>
            </w:r>
            <w:r>
              <w:rPr>
                <w:rFonts w:hint="eastAsia" w:ascii="Times New Roman" w:hAnsi="Times New Roman" w:eastAsia="宋体" w:cs="Times New Roman"/>
                <w:b/>
                <w:bCs/>
                <w:color w:val="auto"/>
                <w:kern w:val="0"/>
                <w:sz w:val="24"/>
                <w:highlight w:val="none"/>
              </w:rPr>
              <w:t>1-</w:t>
            </w:r>
            <w:r>
              <w:rPr>
                <w:rFonts w:hint="default" w:ascii="Times New Roman" w:hAnsi="Times New Roman" w:eastAsia="宋体" w:cs="Times New Roman"/>
                <w:b/>
                <w:bCs/>
                <w:color w:val="auto"/>
                <w:kern w:val="0"/>
                <w:sz w:val="24"/>
                <w:highlight w:val="none"/>
              </w:rPr>
              <w:t>6</w:t>
            </w:r>
            <w:r>
              <w:rPr>
                <w:rFonts w:hint="eastAsia" w:ascii="Times New Roman" w:hAnsi="Times New Roman" w:eastAsia="宋体" w:cs="Times New Roman"/>
                <w:b/>
                <w:bCs/>
                <w:color w:val="auto"/>
                <w:kern w:val="0"/>
                <w:sz w:val="24"/>
                <w:highlight w:val="none"/>
                <w:lang w:val="en-US" w:eastAsia="zh-CN"/>
              </w:rPr>
              <w:t xml:space="preserve">  </w:t>
            </w:r>
            <w:r>
              <w:rPr>
                <w:rFonts w:hint="default" w:ascii="Times New Roman" w:hAnsi="Times New Roman" w:eastAsia="宋体" w:cs="Times New Roman"/>
                <w:b/>
                <w:bCs/>
                <w:color w:val="auto"/>
                <w:kern w:val="0"/>
                <w:sz w:val="24"/>
                <w:highlight w:val="none"/>
              </w:rPr>
              <w:t>与</w:t>
            </w:r>
            <w:r>
              <w:rPr>
                <w:rFonts w:hint="eastAsia" w:ascii="Times New Roman" w:hAnsi="Times New Roman" w:eastAsia="宋体" w:cs="Times New Roman"/>
                <w:b/>
                <w:bCs/>
                <w:color w:val="auto"/>
                <w:kern w:val="0"/>
                <w:sz w:val="24"/>
                <w:highlight w:val="none"/>
              </w:rPr>
              <w:t>《中华人民共和国水污染防治法》</w:t>
            </w:r>
            <w:r>
              <w:rPr>
                <w:rFonts w:hint="default" w:ascii="Times New Roman" w:hAnsi="Times New Roman" w:eastAsia="宋体" w:cs="Times New Roman"/>
                <w:b/>
                <w:bCs/>
                <w:color w:val="auto"/>
                <w:kern w:val="0"/>
                <w:sz w:val="24"/>
                <w:highlight w:val="none"/>
              </w:rPr>
              <w:t>符合性分析一览表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39"/>
              <w:gridCol w:w="3402"/>
              <w:gridCol w:w="876"/>
            </w:tblGrid>
            <w:tr w14:paraId="6C4B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8" w:type="pct"/>
                  <w:vAlign w:val="center"/>
                </w:tcPr>
                <w:p w14:paraId="325F0B0D">
                  <w:pPr>
                    <w:adjustRightInd w:val="0"/>
                    <w:jc w:val="center"/>
                    <w:rPr>
                      <w:rFonts w:hAnsi="Calibri"/>
                      <w:b/>
                      <w:bCs/>
                      <w:color w:val="auto"/>
                      <w:szCs w:val="21"/>
                      <w:highlight w:val="none"/>
                    </w:rPr>
                  </w:pPr>
                  <w:r>
                    <w:rPr>
                      <w:rFonts w:hint="eastAsia" w:hAnsi="Calibri"/>
                      <w:b/>
                      <w:bCs/>
                      <w:color w:val="auto"/>
                      <w:szCs w:val="21"/>
                      <w:highlight w:val="none"/>
                    </w:rPr>
                    <w:t>与本项目相关的条文</w:t>
                  </w:r>
                </w:p>
              </w:tc>
              <w:tc>
                <w:tcPr>
                  <w:tcW w:w="2148" w:type="pct"/>
                  <w:vAlign w:val="center"/>
                </w:tcPr>
                <w:p w14:paraId="0337B1F1">
                  <w:pPr>
                    <w:adjustRightInd w:val="0"/>
                    <w:jc w:val="center"/>
                    <w:rPr>
                      <w:rFonts w:hAnsi="Calibri"/>
                      <w:b/>
                      <w:bCs/>
                      <w:color w:val="auto"/>
                      <w:szCs w:val="21"/>
                      <w:highlight w:val="none"/>
                    </w:rPr>
                  </w:pPr>
                  <w:r>
                    <w:rPr>
                      <w:rFonts w:hint="eastAsia" w:hAnsi="Calibri"/>
                      <w:b/>
                      <w:bCs/>
                      <w:color w:val="auto"/>
                      <w:szCs w:val="21"/>
                      <w:highlight w:val="none"/>
                    </w:rPr>
                    <w:t>项目情况</w:t>
                  </w:r>
                </w:p>
              </w:tc>
              <w:tc>
                <w:tcPr>
                  <w:tcW w:w="553" w:type="pct"/>
                  <w:vAlign w:val="center"/>
                </w:tcPr>
                <w:p w14:paraId="0AB21138">
                  <w:pPr>
                    <w:adjustRightInd w:val="0"/>
                    <w:jc w:val="center"/>
                    <w:rPr>
                      <w:rFonts w:hAnsi="Calibri"/>
                      <w:b/>
                      <w:bCs/>
                      <w:color w:val="auto"/>
                      <w:szCs w:val="21"/>
                      <w:highlight w:val="none"/>
                    </w:rPr>
                  </w:pPr>
                  <w:r>
                    <w:rPr>
                      <w:b/>
                      <w:bCs/>
                      <w:color w:val="auto"/>
                      <w:szCs w:val="21"/>
                      <w:highlight w:val="none"/>
                    </w:rPr>
                    <w:t>符合</w:t>
                  </w:r>
                  <w:r>
                    <w:rPr>
                      <w:rFonts w:hint="eastAsia"/>
                      <w:b/>
                      <w:bCs/>
                      <w:color w:val="auto"/>
                      <w:szCs w:val="21"/>
                      <w:highlight w:val="none"/>
                    </w:rPr>
                    <w:t>性</w:t>
                  </w:r>
                </w:p>
              </w:tc>
            </w:tr>
            <w:tr w14:paraId="4EC8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8" w:type="pct"/>
                  <w:vAlign w:val="center"/>
                </w:tcPr>
                <w:p w14:paraId="1D09A710">
                  <w:pPr>
                    <w:adjustRightInd w:val="0"/>
                    <w:jc w:val="center"/>
                    <w:rPr>
                      <w:rFonts w:hAnsi="Calibri"/>
                      <w:color w:val="auto"/>
                      <w:szCs w:val="21"/>
                      <w:highlight w:val="none"/>
                    </w:rPr>
                  </w:pPr>
                  <w:r>
                    <w:rPr>
                      <w:rFonts w:hint="eastAsia" w:hAnsi="Calibri"/>
                      <w:color w:val="auto"/>
                      <w:szCs w:val="21"/>
                      <w:highlight w:val="none"/>
                    </w:rPr>
                    <w:t>第十条 排放水污染物，不得超过国家或者地方规定的水污染物排放标准和重点水污染物排放总量控制指标。</w:t>
                  </w:r>
                </w:p>
              </w:tc>
              <w:tc>
                <w:tcPr>
                  <w:tcW w:w="2148" w:type="pct"/>
                  <w:vAlign w:val="center"/>
                </w:tcPr>
                <w:p w14:paraId="165AD36D">
                  <w:pPr>
                    <w:adjustRightInd w:val="0"/>
                    <w:jc w:val="center"/>
                    <w:rPr>
                      <w:rFonts w:hAnsi="Calibri"/>
                      <w:color w:val="auto"/>
                      <w:szCs w:val="21"/>
                      <w:highlight w:val="none"/>
                    </w:rPr>
                  </w:pPr>
                  <w:r>
                    <w:rPr>
                      <w:rFonts w:hint="default" w:ascii="Times New Roman" w:hAnsi="Times New Roman" w:eastAsia="宋体" w:cs="Times New Roman"/>
                      <w:b w:val="0"/>
                      <w:bCs w:val="0"/>
                      <w:color w:val="auto"/>
                      <w:sz w:val="21"/>
                      <w:szCs w:val="21"/>
                      <w:highlight w:val="none"/>
                    </w:rPr>
                    <w:t>项目设备冷却水循环使用，不外排；办公</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生活污水依托云南三缘电缆有限公司化粪池（10m³）预处理后，采用槽罐车外送至玉溪市第二污水处理厂处理</w:t>
                  </w:r>
                  <w:r>
                    <w:rPr>
                      <w:rFonts w:hint="eastAsia"/>
                      <w:color w:val="auto"/>
                      <w:kern w:val="0"/>
                      <w:szCs w:val="21"/>
                      <w:highlight w:val="none"/>
                    </w:rPr>
                    <w:t>。</w:t>
                  </w:r>
                </w:p>
              </w:tc>
              <w:tc>
                <w:tcPr>
                  <w:tcW w:w="553" w:type="pct"/>
                  <w:vAlign w:val="center"/>
                </w:tcPr>
                <w:p w14:paraId="356DC26F">
                  <w:pPr>
                    <w:adjustRightInd w:val="0"/>
                    <w:jc w:val="center"/>
                    <w:rPr>
                      <w:rFonts w:hAnsi="Calibri"/>
                      <w:color w:val="auto"/>
                      <w:szCs w:val="21"/>
                      <w:highlight w:val="none"/>
                    </w:rPr>
                  </w:pPr>
                  <w:r>
                    <w:rPr>
                      <w:rFonts w:hint="eastAsia" w:hAnsi="Calibri"/>
                      <w:color w:val="auto"/>
                      <w:szCs w:val="21"/>
                      <w:highlight w:val="none"/>
                    </w:rPr>
                    <w:t>符合</w:t>
                  </w:r>
                </w:p>
              </w:tc>
            </w:tr>
            <w:tr w14:paraId="2AFD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8" w:type="pct"/>
                  <w:vAlign w:val="center"/>
                </w:tcPr>
                <w:p w14:paraId="0A822A02">
                  <w:pPr>
                    <w:adjustRightInd w:val="0"/>
                    <w:jc w:val="center"/>
                    <w:rPr>
                      <w:rFonts w:hAnsi="Calibri"/>
                      <w:color w:val="auto"/>
                      <w:szCs w:val="21"/>
                      <w:highlight w:val="none"/>
                    </w:rPr>
                  </w:pPr>
                  <w:r>
                    <w:rPr>
                      <w:rFonts w:hint="eastAsia" w:hAnsi="Calibri"/>
                      <w:color w:val="auto"/>
                      <w:szCs w:val="21"/>
                      <w:highlight w:val="none"/>
                    </w:rPr>
                    <w:t>第十九条 新建、改建、扩建直接或者间接向水体排放污染物的建设项目和其他水上设施，应当依法进行环境影响评价。建设单位在江河、湖泊新建、改建、扩建排污口的，应当取得水行政主管部门或者流域管理机构同意；涉及通航、渔业水域的，环境保护主管部门在审批环境影响评价文件时，应当征求交通、渔业主管部门的意见。建设项目的水污染防治设施，应当与主体工程同时设计、同时施工、同时投入使用。水污染防治设施应当符合经批准或者备案的环境影响评价文件的要求。</w:t>
                  </w:r>
                </w:p>
              </w:tc>
              <w:tc>
                <w:tcPr>
                  <w:tcW w:w="2148" w:type="pct"/>
                  <w:vAlign w:val="center"/>
                </w:tcPr>
                <w:p w14:paraId="3E9245A6">
                  <w:pPr>
                    <w:adjustRightInd w:val="0"/>
                    <w:jc w:val="center"/>
                    <w:rPr>
                      <w:rFonts w:hAnsi="Calibri"/>
                      <w:color w:val="auto"/>
                      <w:szCs w:val="21"/>
                      <w:highlight w:val="none"/>
                    </w:rPr>
                  </w:pPr>
                  <w:r>
                    <w:rPr>
                      <w:rFonts w:hint="eastAsia" w:hAnsi="Calibri"/>
                      <w:color w:val="auto"/>
                      <w:szCs w:val="21"/>
                      <w:highlight w:val="none"/>
                    </w:rPr>
                    <w:t>本项目依法进行环境影响评价，</w:t>
                  </w:r>
                  <w:r>
                    <w:rPr>
                      <w:rFonts w:hint="default" w:ascii="Times New Roman" w:hAnsi="Times New Roman" w:eastAsia="宋体" w:cs="Times New Roman"/>
                      <w:b w:val="0"/>
                      <w:bCs w:val="0"/>
                      <w:color w:val="auto"/>
                      <w:sz w:val="21"/>
                      <w:szCs w:val="21"/>
                      <w:highlight w:val="none"/>
                    </w:rPr>
                    <w:t>项目设备冷却水循环使用，不外排；办公</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生活污水依托云南三缘电缆有限公司化粪池（10m³）预处理后，采用槽罐车外送至玉溪市第二污水处理厂处理</w:t>
                  </w:r>
                  <w:r>
                    <w:rPr>
                      <w:rFonts w:hint="eastAsia" w:hAnsi="Calibri"/>
                      <w:color w:val="auto"/>
                      <w:szCs w:val="21"/>
                      <w:highlight w:val="none"/>
                    </w:rPr>
                    <w:t>。</w:t>
                  </w:r>
                </w:p>
              </w:tc>
              <w:tc>
                <w:tcPr>
                  <w:tcW w:w="553" w:type="pct"/>
                  <w:vAlign w:val="center"/>
                </w:tcPr>
                <w:p w14:paraId="0C86D09E">
                  <w:pPr>
                    <w:adjustRightInd w:val="0"/>
                    <w:jc w:val="center"/>
                    <w:rPr>
                      <w:rFonts w:hAnsi="Calibri"/>
                      <w:color w:val="auto"/>
                      <w:szCs w:val="21"/>
                      <w:highlight w:val="none"/>
                    </w:rPr>
                  </w:pPr>
                  <w:r>
                    <w:rPr>
                      <w:rFonts w:hint="eastAsia" w:hAnsi="Calibri"/>
                      <w:color w:val="auto"/>
                      <w:szCs w:val="21"/>
                      <w:highlight w:val="none"/>
                    </w:rPr>
                    <w:t>符合</w:t>
                  </w:r>
                </w:p>
              </w:tc>
            </w:tr>
            <w:tr w14:paraId="10A72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8" w:type="pct"/>
                  <w:vAlign w:val="center"/>
                </w:tcPr>
                <w:p w14:paraId="6B538FF1">
                  <w:pPr>
                    <w:adjustRightInd w:val="0"/>
                    <w:jc w:val="center"/>
                    <w:rPr>
                      <w:rFonts w:hAnsi="Calibri"/>
                      <w:color w:val="auto"/>
                      <w:szCs w:val="21"/>
                      <w:highlight w:val="none"/>
                    </w:rPr>
                  </w:pPr>
                  <w:r>
                    <w:rPr>
                      <w:rFonts w:hint="eastAsia" w:hAnsi="Calibri"/>
                      <w:color w:val="auto"/>
                      <w:szCs w:val="21"/>
                      <w:highlight w:val="none"/>
                    </w:rPr>
                    <w:t>第二十条 国家对重点水污染物排放实施总量控制制度。</w:t>
                  </w:r>
                </w:p>
              </w:tc>
              <w:tc>
                <w:tcPr>
                  <w:tcW w:w="2148" w:type="pct"/>
                  <w:vAlign w:val="center"/>
                </w:tcPr>
                <w:p w14:paraId="7FC5FA1F">
                  <w:pPr>
                    <w:adjustRightInd w:val="0"/>
                    <w:jc w:val="center"/>
                    <w:rPr>
                      <w:rFonts w:hAnsi="Calibri"/>
                      <w:color w:val="auto"/>
                      <w:szCs w:val="21"/>
                      <w:highlight w:val="none"/>
                    </w:rPr>
                  </w:pPr>
                  <w:r>
                    <w:rPr>
                      <w:rFonts w:hint="eastAsia" w:hAnsi="Calibri"/>
                      <w:color w:val="auto"/>
                      <w:szCs w:val="21"/>
                      <w:highlight w:val="none"/>
                    </w:rPr>
                    <w:t>本项目不涉及</w:t>
                  </w:r>
                </w:p>
              </w:tc>
              <w:tc>
                <w:tcPr>
                  <w:tcW w:w="553" w:type="pct"/>
                  <w:vAlign w:val="center"/>
                </w:tcPr>
                <w:p w14:paraId="691974EA">
                  <w:pPr>
                    <w:adjustRightInd w:val="0"/>
                    <w:jc w:val="center"/>
                    <w:rPr>
                      <w:rFonts w:hAnsi="Calibri"/>
                      <w:color w:val="auto"/>
                      <w:szCs w:val="21"/>
                      <w:highlight w:val="none"/>
                    </w:rPr>
                  </w:pPr>
                  <w:r>
                    <w:rPr>
                      <w:rFonts w:hint="eastAsia" w:hAnsi="Calibri"/>
                      <w:color w:val="auto"/>
                      <w:szCs w:val="21"/>
                      <w:highlight w:val="none"/>
                    </w:rPr>
                    <w:t>/</w:t>
                  </w:r>
                </w:p>
              </w:tc>
            </w:tr>
            <w:tr w14:paraId="309BC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8" w:type="pct"/>
                  <w:vAlign w:val="center"/>
                </w:tcPr>
                <w:p w14:paraId="777803E4">
                  <w:pPr>
                    <w:adjustRightInd w:val="0"/>
                    <w:jc w:val="center"/>
                    <w:rPr>
                      <w:rFonts w:hAnsi="Calibri"/>
                      <w:color w:val="auto"/>
                      <w:szCs w:val="21"/>
                      <w:highlight w:val="none"/>
                    </w:rPr>
                  </w:pPr>
                  <w:r>
                    <w:rPr>
                      <w:rFonts w:hint="eastAsia" w:hAnsi="Calibri"/>
                      <w:color w:val="auto"/>
                      <w:szCs w:val="21"/>
                      <w:highlight w:val="none"/>
                    </w:rPr>
                    <w:t>第二十一条 直接或者间接向水体排放工业废水和医疗污水以及其他按照规定应当取得排污许可证方可排放的废水、污水的企业事业单位和其他生产经营者，应当取得排污许可证；城镇污水集中处理设施的运营单位，也应当取得排污许可证。排污许可证应当明确排放水污染物的种类、浓度、总量和排放去向等要求。排污许可的具体办法由国务院规定。禁止企业事业单位和其他生产经营者无排污许可证或者违反排污许可证的规定向水体排放前款规定的废水、污水。</w:t>
                  </w:r>
                </w:p>
              </w:tc>
              <w:tc>
                <w:tcPr>
                  <w:tcW w:w="2148" w:type="pct"/>
                  <w:vAlign w:val="center"/>
                </w:tcPr>
                <w:p w14:paraId="523A4BEC">
                  <w:pPr>
                    <w:adjustRightInd w:val="0"/>
                    <w:jc w:val="center"/>
                    <w:rPr>
                      <w:rFonts w:hAnsi="Calibri"/>
                      <w:color w:val="auto"/>
                      <w:szCs w:val="21"/>
                      <w:highlight w:val="none"/>
                    </w:rPr>
                  </w:pPr>
                  <w:r>
                    <w:rPr>
                      <w:rFonts w:hint="default" w:ascii="Times New Roman" w:hAnsi="Times New Roman" w:eastAsia="宋体" w:cs="Times New Roman"/>
                      <w:b w:val="0"/>
                      <w:bCs w:val="0"/>
                      <w:color w:val="auto"/>
                      <w:sz w:val="21"/>
                      <w:szCs w:val="21"/>
                      <w:highlight w:val="none"/>
                    </w:rPr>
                    <w:t>项目设备冷却水循环使用，不外排；办公</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生活污水依托云南三缘电缆有限公司化粪池（10m³）预处理后，采用槽罐车外送至玉溪市第二污水处理厂处理</w:t>
                  </w:r>
                  <w:r>
                    <w:rPr>
                      <w:rFonts w:hint="eastAsia"/>
                      <w:color w:val="auto"/>
                      <w:kern w:val="0"/>
                      <w:szCs w:val="21"/>
                      <w:highlight w:val="none"/>
                    </w:rPr>
                    <w:t>。</w:t>
                  </w:r>
                </w:p>
              </w:tc>
              <w:tc>
                <w:tcPr>
                  <w:tcW w:w="553" w:type="pct"/>
                  <w:vAlign w:val="center"/>
                </w:tcPr>
                <w:p w14:paraId="217F6D96">
                  <w:pPr>
                    <w:adjustRightInd w:val="0"/>
                    <w:jc w:val="center"/>
                    <w:rPr>
                      <w:rFonts w:hAnsi="Calibri"/>
                      <w:color w:val="auto"/>
                      <w:szCs w:val="21"/>
                      <w:highlight w:val="none"/>
                    </w:rPr>
                  </w:pPr>
                  <w:r>
                    <w:rPr>
                      <w:rFonts w:hint="eastAsia" w:hAnsi="Calibri"/>
                      <w:color w:val="auto"/>
                      <w:szCs w:val="21"/>
                      <w:highlight w:val="none"/>
                    </w:rPr>
                    <w:t>符合</w:t>
                  </w:r>
                </w:p>
              </w:tc>
            </w:tr>
            <w:tr w14:paraId="766B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8" w:type="pct"/>
                  <w:vAlign w:val="center"/>
                </w:tcPr>
                <w:p w14:paraId="631E8A69">
                  <w:pPr>
                    <w:adjustRightInd w:val="0"/>
                    <w:jc w:val="center"/>
                    <w:rPr>
                      <w:rFonts w:hAnsi="Calibri"/>
                      <w:color w:val="auto"/>
                      <w:szCs w:val="21"/>
                      <w:highlight w:val="none"/>
                    </w:rPr>
                  </w:pPr>
                  <w:r>
                    <w:rPr>
                      <w:rFonts w:hint="eastAsia" w:hAnsi="Calibri"/>
                      <w:color w:val="auto"/>
                      <w:szCs w:val="21"/>
                      <w:highlight w:val="none"/>
                    </w:rPr>
                    <w:t>第二十二条 向水体排放污染物的企业事业单位和其他生产经营者，应当按照法律、行政法规和国务院环境保护主管部门的规定设置排污口；在江河、湖泊设置排污口的，还应当遵守国务院水行政主管部门的规定。</w:t>
                  </w:r>
                </w:p>
              </w:tc>
              <w:tc>
                <w:tcPr>
                  <w:tcW w:w="2148" w:type="pct"/>
                  <w:vAlign w:val="center"/>
                </w:tcPr>
                <w:p w14:paraId="25B0CC24">
                  <w:pPr>
                    <w:adjustRightInd w:val="0"/>
                    <w:jc w:val="center"/>
                    <w:rPr>
                      <w:color w:val="auto"/>
                      <w:kern w:val="0"/>
                      <w:szCs w:val="21"/>
                      <w:highlight w:val="none"/>
                    </w:rPr>
                  </w:pPr>
                  <w:r>
                    <w:rPr>
                      <w:rFonts w:hint="default" w:ascii="Times New Roman" w:hAnsi="Times New Roman" w:eastAsia="宋体" w:cs="Times New Roman"/>
                      <w:b w:val="0"/>
                      <w:bCs w:val="0"/>
                      <w:color w:val="auto"/>
                      <w:sz w:val="21"/>
                      <w:szCs w:val="21"/>
                      <w:highlight w:val="none"/>
                    </w:rPr>
                    <w:t>项目设备冷却水循环使用，不外排；办公</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生活污水依托云南三缘电缆有限公司化粪池（10m³）预处理后，采用槽罐车外送至玉溪市第二污水处理厂处理</w:t>
                  </w:r>
                  <w:r>
                    <w:rPr>
                      <w:rFonts w:hint="eastAsia"/>
                      <w:color w:val="auto"/>
                      <w:kern w:val="0"/>
                      <w:szCs w:val="21"/>
                      <w:highlight w:val="none"/>
                    </w:rPr>
                    <w:t>。</w:t>
                  </w:r>
                </w:p>
              </w:tc>
              <w:tc>
                <w:tcPr>
                  <w:tcW w:w="553" w:type="pct"/>
                  <w:vAlign w:val="center"/>
                </w:tcPr>
                <w:p w14:paraId="0A944D6F">
                  <w:pPr>
                    <w:adjustRightInd w:val="0"/>
                    <w:jc w:val="center"/>
                    <w:rPr>
                      <w:rFonts w:hAnsi="Calibri"/>
                      <w:color w:val="auto"/>
                      <w:szCs w:val="21"/>
                      <w:highlight w:val="none"/>
                    </w:rPr>
                  </w:pPr>
                  <w:r>
                    <w:rPr>
                      <w:rFonts w:hint="eastAsia" w:hAnsi="Calibri"/>
                      <w:color w:val="auto"/>
                      <w:szCs w:val="21"/>
                      <w:highlight w:val="none"/>
                    </w:rPr>
                    <w:t>符合</w:t>
                  </w:r>
                </w:p>
              </w:tc>
            </w:tr>
            <w:tr w14:paraId="1892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8" w:type="pct"/>
                  <w:vAlign w:val="center"/>
                </w:tcPr>
                <w:p w14:paraId="0E41FA12">
                  <w:pPr>
                    <w:adjustRightInd w:val="0"/>
                    <w:jc w:val="center"/>
                    <w:rPr>
                      <w:rFonts w:hAnsi="Calibri"/>
                      <w:color w:val="auto"/>
                      <w:szCs w:val="21"/>
                      <w:highlight w:val="none"/>
                    </w:rPr>
                  </w:pPr>
                  <w:r>
                    <w:rPr>
                      <w:rFonts w:hint="eastAsia" w:hAnsi="Calibri"/>
                      <w:color w:val="auto"/>
                      <w:szCs w:val="21"/>
                      <w:highlight w:val="none"/>
                    </w:rPr>
                    <w:t>第四十五条 排放工业废水的企业应当采取有效措施，收集和处理产生的全部废水，防止污染环境。含有毒有害水污染物的工业废水应当分类收集和处理，不得稀释排放。工业集聚区应当配套建设相应的污水集中处理设施，安装自动监测设备，与环境保护主管部门的监控设备联网，并保证监测设备正常运行。向污水集中处理设施排放工业废水的，应当按照国家有关规定进行预处理，达到集中处理设施处理工艺要求后方可排放。</w:t>
                  </w:r>
                </w:p>
              </w:tc>
              <w:tc>
                <w:tcPr>
                  <w:tcW w:w="2148" w:type="pct"/>
                  <w:vAlign w:val="center"/>
                </w:tcPr>
                <w:p w14:paraId="142335C5">
                  <w:pPr>
                    <w:adjustRightInd w:val="0"/>
                    <w:jc w:val="center"/>
                    <w:rPr>
                      <w:color w:val="auto"/>
                      <w:kern w:val="0"/>
                      <w:szCs w:val="21"/>
                      <w:highlight w:val="none"/>
                    </w:rPr>
                  </w:pPr>
                  <w:r>
                    <w:rPr>
                      <w:rFonts w:hint="default" w:ascii="Times New Roman" w:hAnsi="Times New Roman" w:eastAsia="宋体" w:cs="Times New Roman"/>
                      <w:b w:val="0"/>
                      <w:bCs w:val="0"/>
                      <w:color w:val="auto"/>
                      <w:sz w:val="21"/>
                      <w:szCs w:val="21"/>
                      <w:highlight w:val="none"/>
                    </w:rPr>
                    <w:t>项目设备冷却水循环使用，不外排；办公</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生活污水依托云南三缘电缆有限公司化粪池（10m³）预处理后，采用槽罐车外送至玉溪市第二污水处理厂处理</w:t>
                  </w:r>
                  <w:r>
                    <w:rPr>
                      <w:rFonts w:hint="eastAsia"/>
                      <w:color w:val="auto"/>
                      <w:kern w:val="0"/>
                      <w:szCs w:val="21"/>
                      <w:highlight w:val="none"/>
                    </w:rPr>
                    <w:t>。</w:t>
                  </w:r>
                </w:p>
              </w:tc>
              <w:tc>
                <w:tcPr>
                  <w:tcW w:w="553" w:type="pct"/>
                  <w:vAlign w:val="center"/>
                </w:tcPr>
                <w:p w14:paraId="25D28702">
                  <w:pPr>
                    <w:adjustRightInd w:val="0"/>
                    <w:jc w:val="center"/>
                    <w:rPr>
                      <w:rFonts w:hAnsi="Calibri"/>
                      <w:color w:val="auto"/>
                      <w:szCs w:val="21"/>
                      <w:highlight w:val="none"/>
                    </w:rPr>
                  </w:pPr>
                  <w:r>
                    <w:rPr>
                      <w:rFonts w:hint="eastAsia" w:hAnsi="Calibri"/>
                      <w:color w:val="auto"/>
                      <w:szCs w:val="21"/>
                      <w:highlight w:val="none"/>
                    </w:rPr>
                    <w:t>符合</w:t>
                  </w:r>
                </w:p>
              </w:tc>
            </w:tr>
            <w:tr w14:paraId="1E6C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8" w:type="pct"/>
                  <w:vAlign w:val="center"/>
                </w:tcPr>
                <w:p w14:paraId="36FB0D99">
                  <w:pPr>
                    <w:adjustRightInd w:val="0"/>
                    <w:jc w:val="center"/>
                    <w:rPr>
                      <w:rFonts w:hAnsi="Calibri"/>
                      <w:color w:val="auto"/>
                      <w:szCs w:val="21"/>
                      <w:highlight w:val="none"/>
                    </w:rPr>
                  </w:pPr>
                  <w:r>
                    <w:rPr>
                      <w:rFonts w:hint="eastAsia" w:hAnsi="Calibri"/>
                      <w:color w:val="auto"/>
                      <w:szCs w:val="21"/>
                      <w:highlight w:val="none"/>
                    </w:rPr>
                    <w:t>第四十六条 国家对严重污染水环境的落后工艺和设备实行淘汰制度。</w:t>
                  </w:r>
                </w:p>
              </w:tc>
              <w:tc>
                <w:tcPr>
                  <w:tcW w:w="2148" w:type="pct"/>
                  <w:vAlign w:val="center"/>
                </w:tcPr>
                <w:p w14:paraId="584568E4">
                  <w:pPr>
                    <w:adjustRightInd w:val="0"/>
                    <w:jc w:val="center"/>
                    <w:rPr>
                      <w:rFonts w:hAnsi="Calibri"/>
                      <w:color w:val="auto"/>
                      <w:szCs w:val="21"/>
                      <w:highlight w:val="none"/>
                    </w:rPr>
                  </w:pPr>
                  <w:r>
                    <w:rPr>
                      <w:rFonts w:hint="eastAsia" w:hAnsi="Calibri"/>
                      <w:color w:val="auto"/>
                      <w:szCs w:val="21"/>
                      <w:highlight w:val="none"/>
                    </w:rPr>
                    <w:t>根据《产业结构调整指导目录（2024年本）》，本项目不属于鼓励类、限制类和淘汰类，属于允许类项目。</w:t>
                  </w:r>
                </w:p>
              </w:tc>
              <w:tc>
                <w:tcPr>
                  <w:tcW w:w="553" w:type="pct"/>
                  <w:vAlign w:val="center"/>
                </w:tcPr>
                <w:p w14:paraId="79D5E983">
                  <w:pPr>
                    <w:adjustRightInd w:val="0"/>
                    <w:jc w:val="center"/>
                    <w:rPr>
                      <w:rFonts w:hAnsi="Calibri"/>
                      <w:color w:val="auto"/>
                      <w:szCs w:val="21"/>
                      <w:highlight w:val="none"/>
                    </w:rPr>
                  </w:pPr>
                  <w:r>
                    <w:rPr>
                      <w:rFonts w:hint="eastAsia" w:hAnsi="Calibri"/>
                      <w:color w:val="auto"/>
                      <w:szCs w:val="21"/>
                      <w:highlight w:val="none"/>
                    </w:rPr>
                    <w:t>符合</w:t>
                  </w:r>
                </w:p>
              </w:tc>
            </w:tr>
            <w:tr w14:paraId="16E8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8" w:type="pct"/>
                  <w:vAlign w:val="center"/>
                </w:tcPr>
                <w:p w14:paraId="3946BE1E">
                  <w:pPr>
                    <w:adjustRightInd w:val="0"/>
                    <w:jc w:val="center"/>
                    <w:rPr>
                      <w:rFonts w:hAnsi="Calibri"/>
                      <w:color w:val="auto"/>
                      <w:szCs w:val="21"/>
                      <w:highlight w:val="none"/>
                    </w:rPr>
                  </w:pPr>
                  <w:r>
                    <w:rPr>
                      <w:rFonts w:hint="eastAsia" w:hAnsi="Calibri"/>
                      <w:color w:val="auto"/>
                      <w:szCs w:val="21"/>
                      <w:highlight w:val="none"/>
                    </w:rPr>
                    <w:t>第四十七条 国家禁止新建不符合国家产业政策的小型造纸、制革、印染、染料、炼焦、炼硫、炼砷、炼汞、炼油、电镀、农药、石棉、水泥、玻璃、钢铁、火电以及其他严重污染水环境的生产项目。</w:t>
                  </w:r>
                </w:p>
              </w:tc>
              <w:tc>
                <w:tcPr>
                  <w:tcW w:w="2148" w:type="pct"/>
                  <w:vAlign w:val="center"/>
                </w:tcPr>
                <w:p w14:paraId="69F850E0">
                  <w:pPr>
                    <w:adjustRightInd w:val="0"/>
                    <w:jc w:val="center"/>
                    <w:rPr>
                      <w:rFonts w:hAnsi="Calibri"/>
                      <w:color w:val="auto"/>
                      <w:szCs w:val="21"/>
                      <w:highlight w:val="none"/>
                    </w:rPr>
                  </w:pPr>
                  <w:r>
                    <w:rPr>
                      <w:rFonts w:hint="eastAsia" w:hAnsi="Calibri"/>
                      <w:color w:val="auto"/>
                      <w:szCs w:val="21"/>
                      <w:highlight w:val="none"/>
                    </w:rPr>
                    <w:t>本项目不属于禁止新建不符合国家产业政策的生产项目。</w:t>
                  </w:r>
                </w:p>
              </w:tc>
              <w:tc>
                <w:tcPr>
                  <w:tcW w:w="553" w:type="pct"/>
                  <w:vAlign w:val="center"/>
                </w:tcPr>
                <w:p w14:paraId="76438241">
                  <w:pPr>
                    <w:adjustRightInd w:val="0"/>
                    <w:jc w:val="center"/>
                    <w:rPr>
                      <w:rFonts w:hAnsi="Calibri"/>
                      <w:color w:val="auto"/>
                      <w:szCs w:val="21"/>
                      <w:highlight w:val="none"/>
                    </w:rPr>
                  </w:pPr>
                  <w:r>
                    <w:rPr>
                      <w:rFonts w:hint="eastAsia" w:hAnsi="Calibri"/>
                      <w:color w:val="auto"/>
                      <w:szCs w:val="21"/>
                      <w:highlight w:val="none"/>
                    </w:rPr>
                    <w:t>符合</w:t>
                  </w:r>
                </w:p>
              </w:tc>
            </w:tr>
          </w:tbl>
          <w:p w14:paraId="1986655A">
            <w:pPr>
              <w:autoSpaceDE w:val="0"/>
              <w:autoSpaceDN w:val="0"/>
              <w:adjustRightInd w:val="0"/>
              <w:snapToGrid w:val="0"/>
              <w:spacing w:line="360" w:lineRule="auto"/>
              <w:ind w:firstLine="480" w:firstLineChars="200"/>
              <w:jc w:val="left"/>
              <w:rPr>
                <w:rFonts w:hint="default" w:ascii="Times New Roman" w:hAnsi="Times New Roman" w:eastAsia="宋体" w:cs="Times New Roman"/>
                <w:bCs/>
                <w:color w:val="auto"/>
                <w:kern w:val="0"/>
                <w:sz w:val="24"/>
                <w:highlight w:val="none"/>
                <w:lang w:val="en-US" w:eastAsia="zh-CN"/>
              </w:rPr>
            </w:pPr>
            <w:r>
              <w:rPr>
                <w:rFonts w:hint="default" w:ascii="Times New Roman" w:hAnsi="Times New Roman" w:eastAsia="宋体" w:cs="Times New Roman"/>
                <w:bCs/>
                <w:color w:val="auto"/>
                <w:kern w:val="0"/>
                <w:sz w:val="24"/>
                <w:highlight w:val="none"/>
                <w:lang w:val="en-US" w:eastAsia="zh-CN"/>
              </w:rPr>
              <w:t>综上，本项目符合《中华人民共和国水污染防治法》》（2018年1月1日）的相关规定。</w:t>
            </w:r>
          </w:p>
          <w:p w14:paraId="5CE91678">
            <w:pPr>
              <w:autoSpaceDE w:val="0"/>
              <w:autoSpaceDN w:val="0"/>
              <w:adjustRightInd w:val="0"/>
              <w:snapToGrid w:val="0"/>
              <w:spacing w:line="360" w:lineRule="auto"/>
              <w:ind w:firstLine="480" w:firstLineChars="200"/>
              <w:jc w:val="left"/>
              <w:rPr>
                <w:rFonts w:hint="default" w:ascii="Times New Roman" w:hAnsi="Times New Roman" w:eastAsia="宋体" w:cs="Times New Roman"/>
                <w:bCs/>
                <w:color w:val="auto"/>
                <w:kern w:val="0"/>
                <w:sz w:val="24"/>
                <w:highlight w:val="none"/>
                <w:lang w:val="en-US" w:eastAsia="zh-CN"/>
              </w:rPr>
            </w:pPr>
            <w:r>
              <w:rPr>
                <w:rFonts w:hint="eastAsia" w:ascii="Times New Roman" w:hAnsi="Times New Roman" w:eastAsia="宋体" w:cs="Times New Roman"/>
                <w:bCs/>
                <w:color w:val="auto"/>
                <w:kern w:val="0"/>
                <w:sz w:val="24"/>
                <w:highlight w:val="none"/>
                <w:lang w:val="en-US" w:eastAsia="zh-CN"/>
              </w:rPr>
              <w:t>3、</w:t>
            </w:r>
            <w:r>
              <w:rPr>
                <w:rFonts w:hint="default" w:ascii="Times New Roman" w:hAnsi="Times New Roman" w:eastAsia="宋体" w:cs="Times New Roman"/>
                <w:bCs/>
                <w:color w:val="auto"/>
                <w:kern w:val="0"/>
                <w:sz w:val="24"/>
                <w:highlight w:val="none"/>
                <w:lang w:val="en-US" w:eastAsia="zh-CN"/>
              </w:rPr>
              <w:t>与《云南省长江经济带发展负面清单指南实施细则（试行）（试行，2022年版）》符合性分析</w:t>
            </w:r>
          </w:p>
          <w:p w14:paraId="31ABBF4C">
            <w:pPr>
              <w:autoSpaceDE w:val="0"/>
              <w:autoSpaceDN w:val="0"/>
              <w:adjustRightInd w:val="0"/>
              <w:snapToGrid w:val="0"/>
              <w:spacing w:line="360" w:lineRule="auto"/>
              <w:ind w:firstLine="482" w:firstLineChars="200"/>
              <w:jc w:val="center"/>
              <w:rPr>
                <w:rFonts w:hint="eastAsia" w:ascii="Times New Roman" w:hAnsi="Times New Roman" w:eastAsia="宋体" w:cs="Times New Roman"/>
                <w:b/>
                <w:bCs/>
                <w:color w:val="auto"/>
                <w:kern w:val="0"/>
                <w:sz w:val="24"/>
                <w:highlight w:val="none"/>
                <w:lang w:val="en-US" w:eastAsia="zh-CN"/>
              </w:rPr>
            </w:pPr>
            <w:r>
              <w:rPr>
                <w:rFonts w:hint="default" w:ascii="Times New Roman" w:hAnsi="Times New Roman" w:eastAsia="宋体" w:cs="Times New Roman"/>
                <w:b/>
                <w:bCs/>
                <w:color w:val="auto"/>
                <w:kern w:val="0"/>
                <w:sz w:val="24"/>
                <w:highlight w:val="none"/>
              </w:rPr>
              <w:t>表1-</w:t>
            </w:r>
            <w:r>
              <w:rPr>
                <w:rFonts w:hint="eastAsia" w:cs="Times New Roman"/>
                <w:b/>
                <w:bCs/>
                <w:color w:val="auto"/>
                <w:kern w:val="0"/>
                <w:sz w:val="24"/>
                <w:highlight w:val="none"/>
                <w:lang w:val="en-US" w:eastAsia="zh-CN"/>
              </w:rPr>
              <w:t>7</w:t>
            </w:r>
            <w:r>
              <w:rPr>
                <w:rFonts w:hint="eastAsia" w:ascii="Times New Roman" w:hAnsi="Times New Roman" w:eastAsia="宋体" w:cs="Times New Roman"/>
                <w:b/>
                <w:bCs/>
                <w:color w:val="auto"/>
                <w:kern w:val="0"/>
                <w:sz w:val="24"/>
                <w:highlight w:val="none"/>
                <w:lang w:val="en-US" w:eastAsia="zh-CN"/>
              </w:rPr>
              <w:t xml:space="preserve">  与《云南省长江经济带发展负面清单指南实施细则</w:t>
            </w:r>
          </w:p>
          <w:p w14:paraId="564AB266">
            <w:pPr>
              <w:autoSpaceDE w:val="0"/>
              <w:autoSpaceDN w:val="0"/>
              <w:adjustRightInd w:val="0"/>
              <w:snapToGrid w:val="0"/>
              <w:spacing w:line="360" w:lineRule="auto"/>
              <w:ind w:firstLine="482" w:firstLineChars="200"/>
              <w:jc w:val="center"/>
              <w:rPr>
                <w:rFonts w:hint="default" w:ascii="Times New Roman" w:hAnsi="Times New Roman" w:eastAsia="宋体" w:cs="Times New Roman"/>
                <w:b/>
                <w:bCs/>
                <w:color w:val="auto"/>
                <w:kern w:val="0"/>
                <w:sz w:val="24"/>
                <w:highlight w:val="none"/>
              </w:rPr>
            </w:pPr>
            <w:r>
              <w:rPr>
                <w:rFonts w:hint="eastAsia" w:ascii="Times New Roman" w:hAnsi="Times New Roman" w:eastAsia="宋体" w:cs="Times New Roman"/>
                <w:b/>
                <w:bCs/>
                <w:color w:val="auto"/>
                <w:kern w:val="0"/>
                <w:sz w:val="24"/>
                <w:highlight w:val="none"/>
                <w:lang w:val="en-US" w:eastAsia="zh-CN"/>
              </w:rPr>
              <w:t>（试行，2022年版）》符合性分析</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2913"/>
              <w:gridCol w:w="3408"/>
              <w:gridCol w:w="895"/>
            </w:tblGrid>
            <w:tr w14:paraId="1241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3" w:type="pct"/>
                  <w:vAlign w:val="center"/>
                </w:tcPr>
                <w:p w14:paraId="6E464717">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序号</w:t>
                  </w:r>
                </w:p>
              </w:tc>
              <w:tc>
                <w:tcPr>
                  <w:tcW w:w="1839" w:type="pct"/>
                  <w:vAlign w:val="center"/>
                </w:tcPr>
                <w:p w14:paraId="1DBDC037">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文件内容</w:t>
                  </w:r>
                </w:p>
              </w:tc>
              <w:tc>
                <w:tcPr>
                  <w:tcW w:w="2152" w:type="pct"/>
                  <w:vAlign w:val="center"/>
                </w:tcPr>
                <w:p w14:paraId="03783D8D">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相符性分析</w:t>
                  </w:r>
                </w:p>
              </w:tc>
              <w:tc>
                <w:tcPr>
                  <w:tcW w:w="565" w:type="pct"/>
                  <w:vAlign w:val="center"/>
                </w:tcPr>
                <w:p w14:paraId="114F50C1">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符合性</w:t>
                  </w:r>
                </w:p>
              </w:tc>
            </w:tr>
            <w:tr w14:paraId="3217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3" w:type="pct"/>
                  <w:vAlign w:val="center"/>
                </w:tcPr>
                <w:p w14:paraId="06EEFB5E">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w:t>
                  </w:r>
                </w:p>
              </w:tc>
              <w:tc>
                <w:tcPr>
                  <w:tcW w:w="1839" w:type="pct"/>
                  <w:vAlign w:val="center"/>
                </w:tcPr>
                <w:p w14:paraId="3C3A95F2">
                  <w:pPr>
                    <w:jc w:val="center"/>
                    <w:rPr>
                      <w:rFonts w:hint="default" w:ascii="Times New Roman" w:hAnsi="Times New Roman" w:cs="Times New Roman"/>
                      <w:bCs/>
                      <w:color w:val="auto"/>
                      <w:szCs w:val="21"/>
                      <w:highlight w:val="none"/>
                    </w:rPr>
                  </w:pPr>
                  <w:r>
                    <w:rPr>
                      <w:bCs/>
                      <w:color w:val="auto"/>
                      <w:szCs w:val="21"/>
                      <w:highlight w:val="none"/>
                    </w:rPr>
                    <w:t>禁止新建、改建和扩建不符合《全国内河航道与港口布局规划》等全国港口规划和《昭通市港口码头岸线规划（金沙江段2019年-2035年）》、《景洪港总体规划（2019-2035年）》等州（市）级以上港口布局规划以及港口总体规划的码头项目。</w:t>
                  </w:r>
                </w:p>
              </w:tc>
              <w:tc>
                <w:tcPr>
                  <w:tcW w:w="2152" w:type="pct"/>
                  <w:vAlign w:val="center"/>
                </w:tcPr>
                <w:p w14:paraId="1A4A21EA">
                  <w:pPr>
                    <w:jc w:val="center"/>
                    <w:rPr>
                      <w:rFonts w:hint="default" w:ascii="Times New Roman" w:hAnsi="Times New Roman" w:cs="Times New Roman"/>
                      <w:bCs/>
                      <w:color w:val="auto"/>
                      <w:szCs w:val="21"/>
                      <w:highlight w:val="none"/>
                    </w:rPr>
                  </w:pPr>
                  <w:r>
                    <w:rPr>
                      <w:bCs/>
                      <w:color w:val="auto"/>
                      <w:szCs w:val="21"/>
                      <w:highlight w:val="none"/>
                    </w:rPr>
                    <w:t>本项目不属于码头及过长江通道项目。</w:t>
                  </w:r>
                </w:p>
              </w:tc>
              <w:tc>
                <w:tcPr>
                  <w:tcW w:w="565" w:type="pct"/>
                  <w:vAlign w:val="center"/>
                </w:tcPr>
                <w:p w14:paraId="168CB017">
                  <w:pPr>
                    <w:jc w:val="center"/>
                    <w:rPr>
                      <w:rFonts w:hint="default" w:ascii="Times New Roman" w:hAnsi="Times New Roman" w:cs="Times New Roman"/>
                      <w:b w:val="0"/>
                      <w:bCs/>
                      <w:color w:val="auto"/>
                      <w:szCs w:val="21"/>
                      <w:highlight w:val="none"/>
                    </w:rPr>
                  </w:pPr>
                  <w:r>
                    <w:rPr>
                      <w:bCs/>
                      <w:color w:val="auto"/>
                      <w:szCs w:val="21"/>
                      <w:highlight w:val="none"/>
                    </w:rPr>
                    <w:t>符合</w:t>
                  </w:r>
                </w:p>
              </w:tc>
            </w:tr>
            <w:tr w14:paraId="56BB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3" w:type="pct"/>
                  <w:vAlign w:val="center"/>
                </w:tcPr>
                <w:p w14:paraId="609F8E12">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w:t>
                  </w:r>
                </w:p>
              </w:tc>
              <w:tc>
                <w:tcPr>
                  <w:tcW w:w="1839" w:type="pct"/>
                  <w:vAlign w:val="center"/>
                </w:tcPr>
                <w:p w14:paraId="49A55114">
                  <w:pPr>
                    <w:jc w:val="center"/>
                    <w:rPr>
                      <w:rFonts w:hint="default" w:ascii="Times New Roman" w:hAnsi="Times New Roman" w:cs="Times New Roman"/>
                      <w:bCs/>
                      <w:color w:val="auto"/>
                      <w:szCs w:val="21"/>
                      <w:highlight w:val="none"/>
                    </w:rPr>
                  </w:pPr>
                  <w:r>
                    <w:rPr>
                      <w:rFonts w:hint="eastAsia"/>
                      <w:bCs/>
                      <w:color w:val="auto"/>
                      <w:szCs w:val="21"/>
                      <w:highlight w:val="none"/>
                    </w:rPr>
                    <w:t>禁止在自然保护区核心区、缓冲区的岸线和河段范围内投资建设旅游和生产经营项目。禁止建设与自然保护区保护方向不一致的旅游项目。禁止在自然保护区内进行开矿、采石、挖沙等活动。禁止在自然保护区的核心区和缓冲区内建设任何生产设施，禁止在自然保护区的实验区内建设污染环境、破坏资源或者景观的生产设施。</w:t>
                  </w:r>
                </w:p>
              </w:tc>
              <w:tc>
                <w:tcPr>
                  <w:tcW w:w="2152" w:type="pct"/>
                  <w:vAlign w:val="center"/>
                </w:tcPr>
                <w:p w14:paraId="79D2D00E">
                  <w:pPr>
                    <w:jc w:val="center"/>
                    <w:rPr>
                      <w:rFonts w:hint="default" w:ascii="Times New Roman" w:hAnsi="Times New Roman" w:cs="Times New Roman"/>
                      <w:bCs/>
                      <w:color w:val="auto"/>
                      <w:szCs w:val="21"/>
                      <w:highlight w:val="none"/>
                    </w:rPr>
                  </w:pPr>
                  <w:r>
                    <w:rPr>
                      <w:rFonts w:hint="eastAsia"/>
                      <w:bCs/>
                      <w:color w:val="auto"/>
                      <w:kern w:val="28"/>
                      <w:szCs w:val="21"/>
                      <w:highlight w:val="none"/>
                    </w:rPr>
                    <w:t>本项目用地不涉及自然保护区核心区、缓冲区的岸线和河段范围。</w:t>
                  </w:r>
                </w:p>
              </w:tc>
              <w:tc>
                <w:tcPr>
                  <w:tcW w:w="565" w:type="pct"/>
                  <w:vAlign w:val="center"/>
                </w:tcPr>
                <w:p w14:paraId="0D865D54">
                  <w:pPr>
                    <w:jc w:val="center"/>
                    <w:rPr>
                      <w:rFonts w:hint="default" w:ascii="Times New Roman" w:hAnsi="Times New Roman" w:cs="Times New Roman"/>
                      <w:b w:val="0"/>
                      <w:bCs/>
                      <w:color w:val="auto"/>
                      <w:szCs w:val="21"/>
                      <w:highlight w:val="none"/>
                    </w:rPr>
                  </w:pPr>
                  <w:r>
                    <w:rPr>
                      <w:bCs/>
                      <w:color w:val="auto"/>
                      <w:szCs w:val="21"/>
                      <w:highlight w:val="none"/>
                    </w:rPr>
                    <w:t>符合</w:t>
                  </w:r>
                </w:p>
              </w:tc>
            </w:tr>
            <w:tr w14:paraId="4219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3" w:type="pct"/>
                  <w:vAlign w:val="center"/>
                </w:tcPr>
                <w:p w14:paraId="4DF0BCA7">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w:t>
                  </w:r>
                </w:p>
              </w:tc>
              <w:tc>
                <w:tcPr>
                  <w:tcW w:w="1839" w:type="pct"/>
                  <w:vAlign w:val="center"/>
                </w:tcPr>
                <w:p w14:paraId="135F98D7">
                  <w:pPr>
                    <w:jc w:val="center"/>
                    <w:rPr>
                      <w:rFonts w:hint="default" w:ascii="Times New Roman" w:hAnsi="Times New Roman" w:cs="Times New Roman"/>
                      <w:bCs/>
                      <w:color w:val="auto"/>
                      <w:szCs w:val="21"/>
                      <w:highlight w:val="none"/>
                    </w:rPr>
                  </w:pPr>
                  <w:r>
                    <w:rPr>
                      <w:rFonts w:hint="eastAsia"/>
                      <w:bCs/>
                      <w:color w:val="auto"/>
                      <w:szCs w:val="21"/>
                      <w:highlight w:val="none"/>
                    </w:rPr>
                    <w:t>禁止在风景名胜区核心景区的岸线和河段范围内投资建设与风景名胜资源保护无关的项目。禁止在风景名胜区内进行开山、采石、开矿、开荒、修坟立碑等破坏景观、植被和地形地貌的活动以及修建储存爆炸性、易燃性、放射性、毒害性、腐蚀性物品的设施；禁止在风景名胜区内设立开发区和在核心景区内建设宾馆、会所、培训中心、疗养院以及与风景名胜资源保护无关的投资建设项目。</w:t>
                  </w:r>
                </w:p>
              </w:tc>
              <w:tc>
                <w:tcPr>
                  <w:tcW w:w="2152" w:type="pct"/>
                  <w:vAlign w:val="center"/>
                </w:tcPr>
                <w:p w14:paraId="353A5E54">
                  <w:pPr>
                    <w:jc w:val="center"/>
                    <w:rPr>
                      <w:rFonts w:hint="default" w:ascii="Times New Roman" w:hAnsi="Times New Roman" w:cs="Times New Roman"/>
                      <w:bCs/>
                      <w:color w:val="auto"/>
                      <w:szCs w:val="21"/>
                      <w:highlight w:val="none"/>
                    </w:rPr>
                  </w:pPr>
                  <w:r>
                    <w:rPr>
                      <w:rFonts w:hint="eastAsia"/>
                      <w:bCs/>
                      <w:color w:val="auto"/>
                      <w:kern w:val="28"/>
                      <w:szCs w:val="21"/>
                      <w:highlight w:val="none"/>
                    </w:rPr>
                    <w:t>本项目用地不涉及风景名胜区核心景区的岸线和河段范围。</w:t>
                  </w:r>
                </w:p>
              </w:tc>
              <w:tc>
                <w:tcPr>
                  <w:tcW w:w="565" w:type="pct"/>
                  <w:vAlign w:val="center"/>
                </w:tcPr>
                <w:p w14:paraId="3EB2F393">
                  <w:pPr>
                    <w:jc w:val="center"/>
                    <w:rPr>
                      <w:rFonts w:hint="default" w:ascii="Times New Roman" w:hAnsi="Times New Roman" w:cs="Times New Roman"/>
                      <w:b w:val="0"/>
                      <w:bCs/>
                      <w:color w:val="auto"/>
                      <w:szCs w:val="21"/>
                      <w:highlight w:val="none"/>
                    </w:rPr>
                  </w:pPr>
                  <w:r>
                    <w:rPr>
                      <w:bCs/>
                      <w:color w:val="auto"/>
                      <w:szCs w:val="21"/>
                      <w:highlight w:val="none"/>
                    </w:rPr>
                    <w:t>符合</w:t>
                  </w:r>
                </w:p>
              </w:tc>
            </w:tr>
            <w:tr w14:paraId="72729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3" w:type="pct"/>
                  <w:vAlign w:val="center"/>
                </w:tcPr>
                <w:p w14:paraId="78C44A7A">
                  <w:pPr>
                    <w:jc w:val="center"/>
                    <w:rPr>
                      <w:rFonts w:hint="default" w:ascii="Times New Roman" w:hAnsi="Times New Roman" w:cs="Times New Roman"/>
                      <w:bCs/>
                      <w:color w:val="auto"/>
                      <w:highlight w:val="none"/>
                    </w:rPr>
                  </w:pPr>
                  <w:r>
                    <w:rPr>
                      <w:rFonts w:hint="default" w:ascii="Times New Roman" w:hAnsi="Times New Roman" w:cs="Times New Roman"/>
                      <w:bCs/>
                      <w:color w:val="auto"/>
                      <w:highlight w:val="none"/>
                    </w:rPr>
                    <w:t>4</w:t>
                  </w:r>
                </w:p>
              </w:tc>
              <w:tc>
                <w:tcPr>
                  <w:tcW w:w="1839" w:type="pct"/>
                  <w:vAlign w:val="center"/>
                </w:tcPr>
                <w:p w14:paraId="7EF7FBE6">
                  <w:pPr>
                    <w:jc w:val="center"/>
                    <w:rPr>
                      <w:rFonts w:hint="default" w:ascii="Times New Roman" w:hAnsi="Times New Roman" w:cs="Times New Roman"/>
                      <w:bCs/>
                      <w:color w:val="auto"/>
                      <w:szCs w:val="21"/>
                      <w:highlight w:val="none"/>
                    </w:rPr>
                  </w:pPr>
                  <w:r>
                    <w:rPr>
                      <w:rFonts w:hint="eastAsia"/>
                      <w:bCs/>
                      <w:color w:val="auto"/>
                      <w:szCs w:val="21"/>
                      <w:highlight w:val="none"/>
                    </w:rPr>
                    <w:t>禁止在饮用水水源一级保护区的岸线和河段范围内新建、改建、扩建与供水设施和保护水源无关的投资建设项目，以及网箱养殖、畜禽养殖、旅游等可能污染饮用水水体的投资建设项目。禁止在饮用水水源二级保护区的岸线和河段范围内新 建、改建、扩建排放污染物的投资建设项目。</w:t>
                  </w:r>
                </w:p>
              </w:tc>
              <w:tc>
                <w:tcPr>
                  <w:tcW w:w="2152" w:type="pct"/>
                  <w:vAlign w:val="center"/>
                </w:tcPr>
                <w:p w14:paraId="5F38727D">
                  <w:pPr>
                    <w:jc w:val="center"/>
                    <w:rPr>
                      <w:rFonts w:hint="default" w:ascii="Times New Roman" w:hAnsi="Times New Roman" w:cs="Times New Roman"/>
                      <w:bCs/>
                      <w:color w:val="auto"/>
                      <w:szCs w:val="21"/>
                      <w:highlight w:val="none"/>
                    </w:rPr>
                  </w:pPr>
                  <w:r>
                    <w:rPr>
                      <w:rFonts w:hint="eastAsia"/>
                      <w:bCs/>
                      <w:color w:val="auto"/>
                      <w:kern w:val="28"/>
                      <w:szCs w:val="21"/>
                      <w:highlight w:val="none"/>
                    </w:rPr>
                    <w:t>本项目用地不涉及饮用水水源一级、二级保护区的岸线和河段范围。</w:t>
                  </w:r>
                </w:p>
              </w:tc>
              <w:tc>
                <w:tcPr>
                  <w:tcW w:w="565" w:type="pct"/>
                  <w:vAlign w:val="center"/>
                </w:tcPr>
                <w:p w14:paraId="2E303C75">
                  <w:pPr>
                    <w:jc w:val="center"/>
                    <w:rPr>
                      <w:rFonts w:hint="default" w:ascii="Times New Roman" w:hAnsi="Times New Roman" w:cs="Times New Roman"/>
                      <w:b/>
                      <w:color w:val="auto"/>
                      <w:szCs w:val="21"/>
                      <w:highlight w:val="none"/>
                    </w:rPr>
                  </w:pPr>
                  <w:r>
                    <w:rPr>
                      <w:bCs/>
                      <w:color w:val="auto"/>
                      <w:szCs w:val="21"/>
                      <w:highlight w:val="none"/>
                    </w:rPr>
                    <w:t>符合</w:t>
                  </w:r>
                </w:p>
              </w:tc>
            </w:tr>
            <w:tr w14:paraId="0D16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3" w:type="pct"/>
                  <w:vAlign w:val="center"/>
                </w:tcPr>
                <w:p w14:paraId="2714A4C2">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5</w:t>
                  </w:r>
                </w:p>
              </w:tc>
              <w:tc>
                <w:tcPr>
                  <w:tcW w:w="1839" w:type="pct"/>
                  <w:vAlign w:val="center"/>
                </w:tcPr>
                <w:p w14:paraId="4AC6815B">
                  <w:pPr>
                    <w:jc w:val="center"/>
                    <w:rPr>
                      <w:rFonts w:hint="default" w:ascii="Times New Roman" w:hAnsi="Times New Roman" w:cs="Times New Roman"/>
                      <w:color w:val="auto"/>
                      <w:highlight w:val="none"/>
                    </w:rPr>
                  </w:pPr>
                  <w:r>
                    <w:rPr>
                      <w:rFonts w:hint="eastAsia"/>
                      <w:bCs/>
                      <w:color w:val="auto"/>
                      <w:szCs w:val="21"/>
                      <w:highlight w:val="none"/>
                    </w:rPr>
                    <w:t>禁止在水产种质资源保护区的岸线和河段范围内新建围湖造田、围湖造地或围填海等投资建设项目。禁止擅自征收、占用国家湿地公园的土地；禁止在国家湿地公园内挖沙、采 矿，以及建设度假村、高尔夫球场等任何不符合主体功能定位的投资建设项目。</w:t>
                  </w:r>
                </w:p>
              </w:tc>
              <w:tc>
                <w:tcPr>
                  <w:tcW w:w="2152" w:type="pct"/>
                  <w:vAlign w:val="center"/>
                </w:tcPr>
                <w:p w14:paraId="39463AB3">
                  <w:pPr>
                    <w:jc w:val="center"/>
                    <w:rPr>
                      <w:rFonts w:hint="default" w:ascii="Times New Roman" w:hAnsi="Times New Roman" w:cs="Times New Roman"/>
                      <w:bCs/>
                      <w:color w:val="auto"/>
                      <w:szCs w:val="21"/>
                      <w:highlight w:val="none"/>
                    </w:rPr>
                  </w:pPr>
                  <w:r>
                    <w:rPr>
                      <w:rFonts w:hint="eastAsia"/>
                      <w:bCs/>
                      <w:color w:val="auto"/>
                      <w:kern w:val="28"/>
                      <w:szCs w:val="21"/>
                      <w:highlight w:val="none"/>
                    </w:rPr>
                    <w:t>本项目用地不涉及水产种质资源保护区的岸线和河段范围。</w:t>
                  </w:r>
                </w:p>
              </w:tc>
              <w:tc>
                <w:tcPr>
                  <w:tcW w:w="565" w:type="pct"/>
                  <w:vAlign w:val="center"/>
                </w:tcPr>
                <w:p w14:paraId="72A41502">
                  <w:pPr>
                    <w:jc w:val="center"/>
                    <w:rPr>
                      <w:rFonts w:hint="default" w:ascii="Times New Roman" w:hAnsi="Times New Roman" w:cs="Times New Roman"/>
                      <w:b/>
                      <w:color w:val="auto"/>
                      <w:szCs w:val="21"/>
                      <w:highlight w:val="none"/>
                    </w:rPr>
                  </w:pPr>
                  <w:r>
                    <w:rPr>
                      <w:bCs/>
                      <w:color w:val="auto"/>
                      <w:szCs w:val="21"/>
                      <w:highlight w:val="none"/>
                    </w:rPr>
                    <w:t>符合</w:t>
                  </w:r>
                </w:p>
              </w:tc>
            </w:tr>
            <w:tr w14:paraId="60FDE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3" w:type="pct"/>
                  <w:vAlign w:val="center"/>
                </w:tcPr>
                <w:p w14:paraId="4EA31B2A">
                  <w:pPr>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6</w:t>
                  </w:r>
                </w:p>
              </w:tc>
              <w:tc>
                <w:tcPr>
                  <w:tcW w:w="1839" w:type="pct"/>
                  <w:vAlign w:val="center"/>
                </w:tcPr>
                <w:p w14:paraId="2B3EBC90">
                  <w:pPr>
                    <w:jc w:val="center"/>
                    <w:rPr>
                      <w:rFonts w:hint="default" w:ascii="Times New Roman" w:hAnsi="Times New Roman" w:cs="Times New Roman"/>
                      <w:bCs/>
                      <w:color w:val="auto"/>
                      <w:szCs w:val="21"/>
                      <w:highlight w:val="none"/>
                    </w:rPr>
                  </w:pPr>
                  <w:r>
                    <w:rPr>
                      <w:rFonts w:hint="eastAsia"/>
                      <w:bCs/>
                      <w:color w:val="auto"/>
                      <w:szCs w:val="21"/>
                      <w:highlight w:val="none"/>
                    </w:rPr>
                    <w:t>禁止违法利用、占用长江流域河湖岸线。禁止在金沙江岸线保护区和保留区内投资建设除事关公共安全及公众利益的防洪护岸、河道治理、供水、生态环境保护、航道整治、国家重要基础设施以外的项目。禁止在金沙江干流、九大高原湖泊保护区、保留区内投资建设不利于水资源及自然生态保护的项目。</w:t>
                  </w:r>
                </w:p>
              </w:tc>
              <w:tc>
                <w:tcPr>
                  <w:tcW w:w="2152" w:type="pct"/>
                  <w:vAlign w:val="center"/>
                </w:tcPr>
                <w:p w14:paraId="03D4B8A3">
                  <w:pPr>
                    <w:jc w:val="center"/>
                    <w:rPr>
                      <w:rFonts w:hint="default" w:ascii="Times New Roman" w:hAnsi="Times New Roman" w:cs="Times New Roman"/>
                      <w:bCs/>
                      <w:color w:val="auto"/>
                      <w:szCs w:val="21"/>
                      <w:highlight w:val="none"/>
                    </w:rPr>
                  </w:pPr>
                  <w:r>
                    <w:rPr>
                      <w:rFonts w:hint="eastAsia"/>
                      <w:bCs/>
                      <w:color w:val="auto"/>
                      <w:kern w:val="28"/>
                      <w:szCs w:val="21"/>
                      <w:highlight w:val="none"/>
                    </w:rPr>
                    <w:t>本项目用地不涉及利用、占用长江流域河湖岸线，同时不涉及占用金沙江干流、九大高原湖泊保护区、保留区。</w:t>
                  </w:r>
                </w:p>
              </w:tc>
              <w:tc>
                <w:tcPr>
                  <w:tcW w:w="565" w:type="pct"/>
                  <w:vAlign w:val="center"/>
                </w:tcPr>
                <w:p w14:paraId="40C315C6">
                  <w:pPr>
                    <w:jc w:val="center"/>
                    <w:rPr>
                      <w:rFonts w:hint="default" w:ascii="Times New Roman" w:hAnsi="Times New Roman" w:cs="Times New Roman"/>
                      <w:b/>
                      <w:color w:val="auto"/>
                      <w:szCs w:val="21"/>
                      <w:highlight w:val="none"/>
                    </w:rPr>
                  </w:pPr>
                  <w:r>
                    <w:rPr>
                      <w:bCs/>
                      <w:color w:val="auto"/>
                      <w:szCs w:val="21"/>
                      <w:highlight w:val="none"/>
                    </w:rPr>
                    <w:t>符合</w:t>
                  </w:r>
                </w:p>
              </w:tc>
            </w:tr>
            <w:tr w14:paraId="7F60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3" w:type="pct"/>
                  <w:vAlign w:val="center"/>
                </w:tcPr>
                <w:p w14:paraId="3A034661">
                  <w:pPr>
                    <w:autoSpaceDE w:val="0"/>
                    <w:autoSpaceDN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7</w:t>
                  </w:r>
                </w:p>
              </w:tc>
              <w:tc>
                <w:tcPr>
                  <w:tcW w:w="1839" w:type="pct"/>
                  <w:vAlign w:val="center"/>
                </w:tcPr>
                <w:p w14:paraId="4DCB108C">
                  <w:pPr>
                    <w:jc w:val="center"/>
                    <w:rPr>
                      <w:rFonts w:hint="default" w:ascii="Times New Roman" w:hAnsi="Times New Roman" w:cs="Times New Roman"/>
                      <w:bCs/>
                      <w:color w:val="auto"/>
                      <w:szCs w:val="21"/>
                      <w:highlight w:val="none"/>
                    </w:rPr>
                  </w:pPr>
                  <w:r>
                    <w:rPr>
                      <w:rFonts w:hint="eastAsia"/>
                      <w:bCs/>
                      <w:color w:val="auto"/>
                      <w:szCs w:val="21"/>
                      <w:highlight w:val="none"/>
                    </w:rPr>
                    <w:t>禁止在金沙江干流、长江一级支流建设除党中央、国务院、国家投资主管部门、省级有关部门批复同意以外的过江基础设施项目；禁止未经许可在金沙江干流、长江一级支流、九大高原湖泊流域新设、改设或扩大排污口。</w:t>
                  </w:r>
                </w:p>
              </w:tc>
              <w:tc>
                <w:tcPr>
                  <w:tcW w:w="2152" w:type="pct"/>
                  <w:vAlign w:val="center"/>
                </w:tcPr>
                <w:p w14:paraId="716DE893">
                  <w:pPr>
                    <w:jc w:val="center"/>
                    <w:rPr>
                      <w:rFonts w:hint="default" w:ascii="Times New Roman" w:hAnsi="Times New Roman" w:cs="Times New Roman"/>
                      <w:bCs/>
                      <w:color w:val="auto"/>
                      <w:szCs w:val="21"/>
                      <w:highlight w:val="none"/>
                    </w:rPr>
                  </w:pPr>
                  <w:r>
                    <w:rPr>
                      <w:rFonts w:hint="eastAsia"/>
                      <w:bCs/>
                      <w:color w:val="auto"/>
                      <w:kern w:val="28"/>
                      <w:szCs w:val="21"/>
                      <w:highlight w:val="none"/>
                    </w:rPr>
                    <w:t>本项目用地不涉及金沙江干流、长江一级支流范围内。</w:t>
                  </w:r>
                </w:p>
              </w:tc>
              <w:tc>
                <w:tcPr>
                  <w:tcW w:w="565" w:type="pct"/>
                  <w:vAlign w:val="center"/>
                </w:tcPr>
                <w:p w14:paraId="50CE2A5B">
                  <w:pPr>
                    <w:jc w:val="center"/>
                    <w:rPr>
                      <w:rFonts w:hint="default" w:ascii="Times New Roman" w:hAnsi="Times New Roman" w:cs="Times New Roman"/>
                      <w:b/>
                      <w:color w:val="auto"/>
                      <w:szCs w:val="21"/>
                      <w:highlight w:val="none"/>
                    </w:rPr>
                  </w:pPr>
                  <w:r>
                    <w:rPr>
                      <w:bCs/>
                      <w:color w:val="auto"/>
                      <w:szCs w:val="21"/>
                      <w:highlight w:val="none"/>
                    </w:rPr>
                    <w:t>符合</w:t>
                  </w:r>
                </w:p>
              </w:tc>
            </w:tr>
            <w:tr w14:paraId="3717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3" w:type="pct"/>
                  <w:vAlign w:val="center"/>
                </w:tcPr>
                <w:p w14:paraId="62E97BEB">
                  <w:pPr>
                    <w:autoSpaceDE w:val="0"/>
                    <w:autoSpaceDN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8</w:t>
                  </w:r>
                </w:p>
              </w:tc>
              <w:tc>
                <w:tcPr>
                  <w:tcW w:w="1839" w:type="pct"/>
                  <w:vAlign w:val="center"/>
                </w:tcPr>
                <w:p w14:paraId="7D0F2B79">
                  <w:pPr>
                    <w:jc w:val="center"/>
                    <w:rPr>
                      <w:rFonts w:hint="default" w:ascii="Times New Roman" w:hAnsi="Times New Roman" w:cs="Times New Roman"/>
                      <w:bCs/>
                      <w:color w:val="auto"/>
                      <w:szCs w:val="21"/>
                      <w:highlight w:val="none"/>
                    </w:rPr>
                  </w:pPr>
                  <w:r>
                    <w:rPr>
                      <w:rFonts w:hint="eastAsia"/>
                      <w:bCs/>
                      <w:color w:val="auto"/>
                      <w:szCs w:val="21"/>
                      <w:highlight w:val="none"/>
                    </w:rPr>
                    <w:t>禁止在金沙江干流、长江一级支流、水生生物保护区和长江流域禁捕水域开展天然渔业资源生产性捕捞。</w:t>
                  </w:r>
                </w:p>
              </w:tc>
              <w:tc>
                <w:tcPr>
                  <w:tcW w:w="2152" w:type="pct"/>
                  <w:vAlign w:val="center"/>
                </w:tcPr>
                <w:p w14:paraId="3AFD3D3E">
                  <w:pPr>
                    <w:jc w:val="center"/>
                    <w:rPr>
                      <w:rFonts w:hint="default" w:ascii="Times New Roman" w:hAnsi="Times New Roman" w:cs="Times New Roman"/>
                      <w:bCs/>
                      <w:color w:val="auto"/>
                      <w:szCs w:val="21"/>
                      <w:highlight w:val="none"/>
                    </w:rPr>
                  </w:pPr>
                  <w:r>
                    <w:rPr>
                      <w:rFonts w:hint="eastAsia"/>
                      <w:bCs/>
                      <w:color w:val="auto"/>
                      <w:kern w:val="28"/>
                      <w:szCs w:val="21"/>
                      <w:highlight w:val="none"/>
                    </w:rPr>
                    <w:t>本项目用地不涉及金沙江干流、长江一级支流、水生生物保护区和长江流域内，不涉及捕捞。</w:t>
                  </w:r>
                </w:p>
              </w:tc>
              <w:tc>
                <w:tcPr>
                  <w:tcW w:w="565" w:type="pct"/>
                  <w:vAlign w:val="center"/>
                </w:tcPr>
                <w:p w14:paraId="3AE5E94D">
                  <w:pPr>
                    <w:jc w:val="center"/>
                    <w:rPr>
                      <w:rFonts w:hint="default" w:ascii="Times New Roman" w:hAnsi="Times New Roman" w:cs="Times New Roman"/>
                      <w:b/>
                      <w:color w:val="auto"/>
                      <w:szCs w:val="21"/>
                      <w:highlight w:val="none"/>
                    </w:rPr>
                  </w:pPr>
                  <w:r>
                    <w:rPr>
                      <w:bCs/>
                      <w:color w:val="auto"/>
                      <w:szCs w:val="21"/>
                      <w:highlight w:val="none"/>
                    </w:rPr>
                    <w:t>符合</w:t>
                  </w:r>
                </w:p>
              </w:tc>
            </w:tr>
            <w:tr w14:paraId="671C4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3" w:type="pct"/>
                  <w:vAlign w:val="center"/>
                </w:tcPr>
                <w:p w14:paraId="444BA489">
                  <w:pPr>
                    <w:autoSpaceDE w:val="0"/>
                    <w:autoSpaceDN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9</w:t>
                  </w:r>
                </w:p>
              </w:tc>
              <w:tc>
                <w:tcPr>
                  <w:tcW w:w="1839" w:type="pct"/>
                  <w:vAlign w:val="center"/>
                </w:tcPr>
                <w:p w14:paraId="58325F06">
                  <w:pPr>
                    <w:jc w:val="center"/>
                    <w:rPr>
                      <w:rFonts w:hint="default" w:ascii="Times New Roman" w:hAnsi="Times New Roman" w:cs="Times New Roman"/>
                      <w:bCs/>
                      <w:color w:val="auto"/>
                      <w:szCs w:val="21"/>
                      <w:highlight w:val="none"/>
                    </w:rPr>
                  </w:pPr>
                  <w:r>
                    <w:rPr>
                      <w:rFonts w:hint="eastAsia"/>
                      <w:bCs/>
                      <w:color w:val="auto"/>
                      <w:szCs w:val="21"/>
                      <w:highlight w:val="none"/>
                    </w:rPr>
                    <w:t>禁止在金沙江干流，长江一级支流和九大高原湖泊岸线一公里范围内新建、扩建化工园区和化工项目。禁止在金沙江干流岸线三公里范围内和长江一级支流岸线一公里范围内新建、改建、扩建尾矿库、冶炼渣库和磷石膏库，以提升安全、生态环境保护水平为目的的改建除外。</w:t>
                  </w:r>
                </w:p>
              </w:tc>
              <w:tc>
                <w:tcPr>
                  <w:tcW w:w="2152" w:type="pct"/>
                  <w:vAlign w:val="center"/>
                </w:tcPr>
                <w:p w14:paraId="115D2C32">
                  <w:pPr>
                    <w:jc w:val="center"/>
                    <w:rPr>
                      <w:rFonts w:hint="default" w:ascii="Times New Roman" w:hAnsi="Times New Roman" w:eastAsia="宋体" w:cs="Times New Roman"/>
                      <w:bCs/>
                      <w:color w:val="auto"/>
                      <w:szCs w:val="21"/>
                      <w:highlight w:val="none"/>
                      <w:lang w:eastAsia="zh-CN"/>
                    </w:rPr>
                  </w:pPr>
                  <w:r>
                    <w:rPr>
                      <w:rFonts w:hint="eastAsia"/>
                      <w:bCs/>
                      <w:color w:val="auto"/>
                      <w:kern w:val="28"/>
                      <w:szCs w:val="21"/>
                      <w:highlight w:val="none"/>
                    </w:rPr>
                    <w:t>本项目用地不涉及</w:t>
                  </w:r>
                  <w:r>
                    <w:rPr>
                      <w:rFonts w:hint="eastAsia"/>
                      <w:bCs/>
                      <w:color w:val="auto"/>
                      <w:szCs w:val="21"/>
                      <w:highlight w:val="none"/>
                    </w:rPr>
                    <w:t>金沙江干流岸线三公里范围内和长江一级支流岸线一公里范围内。</w:t>
                  </w:r>
                </w:p>
              </w:tc>
              <w:tc>
                <w:tcPr>
                  <w:tcW w:w="565" w:type="pct"/>
                  <w:vAlign w:val="center"/>
                </w:tcPr>
                <w:p w14:paraId="4F51BD8D">
                  <w:pPr>
                    <w:jc w:val="center"/>
                    <w:rPr>
                      <w:rFonts w:hint="default" w:ascii="Times New Roman" w:hAnsi="Times New Roman" w:eastAsia="宋体" w:cs="Times New Roman"/>
                      <w:b w:val="0"/>
                      <w:bCs/>
                      <w:color w:val="auto"/>
                      <w:szCs w:val="21"/>
                      <w:highlight w:val="none"/>
                      <w:lang w:eastAsia="zh-CN"/>
                    </w:rPr>
                  </w:pPr>
                  <w:r>
                    <w:rPr>
                      <w:bCs/>
                      <w:color w:val="auto"/>
                      <w:szCs w:val="21"/>
                      <w:highlight w:val="none"/>
                    </w:rPr>
                    <w:t>符合</w:t>
                  </w:r>
                </w:p>
              </w:tc>
            </w:tr>
            <w:tr w14:paraId="50EE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3" w:type="pct"/>
                  <w:vAlign w:val="center"/>
                </w:tcPr>
                <w:p w14:paraId="18349225">
                  <w:pPr>
                    <w:autoSpaceDE w:val="0"/>
                    <w:autoSpaceDN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10</w:t>
                  </w:r>
                </w:p>
              </w:tc>
              <w:tc>
                <w:tcPr>
                  <w:tcW w:w="1839" w:type="pct"/>
                  <w:vAlign w:val="center"/>
                </w:tcPr>
                <w:p w14:paraId="4BC0C862">
                  <w:pPr>
                    <w:jc w:val="center"/>
                    <w:rPr>
                      <w:rFonts w:hint="default" w:ascii="Times New Roman" w:hAnsi="Times New Roman" w:cs="Times New Roman"/>
                      <w:bCs/>
                      <w:color w:val="auto"/>
                      <w:szCs w:val="21"/>
                      <w:highlight w:val="none"/>
                    </w:rPr>
                  </w:pPr>
                  <w:r>
                    <w:rPr>
                      <w:rFonts w:hint="eastAsia"/>
                      <w:bCs/>
                      <w:color w:val="auto"/>
                      <w:szCs w:val="21"/>
                      <w:highlight w:val="none"/>
                    </w:rPr>
                    <w:t>禁止在合规园区外新建、扩建钢铁、石化、化工、焦化、建材、有色、制浆造纸行业中的高污染项目。</w:t>
                  </w:r>
                </w:p>
              </w:tc>
              <w:tc>
                <w:tcPr>
                  <w:tcW w:w="2152" w:type="pct"/>
                  <w:vAlign w:val="center"/>
                </w:tcPr>
                <w:p w14:paraId="33A5F293">
                  <w:pPr>
                    <w:jc w:val="center"/>
                    <w:rPr>
                      <w:rFonts w:hint="default" w:ascii="Times New Roman" w:hAnsi="Times New Roman" w:cs="Times New Roman"/>
                      <w:bCs/>
                      <w:color w:val="auto"/>
                      <w:szCs w:val="21"/>
                      <w:highlight w:val="none"/>
                    </w:rPr>
                  </w:pPr>
                  <w:r>
                    <w:rPr>
                      <w:rFonts w:hint="eastAsia"/>
                      <w:bCs/>
                      <w:color w:val="auto"/>
                      <w:kern w:val="28"/>
                      <w:szCs w:val="21"/>
                      <w:highlight w:val="none"/>
                    </w:rPr>
                    <w:t>本项目不属于钢铁、石化、化工、焦化、建材、有色、制浆造纸行业中的高污染项目。</w:t>
                  </w:r>
                </w:p>
              </w:tc>
              <w:tc>
                <w:tcPr>
                  <w:tcW w:w="565" w:type="pct"/>
                  <w:vAlign w:val="center"/>
                </w:tcPr>
                <w:p w14:paraId="76CF0DE1">
                  <w:pPr>
                    <w:jc w:val="center"/>
                    <w:rPr>
                      <w:rFonts w:hint="default" w:ascii="Times New Roman" w:hAnsi="Times New Roman" w:cs="Times New Roman"/>
                      <w:b w:val="0"/>
                      <w:bCs/>
                      <w:color w:val="auto"/>
                      <w:szCs w:val="21"/>
                      <w:highlight w:val="none"/>
                    </w:rPr>
                  </w:pPr>
                  <w:r>
                    <w:rPr>
                      <w:bCs/>
                      <w:color w:val="auto"/>
                      <w:szCs w:val="21"/>
                      <w:highlight w:val="none"/>
                    </w:rPr>
                    <w:t>符合</w:t>
                  </w:r>
                </w:p>
              </w:tc>
            </w:tr>
            <w:tr w14:paraId="6154B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3" w:type="pct"/>
                  <w:vAlign w:val="center"/>
                </w:tcPr>
                <w:p w14:paraId="3ABD5780">
                  <w:pPr>
                    <w:autoSpaceDE w:val="0"/>
                    <w:autoSpaceDN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11</w:t>
                  </w:r>
                </w:p>
              </w:tc>
              <w:tc>
                <w:tcPr>
                  <w:tcW w:w="1839" w:type="pct"/>
                  <w:vAlign w:val="center"/>
                </w:tcPr>
                <w:p w14:paraId="167EE490">
                  <w:pPr>
                    <w:jc w:val="center"/>
                    <w:rPr>
                      <w:rFonts w:hint="default" w:ascii="Times New Roman" w:hAnsi="Times New Roman" w:cs="Times New Roman"/>
                      <w:bCs/>
                      <w:color w:val="auto"/>
                      <w:szCs w:val="21"/>
                      <w:highlight w:val="none"/>
                    </w:rPr>
                  </w:pPr>
                  <w:r>
                    <w:rPr>
                      <w:rFonts w:hint="eastAsia"/>
                      <w:bCs/>
                      <w:color w:val="auto"/>
                      <w:szCs w:val="21"/>
                      <w:highlight w:val="none"/>
                    </w:rPr>
                    <w:t>禁止新建、扩建不符合国家石化、现代煤化工等产业布局规划的项目。禁止列入《云南省城镇人口密集区危险化学品生产企业搬迁改造名单》的搬迁改造企业在原址新建、扩建危险化学品生产项目。</w:t>
                  </w:r>
                </w:p>
              </w:tc>
              <w:tc>
                <w:tcPr>
                  <w:tcW w:w="2152" w:type="pct"/>
                  <w:vAlign w:val="center"/>
                </w:tcPr>
                <w:p w14:paraId="5880D26C">
                  <w:pPr>
                    <w:jc w:val="center"/>
                    <w:rPr>
                      <w:rFonts w:hint="default" w:ascii="Times New Roman" w:hAnsi="Times New Roman" w:cs="Times New Roman"/>
                      <w:bCs/>
                      <w:color w:val="auto"/>
                      <w:szCs w:val="21"/>
                      <w:highlight w:val="none"/>
                    </w:rPr>
                  </w:pPr>
                  <w:r>
                    <w:rPr>
                      <w:bCs/>
                      <w:color w:val="auto"/>
                      <w:szCs w:val="21"/>
                      <w:highlight w:val="none"/>
                    </w:rPr>
                    <w:t>本项目</w:t>
                  </w:r>
                  <w:r>
                    <w:rPr>
                      <w:rFonts w:hint="eastAsia"/>
                      <w:bCs/>
                      <w:color w:val="auto"/>
                      <w:szCs w:val="21"/>
                      <w:highlight w:val="none"/>
                    </w:rPr>
                    <w:t>不涉及。</w:t>
                  </w:r>
                </w:p>
              </w:tc>
              <w:tc>
                <w:tcPr>
                  <w:tcW w:w="565" w:type="pct"/>
                  <w:vAlign w:val="center"/>
                </w:tcPr>
                <w:p w14:paraId="716AAB3C">
                  <w:pPr>
                    <w:jc w:val="center"/>
                    <w:rPr>
                      <w:rFonts w:hint="default" w:ascii="Times New Roman" w:hAnsi="Times New Roman" w:cs="Times New Roman"/>
                      <w:b w:val="0"/>
                      <w:bCs/>
                      <w:color w:val="auto"/>
                      <w:szCs w:val="21"/>
                      <w:highlight w:val="none"/>
                    </w:rPr>
                  </w:pPr>
                  <w:r>
                    <w:rPr>
                      <w:rFonts w:hint="eastAsia"/>
                      <w:bCs/>
                      <w:color w:val="auto"/>
                      <w:szCs w:val="21"/>
                      <w:highlight w:val="none"/>
                    </w:rPr>
                    <w:t>/</w:t>
                  </w:r>
                </w:p>
              </w:tc>
            </w:tr>
            <w:tr w14:paraId="1BF3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3" w:type="pct"/>
                  <w:vAlign w:val="center"/>
                </w:tcPr>
                <w:p w14:paraId="2893C476">
                  <w:pPr>
                    <w:autoSpaceDE w:val="0"/>
                    <w:autoSpaceDN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12</w:t>
                  </w:r>
                </w:p>
              </w:tc>
              <w:tc>
                <w:tcPr>
                  <w:tcW w:w="1839" w:type="pct"/>
                  <w:vAlign w:val="center"/>
                </w:tcPr>
                <w:p w14:paraId="47BD462A">
                  <w:pPr>
                    <w:jc w:val="center"/>
                    <w:rPr>
                      <w:rFonts w:hint="default" w:ascii="Times New Roman" w:hAnsi="Times New Roman" w:cs="Times New Roman"/>
                      <w:bCs/>
                      <w:color w:val="auto"/>
                      <w:szCs w:val="21"/>
                      <w:highlight w:val="none"/>
                    </w:rPr>
                  </w:pPr>
                  <w:r>
                    <w:rPr>
                      <w:rFonts w:hint="eastAsia"/>
                      <w:bCs/>
                      <w:color w:val="auto"/>
                      <w:szCs w:val="21"/>
                      <w:highlight w:val="none"/>
                    </w:rPr>
                    <w:t>禁止新建、扩建法律法规和相关政策明令禁止的落后产能项目，依法依规关停退出能耗、环保、质量、安全不达标产能和技术落后产能。禁止新建、扩建不符合国家产能置换要求的过剩产能行业的项目。禁止新建、扩建不符合要求的高耗能、高排放项目，推动退出重点高耗能行业</w:t>
                  </w:r>
                  <w:r>
                    <w:rPr>
                      <w:rFonts w:hint="eastAsia"/>
                      <w:bCs/>
                      <w:color w:val="auto"/>
                      <w:szCs w:val="21"/>
                      <w:highlight w:val="none"/>
                      <w:lang w:eastAsia="zh-CN"/>
                    </w:rPr>
                    <w:t>“</w:t>
                  </w:r>
                  <w:r>
                    <w:rPr>
                      <w:rFonts w:hint="eastAsia"/>
                      <w:bCs/>
                      <w:color w:val="auto"/>
                      <w:szCs w:val="21"/>
                      <w:highlight w:val="none"/>
                    </w:rPr>
                    <w:t>限制类</w:t>
                  </w:r>
                  <w:r>
                    <w:rPr>
                      <w:rFonts w:hint="eastAsia"/>
                      <w:bCs/>
                      <w:color w:val="auto"/>
                      <w:szCs w:val="21"/>
                      <w:highlight w:val="none"/>
                      <w:lang w:eastAsia="zh-CN"/>
                    </w:rPr>
                    <w:t>”</w:t>
                  </w:r>
                  <w:r>
                    <w:rPr>
                      <w:rFonts w:hint="eastAsia"/>
                      <w:bCs/>
                      <w:color w:val="auto"/>
                      <w:szCs w:val="21"/>
                      <w:highlight w:val="none"/>
                    </w:rPr>
                    <w:t>产能。禁止建设高毒高残留以及对环境影响大的农药原药生产装置，严控尿素、磷铵、电石、焦炭、黄磷、烧碱、纯碱、聚氯乙烯等行业新增产能。</w:t>
                  </w:r>
                </w:p>
              </w:tc>
              <w:tc>
                <w:tcPr>
                  <w:tcW w:w="2152" w:type="pct"/>
                  <w:vAlign w:val="center"/>
                </w:tcPr>
                <w:p w14:paraId="0F9C546D">
                  <w:pPr>
                    <w:jc w:val="center"/>
                    <w:rPr>
                      <w:rFonts w:hint="default" w:ascii="Times New Roman" w:hAnsi="Times New Roman" w:cs="Times New Roman"/>
                      <w:bCs/>
                      <w:color w:val="auto"/>
                      <w:szCs w:val="21"/>
                      <w:highlight w:val="none"/>
                    </w:rPr>
                  </w:pPr>
                  <w:r>
                    <w:rPr>
                      <w:bCs/>
                      <w:color w:val="auto"/>
                      <w:szCs w:val="21"/>
                      <w:highlight w:val="none"/>
                    </w:rPr>
                    <w:t>本项目不属于</w:t>
                  </w:r>
                  <w:r>
                    <w:rPr>
                      <w:rFonts w:hint="eastAsia"/>
                      <w:bCs/>
                      <w:color w:val="auto"/>
                      <w:szCs w:val="21"/>
                      <w:highlight w:val="none"/>
                    </w:rPr>
                    <w:t>明令禁止的落后产能项目，</w:t>
                  </w:r>
                  <w:r>
                    <w:rPr>
                      <w:bCs/>
                      <w:color w:val="auto"/>
                      <w:szCs w:val="21"/>
                      <w:highlight w:val="none"/>
                    </w:rPr>
                    <w:t>不属于</w:t>
                  </w:r>
                  <w:r>
                    <w:rPr>
                      <w:rFonts w:hint="eastAsia"/>
                      <w:bCs/>
                      <w:color w:val="auto"/>
                      <w:szCs w:val="21"/>
                      <w:highlight w:val="none"/>
                    </w:rPr>
                    <w:t>过剩产能行业项目，</w:t>
                  </w:r>
                  <w:r>
                    <w:rPr>
                      <w:bCs/>
                      <w:color w:val="auto"/>
                      <w:szCs w:val="21"/>
                      <w:highlight w:val="none"/>
                    </w:rPr>
                    <w:t>不属于</w:t>
                  </w:r>
                  <w:r>
                    <w:rPr>
                      <w:rFonts w:hint="eastAsia"/>
                      <w:bCs/>
                      <w:color w:val="auto"/>
                      <w:szCs w:val="21"/>
                      <w:highlight w:val="none"/>
                    </w:rPr>
                    <w:t>不符合要求的高耗能、高排放项目，</w:t>
                  </w:r>
                  <w:r>
                    <w:rPr>
                      <w:bCs/>
                      <w:color w:val="auto"/>
                      <w:szCs w:val="21"/>
                      <w:highlight w:val="none"/>
                    </w:rPr>
                    <w:t>不属于</w:t>
                  </w:r>
                  <w:r>
                    <w:rPr>
                      <w:rFonts w:hint="eastAsia"/>
                      <w:bCs/>
                      <w:color w:val="auto"/>
                      <w:szCs w:val="21"/>
                      <w:highlight w:val="none"/>
                    </w:rPr>
                    <w:t>高毒高残留以及对环境影响大的项目。</w:t>
                  </w:r>
                </w:p>
              </w:tc>
              <w:tc>
                <w:tcPr>
                  <w:tcW w:w="565" w:type="pct"/>
                  <w:vAlign w:val="center"/>
                </w:tcPr>
                <w:p w14:paraId="3B96E270">
                  <w:pPr>
                    <w:jc w:val="center"/>
                    <w:rPr>
                      <w:rFonts w:hint="default" w:ascii="Times New Roman" w:hAnsi="Times New Roman" w:cs="Times New Roman"/>
                      <w:b w:val="0"/>
                      <w:bCs/>
                      <w:color w:val="auto"/>
                      <w:szCs w:val="21"/>
                      <w:highlight w:val="none"/>
                    </w:rPr>
                  </w:pPr>
                  <w:r>
                    <w:rPr>
                      <w:rFonts w:hint="eastAsia"/>
                      <w:bCs/>
                      <w:color w:val="auto"/>
                      <w:kern w:val="28"/>
                      <w:szCs w:val="21"/>
                      <w:highlight w:val="none"/>
                    </w:rPr>
                    <w:t>符合</w:t>
                  </w:r>
                </w:p>
              </w:tc>
            </w:tr>
          </w:tbl>
          <w:p w14:paraId="11C438F9">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综上，本项目建设符合《云南省长江经济带发展负面清单指南实施细则（试行，2022年版）》中相关要求。</w:t>
            </w:r>
          </w:p>
          <w:p w14:paraId="76CC9C04">
            <w:pPr>
              <w:pStyle w:val="77"/>
              <w:ind w:firstLine="482"/>
              <w:rPr>
                <w:rFonts w:hint="default" w:ascii="Times New Roman" w:hAnsi="Times New Roman" w:cs="Times New Roman"/>
                <w:b/>
                <w:bCs/>
                <w:color w:val="auto"/>
                <w:highlight w:val="none"/>
              </w:rPr>
            </w:pPr>
            <w:r>
              <w:rPr>
                <w:rFonts w:hint="eastAsia" w:cs="Times New Roman"/>
                <w:b/>
                <w:bCs/>
                <w:color w:val="auto"/>
                <w:highlight w:val="none"/>
                <w:lang w:val="en-US" w:eastAsia="zh-CN"/>
              </w:rPr>
              <w:t>4</w:t>
            </w:r>
            <w:r>
              <w:rPr>
                <w:rFonts w:hint="default" w:ascii="Times New Roman" w:hAnsi="Times New Roman" w:cs="Times New Roman"/>
                <w:b/>
                <w:bCs/>
                <w:color w:val="auto"/>
                <w:highlight w:val="none"/>
              </w:rPr>
              <w:t>、与《重点行业挥发性有机物综合治理方案》符合性分析</w:t>
            </w:r>
          </w:p>
          <w:p w14:paraId="18307677">
            <w:pPr>
              <w:pStyle w:val="77"/>
              <w:ind w:firstLine="480"/>
              <w:rPr>
                <w:rFonts w:hint="default" w:ascii="Times New Roman" w:hAnsi="Times New Roman" w:cs="Times New Roman"/>
                <w:color w:val="auto"/>
                <w:highlight w:val="none"/>
                <w:lang w:bidi="ar"/>
              </w:rPr>
            </w:pPr>
            <w:r>
              <w:rPr>
                <w:rFonts w:hint="default" w:ascii="Times New Roman" w:hAnsi="Times New Roman" w:cs="Times New Roman"/>
                <w:color w:val="auto"/>
                <w:highlight w:val="none"/>
                <w:lang w:bidi="ar"/>
              </w:rPr>
              <w:t>项目与《重点行业挥发性有机物综合治理方案》相符性分析见表1-</w:t>
            </w:r>
            <w:r>
              <w:rPr>
                <w:rFonts w:hint="eastAsia" w:cs="Times New Roman"/>
                <w:color w:val="auto"/>
                <w:highlight w:val="none"/>
                <w:lang w:val="en-US" w:eastAsia="zh-CN" w:bidi="ar"/>
              </w:rPr>
              <w:t>8</w:t>
            </w:r>
            <w:r>
              <w:rPr>
                <w:rFonts w:hint="default" w:ascii="Times New Roman" w:hAnsi="Times New Roman" w:cs="Times New Roman"/>
                <w:color w:val="auto"/>
                <w:highlight w:val="none"/>
                <w:lang w:bidi="ar"/>
              </w:rPr>
              <w:t>。</w:t>
            </w:r>
          </w:p>
          <w:p w14:paraId="4796C422">
            <w:pPr>
              <w:autoSpaceDE w:val="0"/>
              <w:autoSpaceDN w:val="0"/>
              <w:adjustRightInd w:val="0"/>
              <w:snapToGrid w:val="0"/>
              <w:spacing w:line="360" w:lineRule="auto"/>
              <w:ind w:firstLine="482" w:firstLineChars="200"/>
              <w:jc w:val="center"/>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表1-</w:t>
            </w:r>
            <w:r>
              <w:rPr>
                <w:rFonts w:hint="eastAsia" w:cs="Times New Roman"/>
                <w:b/>
                <w:bCs/>
                <w:color w:val="auto"/>
                <w:kern w:val="0"/>
                <w:sz w:val="24"/>
                <w:highlight w:val="none"/>
                <w:lang w:val="en-US" w:eastAsia="zh-CN"/>
              </w:rPr>
              <w:t>8</w:t>
            </w:r>
            <w:r>
              <w:rPr>
                <w:rFonts w:hint="default" w:ascii="Times New Roman" w:hAnsi="Times New Roman" w:eastAsia="宋体" w:cs="Times New Roman"/>
                <w:b/>
                <w:bCs/>
                <w:color w:val="auto"/>
                <w:kern w:val="0"/>
                <w:sz w:val="24"/>
                <w:highlight w:val="none"/>
              </w:rPr>
              <w:t xml:space="preserve"> </w:t>
            </w:r>
            <w:r>
              <w:rPr>
                <w:rFonts w:hint="eastAsia" w:ascii="Times New Roman" w:hAnsi="Times New Roman" w:eastAsia="宋体" w:cs="Times New Roman"/>
                <w:b/>
                <w:bCs/>
                <w:color w:val="auto"/>
                <w:kern w:val="0"/>
                <w:sz w:val="24"/>
                <w:highlight w:val="none"/>
                <w:lang w:val="en-US" w:eastAsia="zh-CN"/>
              </w:rPr>
              <w:t xml:space="preserve"> </w:t>
            </w:r>
            <w:r>
              <w:rPr>
                <w:rFonts w:hint="default" w:ascii="Times New Roman" w:hAnsi="Times New Roman" w:eastAsia="宋体" w:cs="Times New Roman"/>
                <w:b/>
                <w:bCs/>
                <w:color w:val="auto"/>
                <w:kern w:val="0"/>
                <w:sz w:val="24"/>
                <w:highlight w:val="none"/>
              </w:rPr>
              <w:t>与《重点行业挥发性有机物综合治理方案》的符合性分析</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24"/>
              <w:gridCol w:w="3349"/>
              <w:gridCol w:w="941"/>
            </w:tblGrid>
            <w:tr w14:paraId="7F09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89" w:type="pct"/>
                  <w:vAlign w:val="center"/>
                </w:tcPr>
                <w:p w14:paraId="6DC12D7D">
                  <w:pPr>
                    <w:pStyle w:val="101"/>
                    <w:widowControl w:val="0"/>
                    <w:adjustRightInd w:val="0"/>
                    <w:snapToGrid w:val="0"/>
                    <w:jc w:val="center"/>
                    <w:rPr>
                      <w:rFonts w:hint="eastAsia"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rPr>
                    <w:t>重点行业挥发性有机物综合治理方</w:t>
                  </w:r>
                  <w:r>
                    <w:rPr>
                      <w:rFonts w:hint="eastAsia" w:cs="Times New Roman"/>
                      <w:b/>
                      <w:bCs/>
                      <w:color w:val="auto"/>
                      <w:sz w:val="21"/>
                      <w:szCs w:val="21"/>
                      <w:highlight w:val="none"/>
                      <w:lang w:val="en-US" w:eastAsia="zh-CN"/>
                    </w:rPr>
                    <w:t>案</w:t>
                  </w:r>
                </w:p>
              </w:tc>
              <w:tc>
                <w:tcPr>
                  <w:tcW w:w="2115" w:type="pct"/>
                  <w:vAlign w:val="center"/>
                </w:tcPr>
                <w:p w14:paraId="2721C80A">
                  <w:pPr>
                    <w:autoSpaceDE w:val="0"/>
                    <w:autoSpaceDN w:val="0"/>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color w:val="auto"/>
                      <w:szCs w:val="21"/>
                      <w:highlight w:val="none"/>
                    </w:rPr>
                    <w:t>本项目情况</w:t>
                  </w:r>
                </w:p>
              </w:tc>
              <w:tc>
                <w:tcPr>
                  <w:tcW w:w="594" w:type="pct"/>
                  <w:vAlign w:val="center"/>
                </w:tcPr>
                <w:p w14:paraId="2267BF25">
                  <w:pPr>
                    <w:autoSpaceDE w:val="0"/>
                    <w:autoSpaceDN w:val="0"/>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color w:val="auto"/>
                      <w:szCs w:val="21"/>
                      <w:highlight w:val="none"/>
                    </w:rPr>
                    <w:t>符合性</w:t>
                  </w:r>
                </w:p>
              </w:tc>
            </w:tr>
            <w:tr w14:paraId="4DA0D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89" w:type="pct"/>
                  <w:vAlign w:val="center"/>
                </w:tcPr>
                <w:p w14:paraId="305DFA40">
                  <w:pPr>
                    <w:autoSpaceDE w:val="0"/>
                    <w:autoSpaceDN w:val="0"/>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一）大力推进源头替代。企业应大力推广使用低VOCs含量木器涂料、车辆涂料、机械设备涂料、集装箱涂料以及建筑物和构筑物防护涂料等，在技术成熟的行业，推广使用低VOCs含量油墨和胶粘剂，重点区域到2020年年底前基本完成。鼓励加快低VOCs含量涂料、油墨、胶粘剂等研发和生产。</w:t>
                  </w:r>
                </w:p>
              </w:tc>
              <w:tc>
                <w:tcPr>
                  <w:tcW w:w="2115" w:type="pct"/>
                  <w:vAlign w:val="center"/>
                </w:tcPr>
                <w:p w14:paraId="527EAD31">
                  <w:pPr>
                    <w:autoSpaceDE w:val="0"/>
                    <w:autoSpaceDN w:val="0"/>
                    <w:adjustRightInd w:val="0"/>
                    <w:snapToGrid w:val="0"/>
                    <w:jc w:val="center"/>
                    <w:rPr>
                      <w:rFonts w:hint="eastAsia" w:ascii="Times New Roman" w:hAnsi="Times New Roman" w:eastAsia="宋体" w:cs="Times New Roman"/>
                      <w:bCs/>
                      <w:color w:val="auto"/>
                      <w:szCs w:val="21"/>
                      <w:highlight w:val="none"/>
                      <w:lang w:eastAsia="zh-CN"/>
                    </w:rPr>
                  </w:pPr>
                  <w:r>
                    <w:rPr>
                      <w:rFonts w:hint="default" w:ascii="Times New Roman" w:hAnsi="Times New Roman" w:cs="Times New Roman"/>
                      <w:bCs/>
                      <w:color w:val="auto"/>
                      <w:szCs w:val="21"/>
                      <w:highlight w:val="none"/>
                    </w:rPr>
                    <w:t>项目主要涉及VOCs的辅料为塑料粒子，非取用时储存状态为均封口，保持密闭</w:t>
                  </w:r>
                  <w:r>
                    <w:rPr>
                      <w:rFonts w:hint="eastAsia" w:cs="Times New Roman"/>
                      <w:bCs/>
                      <w:color w:val="auto"/>
                      <w:szCs w:val="21"/>
                      <w:highlight w:val="none"/>
                      <w:lang w:eastAsia="zh-CN"/>
                    </w:rPr>
                    <w:t>。</w:t>
                  </w:r>
                  <w:r>
                    <w:rPr>
                      <w:rFonts w:hint="default" w:ascii="Times New Roman" w:hAnsi="Times New Roman" w:cs="Times New Roman"/>
                      <w:bCs/>
                      <w:color w:val="auto"/>
                      <w:szCs w:val="21"/>
                      <w:highlight w:val="none"/>
                    </w:rPr>
                    <w:t>项目所用油墨为水性，采用封闭桶装，存放于密闭空间内，属于低VOCs含量油墨</w:t>
                  </w:r>
                  <w:r>
                    <w:rPr>
                      <w:rFonts w:hint="eastAsia" w:cs="Times New Roman"/>
                      <w:bCs/>
                      <w:color w:val="auto"/>
                      <w:szCs w:val="21"/>
                      <w:highlight w:val="none"/>
                      <w:lang w:eastAsia="zh-CN"/>
                    </w:rPr>
                    <w:t>，</w:t>
                  </w:r>
                  <w:r>
                    <w:rPr>
                      <w:rFonts w:hint="default" w:ascii="Times New Roman" w:hAnsi="Times New Roman" w:cs="Times New Roman"/>
                      <w:bCs/>
                      <w:color w:val="auto"/>
                      <w:szCs w:val="21"/>
                      <w:highlight w:val="none"/>
                    </w:rPr>
                    <w:t>从源头减少非甲烷总烃产生。项目产生的</w:t>
                  </w:r>
                  <w:r>
                    <w:rPr>
                      <w:rFonts w:hint="eastAsia" w:cs="Times New Roman"/>
                      <w:bCs/>
                      <w:color w:val="auto"/>
                      <w:szCs w:val="21"/>
                      <w:highlight w:val="none"/>
                      <w:lang w:val="en-US" w:eastAsia="zh-CN"/>
                    </w:rPr>
                    <w:t>塑料</w:t>
                  </w:r>
                  <w:r>
                    <w:rPr>
                      <w:rFonts w:hint="default" w:ascii="Times New Roman" w:hAnsi="Times New Roman" w:cs="Times New Roman"/>
                      <w:bCs/>
                      <w:color w:val="auto"/>
                      <w:szCs w:val="21"/>
                      <w:highlight w:val="none"/>
                    </w:rPr>
                    <w:t>废气</w:t>
                  </w:r>
                  <w:r>
                    <w:rPr>
                      <w:rFonts w:hint="eastAsia" w:cs="Times New Roman"/>
                      <w:bCs/>
                      <w:color w:val="auto"/>
                      <w:szCs w:val="21"/>
                      <w:highlight w:val="none"/>
                      <w:lang w:eastAsia="zh-CN"/>
                    </w:rPr>
                    <w:t>、</w:t>
                  </w:r>
                  <w:r>
                    <w:rPr>
                      <w:rFonts w:hint="eastAsia" w:cs="Times New Roman"/>
                      <w:bCs/>
                      <w:color w:val="auto"/>
                      <w:szCs w:val="21"/>
                      <w:highlight w:val="none"/>
                      <w:lang w:val="en-US" w:eastAsia="zh-CN"/>
                    </w:rPr>
                    <w:t>印刷废气</w:t>
                  </w:r>
                  <w:r>
                    <w:rPr>
                      <w:rFonts w:hint="default" w:ascii="Times New Roman" w:hAnsi="Times New Roman" w:cs="Times New Roman"/>
                      <w:bCs/>
                      <w:color w:val="auto"/>
                      <w:szCs w:val="21"/>
                      <w:highlight w:val="none"/>
                    </w:rPr>
                    <w:t>，</w:t>
                  </w:r>
                  <w:r>
                    <w:rPr>
                      <w:rFonts w:hint="eastAsia" w:cs="Times New Roman"/>
                      <w:bCs/>
                      <w:color w:val="auto"/>
                      <w:szCs w:val="21"/>
                      <w:highlight w:val="none"/>
                      <w:lang w:val="en-US" w:eastAsia="zh-CN"/>
                    </w:rPr>
                    <w:t>经</w:t>
                  </w:r>
                  <w:r>
                    <w:rPr>
                      <w:rFonts w:hint="default" w:ascii="Times New Roman" w:hAnsi="Times New Roman" w:cs="Times New Roman"/>
                      <w:bCs/>
                      <w:color w:val="auto"/>
                      <w:szCs w:val="21"/>
                      <w:highlight w:val="none"/>
                    </w:rPr>
                    <w:t>包围型集气罩（含软帘）收集后</w:t>
                  </w:r>
                  <w:r>
                    <w:rPr>
                      <w:rFonts w:hint="eastAsia" w:cs="Times New Roman"/>
                      <w:bCs/>
                      <w:color w:val="auto"/>
                      <w:szCs w:val="21"/>
                      <w:highlight w:val="none"/>
                      <w:lang w:val="en-US" w:eastAsia="zh-CN"/>
                    </w:rPr>
                    <w:t>进入废气处理设施</w:t>
                  </w:r>
                  <w:r>
                    <w:rPr>
                      <w:rFonts w:hint="default" w:ascii="Times New Roman" w:hAnsi="Times New Roman" w:cs="Times New Roman"/>
                      <w:bCs/>
                      <w:color w:val="auto"/>
                      <w:szCs w:val="21"/>
                      <w:highlight w:val="none"/>
                    </w:rPr>
                    <w:t>，大大削减了VOCs无组织排放。非取用原辅料的储存状态为均封口，保持密闭</w:t>
                  </w:r>
                  <w:r>
                    <w:rPr>
                      <w:rFonts w:hint="eastAsia" w:cs="Times New Roman"/>
                      <w:bCs/>
                      <w:color w:val="auto"/>
                      <w:szCs w:val="21"/>
                      <w:highlight w:val="none"/>
                      <w:lang w:eastAsia="zh-CN"/>
                    </w:rPr>
                    <w:t>。</w:t>
                  </w:r>
                </w:p>
              </w:tc>
              <w:tc>
                <w:tcPr>
                  <w:tcW w:w="594" w:type="pct"/>
                  <w:vAlign w:val="center"/>
                </w:tcPr>
                <w:p w14:paraId="6BFCBD59">
                  <w:pPr>
                    <w:pStyle w:val="101"/>
                    <w:widowControl w:val="0"/>
                    <w:adjustRightInd w:val="0"/>
                    <w:snapToGri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符合</w:t>
                  </w:r>
                </w:p>
              </w:tc>
            </w:tr>
            <w:tr w14:paraId="3073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89" w:type="pct"/>
                  <w:vAlign w:val="center"/>
                </w:tcPr>
                <w:p w14:paraId="43E369E4">
                  <w:pPr>
                    <w:autoSpaceDE w:val="0"/>
                    <w:autoSpaceDN w:val="0"/>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二）全面加强无组织排放控制。重点对含VOCs物料（包括含VOCs原辅材料、含VOCs产品、含VOCs废料以及有机聚合物材料等）储存、转移和输送、设备与管线组件泄漏、敞开液面逸散以及工艺过程等五类排放源实施管控，通过采取设备与场所密闭、工艺改进、废气有效收集等措施，削减VOCs无组织排放。</w:t>
                  </w:r>
                </w:p>
              </w:tc>
              <w:tc>
                <w:tcPr>
                  <w:tcW w:w="2115" w:type="pct"/>
                  <w:vAlign w:val="center"/>
                </w:tcPr>
                <w:p w14:paraId="39E5300A">
                  <w:pPr>
                    <w:autoSpaceDE w:val="0"/>
                    <w:autoSpaceDN w:val="0"/>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eastAsia="宋体" w:cs="Times New Roman"/>
                      <w:color w:val="auto"/>
                      <w:sz w:val="21"/>
                      <w:szCs w:val="21"/>
                      <w:highlight w:val="none"/>
                    </w:rPr>
                    <w:t>本项目</w:t>
                  </w:r>
                  <w:r>
                    <w:rPr>
                      <w:rFonts w:hint="eastAsia" w:cs="Times New Roman"/>
                      <w:color w:val="auto"/>
                      <w:sz w:val="21"/>
                      <w:szCs w:val="21"/>
                      <w:highlight w:val="none"/>
                      <w:lang w:val="en-US" w:eastAsia="zh-CN"/>
                    </w:rPr>
                    <w:t>生产</w:t>
                  </w:r>
                  <w:r>
                    <w:rPr>
                      <w:rFonts w:hint="default" w:ascii="Times New Roman" w:hAnsi="Times New Roman" w:eastAsia="宋体" w:cs="Times New Roman"/>
                      <w:color w:val="auto"/>
                      <w:sz w:val="21"/>
                      <w:szCs w:val="21"/>
                      <w:highlight w:val="none"/>
                    </w:rPr>
                    <w:t>过程中产生的</w:t>
                  </w:r>
                  <w:r>
                    <w:rPr>
                      <w:rFonts w:hint="eastAsia" w:cs="Times New Roman"/>
                      <w:color w:val="auto"/>
                      <w:sz w:val="21"/>
                      <w:szCs w:val="21"/>
                      <w:highlight w:val="none"/>
                      <w:lang w:val="en-US" w:eastAsia="zh-CN"/>
                    </w:rPr>
                    <w:t>塑料废气（以非甲烷总烃计）</w:t>
                  </w:r>
                  <w:r>
                    <w:rPr>
                      <w:rFonts w:hint="default" w:ascii="Times New Roman" w:hAnsi="Times New Roman" w:eastAsia="宋体" w:cs="Times New Roman"/>
                      <w:color w:val="auto"/>
                      <w:sz w:val="21"/>
                      <w:szCs w:val="21"/>
                      <w:highlight w:val="none"/>
                    </w:rPr>
                    <w:t>经</w:t>
                  </w:r>
                  <w:r>
                    <w:rPr>
                      <w:rFonts w:hint="eastAsia" w:cs="Times New Roman"/>
                      <w:color w:val="auto"/>
                      <w:sz w:val="21"/>
                      <w:szCs w:val="21"/>
                      <w:highlight w:val="none"/>
                      <w:lang w:val="en-US" w:eastAsia="zh-CN"/>
                    </w:rPr>
                    <w:t>包围型集气罩（含软帘）</w:t>
                  </w:r>
                  <w:r>
                    <w:rPr>
                      <w:rFonts w:hint="default" w:ascii="Times New Roman" w:hAnsi="Times New Roman" w:eastAsia="宋体" w:cs="Times New Roman"/>
                      <w:color w:val="auto"/>
                      <w:sz w:val="21"/>
                      <w:szCs w:val="21"/>
                      <w:highlight w:val="none"/>
                    </w:rPr>
                    <w:t>收集，经管道引入1套废气处理设施（活性炭吸附浓缩+CO处理工艺）（TA001）进行处理，处理后通过1根</w:t>
                  </w:r>
                  <w:r>
                    <w:rPr>
                      <w:rFonts w:hint="eastAsia"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m高排气筒排放（DA001）</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印刷废气经包围型集气罩（含软帘）收集，经管道引入1套废气处理设施（二级活性炭吸附）（TA002）进行处理，处理后通过1根20m高排气筒排放（DA002）</w:t>
                  </w:r>
                  <w:r>
                    <w:rPr>
                      <w:rFonts w:hint="default" w:ascii="Times New Roman" w:hAnsi="Times New Roman" w:cs="Times New Roman"/>
                      <w:bCs/>
                      <w:color w:val="auto"/>
                      <w:szCs w:val="21"/>
                      <w:highlight w:val="none"/>
                    </w:rPr>
                    <w:t>。</w:t>
                  </w:r>
                </w:p>
              </w:tc>
              <w:tc>
                <w:tcPr>
                  <w:tcW w:w="594" w:type="pct"/>
                  <w:vAlign w:val="center"/>
                </w:tcPr>
                <w:p w14:paraId="25754A80">
                  <w:pPr>
                    <w:autoSpaceDE w:val="0"/>
                    <w:autoSpaceDN w:val="0"/>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符合</w:t>
                  </w:r>
                </w:p>
              </w:tc>
            </w:tr>
            <w:tr w14:paraId="70F1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89" w:type="pct"/>
                  <w:vAlign w:val="center"/>
                </w:tcPr>
                <w:p w14:paraId="35DA6B9E">
                  <w:pPr>
                    <w:autoSpaceDE w:val="0"/>
                    <w:autoSpaceDN w:val="0"/>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（三）推进建设适宜高效的治污设施。企业新建治污设施或对现有治污设施实施改造，应依据排放废气的浓度、组分、风量，温度、湿度、压力，以及生产工况等，合理选择治理技术。</w:t>
                  </w:r>
                </w:p>
              </w:tc>
              <w:tc>
                <w:tcPr>
                  <w:tcW w:w="2115" w:type="pct"/>
                  <w:vAlign w:val="center"/>
                </w:tcPr>
                <w:p w14:paraId="5289CB03">
                  <w:pPr>
                    <w:autoSpaceDE w:val="0"/>
                    <w:autoSpaceDN w:val="0"/>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eastAsia="宋体" w:cs="Times New Roman"/>
                      <w:color w:val="auto"/>
                      <w:sz w:val="21"/>
                      <w:szCs w:val="21"/>
                      <w:highlight w:val="none"/>
                    </w:rPr>
                    <w:t>本项目</w:t>
                  </w:r>
                  <w:r>
                    <w:rPr>
                      <w:rFonts w:hint="eastAsia" w:cs="Times New Roman"/>
                      <w:color w:val="auto"/>
                      <w:sz w:val="21"/>
                      <w:szCs w:val="21"/>
                      <w:highlight w:val="none"/>
                      <w:lang w:val="en-US" w:eastAsia="zh-CN"/>
                    </w:rPr>
                    <w:t>生产</w:t>
                  </w:r>
                  <w:r>
                    <w:rPr>
                      <w:rFonts w:hint="default" w:ascii="Times New Roman" w:hAnsi="Times New Roman" w:eastAsia="宋体" w:cs="Times New Roman"/>
                      <w:color w:val="auto"/>
                      <w:sz w:val="21"/>
                      <w:szCs w:val="21"/>
                      <w:highlight w:val="none"/>
                    </w:rPr>
                    <w:t>过程中产生的</w:t>
                  </w:r>
                  <w:r>
                    <w:rPr>
                      <w:rFonts w:hint="eastAsia" w:cs="Times New Roman"/>
                      <w:color w:val="auto"/>
                      <w:sz w:val="21"/>
                      <w:szCs w:val="21"/>
                      <w:highlight w:val="none"/>
                      <w:lang w:val="en-US" w:eastAsia="zh-CN"/>
                    </w:rPr>
                    <w:t>塑料废气（以非甲烷总烃计）</w:t>
                  </w:r>
                  <w:r>
                    <w:rPr>
                      <w:rFonts w:hint="default" w:ascii="Times New Roman" w:hAnsi="Times New Roman" w:eastAsia="宋体" w:cs="Times New Roman"/>
                      <w:color w:val="auto"/>
                      <w:sz w:val="21"/>
                      <w:szCs w:val="21"/>
                      <w:highlight w:val="none"/>
                    </w:rPr>
                    <w:t>经</w:t>
                  </w:r>
                  <w:r>
                    <w:rPr>
                      <w:rFonts w:hint="eastAsia" w:cs="Times New Roman"/>
                      <w:color w:val="auto"/>
                      <w:sz w:val="21"/>
                      <w:szCs w:val="21"/>
                      <w:highlight w:val="none"/>
                      <w:lang w:val="en-US" w:eastAsia="zh-CN"/>
                    </w:rPr>
                    <w:t>包围型集气罩（含软帘）</w:t>
                  </w:r>
                  <w:r>
                    <w:rPr>
                      <w:rFonts w:hint="default" w:ascii="Times New Roman" w:hAnsi="Times New Roman" w:eastAsia="宋体" w:cs="Times New Roman"/>
                      <w:color w:val="auto"/>
                      <w:sz w:val="21"/>
                      <w:szCs w:val="21"/>
                      <w:highlight w:val="none"/>
                    </w:rPr>
                    <w:t>收集，经管道引入1套废气处理设施（活性炭吸附浓缩+CO处理工艺）（TA001）进行处理，处理后通过1根</w:t>
                  </w:r>
                  <w:r>
                    <w:rPr>
                      <w:rFonts w:hint="eastAsia"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m高排气筒排放（DA001）</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印刷废气经包围型集气罩（含软帘）收集，经管道引入1套废气处理设施（二级活性炭吸附）（TA002）进行处理，处理后通过1根20m高排气筒排放（DA002）。</w:t>
                  </w:r>
                </w:p>
              </w:tc>
              <w:tc>
                <w:tcPr>
                  <w:tcW w:w="594" w:type="pct"/>
                  <w:vAlign w:val="center"/>
                </w:tcPr>
                <w:p w14:paraId="4D03BD7C">
                  <w:pPr>
                    <w:autoSpaceDE w:val="0"/>
                    <w:autoSpaceDN w:val="0"/>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符合</w:t>
                  </w:r>
                </w:p>
              </w:tc>
            </w:tr>
            <w:tr w14:paraId="3A7D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289" w:type="pct"/>
                  <w:vAlign w:val="center"/>
                </w:tcPr>
                <w:p w14:paraId="086D9EEB">
                  <w:pPr>
                    <w:autoSpaceDE w:val="0"/>
                    <w:autoSpaceDN w:val="0"/>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（四）深入实施精细化管控。各地应围绕当地环境空气质量改善需求，根据O</w:t>
                  </w:r>
                  <w:r>
                    <w:rPr>
                      <w:rFonts w:hint="default" w:ascii="Times New Roman" w:hAnsi="Times New Roman" w:cs="Times New Roman"/>
                      <w:bCs/>
                      <w:color w:val="auto"/>
                      <w:szCs w:val="21"/>
                      <w:highlight w:val="none"/>
                      <w:vertAlign w:val="subscript"/>
                    </w:rPr>
                    <w:t>3</w:t>
                  </w:r>
                  <w:r>
                    <w:rPr>
                      <w:rFonts w:hint="default" w:ascii="Times New Roman" w:hAnsi="Times New Roman" w:cs="Times New Roman"/>
                      <w:bCs/>
                      <w:color w:val="auto"/>
                      <w:szCs w:val="21"/>
                      <w:highlight w:val="none"/>
                    </w:rPr>
                    <w:t>、PM</w:t>
                  </w:r>
                  <w:r>
                    <w:rPr>
                      <w:rFonts w:hint="default" w:ascii="Times New Roman" w:hAnsi="Times New Roman" w:cs="Times New Roman"/>
                      <w:bCs/>
                      <w:color w:val="auto"/>
                      <w:szCs w:val="21"/>
                      <w:highlight w:val="none"/>
                      <w:vertAlign w:val="subscript"/>
                    </w:rPr>
                    <w:t>2.5</w:t>
                  </w:r>
                  <w:r>
                    <w:rPr>
                      <w:rFonts w:hint="default" w:ascii="Times New Roman" w:hAnsi="Times New Roman" w:cs="Times New Roman"/>
                      <w:bCs/>
                      <w:color w:val="auto"/>
                      <w:szCs w:val="21"/>
                      <w:highlight w:val="none"/>
                    </w:rPr>
                    <w:t>来源解析，结合行业污染排放特征和VOCs物质光化学反应活性等，确定本地区VOCs控制的重点行业和重点污染物，兼顾恶臭污染物和有毒有害物质控制等，提出有效管控方案，提高VOCs治理的精准性、针对性和有效性。</w:t>
                  </w:r>
                </w:p>
              </w:tc>
              <w:tc>
                <w:tcPr>
                  <w:tcW w:w="2115" w:type="pct"/>
                  <w:vAlign w:val="center"/>
                </w:tcPr>
                <w:p w14:paraId="37AE5000">
                  <w:pPr>
                    <w:autoSpaceDE w:val="0"/>
                    <w:autoSpaceDN w:val="0"/>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本项目不属于重点行业项目</w:t>
                  </w:r>
                  <w:r>
                    <w:rPr>
                      <w:rFonts w:hint="eastAsia" w:cs="Times New Roman"/>
                      <w:bCs/>
                      <w:color w:val="auto"/>
                      <w:szCs w:val="21"/>
                      <w:highlight w:val="none"/>
                      <w:lang w:eastAsia="zh-CN"/>
                    </w:rPr>
                    <w:t>，</w:t>
                  </w:r>
                  <w:r>
                    <w:rPr>
                      <w:rFonts w:hint="default" w:ascii="Times New Roman" w:hAnsi="Times New Roman" w:eastAsia="宋体" w:cs="Times New Roman"/>
                      <w:color w:val="auto"/>
                      <w:sz w:val="21"/>
                      <w:szCs w:val="21"/>
                      <w:highlight w:val="none"/>
                    </w:rPr>
                    <w:t>本项目</w:t>
                  </w:r>
                  <w:r>
                    <w:rPr>
                      <w:rFonts w:hint="eastAsia" w:cs="Times New Roman"/>
                      <w:color w:val="auto"/>
                      <w:sz w:val="21"/>
                      <w:szCs w:val="21"/>
                      <w:highlight w:val="none"/>
                      <w:lang w:val="en-US" w:eastAsia="zh-CN"/>
                    </w:rPr>
                    <w:t>生产</w:t>
                  </w:r>
                  <w:r>
                    <w:rPr>
                      <w:rFonts w:hint="default" w:ascii="Times New Roman" w:hAnsi="Times New Roman" w:eastAsia="宋体" w:cs="Times New Roman"/>
                      <w:color w:val="auto"/>
                      <w:sz w:val="21"/>
                      <w:szCs w:val="21"/>
                      <w:highlight w:val="none"/>
                    </w:rPr>
                    <w:t>过程中产生的</w:t>
                  </w:r>
                  <w:r>
                    <w:rPr>
                      <w:rFonts w:hint="eastAsia" w:cs="Times New Roman"/>
                      <w:color w:val="auto"/>
                      <w:sz w:val="21"/>
                      <w:szCs w:val="21"/>
                      <w:highlight w:val="none"/>
                      <w:lang w:val="en-US" w:eastAsia="zh-CN"/>
                    </w:rPr>
                    <w:t>塑料废气（以非甲烷总烃计）</w:t>
                  </w:r>
                  <w:r>
                    <w:rPr>
                      <w:rFonts w:hint="default" w:ascii="Times New Roman" w:hAnsi="Times New Roman" w:eastAsia="宋体" w:cs="Times New Roman"/>
                      <w:color w:val="auto"/>
                      <w:sz w:val="21"/>
                      <w:szCs w:val="21"/>
                      <w:highlight w:val="none"/>
                    </w:rPr>
                    <w:t>经</w:t>
                  </w:r>
                  <w:r>
                    <w:rPr>
                      <w:rFonts w:hint="eastAsia" w:cs="Times New Roman"/>
                      <w:color w:val="auto"/>
                      <w:sz w:val="21"/>
                      <w:szCs w:val="21"/>
                      <w:highlight w:val="none"/>
                      <w:lang w:val="en-US" w:eastAsia="zh-CN"/>
                    </w:rPr>
                    <w:t>包围型集气罩（含软帘）</w:t>
                  </w:r>
                  <w:r>
                    <w:rPr>
                      <w:rFonts w:hint="default" w:ascii="Times New Roman" w:hAnsi="Times New Roman" w:eastAsia="宋体" w:cs="Times New Roman"/>
                      <w:color w:val="auto"/>
                      <w:sz w:val="21"/>
                      <w:szCs w:val="21"/>
                      <w:highlight w:val="none"/>
                    </w:rPr>
                    <w:t>收集，经管道引入1套废气处理设施（活性炭吸附浓缩+CO处理工艺）（TA001）进行处理，处理后通过1根</w:t>
                  </w:r>
                  <w:r>
                    <w:rPr>
                      <w:rFonts w:hint="eastAsia"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m高排气筒排放（DA001）</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印刷废气经包围型集气罩（含软帘）收集，经管道引入1套废气处理设施（二级活性炭吸附）（TA002）进行处理，处理后通过1根20m高排气筒排放（DA002）。</w:t>
                  </w:r>
                </w:p>
              </w:tc>
              <w:tc>
                <w:tcPr>
                  <w:tcW w:w="594" w:type="pct"/>
                  <w:vAlign w:val="center"/>
                </w:tcPr>
                <w:p w14:paraId="696D1492">
                  <w:pPr>
                    <w:autoSpaceDE w:val="0"/>
                    <w:autoSpaceDN w:val="0"/>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符合</w:t>
                  </w:r>
                </w:p>
              </w:tc>
            </w:tr>
          </w:tbl>
          <w:p w14:paraId="6E8E1A20">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综上，项目符合《重点行业挥发性有机物综合治理方案》的相关技术要求。</w:t>
            </w:r>
          </w:p>
          <w:p w14:paraId="2949041C">
            <w:pPr>
              <w:pStyle w:val="77"/>
              <w:ind w:firstLine="482"/>
              <w:rPr>
                <w:rFonts w:hint="default" w:cs="Times New Roman"/>
                <w:b/>
                <w:bCs/>
                <w:color w:val="auto"/>
                <w:highlight w:val="none"/>
                <w:lang w:val="en-US" w:eastAsia="zh-CN"/>
              </w:rPr>
            </w:pPr>
            <w:r>
              <w:rPr>
                <w:rFonts w:hint="eastAsia" w:cs="Times New Roman"/>
                <w:b/>
                <w:bCs/>
                <w:color w:val="auto"/>
                <w:highlight w:val="none"/>
                <w:lang w:val="en-US" w:eastAsia="zh-CN"/>
              </w:rPr>
              <w:t>5</w:t>
            </w:r>
            <w:r>
              <w:rPr>
                <w:rFonts w:hint="default" w:cs="Times New Roman"/>
                <w:b/>
                <w:bCs/>
                <w:color w:val="auto"/>
                <w:highlight w:val="none"/>
                <w:lang w:val="en-US" w:eastAsia="zh-CN"/>
              </w:rPr>
              <w:t>、与《云南省重点行业挥发性有机物综合治理实施方案》符合性分析</w:t>
            </w:r>
          </w:p>
          <w:p w14:paraId="30089E81">
            <w:pPr>
              <w:pStyle w:val="77"/>
              <w:ind w:firstLine="480"/>
              <w:rPr>
                <w:rFonts w:hint="default" w:ascii="Times New Roman" w:hAnsi="Times New Roman" w:cs="Times New Roman"/>
                <w:color w:val="auto"/>
                <w:highlight w:val="none"/>
                <w:lang w:bidi="ar"/>
              </w:rPr>
            </w:pPr>
            <w:r>
              <w:rPr>
                <w:rFonts w:hint="default" w:ascii="Times New Roman" w:hAnsi="Times New Roman" w:cs="Times New Roman"/>
                <w:color w:val="auto"/>
                <w:highlight w:val="none"/>
                <w:lang w:bidi="ar"/>
              </w:rPr>
              <w:t>2019年9月4日，云南省生态环境厅印发了《云南省重点行业挥发性有机物综合治理实施方案》（云环通〔2019〕125号）。</w:t>
            </w:r>
          </w:p>
          <w:p w14:paraId="5EEB87DF">
            <w:pPr>
              <w:pStyle w:val="77"/>
              <w:ind w:firstLine="480"/>
              <w:rPr>
                <w:rFonts w:hint="default" w:ascii="Times New Roman" w:hAnsi="Times New Roman" w:cs="Times New Roman"/>
                <w:color w:val="auto"/>
                <w:highlight w:val="none"/>
                <w:lang w:bidi="ar"/>
              </w:rPr>
            </w:pPr>
            <w:r>
              <w:rPr>
                <w:rFonts w:hint="default" w:ascii="Times New Roman" w:hAnsi="Times New Roman" w:cs="Times New Roman"/>
                <w:color w:val="auto"/>
                <w:highlight w:val="none"/>
                <w:lang w:bidi="ar"/>
              </w:rPr>
              <w:t>项目与《云南省重点行业挥发性有机物综合治理实施方案》的相符性分析见表1-</w:t>
            </w:r>
            <w:r>
              <w:rPr>
                <w:rFonts w:hint="eastAsia" w:cs="Times New Roman"/>
                <w:color w:val="auto"/>
                <w:highlight w:val="none"/>
                <w:lang w:val="en-US" w:eastAsia="zh-CN" w:bidi="ar"/>
              </w:rPr>
              <w:t>9</w:t>
            </w:r>
            <w:r>
              <w:rPr>
                <w:rFonts w:hint="default" w:ascii="Times New Roman" w:hAnsi="Times New Roman" w:cs="Times New Roman"/>
                <w:color w:val="auto"/>
                <w:highlight w:val="none"/>
                <w:lang w:bidi="ar"/>
              </w:rPr>
              <w:t>。</w:t>
            </w:r>
          </w:p>
          <w:p w14:paraId="692FB266">
            <w:pPr>
              <w:autoSpaceDE w:val="0"/>
              <w:autoSpaceDN w:val="0"/>
              <w:adjustRightInd w:val="0"/>
              <w:snapToGrid w:val="0"/>
              <w:spacing w:line="360" w:lineRule="auto"/>
              <w:ind w:firstLine="482" w:firstLineChars="200"/>
              <w:jc w:val="center"/>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表1-</w:t>
            </w:r>
            <w:r>
              <w:rPr>
                <w:rFonts w:hint="eastAsia" w:cs="Times New Roman"/>
                <w:b/>
                <w:bCs/>
                <w:color w:val="auto"/>
                <w:kern w:val="0"/>
                <w:sz w:val="24"/>
                <w:highlight w:val="none"/>
                <w:lang w:val="en-US" w:eastAsia="zh-CN"/>
              </w:rPr>
              <w:t>9</w:t>
            </w:r>
            <w:r>
              <w:rPr>
                <w:rFonts w:hint="default" w:ascii="Times New Roman" w:hAnsi="Times New Roman" w:eastAsia="宋体" w:cs="Times New Roman"/>
                <w:b/>
                <w:bCs/>
                <w:color w:val="auto"/>
                <w:kern w:val="0"/>
                <w:sz w:val="24"/>
                <w:highlight w:val="none"/>
              </w:rPr>
              <w:t xml:space="preserve">  与《云南省重点行业挥发性有机物综合治理实施方案》</w:t>
            </w:r>
          </w:p>
          <w:p w14:paraId="0B276952">
            <w:pPr>
              <w:autoSpaceDE w:val="0"/>
              <w:autoSpaceDN w:val="0"/>
              <w:adjustRightInd w:val="0"/>
              <w:snapToGrid w:val="0"/>
              <w:spacing w:line="360" w:lineRule="auto"/>
              <w:ind w:firstLine="482" w:firstLineChars="200"/>
              <w:jc w:val="center"/>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相符性分析</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4"/>
              <w:gridCol w:w="3187"/>
              <w:gridCol w:w="2784"/>
              <w:gridCol w:w="879"/>
            </w:tblGrid>
            <w:tr w14:paraId="2533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pct"/>
                  <w:gridSpan w:val="2"/>
                  <w:vAlign w:val="center"/>
                </w:tcPr>
                <w:p w14:paraId="34D27D7C">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《通知》要求</w:t>
                  </w:r>
                </w:p>
              </w:tc>
              <w:tc>
                <w:tcPr>
                  <w:tcW w:w="1758" w:type="pct"/>
                  <w:vAlign w:val="center"/>
                </w:tcPr>
                <w:p w14:paraId="0A24CE00">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项目情况</w:t>
                  </w:r>
                </w:p>
              </w:tc>
              <w:tc>
                <w:tcPr>
                  <w:tcW w:w="555" w:type="pct"/>
                  <w:vAlign w:val="center"/>
                </w:tcPr>
                <w:p w14:paraId="40FF8235">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符合性</w:t>
                  </w:r>
                </w:p>
              </w:tc>
            </w:tr>
            <w:tr w14:paraId="25FF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pct"/>
                  <w:vAlign w:val="center"/>
                </w:tcPr>
                <w:p w14:paraId="324E7045">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大力推进源头替代</w:t>
                  </w:r>
                </w:p>
              </w:tc>
              <w:tc>
                <w:tcPr>
                  <w:tcW w:w="2013" w:type="pct"/>
                  <w:vAlign w:val="center"/>
                </w:tcPr>
                <w:p w14:paraId="0635D752">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通过使用水性、粉末、高固体分、无溶剂、辐射固化等低VOCs含量的涂料，水性、辐射固化、植物基等低VOCs含量的油墨，水基、热熔、无溶剂、辐射固化、改性、生物降解等低VOCs含量的胶粘剂，以及低VOCs含量、低反应活性的清洗剂等，替代溶剂型涂料、油墨、胶粘剂、清洗剂等，从源头减少VOCs产生。工业涂装、包装印刷等行业要加大源头替代力度；化工行业要推广使用低（无）VOCs含量、低反应活性的原辅材料，加快对芳香烃、含卤素有机化合物的绿色替代。企业应大力推广使用低VOCs含量木器涂料、车辆涂料、机械设备涂料、集装箱涂料以及建筑物和构筑物防护涂料等，在技术成熟的行业，推广使用低VOCs含量油墨和胶粘剂。鼓励加快低VOCs含量涂料、油墨、胶粘剂等研发和生产。</w:t>
                  </w:r>
                </w:p>
              </w:tc>
              <w:tc>
                <w:tcPr>
                  <w:tcW w:w="1758" w:type="pct"/>
                  <w:vAlign w:val="center"/>
                </w:tcPr>
                <w:p w14:paraId="5A920681">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cs="Times New Roman"/>
                      <w:bCs/>
                      <w:color w:val="auto"/>
                      <w:szCs w:val="21"/>
                      <w:highlight w:val="none"/>
                    </w:rPr>
                    <w:t>项目主要涉及VOCs的辅料为塑料粒子，非取用时储存状态为均封口，保持密闭</w:t>
                  </w:r>
                  <w:r>
                    <w:rPr>
                      <w:rFonts w:hint="eastAsia" w:cs="Times New Roman"/>
                      <w:bCs/>
                      <w:color w:val="auto"/>
                      <w:szCs w:val="21"/>
                      <w:highlight w:val="none"/>
                      <w:lang w:eastAsia="zh-CN"/>
                    </w:rPr>
                    <w:t>。</w:t>
                  </w:r>
                  <w:r>
                    <w:rPr>
                      <w:rFonts w:hint="default" w:ascii="Times New Roman" w:hAnsi="Times New Roman" w:cs="Times New Roman"/>
                      <w:bCs/>
                      <w:color w:val="auto"/>
                      <w:szCs w:val="21"/>
                      <w:highlight w:val="none"/>
                    </w:rPr>
                    <w:t>项目所用油墨为水性，采用封闭桶装，存放于密闭空间内，属于低VOCs含量油墨</w:t>
                  </w:r>
                  <w:r>
                    <w:rPr>
                      <w:rFonts w:hint="eastAsia" w:cs="Times New Roman"/>
                      <w:bCs/>
                      <w:color w:val="auto"/>
                      <w:szCs w:val="21"/>
                      <w:highlight w:val="none"/>
                      <w:lang w:eastAsia="zh-CN"/>
                    </w:rPr>
                    <w:t>，</w:t>
                  </w:r>
                  <w:r>
                    <w:rPr>
                      <w:rFonts w:hint="default" w:ascii="Times New Roman" w:hAnsi="Times New Roman" w:cs="Times New Roman"/>
                      <w:bCs/>
                      <w:color w:val="auto"/>
                      <w:szCs w:val="21"/>
                      <w:highlight w:val="none"/>
                    </w:rPr>
                    <w:t>从源头减少非甲烷总烃产生。</w:t>
                  </w:r>
                  <w:r>
                    <w:rPr>
                      <w:rFonts w:hint="default" w:ascii="Times New Roman" w:hAnsi="Times New Roman" w:eastAsia="宋体" w:cs="Times New Roman"/>
                      <w:color w:val="auto"/>
                      <w:sz w:val="21"/>
                      <w:szCs w:val="21"/>
                      <w:highlight w:val="none"/>
                    </w:rPr>
                    <w:t>项目产生的有机废气，经包围型集气罩（含软帘）收集后进入废气处理设施，大大削减了VOCs无组织排放。非取用原辅料的储存状态为均封口，保持密闭。</w:t>
                  </w:r>
                </w:p>
              </w:tc>
              <w:tc>
                <w:tcPr>
                  <w:tcW w:w="555" w:type="pct"/>
                  <w:vAlign w:val="center"/>
                </w:tcPr>
                <w:p w14:paraId="2F107907">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4608A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pct"/>
                  <w:vAlign w:val="center"/>
                </w:tcPr>
                <w:p w14:paraId="606294DF">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加强政策引导</w:t>
                  </w:r>
                </w:p>
              </w:tc>
              <w:tc>
                <w:tcPr>
                  <w:tcW w:w="2013" w:type="pct"/>
                  <w:vAlign w:val="center"/>
                </w:tcPr>
                <w:p w14:paraId="40F617C3">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企业采用符合国家有关低VOCs含量产品规定的涂料、油墨、胶粘剂等，排放浓度稳定达标且排放速率、排放绩效等满足相关规定的，相应生产工序可不要求建设末端治理设施。使用的原辅材料VOCs含量（质量比）低于10%的工序，可不要求采取无组织排放收集措施。</w:t>
                  </w:r>
                </w:p>
              </w:tc>
              <w:tc>
                <w:tcPr>
                  <w:tcW w:w="1758" w:type="pct"/>
                  <w:vAlign w:val="top"/>
                </w:tcPr>
                <w:p w14:paraId="0C01BA53">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①</w:t>
                  </w:r>
                  <w:r>
                    <w:rPr>
                      <w:rFonts w:hint="default" w:ascii="Times New Roman" w:hAnsi="Times New Roman" w:cs="Times New Roman"/>
                      <w:bCs/>
                      <w:color w:val="auto"/>
                      <w:szCs w:val="21"/>
                      <w:highlight w:val="none"/>
                    </w:rPr>
                    <w:t>项目主要涉及VOCs的辅料为塑料粒子，非取用时储存状态为均封口，保持密闭</w:t>
                  </w:r>
                  <w:r>
                    <w:rPr>
                      <w:rFonts w:hint="eastAsia" w:cs="Times New Roman"/>
                      <w:bCs/>
                      <w:color w:val="auto"/>
                      <w:szCs w:val="21"/>
                      <w:highlight w:val="none"/>
                      <w:lang w:eastAsia="zh-CN"/>
                    </w:rPr>
                    <w:t>。</w:t>
                  </w:r>
                  <w:r>
                    <w:rPr>
                      <w:rFonts w:hint="default" w:ascii="Times New Roman" w:hAnsi="Times New Roman" w:cs="Times New Roman"/>
                      <w:bCs/>
                      <w:color w:val="auto"/>
                      <w:szCs w:val="21"/>
                      <w:highlight w:val="none"/>
                    </w:rPr>
                    <w:t>项目所用油墨为水性，采用封闭桶装，存放于密闭空间内，属于低VOCs含量油墨</w:t>
                  </w:r>
                  <w:r>
                    <w:rPr>
                      <w:rFonts w:hint="eastAsia" w:cs="Times New Roman"/>
                      <w:bCs/>
                      <w:color w:val="auto"/>
                      <w:szCs w:val="21"/>
                      <w:highlight w:val="none"/>
                      <w:lang w:eastAsia="zh-CN"/>
                    </w:rPr>
                    <w:t>，</w:t>
                  </w:r>
                  <w:r>
                    <w:rPr>
                      <w:rFonts w:hint="default" w:ascii="Times New Roman" w:hAnsi="Times New Roman" w:cs="Times New Roman"/>
                      <w:bCs/>
                      <w:color w:val="auto"/>
                      <w:szCs w:val="21"/>
                      <w:highlight w:val="none"/>
                    </w:rPr>
                    <w:t>从源头减少非甲烷总烃产生</w:t>
                  </w:r>
                  <w:r>
                    <w:rPr>
                      <w:rFonts w:hint="default" w:ascii="Times New Roman" w:hAnsi="Times New Roman" w:eastAsia="宋体" w:cs="Times New Roman"/>
                      <w:color w:val="auto"/>
                      <w:sz w:val="21"/>
                      <w:szCs w:val="21"/>
                      <w:highlight w:val="none"/>
                    </w:rPr>
                    <w:t>。</w:t>
                  </w:r>
                </w:p>
                <w:p w14:paraId="3BFA6B22">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②项目生产过程中产生的塑料废气（以非甲烷总烃计）经包围型集气罩（含软帘）收集，经管道引入1套废气处理设施（活性炭吸附浓缩+CO处理工艺）（TA001）进行处理，处理后通过1根20m高排气筒排放（DA001），印刷废气经包围型集气罩（含软帘）收集，经管道引入1套废气处理设施（二级活性炭吸附）（TA002）进行处理，处理后通过1根20m高排气筒排放（DA002）。通过加强车间密闭管理，提高收集效率减少无组织排放。污染物经过处理均能达标排放。</w:t>
                  </w:r>
                </w:p>
                <w:p w14:paraId="10ECC248">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③本项目采取的</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活性炭吸附浓缩+CO处理工艺</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属于《排污许可证与核发技术规范橡胶和塑料制品工业》（HJ</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1122-2020）规定的可行性技术。</w:t>
                  </w:r>
                </w:p>
                <w:p w14:paraId="01A5881A">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jc w:val="both"/>
                    <w:textAlignment w:val="auto"/>
                    <w:rPr>
                      <w:rFonts w:hint="default"/>
                      <w:color w:val="auto"/>
                    </w:rPr>
                  </w:pPr>
                  <w:r>
                    <w:rPr>
                      <w:rFonts w:hint="eastAsia" w:ascii="Times New Roman" w:hAnsi="Times New Roman" w:eastAsia="宋体" w:cs="Times New Roman"/>
                      <w:color w:val="auto"/>
                      <w:sz w:val="21"/>
                      <w:szCs w:val="21"/>
                      <w:highlight w:val="none"/>
                    </w:rPr>
                    <w:t>④本项目采取的“</w:t>
                  </w:r>
                  <w:r>
                    <w:rPr>
                      <w:rFonts w:hint="eastAsia" w:ascii="Times New Roman" w:cs="Times New Roman"/>
                      <w:color w:val="auto"/>
                      <w:sz w:val="21"/>
                      <w:szCs w:val="21"/>
                      <w:highlight w:val="none"/>
                      <w:lang w:val="en-US" w:eastAsia="zh-CN"/>
                    </w:rPr>
                    <w:t>二级</w:t>
                  </w:r>
                  <w:r>
                    <w:rPr>
                      <w:rFonts w:hint="eastAsia" w:ascii="Times New Roman" w:hAnsi="Times New Roman" w:eastAsia="宋体" w:cs="Times New Roman"/>
                      <w:color w:val="auto"/>
                      <w:sz w:val="21"/>
                      <w:szCs w:val="21"/>
                      <w:highlight w:val="none"/>
                    </w:rPr>
                    <w:t>活性炭吸附处理工艺”属于《排污许可证申请与核发技术规范 印刷工业》（HJ 1066-2019）规定的可行性技术。</w:t>
                  </w:r>
                </w:p>
              </w:tc>
              <w:tc>
                <w:tcPr>
                  <w:tcW w:w="555" w:type="pct"/>
                  <w:vAlign w:val="center"/>
                </w:tcPr>
                <w:p w14:paraId="65E61035">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6A3C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pct"/>
                  <w:vAlign w:val="center"/>
                </w:tcPr>
                <w:p w14:paraId="554C4135">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全面加强无组织排放控制</w:t>
                  </w:r>
                </w:p>
              </w:tc>
              <w:tc>
                <w:tcPr>
                  <w:tcW w:w="2013" w:type="pct"/>
                  <w:tcBorders>
                    <w:bottom w:val="single" w:color="auto" w:sz="8" w:space="0"/>
                  </w:tcBorders>
                  <w:vAlign w:val="center"/>
                </w:tcPr>
                <w:p w14:paraId="696E6445">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重点对含VOCs物料（包括含VOCs原辅材料、含VOCs产品、含VOCs废料以及有机聚合物材料等）储存、转移和输送、设备与管线组件泄漏、敞开液面逸散以及工艺过程等五类排放源实施管控，通过采取设备与场所密闭、工艺改进、废气有效收集等措施，削减VOCs无组织排放。</w:t>
                  </w:r>
                </w:p>
              </w:tc>
              <w:tc>
                <w:tcPr>
                  <w:tcW w:w="1758" w:type="pct"/>
                  <w:vMerge w:val="restart"/>
                  <w:vAlign w:val="center"/>
                </w:tcPr>
                <w:p w14:paraId="4B0998FC">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本项目外购的原料为密封</w:t>
                  </w:r>
                  <w:r>
                    <w:rPr>
                      <w:rFonts w:hint="eastAsia" w:ascii="Times New Roman" w:hAnsi="Times New Roman" w:eastAsia="宋体" w:cs="Times New Roman"/>
                      <w:color w:val="auto"/>
                      <w:sz w:val="21"/>
                      <w:szCs w:val="21"/>
                      <w:highlight w:val="none"/>
                      <w:lang w:val="en-US" w:eastAsia="zh-CN"/>
                    </w:rPr>
                    <w:t>袋装</w:t>
                  </w: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挤出机</w:t>
                  </w:r>
                  <w:r>
                    <w:rPr>
                      <w:rFonts w:hint="default" w:ascii="Times New Roman" w:hAnsi="Times New Roman" w:eastAsia="宋体" w:cs="Times New Roman"/>
                      <w:color w:val="auto"/>
                      <w:sz w:val="21"/>
                      <w:szCs w:val="21"/>
                      <w:highlight w:val="none"/>
                    </w:rPr>
                    <w:t>采用密闭式，项目生产过程中产生的塑料废气（以非甲烷总烃计）经包围型集气罩（含软帘）收集，经管道引入1套废气处理设施（活性炭吸附浓缩+CO处理工艺）（TA001）进行处理，处理后通过1根20m高排气筒排放（DA001），印刷废气经包围型集气罩（含软帘）收集，经管道引入1套废气处理设施（二级活性炭吸附）（TA002）进行处理，处理后通过1根20m高排气筒排放（DA002）。通过加强车间密闭管理，提高收集效率减少无组织排放。污染物经过处理均能达标排放。</w:t>
                  </w:r>
                </w:p>
              </w:tc>
              <w:tc>
                <w:tcPr>
                  <w:tcW w:w="555" w:type="pct"/>
                  <w:vAlign w:val="center"/>
                </w:tcPr>
                <w:p w14:paraId="4A3EE74B">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222A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pct"/>
                  <w:vAlign w:val="center"/>
                </w:tcPr>
                <w:p w14:paraId="1C4E0A7A">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加强设备与场所密闭管理</w:t>
                  </w:r>
                </w:p>
              </w:tc>
              <w:tc>
                <w:tcPr>
                  <w:tcW w:w="2013" w:type="pct"/>
                  <w:tcBorders>
                    <w:top w:val="single" w:color="auto" w:sz="8" w:space="0"/>
                    <w:bottom w:val="single" w:color="auto" w:sz="8" w:space="0"/>
                  </w:tcBorders>
                  <w:vAlign w:val="center"/>
                </w:tcPr>
                <w:p w14:paraId="78F49EFE">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含VOCs物料应储存于密闭容器、包装袋，高效密封储罐，封闭式储库、料仓等。含VOCs物料转移和输送，应采用密闭管道或密闭容器、罐车等。高VOCs含量废水（废水液面上方100毫米处VOCs检测浓度超过200ppm，其中，重点区域超过100ppm，以碳计）的集输、储存和处理过程，应加盖密闭。含VOCs物料生产和使用过程，应采取有效收集措施或在密闭空间中操作。</w:t>
                  </w:r>
                </w:p>
              </w:tc>
              <w:tc>
                <w:tcPr>
                  <w:tcW w:w="1758" w:type="pct"/>
                  <w:vMerge w:val="continue"/>
                  <w:vAlign w:val="center"/>
                </w:tcPr>
                <w:p w14:paraId="5B846AB6">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555" w:type="pct"/>
                  <w:vAlign w:val="center"/>
                </w:tcPr>
                <w:p w14:paraId="01FEAC73">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656E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pct"/>
                  <w:tcBorders>
                    <w:top w:val="single" w:color="auto" w:sz="8" w:space="0"/>
                  </w:tcBorders>
                  <w:vAlign w:val="center"/>
                </w:tcPr>
                <w:p w14:paraId="51A07FEE">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推进使用先进生产工艺</w:t>
                  </w:r>
                </w:p>
              </w:tc>
              <w:tc>
                <w:tcPr>
                  <w:tcW w:w="2013" w:type="pct"/>
                  <w:tcBorders>
                    <w:top w:val="single" w:color="auto" w:sz="8" w:space="0"/>
                  </w:tcBorders>
                  <w:vAlign w:val="center"/>
                </w:tcPr>
                <w:p w14:paraId="1558C0C7">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通过采用全密闭、连续化、自动化等生产技术，以及高效工艺与设备等，减少工艺过程无组织排放。挥发性有机液体装载优先采用底部装载方式。石化、化工行业重点推进使用低（无）泄漏的泵、压缩机、过滤机、离心机、干燥设备等，推广采用油品在线调和技术、密闭式循环水冷却系统等。工业涂装行业重点推进使用紧凑式涂装工艺，推广采用辊涂、静电喷涂、高压无气喷涂、空气辅助无气喷涂、热喷涂等涂装技术，鼓励企业采用自动化、智能化喷涂设备替代人工喷涂，减少使用空气喷涂技术。包装印刷行业大力推广使用无溶剂复合、挤出复合、共挤出复合技术，鼓励采用水性凹印、醇水凹印、辐射固化凹印、柔版印刷、无水胶印等印刷工艺。</w:t>
                  </w:r>
                </w:p>
              </w:tc>
              <w:tc>
                <w:tcPr>
                  <w:tcW w:w="1758" w:type="pct"/>
                  <w:vMerge w:val="continue"/>
                  <w:vAlign w:val="center"/>
                </w:tcPr>
                <w:p w14:paraId="08E85AAD">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555" w:type="pct"/>
                  <w:tcBorders>
                    <w:top w:val="single" w:color="auto" w:sz="8" w:space="0"/>
                  </w:tcBorders>
                  <w:vAlign w:val="center"/>
                </w:tcPr>
                <w:p w14:paraId="54EB6428">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001B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pct"/>
                  <w:vAlign w:val="center"/>
                </w:tcPr>
                <w:p w14:paraId="4EC2E905">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提高废气收集率</w:t>
                  </w:r>
                </w:p>
              </w:tc>
              <w:tc>
                <w:tcPr>
                  <w:tcW w:w="2013" w:type="pct"/>
                  <w:vAlign w:val="center"/>
                </w:tcPr>
                <w:p w14:paraId="26723F7B">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遵循</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应收尽收、分质收集</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的原则，科学设计废气收集系统，将无组织排放转变为有组织排放进行控制。采用全密闭集气罩或密闭空间的，除行业有特殊要求外，应保持微负压状态，并根据相关规范合理设置通风量。采用局部集气罩的，距集气罩开口面最远处的VOCs无组织排放位置，控制风速应不低于0.3米/秒，有行业要求的按相关规定执行。</w:t>
                  </w:r>
                </w:p>
              </w:tc>
              <w:tc>
                <w:tcPr>
                  <w:tcW w:w="1758" w:type="pct"/>
                  <w:vMerge w:val="continue"/>
                  <w:vAlign w:val="center"/>
                </w:tcPr>
                <w:p w14:paraId="07FA2349">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555" w:type="pct"/>
                  <w:vAlign w:val="center"/>
                </w:tcPr>
                <w:p w14:paraId="2228539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61F7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pct"/>
                  <w:vAlign w:val="center"/>
                </w:tcPr>
                <w:p w14:paraId="2CB84EEA">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推进建设适宜高效的治污设施</w:t>
                  </w:r>
                </w:p>
              </w:tc>
              <w:tc>
                <w:tcPr>
                  <w:tcW w:w="2013" w:type="pct"/>
                  <w:vAlign w:val="center"/>
                </w:tcPr>
                <w:p w14:paraId="35B83682">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企业新建治污设施或对现有治污设施实施改造，应依据排放废气的浓度、组分、风量，温度、湿度、压力，以及生产工况等，合理选择治理技术。</w:t>
                  </w:r>
                </w:p>
              </w:tc>
              <w:tc>
                <w:tcPr>
                  <w:tcW w:w="1758" w:type="pct"/>
                  <w:vAlign w:val="center"/>
                </w:tcPr>
                <w:p w14:paraId="6479CBE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本项目采取的</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活性炭吸附浓缩+CO处理工艺</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属于《排污许可证与核发技术规范橡胶和塑料制品工业》（HJ 1122-2020）规定的可行性技术。</w:t>
                  </w:r>
                </w:p>
                <w:p w14:paraId="60305700">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本项目采取的</w:t>
                  </w:r>
                  <w:r>
                    <w:rPr>
                      <w:rFonts w:hint="eastAsia" w:ascii="Times New Roman" w:cs="Times New Roman"/>
                      <w:color w:val="auto"/>
                      <w:sz w:val="21"/>
                      <w:szCs w:val="21"/>
                      <w:highlight w:val="none"/>
                      <w:lang w:eastAsia="zh-CN"/>
                    </w:rPr>
                    <w:t>“</w:t>
                  </w:r>
                  <w:r>
                    <w:rPr>
                      <w:rFonts w:hint="eastAsia" w:ascii="Times New Roman" w:cs="Times New Roman"/>
                      <w:color w:val="auto"/>
                      <w:sz w:val="21"/>
                      <w:szCs w:val="21"/>
                      <w:highlight w:val="none"/>
                      <w:lang w:val="en-US" w:eastAsia="zh-CN"/>
                    </w:rPr>
                    <w:t>二级</w:t>
                  </w:r>
                  <w:r>
                    <w:rPr>
                      <w:rFonts w:hint="default" w:ascii="Times New Roman" w:hAnsi="Times New Roman" w:eastAsia="宋体" w:cs="Times New Roman"/>
                      <w:color w:val="auto"/>
                      <w:sz w:val="21"/>
                      <w:szCs w:val="21"/>
                      <w:highlight w:val="none"/>
                    </w:rPr>
                    <w:t>活性炭吸附处理工艺</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属于《排污许可证申请与核发技术规范 印刷工业》（HJ 1066-2019）规定的可行性技术。</w:t>
                  </w:r>
                </w:p>
              </w:tc>
              <w:tc>
                <w:tcPr>
                  <w:tcW w:w="555" w:type="pct"/>
                  <w:vAlign w:val="center"/>
                </w:tcPr>
                <w:p w14:paraId="3A797E83">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7227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pct"/>
                  <w:vMerge w:val="restart"/>
                  <w:vAlign w:val="center"/>
                </w:tcPr>
                <w:p w14:paraId="64037CBD">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规范工程设计</w:t>
                  </w:r>
                </w:p>
              </w:tc>
              <w:tc>
                <w:tcPr>
                  <w:tcW w:w="2013" w:type="pct"/>
                  <w:vAlign w:val="center"/>
                </w:tcPr>
                <w:p w14:paraId="74D5398C">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采用吸附处理工艺的，应满足《吸附法工业有机废气治理工程技术规范》要求。采用催化燃烧工艺的，应满足《催化燃烧法工业有机废气治理工程技术规范》要求。采用蓄热燃烧等其他处理工艺的，应按相关技术规范要求设计。</w:t>
                  </w:r>
                </w:p>
              </w:tc>
              <w:tc>
                <w:tcPr>
                  <w:tcW w:w="1758" w:type="pct"/>
                  <w:vMerge w:val="restart"/>
                  <w:vAlign w:val="center"/>
                </w:tcPr>
                <w:p w14:paraId="330D965D">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w:t>
                  </w:r>
                  <w:r>
                    <w:rPr>
                      <w:rFonts w:hint="eastAsia" w:ascii="Times New Roman" w:cs="Times New Roman"/>
                      <w:color w:val="auto"/>
                      <w:sz w:val="21"/>
                      <w:szCs w:val="21"/>
                      <w:highlight w:val="none"/>
                      <w:lang w:val="en-US" w:eastAsia="zh-CN"/>
                    </w:rPr>
                    <w:t>生产废气</w:t>
                  </w:r>
                  <w:r>
                    <w:rPr>
                      <w:rFonts w:hint="default" w:ascii="Times New Roman" w:hAnsi="Times New Roman" w:eastAsia="宋体" w:cs="Times New Roman"/>
                      <w:color w:val="auto"/>
                      <w:sz w:val="21"/>
                      <w:szCs w:val="21"/>
                      <w:highlight w:val="none"/>
                    </w:rPr>
                    <w:t>采取</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活性炭吸附浓缩+CO处理工艺</w:t>
                  </w:r>
                  <w:r>
                    <w:rPr>
                      <w:rFonts w:hint="eastAsia" w:ascii="Times New Roman" w:cs="Times New Roman"/>
                      <w:color w:val="auto"/>
                      <w:sz w:val="21"/>
                      <w:szCs w:val="21"/>
                      <w:highlight w:val="none"/>
                      <w:lang w:eastAsia="zh-CN"/>
                    </w:rPr>
                    <w:t>”、“</w:t>
                  </w:r>
                  <w:r>
                    <w:rPr>
                      <w:rFonts w:hint="eastAsia" w:ascii="Times New Roman" w:cs="Times New Roman"/>
                      <w:color w:val="auto"/>
                      <w:sz w:val="21"/>
                      <w:szCs w:val="21"/>
                      <w:highlight w:val="none"/>
                      <w:lang w:val="en-US" w:eastAsia="zh-CN"/>
                    </w:rPr>
                    <w:t>二级活性炭吸附处理工艺</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，本环评要求活性炭吸附系统设计应满足《催化燃烧法工业有机废气治理工程技术规范</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HJ 2027-2013</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》《吸附法工业有机废气治理工程技术规范》</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HJ 2026-2013</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等相关技术规范要求。</w:t>
                  </w:r>
                </w:p>
              </w:tc>
              <w:tc>
                <w:tcPr>
                  <w:tcW w:w="555" w:type="pct"/>
                  <w:vAlign w:val="center"/>
                </w:tcPr>
                <w:p w14:paraId="2B4E33D8">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3AF9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pct"/>
                  <w:vMerge w:val="continue"/>
                  <w:vAlign w:val="center"/>
                </w:tcPr>
                <w:p w14:paraId="78EEB65C">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2013" w:type="pct"/>
                  <w:vAlign w:val="center"/>
                </w:tcPr>
                <w:p w14:paraId="78D6EC4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实行重点排放源排放浓度与去除效率双重控制。车间或生产设施收集排放的废气，VOCs初始排放速率大于等于3千克/小时、重点区域大于等于2千克/小时的，应加大控制力度，除确保排放浓度稳定达标外，还应实行去除效率控制，去除效率不低于80%；采用的原辅材料符合国家有关低VOCs含量产品规定的除外，有行业排放标准的按其相关规定执行。</w:t>
                  </w:r>
                </w:p>
              </w:tc>
              <w:tc>
                <w:tcPr>
                  <w:tcW w:w="1758" w:type="pct"/>
                  <w:vMerge w:val="continue"/>
                  <w:vAlign w:val="center"/>
                </w:tcPr>
                <w:p w14:paraId="6832EEDA">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555" w:type="pct"/>
                  <w:vAlign w:val="center"/>
                </w:tcPr>
                <w:p w14:paraId="05020EAB">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53E5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2" w:type="pct"/>
                  <w:vAlign w:val="center"/>
                </w:tcPr>
                <w:p w14:paraId="0F7FAB4C">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加强企业运行管理</w:t>
                  </w:r>
                </w:p>
              </w:tc>
              <w:tc>
                <w:tcPr>
                  <w:tcW w:w="2013" w:type="pct"/>
                  <w:vAlign w:val="center"/>
                </w:tcPr>
                <w:p w14:paraId="2FDB3FE7">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企业应系统梳理VOCs排放主要环节和工序，包括启停机、检维修作业等，制定具体操作规程，落实到具体责任人。健全内部考核制度。加强人员能力培训和技术交流。建立管理台账，记录企业生产和治污设施运行的关键参数，在线监控</w:t>
                  </w:r>
                  <w:r>
                    <w:rPr>
                      <w:rFonts w:hint="default" w:ascii="Times New Roman" w:hAnsi="Times New Roman" w:eastAsia="宋体" w:cs="Times New Roman"/>
                      <w:color w:val="auto"/>
                      <w:sz w:val="21"/>
                      <w:szCs w:val="21"/>
                      <w:highlight w:val="none"/>
                    </w:rPr>
                    <w:cr/>
                  </w:r>
                  <w:r>
                    <w:rPr>
                      <w:rFonts w:hint="default" w:ascii="Times New Roman" w:hAnsi="Times New Roman" w:eastAsia="宋体" w:cs="Times New Roman"/>
                      <w:color w:val="auto"/>
                      <w:sz w:val="21"/>
                      <w:szCs w:val="21"/>
                      <w:highlight w:val="none"/>
                    </w:rPr>
                    <w:t>数要确保能够实时调取，相关台账记录至少保存三年。</w:t>
                  </w:r>
                </w:p>
              </w:tc>
              <w:tc>
                <w:tcPr>
                  <w:tcW w:w="1758" w:type="pct"/>
                  <w:vAlign w:val="center"/>
                </w:tcPr>
                <w:p w14:paraId="092F4ABA">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项目将严格制定具体操作规程，落实到具体责任人。健全内部考核制度</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加强人员能力培训和技术交流</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建立管理台账。</w:t>
                  </w:r>
                </w:p>
              </w:tc>
              <w:tc>
                <w:tcPr>
                  <w:tcW w:w="555" w:type="pct"/>
                  <w:vAlign w:val="center"/>
                </w:tcPr>
                <w:p w14:paraId="765271D2">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bl>
          <w:p w14:paraId="3A2BB5BC">
            <w:pPr>
              <w:pStyle w:val="77"/>
              <w:ind w:firstLine="480"/>
              <w:rPr>
                <w:rFonts w:hint="default" w:ascii="Times New Roman" w:hAnsi="Times New Roman" w:cs="Times New Roman"/>
                <w:color w:val="auto"/>
                <w:highlight w:val="none"/>
                <w:lang w:val="en-US" w:eastAsia="zh-CN" w:bidi="ar"/>
              </w:rPr>
            </w:pPr>
            <w:r>
              <w:rPr>
                <w:rFonts w:hint="default" w:ascii="Times New Roman" w:hAnsi="Times New Roman" w:cs="Times New Roman"/>
                <w:color w:val="auto"/>
                <w:highlight w:val="none"/>
                <w:lang w:val="en-US" w:eastAsia="zh-CN" w:bidi="ar"/>
              </w:rPr>
              <w:t>综上，本项目符合《云南省生态环境厅关于印发云南省重点行业挥发性有机物综合治理实施方案的通知》（云环通〔2019〕125号）的相关规定。</w:t>
            </w:r>
          </w:p>
          <w:p w14:paraId="4B97C1BB">
            <w:pPr>
              <w:pStyle w:val="77"/>
              <w:numPr>
                <w:ilvl w:val="0"/>
                <w:numId w:val="0"/>
              </w:numPr>
              <w:ind w:firstLine="480" w:firstLineChars="200"/>
              <w:rPr>
                <w:rFonts w:hint="eastAsia" w:cs="Times New Roman"/>
                <w:color w:val="auto"/>
                <w:highlight w:val="none"/>
                <w:lang w:val="en-US" w:eastAsia="zh-CN" w:bidi="ar"/>
              </w:rPr>
            </w:pPr>
            <w:r>
              <w:rPr>
                <w:rFonts w:hint="eastAsia" w:cs="Times New Roman"/>
                <w:color w:val="auto"/>
                <w:kern w:val="2"/>
                <w:sz w:val="24"/>
                <w:szCs w:val="24"/>
                <w:lang w:val="en-US" w:eastAsia="zh-CN" w:bidi="ar"/>
              </w:rPr>
              <w:t>6</w:t>
            </w:r>
            <w:r>
              <w:rPr>
                <w:rFonts w:hint="eastAsia" w:ascii="Times New Roman" w:hAnsi="Times New Roman" w:eastAsia="宋体" w:cs="Times New Roman"/>
                <w:color w:val="auto"/>
                <w:kern w:val="2"/>
                <w:sz w:val="24"/>
                <w:szCs w:val="24"/>
                <w:lang w:val="en-US" w:eastAsia="zh-CN" w:bidi="ar"/>
              </w:rPr>
              <w:t>、</w:t>
            </w:r>
            <w:r>
              <w:rPr>
                <w:rFonts w:hint="eastAsia" w:cs="Times New Roman"/>
                <w:color w:val="auto"/>
                <w:highlight w:val="none"/>
                <w:lang w:val="en-US" w:eastAsia="zh-CN" w:bidi="ar"/>
              </w:rPr>
              <w:t>与《2020年挥发性有机物治理攻坚方案》（环大气〔2020〕33号）符合性分析</w:t>
            </w:r>
          </w:p>
          <w:p w14:paraId="799DC3F2">
            <w:pPr>
              <w:autoSpaceDE w:val="0"/>
              <w:autoSpaceDN w:val="0"/>
              <w:adjustRightInd w:val="0"/>
              <w:snapToGrid w:val="0"/>
              <w:spacing w:line="360" w:lineRule="auto"/>
              <w:jc w:val="center"/>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rPr>
              <w:t>表1-</w:t>
            </w:r>
            <w:r>
              <w:rPr>
                <w:rFonts w:hint="eastAsia" w:cs="Times New Roman"/>
                <w:b/>
                <w:bCs/>
                <w:color w:val="auto"/>
                <w:kern w:val="0"/>
                <w:sz w:val="24"/>
                <w:highlight w:val="none"/>
                <w:lang w:val="en-US" w:eastAsia="zh-CN"/>
              </w:rPr>
              <w:t>10</w:t>
            </w:r>
            <w:r>
              <w:rPr>
                <w:rFonts w:hint="default" w:ascii="Times New Roman" w:hAnsi="Times New Roman" w:cs="Times New Roman"/>
                <w:b/>
                <w:bCs/>
                <w:color w:val="auto"/>
                <w:kern w:val="0"/>
                <w:sz w:val="24"/>
                <w:highlight w:val="none"/>
              </w:rPr>
              <w:t xml:space="preserve"> </w:t>
            </w:r>
            <w:r>
              <w:rPr>
                <w:rFonts w:hint="eastAsia" w:cs="Times New Roman"/>
                <w:b/>
                <w:bCs/>
                <w:color w:val="auto"/>
                <w:kern w:val="0"/>
                <w:sz w:val="24"/>
                <w:highlight w:val="none"/>
                <w:lang w:val="en-US" w:eastAsia="zh-CN"/>
              </w:rPr>
              <w:t xml:space="preserve"> </w:t>
            </w:r>
            <w:r>
              <w:rPr>
                <w:rFonts w:hint="default" w:ascii="Times New Roman" w:hAnsi="Times New Roman" w:cs="Times New Roman"/>
                <w:b/>
                <w:bCs/>
                <w:color w:val="auto"/>
                <w:kern w:val="0"/>
                <w:sz w:val="24"/>
                <w:highlight w:val="none"/>
              </w:rPr>
              <w:t>项目与《环大气〔2020〕33号》符合性分析</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
              <w:gridCol w:w="1211"/>
              <w:gridCol w:w="2393"/>
              <w:gridCol w:w="2446"/>
              <w:gridCol w:w="879"/>
            </w:tblGrid>
            <w:tr w14:paraId="025D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98" w:type="pct"/>
                  <w:gridSpan w:val="3"/>
                  <w:vAlign w:val="center"/>
                </w:tcPr>
                <w:p w14:paraId="21FA81D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《方案》要求</w:t>
                  </w:r>
                </w:p>
              </w:tc>
              <w:tc>
                <w:tcPr>
                  <w:tcW w:w="1545" w:type="pct"/>
                  <w:vAlign w:val="center"/>
                </w:tcPr>
                <w:p w14:paraId="22535DA9">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本项目</w:t>
                  </w:r>
                </w:p>
              </w:tc>
              <w:tc>
                <w:tcPr>
                  <w:tcW w:w="555" w:type="pct"/>
                  <w:vAlign w:val="center"/>
                </w:tcPr>
                <w:p w14:paraId="733CE659">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符合性</w:t>
                  </w:r>
                </w:p>
              </w:tc>
            </w:tr>
            <w:tr w14:paraId="10875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2" w:type="pct"/>
                  <w:vMerge w:val="restart"/>
                  <w:vAlign w:val="center"/>
                </w:tcPr>
                <w:p w14:paraId="62F07D50">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二、VOCs收集要求</w:t>
                  </w:r>
                </w:p>
              </w:tc>
              <w:tc>
                <w:tcPr>
                  <w:tcW w:w="2276" w:type="pct"/>
                  <w:gridSpan w:val="2"/>
                  <w:vAlign w:val="center"/>
                </w:tcPr>
                <w:p w14:paraId="3F043F88">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1、按照</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应收尽收</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的原则提升废气收集率。</w:t>
                  </w:r>
                </w:p>
              </w:tc>
              <w:tc>
                <w:tcPr>
                  <w:tcW w:w="1545" w:type="pct"/>
                  <w:vAlign w:val="center"/>
                </w:tcPr>
                <w:p w14:paraId="571AF6AF">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eastAsia="宋体"/>
                      <w:color w:val="auto"/>
                      <w:highlight w:val="none"/>
                      <w:lang w:val="en-US" w:eastAsia="zh-CN"/>
                    </w:rPr>
                  </w:pPr>
                  <w:r>
                    <w:rPr>
                      <w:rFonts w:hint="default" w:ascii="Times New Roman" w:hAnsi="Times New Roman" w:eastAsia="宋体" w:cs="Times New Roman"/>
                      <w:color w:val="auto"/>
                      <w:sz w:val="21"/>
                      <w:szCs w:val="21"/>
                      <w:highlight w:val="none"/>
                    </w:rPr>
                    <w:t>本挤出机采用密闭式，项目生产过程中产生的塑料废气（以非甲烷总烃计）经包围型集气罩（含软帘）收集，经管道引入1套废气处理设施（活性炭吸附浓缩+CO处理工艺）（TA001）进行处理，处理后通过1根20m高排气筒排放（DA001），印刷废气经包围型集气罩（含软帘）收集，经管道引入1套废气处理设施（二级活性炭吸附）（TA002）进行处理，处理后通过1根20m高排气筒排放（DA002）。</w:t>
                  </w:r>
                </w:p>
              </w:tc>
              <w:tc>
                <w:tcPr>
                  <w:tcW w:w="555" w:type="pct"/>
                  <w:vAlign w:val="center"/>
                </w:tcPr>
                <w:p w14:paraId="7FC3AB16">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6D314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2" w:type="pct"/>
                  <w:vMerge w:val="continue"/>
                  <w:vAlign w:val="center"/>
                </w:tcPr>
                <w:p w14:paraId="344264D8">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2276" w:type="pct"/>
                  <w:gridSpan w:val="2"/>
                  <w:vAlign w:val="center"/>
                </w:tcPr>
                <w:p w14:paraId="72237959">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取消废气排放系统旁路。因安全生产等原因必须保留的，应将保留旁路清单报当地生态环境部门，旁路在非紧急情况下保持关闭，并通过铅封、安装自动监控设施、流量计等方式加强监管，开启后应及时向当地生态环境部门报告，做好</w:t>
                  </w:r>
                  <w:r>
                    <w:rPr>
                      <w:rFonts w:hint="default" w:ascii="Times New Roman" w:hAnsi="Times New Roman" w:eastAsia="宋体" w:cs="Times New Roman"/>
                      <w:color w:val="auto"/>
                      <w:sz w:val="21"/>
                      <w:szCs w:val="21"/>
                      <w:highlight w:val="none"/>
                    </w:rPr>
                    <w:cr/>
                  </w:r>
                  <w:r>
                    <w:rPr>
                      <w:rFonts w:hint="default" w:ascii="Times New Roman" w:hAnsi="Times New Roman" w:eastAsia="宋体" w:cs="Times New Roman"/>
                      <w:color w:val="auto"/>
                      <w:sz w:val="21"/>
                      <w:szCs w:val="21"/>
                      <w:highlight w:val="none"/>
                    </w:rPr>
                    <w:t>账记录。</w:t>
                  </w:r>
                </w:p>
              </w:tc>
              <w:tc>
                <w:tcPr>
                  <w:tcW w:w="1545" w:type="pct"/>
                  <w:vAlign w:val="center"/>
                </w:tcPr>
                <w:p w14:paraId="55F34517">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项目无废气排放系统旁路</w:t>
                  </w:r>
                </w:p>
              </w:tc>
              <w:tc>
                <w:tcPr>
                  <w:tcW w:w="555" w:type="pct"/>
                  <w:vAlign w:val="center"/>
                </w:tcPr>
                <w:p w14:paraId="70AE63A3">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3FE80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2" w:type="pct"/>
                  <w:vMerge w:val="continue"/>
                  <w:vAlign w:val="center"/>
                </w:tcPr>
                <w:p w14:paraId="177F35BB">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765" w:type="pct"/>
                  <w:vMerge w:val="restart"/>
                  <w:vAlign w:val="center"/>
                </w:tcPr>
                <w:p w14:paraId="063D0F18">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3、将无组织排放转变为有组织排放进行控制。</w:t>
                  </w:r>
                </w:p>
              </w:tc>
              <w:tc>
                <w:tcPr>
                  <w:tcW w:w="1511" w:type="pct"/>
                  <w:vAlign w:val="center"/>
                </w:tcPr>
                <w:p w14:paraId="6F78BC1F">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1</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优先采用密闭设备、在密闭空间中操作或采用全密闭集气罩收集方式。</w:t>
                  </w:r>
                </w:p>
              </w:tc>
              <w:tc>
                <w:tcPr>
                  <w:tcW w:w="1545" w:type="pct"/>
                  <w:vMerge w:val="restart"/>
                  <w:vAlign w:val="center"/>
                </w:tcPr>
                <w:p w14:paraId="05D5D82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外购的原料为密封袋装，挤出机采用密闭式，项目生产过程中产生的塑料废气（以非甲烷总烃计）经包围型集气罩（含软帘）收集，经管道引入1套废气处理设施（活性炭吸附浓缩+CO处理工艺）（TA001）进行处理，处理后通过1根20m高排气筒排放（DA001），印刷废气经包围型集气罩（含软帘）收集，经管道引入1套废气处理设施（二级活性炭吸附）（TA002）进行处理，处理后通过1根20m高排气筒排放（DA002）。</w:t>
                  </w:r>
                </w:p>
              </w:tc>
              <w:tc>
                <w:tcPr>
                  <w:tcW w:w="555" w:type="pct"/>
                  <w:vAlign w:val="center"/>
                </w:tcPr>
                <w:p w14:paraId="77D19FB0">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191B4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2" w:type="pct"/>
                  <w:vMerge w:val="continue"/>
                  <w:vAlign w:val="center"/>
                </w:tcPr>
                <w:p w14:paraId="44997048">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765" w:type="pct"/>
                  <w:vMerge w:val="continue"/>
                  <w:vAlign w:val="center"/>
                </w:tcPr>
                <w:p w14:paraId="4D754755">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1511" w:type="pct"/>
                  <w:vAlign w:val="center"/>
                </w:tcPr>
                <w:p w14:paraId="273E652B">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2</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对于采用局部集气罩的，应根据废气排放特点合理选择收集点位，距集气罩开口面最远处的VOCs无组织排放位置，</w:t>
                  </w:r>
                  <w:r>
                    <w:rPr>
                      <w:rFonts w:hint="default" w:ascii="Times New Roman" w:hAnsi="Times New Roman" w:eastAsia="宋体" w:cs="Times New Roman"/>
                      <w:color w:val="auto"/>
                      <w:sz w:val="21"/>
                      <w:szCs w:val="21"/>
                      <w:highlight w:val="none"/>
                    </w:rPr>
                    <w:cr/>
                  </w:r>
                  <w:r>
                    <w:rPr>
                      <w:rFonts w:hint="default" w:ascii="Times New Roman" w:hAnsi="Times New Roman" w:eastAsia="宋体" w:cs="Times New Roman"/>
                      <w:color w:val="auto"/>
                      <w:sz w:val="21"/>
                      <w:szCs w:val="21"/>
                      <w:highlight w:val="none"/>
                    </w:rPr>
                    <w:t>制风速不低于0.3m/s，达不到要求的通过更换大功率风机、增设烟道风机、增加垂帘等方式及时改造。</w:t>
                  </w:r>
                </w:p>
              </w:tc>
              <w:tc>
                <w:tcPr>
                  <w:tcW w:w="1545" w:type="pct"/>
                  <w:vMerge w:val="continue"/>
                  <w:vAlign w:val="center"/>
                </w:tcPr>
                <w:p w14:paraId="1FBBDB92">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555" w:type="pct"/>
                  <w:vAlign w:val="center"/>
                </w:tcPr>
                <w:p w14:paraId="04E32551">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4800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2" w:type="pct"/>
                  <w:vMerge w:val="continue"/>
                  <w:vAlign w:val="center"/>
                </w:tcPr>
                <w:p w14:paraId="4779D0E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765" w:type="pct"/>
                  <w:vMerge w:val="continue"/>
                  <w:vAlign w:val="center"/>
                </w:tcPr>
                <w:p w14:paraId="274F920C">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1511" w:type="pct"/>
                  <w:vAlign w:val="center"/>
                </w:tcPr>
                <w:p w14:paraId="32A29A52">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3</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加强生产车间密闭管理，在符合安全生产、职业卫生相关规定前提下，采用自动卷帘门、密闭性好的塑钢门窗等，在非必要时保持关闭。</w:t>
                  </w:r>
                </w:p>
              </w:tc>
              <w:tc>
                <w:tcPr>
                  <w:tcW w:w="1545" w:type="pct"/>
                  <w:vAlign w:val="center"/>
                </w:tcPr>
                <w:p w14:paraId="23070BF7">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生产车间进出口设施卷帘门，其余密闭。</w:t>
                  </w:r>
                </w:p>
              </w:tc>
              <w:tc>
                <w:tcPr>
                  <w:tcW w:w="555" w:type="pct"/>
                  <w:vAlign w:val="center"/>
                </w:tcPr>
                <w:p w14:paraId="6062C3D7">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2CE86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2" w:type="pct"/>
                  <w:vMerge w:val="restart"/>
                  <w:vAlign w:val="center"/>
                </w:tcPr>
                <w:p w14:paraId="44750596">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三、VOCs处理工艺</w:t>
                  </w:r>
                </w:p>
              </w:tc>
              <w:tc>
                <w:tcPr>
                  <w:tcW w:w="2276" w:type="pct"/>
                  <w:gridSpan w:val="2"/>
                  <w:vAlign w:val="center"/>
                </w:tcPr>
                <w:p w14:paraId="5864378A">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1、除恶臭异味治理外，一般不采用低温等离子、光催化、光氧化等技术。</w:t>
                  </w:r>
                </w:p>
                <w:p w14:paraId="17B38021">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jc w:val="left"/>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2、按照</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适宜高效</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的原则提高治理设施去除率，不得稀释排放。企业新建治污设施或对现有治污设施实施改造，应依据排放废气特征、VOCs组分及浓度、生产工况等，合理选择治理技术，对治理难度大、单一治理工艺难以稳定达标的，要采用多种技术的组合工艺。吸附、焚烧、催化燃烧等工艺是当前VOCs治理的主流技术，朴华科技针对不同工况条件将多种治理工艺相结合，如活性炭吸附脱附+催化燃烧、沸石转轮吸附脱附+催化燃烧、沸石转轮吸附脱附+RTO高温焚烧、旋转式RTO、UV光氧催化+活性炭吸附等，克服了单一工艺的局限性</w:t>
                  </w:r>
                  <w:r>
                    <w:rPr>
                      <w:rFonts w:hint="eastAsia" w:ascii="Times New Roman" w:cs="Times New Roman"/>
                      <w:color w:val="auto"/>
                      <w:sz w:val="21"/>
                      <w:szCs w:val="21"/>
                      <w:highlight w:val="none"/>
                      <w:lang w:eastAsia="zh-CN"/>
                    </w:rPr>
                    <w:t>。</w:t>
                  </w:r>
                </w:p>
              </w:tc>
              <w:tc>
                <w:tcPr>
                  <w:tcW w:w="1545" w:type="pct"/>
                  <w:vAlign w:val="center"/>
                </w:tcPr>
                <w:p w14:paraId="5C47210B">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外购的原料为密封袋装，挤出机采用密闭式，项目生产过程中产生的塑料废气（以非甲烷总烃计）经包围型集气罩（含软帘）收集，经管道引入1套废气处理设施（活性炭吸附浓缩+CO处理工艺）（TA001）进行处理，处理后通过1根20m高排气筒排放（DA001），印刷废气经包围型集气罩（含软帘）收集，经管道引入1套废气处理设施（二级活性炭吸附）（TA002）进行处理，处理后通过1根20m高排气筒排放（DA002）。</w:t>
                  </w:r>
                </w:p>
              </w:tc>
              <w:tc>
                <w:tcPr>
                  <w:tcW w:w="555" w:type="pct"/>
                  <w:vAlign w:val="center"/>
                </w:tcPr>
                <w:p w14:paraId="2FCB7F89">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5E39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2" w:type="pct"/>
                  <w:vMerge w:val="continue"/>
                  <w:vAlign w:val="center"/>
                </w:tcPr>
                <w:p w14:paraId="6B5472F5">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2276" w:type="pct"/>
                  <w:gridSpan w:val="2"/>
                  <w:vAlign w:val="center"/>
                </w:tcPr>
                <w:p w14:paraId="21CB2315">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3、按照与生产设备</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同启同停</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的原则提升治理设施运行率。根据处理工艺要求，在处理设施达到正常运行条件后方可启动生产设备，在生产设备停止、残留VOCs废气收集处理完毕后，方可停运处理设施。</w:t>
                  </w:r>
                </w:p>
              </w:tc>
              <w:tc>
                <w:tcPr>
                  <w:tcW w:w="1545" w:type="pct"/>
                  <w:vAlign w:val="center"/>
                </w:tcPr>
                <w:p w14:paraId="090D9CB2">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项目生产前启动有机废气处理系统，生产结束后延后关闭。</w:t>
                  </w:r>
                </w:p>
              </w:tc>
              <w:tc>
                <w:tcPr>
                  <w:tcW w:w="555" w:type="pct"/>
                  <w:vAlign w:val="center"/>
                </w:tcPr>
                <w:p w14:paraId="6A4117C0">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6A54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2" w:type="pct"/>
                  <w:vMerge w:val="continue"/>
                  <w:vAlign w:val="center"/>
                </w:tcPr>
                <w:p w14:paraId="505BC631">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2276" w:type="pct"/>
                  <w:gridSpan w:val="2"/>
                  <w:vAlign w:val="center"/>
                </w:tcPr>
                <w:p w14:paraId="6BCF27BB">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4、VOCs废气处理系统发生故障或检修时，对应生产工艺设备应停止运行，待检修完毕后同步投入使用；因安全等因素生产工艺设备不能停止或不能及时停止运行的，应设置废气应急处理设施或采取其他替代措施。</w:t>
                  </w:r>
                </w:p>
              </w:tc>
              <w:tc>
                <w:tcPr>
                  <w:tcW w:w="1545" w:type="pct"/>
                  <w:vMerge w:val="restart"/>
                  <w:vAlign w:val="center"/>
                </w:tcPr>
                <w:p w14:paraId="05341A49">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项目废气处理系统发生故障或检修时，生产工艺设备停止运行，待检修完毕后投入使用。</w:t>
                  </w:r>
                </w:p>
              </w:tc>
              <w:tc>
                <w:tcPr>
                  <w:tcW w:w="555" w:type="pct"/>
                  <w:vAlign w:val="center"/>
                </w:tcPr>
                <w:p w14:paraId="3AE124FB">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0D36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2" w:type="pct"/>
                  <w:vMerge w:val="restart"/>
                  <w:vAlign w:val="center"/>
                </w:tcPr>
                <w:p w14:paraId="490FCF39">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四、停产检修期间应避免的行为</w:t>
                  </w:r>
                </w:p>
              </w:tc>
              <w:tc>
                <w:tcPr>
                  <w:tcW w:w="765" w:type="pct"/>
                  <w:vMerge w:val="restart"/>
                  <w:vAlign w:val="center"/>
                </w:tcPr>
                <w:p w14:paraId="7E8D8A21">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实施停产检修的石化、化工、煤化工、制药、农药等行业企业启停机期间以及清洗、退料、吹扫、放空、晾晒等环节应避免的10种行为:</w:t>
                  </w:r>
                </w:p>
              </w:tc>
              <w:tc>
                <w:tcPr>
                  <w:tcW w:w="1511" w:type="pct"/>
                  <w:vAlign w:val="center"/>
                </w:tcPr>
                <w:p w14:paraId="16F91EAF">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1</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以敞开、泄漏等与环境空气直接接触的形式储存、转移、输送、处置含VOCs物料。</w:t>
                  </w:r>
                </w:p>
              </w:tc>
              <w:tc>
                <w:tcPr>
                  <w:tcW w:w="1545" w:type="pct"/>
                  <w:vMerge w:val="continue"/>
                  <w:vAlign w:val="center"/>
                </w:tcPr>
                <w:p w14:paraId="6E1ADB70">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555" w:type="pct"/>
                  <w:vMerge w:val="restart"/>
                  <w:vAlign w:val="center"/>
                </w:tcPr>
                <w:p w14:paraId="17615CEA">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639BD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2" w:type="pct"/>
                  <w:vMerge w:val="continue"/>
                  <w:vAlign w:val="center"/>
                </w:tcPr>
                <w:p w14:paraId="72B5594D">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765" w:type="pct"/>
                  <w:vMerge w:val="continue"/>
                  <w:vAlign w:val="center"/>
                </w:tcPr>
                <w:p w14:paraId="322FE46C">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1511" w:type="pct"/>
                  <w:vAlign w:val="center"/>
                </w:tcPr>
                <w:p w14:paraId="725ACA0A">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2</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化工等行业使用敞口式、明流式生产设备。</w:t>
                  </w:r>
                </w:p>
              </w:tc>
              <w:tc>
                <w:tcPr>
                  <w:tcW w:w="1545" w:type="pct"/>
                  <w:vMerge w:val="continue"/>
                  <w:vAlign w:val="center"/>
                </w:tcPr>
                <w:p w14:paraId="2005D46D">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555" w:type="pct"/>
                  <w:vMerge w:val="continue"/>
                  <w:vAlign w:val="center"/>
                </w:tcPr>
                <w:p w14:paraId="1AB31791">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r>
            <w:tr w14:paraId="6CBB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2" w:type="pct"/>
                  <w:vMerge w:val="continue"/>
                  <w:vAlign w:val="center"/>
                </w:tcPr>
                <w:p w14:paraId="6BBFC07B">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765" w:type="pct"/>
                  <w:vMerge w:val="continue"/>
                  <w:vAlign w:val="center"/>
                </w:tcPr>
                <w:p w14:paraId="3648315C">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1511" w:type="pct"/>
                  <w:vAlign w:val="center"/>
                </w:tcPr>
                <w:p w14:paraId="0A9A67DF">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3</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在不操作时开启VOCs物料反应装置进出料口、检修口、观察孔等。</w:t>
                  </w:r>
                </w:p>
              </w:tc>
              <w:tc>
                <w:tcPr>
                  <w:tcW w:w="1545" w:type="pct"/>
                  <w:vMerge w:val="continue"/>
                  <w:vAlign w:val="center"/>
                </w:tcPr>
                <w:p w14:paraId="608F9A7F">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555" w:type="pct"/>
                  <w:vMerge w:val="continue"/>
                  <w:vAlign w:val="center"/>
                </w:tcPr>
                <w:p w14:paraId="0026D4BB">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r>
            <w:tr w14:paraId="50B5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622" w:type="pct"/>
                  <w:vMerge w:val="continue"/>
                  <w:vAlign w:val="center"/>
                </w:tcPr>
                <w:p w14:paraId="7716B111">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765" w:type="pct"/>
                  <w:vMerge w:val="continue"/>
                  <w:vAlign w:val="center"/>
                </w:tcPr>
                <w:p w14:paraId="3C93DFF9">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1511" w:type="pct"/>
                  <w:vAlign w:val="center"/>
                </w:tcPr>
                <w:p w14:paraId="1004249C">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4</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敞开式喷涂、晾</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风</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干等生产作业</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大型工件除外</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w:t>
                  </w:r>
                </w:p>
              </w:tc>
              <w:tc>
                <w:tcPr>
                  <w:tcW w:w="1545" w:type="pct"/>
                  <w:vMerge w:val="continue"/>
                  <w:vAlign w:val="center"/>
                </w:tcPr>
                <w:p w14:paraId="09FD1D49">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555" w:type="pct"/>
                  <w:vMerge w:val="continue"/>
                  <w:vAlign w:val="center"/>
                </w:tcPr>
                <w:p w14:paraId="4E593E3A">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r>
            <w:tr w14:paraId="12B8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2" w:type="pct"/>
                  <w:vMerge w:val="continue"/>
                  <w:vAlign w:val="center"/>
                </w:tcPr>
                <w:p w14:paraId="509546F1">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765" w:type="pct"/>
                  <w:vMerge w:val="continue"/>
                  <w:vAlign w:val="center"/>
                </w:tcPr>
                <w:p w14:paraId="09CF6338">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1511" w:type="pct"/>
                  <w:vAlign w:val="center"/>
                </w:tcPr>
                <w:p w14:paraId="741E22BF">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5</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设备与管线组件密封点发生渗液、滴液等明显泄漏。</w:t>
                  </w:r>
                </w:p>
              </w:tc>
              <w:tc>
                <w:tcPr>
                  <w:tcW w:w="1545" w:type="pct"/>
                  <w:vMerge w:val="continue"/>
                  <w:vAlign w:val="center"/>
                </w:tcPr>
                <w:p w14:paraId="4327FD8F">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555" w:type="pct"/>
                  <w:vMerge w:val="continue"/>
                  <w:vAlign w:val="center"/>
                </w:tcPr>
                <w:p w14:paraId="703740AC">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r>
            <w:tr w14:paraId="0F4D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2" w:type="pct"/>
                  <w:vMerge w:val="continue"/>
                  <w:vAlign w:val="center"/>
                </w:tcPr>
                <w:p w14:paraId="5B34AE72">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765" w:type="pct"/>
                  <w:vMerge w:val="continue"/>
                  <w:vAlign w:val="center"/>
                </w:tcPr>
                <w:p w14:paraId="0F152A47">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1511" w:type="pct"/>
                  <w:vAlign w:val="center"/>
                </w:tcPr>
                <w:p w14:paraId="3A03979F">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6</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有机废气输送管道出现破损、异味、漏风等可察觉泄漏。</w:t>
                  </w:r>
                </w:p>
              </w:tc>
              <w:tc>
                <w:tcPr>
                  <w:tcW w:w="1545" w:type="pct"/>
                  <w:vMerge w:val="continue"/>
                  <w:vAlign w:val="center"/>
                </w:tcPr>
                <w:p w14:paraId="36DC8096">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555" w:type="pct"/>
                  <w:vMerge w:val="continue"/>
                  <w:vAlign w:val="center"/>
                </w:tcPr>
                <w:p w14:paraId="443DBB75">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r>
            <w:tr w14:paraId="76B49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2" w:type="pct"/>
                  <w:vMerge w:val="continue"/>
                  <w:vAlign w:val="center"/>
                </w:tcPr>
                <w:p w14:paraId="213CB0EA">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765" w:type="pct"/>
                  <w:vMerge w:val="continue"/>
                  <w:vAlign w:val="center"/>
                </w:tcPr>
                <w:p w14:paraId="305BC5F1">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1511" w:type="pct"/>
                  <w:vAlign w:val="center"/>
                </w:tcPr>
                <w:p w14:paraId="4BC58C96">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7</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高浓度有机废水集输、储存和处理过程与环境空气直接接触。</w:t>
                  </w:r>
                </w:p>
              </w:tc>
              <w:tc>
                <w:tcPr>
                  <w:tcW w:w="1545" w:type="pct"/>
                  <w:vMerge w:val="continue"/>
                  <w:vAlign w:val="center"/>
                </w:tcPr>
                <w:p w14:paraId="74AF2EC1">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555" w:type="pct"/>
                  <w:vMerge w:val="continue"/>
                  <w:vAlign w:val="center"/>
                </w:tcPr>
                <w:p w14:paraId="7FA1A143">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r>
            <w:tr w14:paraId="040CC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2" w:type="pct"/>
                  <w:vMerge w:val="continue"/>
                  <w:vAlign w:val="center"/>
                </w:tcPr>
                <w:p w14:paraId="082AE0F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765" w:type="pct"/>
                  <w:vMerge w:val="continue"/>
                  <w:vAlign w:val="center"/>
                </w:tcPr>
                <w:p w14:paraId="7004962D">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1511" w:type="pct"/>
                  <w:vAlign w:val="center"/>
                </w:tcPr>
                <w:p w14:paraId="7B023C9F">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8</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生产工序和使用环节的有机废气不经过收集处理直接排放。</w:t>
                  </w:r>
                </w:p>
              </w:tc>
              <w:tc>
                <w:tcPr>
                  <w:tcW w:w="1545" w:type="pct"/>
                  <w:vMerge w:val="continue"/>
                  <w:vAlign w:val="center"/>
                </w:tcPr>
                <w:p w14:paraId="1FDC9EC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555" w:type="pct"/>
                  <w:vMerge w:val="continue"/>
                  <w:vAlign w:val="center"/>
                </w:tcPr>
                <w:p w14:paraId="6DC39A8B">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r>
            <w:tr w14:paraId="0149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2" w:type="pct"/>
                  <w:vMerge w:val="continue"/>
                  <w:vAlign w:val="center"/>
                </w:tcPr>
                <w:p w14:paraId="788BBA38">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765" w:type="pct"/>
                  <w:vMerge w:val="continue"/>
                  <w:vAlign w:val="center"/>
                </w:tcPr>
                <w:p w14:paraId="2373E26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1511" w:type="pct"/>
                  <w:vAlign w:val="center"/>
                </w:tcPr>
                <w:p w14:paraId="2FC0ED79">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9</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擅自停运或不正常运行废气收集、处理设施及VOCs自动监控设施。</w:t>
                  </w:r>
                </w:p>
              </w:tc>
              <w:tc>
                <w:tcPr>
                  <w:tcW w:w="1545" w:type="pct"/>
                  <w:vMerge w:val="continue"/>
                  <w:vAlign w:val="center"/>
                </w:tcPr>
                <w:p w14:paraId="1762F7F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555" w:type="pct"/>
                  <w:vMerge w:val="continue"/>
                  <w:vAlign w:val="center"/>
                </w:tcPr>
                <w:p w14:paraId="4ACEF992">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r>
            <w:tr w14:paraId="04059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22" w:type="pct"/>
                  <w:vMerge w:val="continue"/>
                  <w:vAlign w:val="center"/>
                </w:tcPr>
                <w:p w14:paraId="71BB658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765" w:type="pct"/>
                  <w:vMerge w:val="continue"/>
                  <w:vAlign w:val="center"/>
                </w:tcPr>
                <w:p w14:paraId="3D32782F">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1511" w:type="pct"/>
                  <w:vAlign w:val="center"/>
                </w:tcPr>
                <w:p w14:paraId="5439726C">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10</w:t>
                  </w:r>
                  <w:r>
                    <w:rPr>
                      <w:rFonts w:hint="eastAsia" w:asci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石化、化工、有机化学原料制造、农药制造、肥料制造、炼焦、人造板、家具制造等行业中应取得排污许可证的企业无证排污。</w:t>
                  </w:r>
                </w:p>
              </w:tc>
              <w:tc>
                <w:tcPr>
                  <w:tcW w:w="1545" w:type="pct"/>
                  <w:vMerge w:val="continue"/>
                  <w:vAlign w:val="center"/>
                </w:tcPr>
                <w:p w14:paraId="3AE780C9">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c>
                <w:tcPr>
                  <w:tcW w:w="555" w:type="pct"/>
                  <w:vMerge w:val="continue"/>
                  <w:vAlign w:val="center"/>
                </w:tcPr>
                <w:p w14:paraId="5E4479E8">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p>
              </w:tc>
            </w:tr>
          </w:tbl>
          <w:p w14:paraId="490CFC27">
            <w:pPr>
              <w:pStyle w:val="77"/>
              <w:numPr>
                <w:ilvl w:val="0"/>
                <w:numId w:val="0"/>
              </w:numPr>
              <w:ind w:firstLine="480" w:firstLineChars="200"/>
              <w:rPr>
                <w:rFonts w:hint="default" w:ascii="Times New Roman" w:hAnsi="Times New Roman" w:cs="Times New Roman"/>
                <w:color w:val="auto"/>
                <w:kern w:val="2"/>
                <w:sz w:val="24"/>
                <w:szCs w:val="24"/>
                <w:lang w:val="en-US" w:eastAsia="zh-CN" w:bidi="ar"/>
              </w:rPr>
            </w:pPr>
            <w:r>
              <w:rPr>
                <w:rFonts w:hint="default" w:ascii="Times New Roman" w:hAnsi="Times New Roman" w:cs="Times New Roman"/>
                <w:color w:val="auto"/>
                <w:kern w:val="2"/>
                <w:sz w:val="24"/>
                <w:szCs w:val="24"/>
                <w:lang w:val="en-US" w:eastAsia="zh-CN" w:bidi="ar"/>
              </w:rPr>
              <w:t>综上，本项目符合《2020年挥发性有机物治理攻坚方案》（环大气〔2020〕33号）中的相关要求。</w:t>
            </w:r>
          </w:p>
          <w:p w14:paraId="2277EED8">
            <w:pPr>
              <w:pStyle w:val="77"/>
              <w:numPr>
                <w:ilvl w:val="0"/>
                <w:numId w:val="0"/>
              </w:numPr>
              <w:ind w:firstLine="480" w:firstLineChars="200"/>
              <w:rPr>
                <w:rFonts w:hint="default" w:ascii="Times New Roman" w:hAnsi="Times New Roman" w:cs="Times New Roman"/>
                <w:color w:val="auto"/>
                <w:kern w:val="2"/>
                <w:sz w:val="24"/>
                <w:szCs w:val="24"/>
                <w:lang w:val="en-US" w:eastAsia="zh-CN" w:bidi="ar"/>
              </w:rPr>
            </w:pPr>
            <w:r>
              <w:rPr>
                <w:rFonts w:hint="eastAsia" w:ascii="Times New Roman" w:hAnsi="Times New Roman" w:cs="Times New Roman"/>
                <w:color w:val="auto"/>
                <w:kern w:val="2"/>
                <w:sz w:val="24"/>
                <w:szCs w:val="24"/>
                <w:lang w:val="en-US" w:eastAsia="zh-CN" w:bidi="ar"/>
              </w:rPr>
              <w:t>7</w:t>
            </w:r>
            <w:r>
              <w:rPr>
                <w:rFonts w:hint="default" w:ascii="Times New Roman" w:hAnsi="Times New Roman" w:cs="Times New Roman"/>
                <w:color w:val="auto"/>
                <w:kern w:val="2"/>
                <w:sz w:val="24"/>
                <w:szCs w:val="24"/>
                <w:lang w:val="en-US" w:eastAsia="zh-CN" w:bidi="ar"/>
              </w:rPr>
              <w:t>、项目与国务院关于印发《空气质量持续改善行动计划》的通知（国发〔2023〕24号）符合性分析</w:t>
            </w:r>
          </w:p>
          <w:p w14:paraId="3B6E5D82">
            <w:pPr>
              <w:autoSpaceDE w:val="0"/>
              <w:autoSpaceDN w:val="0"/>
              <w:adjustRightInd w:val="0"/>
              <w:snapToGrid w:val="0"/>
              <w:spacing w:line="360" w:lineRule="auto"/>
              <w:jc w:val="center"/>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lang w:val="en-US" w:eastAsia="zh-CN"/>
              </w:rPr>
              <w:t>表1-</w:t>
            </w:r>
            <w:r>
              <w:rPr>
                <w:rFonts w:hint="eastAsia" w:ascii="Times New Roman" w:hAnsi="Times New Roman" w:cs="Times New Roman"/>
                <w:b/>
                <w:bCs/>
                <w:color w:val="auto"/>
                <w:kern w:val="0"/>
                <w:sz w:val="24"/>
                <w:highlight w:val="none"/>
                <w:lang w:val="en-US" w:eastAsia="zh-CN"/>
              </w:rPr>
              <w:t xml:space="preserve">11  </w:t>
            </w:r>
            <w:r>
              <w:rPr>
                <w:rFonts w:hint="default" w:ascii="Times New Roman" w:hAnsi="Times New Roman" w:cs="Times New Roman"/>
                <w:b/>
                <w:bCs/>
                <w:color w:val="auto"/>
                <w:kern w:val="0"/>
                <w:sz w:val="24"/>
                <w:highlight w:val="none"/>
                <w:lang w:val="en-US" w:eastAsia="zh-CN"/>
              </w:rPr>
              <w:t>与《</w:t>
            </w:r>
            <w:r>
              <w:rPr>
                <w:rFonts w:hint="eastAsia" w:ascii="Times New Roman" w:hAnsi="Times New Roman" w:cs="Times New Roman"/>
                <w:b/>
                <w:bCs/>
                <w:color w:val="auto"/>
                <w:kern w:val="0"/>
                <w:sz w:val="24"/>
                <w:highlight w:val="none"/>
                <w:lang w:val="en-US" w:eastAsia="zh-CN"/>
              </w:rPr>
              <w:t>空气质量持续改善行动计划</w:t>
            </w:r>
            <w:r>
              <w:rPr>
                <w:rFonts w:hint="default" w:ascii="Times New Roman" w:hAnsi="Times New Roman" w:cs="Times New Roman"/>
                <w:b/>
                <w:bCs/>
                <w:color w:val="auto"/>
                <w:kern w:val="0"/>
                <w:sz w:val="24"/>
                <w:highlight w:val="none"/>
                <w:lang w:val="en-US" w:eastAsia="zh-CN"/>
              </w:rPr>
              <w:t>》的符合性分析</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3"/>
              <w:gridCol w:w="3128"/>
              <w:gridCol w:w="2750"/>
              <w:gridCol w:w="863"/>
            </w:tblGrid>
            <w:tr w14:paraId="5CD24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717" w:type="pct"/>
                  <w:gridSpan w:val="2"/>
                  <w:noWrap w:val="0"/>
                  <w:vAlign w:val="center"/>
                </w:tcPr>
                <w:p w14:paraId="324CCC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
                      <w:color w:val="auto"/>
                      <w:sz w:val="21"/>
                      <w:szCs w:val="21"/>
                      <w:lang w:eastAsia="zh-CN"/>
                    </w:rPr>
                    <w:t>文件内容</w:t>
                  </w:r>
                </w:p>
              </w:tc>
              <w:tc>
                <w:tcPr>
                  <w:tcW w:w="1737" w:type="pct"/>
                  <w:noWrap w:val="0"/>
                  <w:vAlign w:val="center"/>
                </w:tcPr>
                <w:p w14:paraId="07754C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
                      <w:color w:val="auto"/>
                      <w:sz w:val="21"/>
                      <w:szCs w:val="21"/>
                    </w:rPr>
                    <w:t>相符性分析</w:t>
                  </w:r>
                </w:p>
              </w:tc>
              <w:tc>
                <w:tcPr>
                  <w:tcW w:w="545" w:type="pct"/>
                  <w:noWrap w:val="0"/>
                  <w:vAlign w:val="center"/>
                </w:tcPr>
                <w:p w14:paraId="607852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
                      <w:color w:val="auto"/>
                      <w:sz w:val="21"/>
                      <w:szCs w:val="21"/>
                    </w:rPr>
                    <w:t>符合性</w:t>
                  </w:r>
                </w:p>
              </w:tc>
            </w:tr>
            <w:tr w14:paraId="086F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1" w:type="pct"/>
                  <w:vMerge w:val="restart"/>
                  <w:noWrap w:val="0"/>
                  <w:vAlign w:val="center"/>
                </w:tcPr>
                <w:p w14:paraId="4EE244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优化产业结构</w:t>
                  </w:r>
                  <w:r>
                    <w:rPr>
                      <w:rFonts w:hint="eastAsia" w:ascii="Times New Roman" w:hAnsi="Times New Roman" w:eastAsia="宋体" w:cs="Times New Roman"/>
                      <w:bCs/>
                      <w:color w:val="auto"/>
                      <w:sz w:val="21"/>
                      <w:szCs w:val="21"/>
                      <w:lang w:val="en-US" w:eastAsia="zh-CN"/>
                    </w:rPr>
                    <w:t>，</w:t>
                  </w:r>
                  <w:r>
                    <w:rPr>
                      <w:rFonts w:hint="default" w:ascii="Times New Roman" w:hAnsi="Times New Roman" w:eastAsia="宋体" w:cs="Times New Roman"/>
                      <w:bCs/>
                      <w:color w:val="auto"/>
                      <w:sz w:val="21"/>
                      <w:szCs w:val="21"/>
                      <w:lang w:val="en-US" w:eastAsia="zh-CN"/>
                    </w:rPr>
                    <w:t>促进产业产品绿色升级</w:t>
                  </w:r>
                  <w:r>
                    <w:rPr>
                      <w:rFonts w:hint="eastAsia" w:ascii="Times New Roman" w:hAnsi="Times New Roman" w:eastAsia="宋体" w:cs="Times New Roman"/>
                      <w:bCs/>
                      <w:color w:val="auto"/>
                      <w:sz w:val="21"/>
                      <w:szCs w:val="21"/>
                      <w:lang w:val="en-US" w:eastAsia="zh-CN"/>
                    </w:rPr>
                    <w:t>。</w:t>
                  </w:r>
                </w:p>
              </w:tc>
              <w:tc>
                <w:tcPr>
                  <w:tcW w:w="1976" w:type="pct"/>
                  <w:noWrap w:val="0"/>
                  <w:vAlign w:val="center"/>
                </w:tcPr>
                <w:p w14:paraId="45537B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坚决遏制高耗能、高排放、低水平项目盲目上马。新改扩建项目严格落实国家产业规划、产业政策、生态环境分区管控方案、规划环评、项目环评、节能审查、产能置换、重点污染物总量控制、污染物排放区域削减、碳排放达峰目标等相关要求，原则上采用清洁运输方式。涉及产能置换的项目，被置换产能及其配套设施关停后，新建项目方可投产。</w:t>
                  </w:r>
                </w:p>
              </w:tc>
              <w:tc>
                <w:tcPr>
                  <w:tcW w:w="1737" w:type="pct"/>
                  <w:noWrap w:val="0"/>
                  <w:vAlign w:val="center"/>
                </w:tcPr>
                <w:p w14:paraId="4C9000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对照《产业结构调整指导目录（2024年本）》，项目不属于其中所列的鼓励类，也不涉及限制类、淘汰类生产设备及工艺的使用、落后产品的生产，因此视为允许类项目，符合国家相关产业政策；项目不属于高耗能、高排放的行业，现已取得了玉溪市红塔区发展和改革局核发的投资项目备案证，项目的建设符合国家及地方现行产业政策</w:t>
                  </w:r>
                  <w:r>
                    <w:rPr>
                      <w:rFonts w:hint="default" w:ascii="Times New Roman" w:hAnsi="Times New Roman" w:eastAsia="宋体" w:cs="Times New Roman"/>
                      <w:b w:val="0"/>
                      <w:bCs/>
                      <w:color w:val="auto"/>
                      <w:sz w:val="21"/>
                      <w:szCs w:val="21"/>
                      <w:lang w:val="en-US" w:eastAsia="zh-CN"/>
                    </w:rPr>
                    <w:t>。</w:t>
                  </w:r>
                </w:p>
              </w:tc>
              <w:tc>
                <w:tcPr>
                  <w:tcW w:w="545" w:type="pct"/>
                  <w:noWrap w:val="0"/>
                  <w:vAlign w:val="center"/>
                </w:tcPr>
                <w:p w14:paraId="376678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符合</w:t>
                  </w:r>
                </w:p>
              </w:tc>
            </w:tr>
            <w:tr w14:paraId="37215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1" w:type="pct"/>
                  <w:vMerge w:val="continue"/>
                  <w:noWrap w:val="0"/>
                  <w:vAlign w:val="center"/>
                </w:tcPr>
                <w:p w14:paraId="18EA3B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p>
              </w:tc>
              <w:tc>
                <w:tcPr>
                  <w:tcW w:w="1976" w:type="pct"/>
                  <w:noWrap w:val="0"/>
                  <w:vAlign w:val="center"/>
                </w:tcPr>
                <w:p w14:paraId="5C6346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优化含VOCs原辅材料和产品结构。严格控制生产和使用高VOCs含量涂料、油墨、胶粘剂、清洗剂等建设项目，提高低（无）VOCs含量产品比重。实施源头替代工程，加大工业涂装、包装印刷和电子行业低（无）VOCs含量原辅材料替代力度。室外构筑物防护和城市道路交通标志推广使用低（无）VOCs含量涂料。在生产、销售、进口、使用等环节严格执行VOCs含量限值标准。</w:t>
                  </w:r>
                </w:p>
              </w:tc>
              <w:tc>
                <w:tcPr>
                  <w:tcW w:w="1737" w:type="pct"/>
                  <w:noWrap w:val="0"/>
                  <w:vAlign w:val="center"/>
                </w:tcPr>
                <w:p w14:paraId="192371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Cs/>
                      <w:color w:val="auto"/>
                      <w:sz w:val="21"/>
                      <w:szCs w:val="21"/>
                      <w:lang w:val="en-US" w:eastAsia="zh-CN"/>
                    </w:rPr>
                    <w:t>根据建设单位提供的资料，项目不涉及涂料、胶粘剂、清洗剂的使用，可有效从源头减少有机废气的产生</w:t>
                  </w:r>
                  <w:r>
                    <w:rPr>
                      <w:rFonts w:hint="eastAsia" w:ascii="Times New Roman" w:hAnsi="Times New Roman" w:eastAsia="宋体" w:cs="Times New Roman"/>
                      <w:bCs/>
                      <w:color w:val="auto"/>
                      <w:sz w:val="21"/>
                      <w:szCs w:val="21"/>
                      <w:lang w:val="en-US" w:eastAsia="zh-CN"/>
                    </w:rPr>
                    <w:t>，使用的油墨为水性油墨，VOCS含量较低</w:t>
                  </w:r>
                  <w:r>
                    <w:rPr>
                      <w:rFonts w:hint="default" w:ascii="Times New Roman" w:hAnsi="Times New Roman" w:eastAsia="宋体" w:cs="Times New Roman"/>
                      <w:bCs/>
                      <w:color w:val="auto"/>
                      <w:sz w:val="21"/>
                      <w:szCs w:val="21"/>
                      <w:lang w:val="en-US" w:eastAsia="zh-CN"/>
                    </w:rPr>
                    <w:t>。本着“应收尽收”的原则，运营期对生产过程中产生的各有机废气均进行收集和治理，经治理后的废气能做到达标排放，有效降低了对外环境的影响。</w:t>
                  </w:r>
                </w:p>
              </w:tc>
              <w:tc>
                <w:tcPr>
                  <w:tcW w:w="545" w:type="pct"/>
                  <w:noWrap w:val="0"/>
                  <w:vAlign w:val="center"/>
                </w:tcPr>
                <w:p w14:paraId="316854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符合</w:t>
                  </w:r>
                </w:p>
              </w:tc>
            </w:tr>
          </w:tbl>
          <w:p w14:paraId="5B01D639">
            <w:pPr>
              <w:pStyle w:val="77"/>
              <w:numPr>
                <w:ilvl w:val="0"/>
                <w:numId w:val="0"/>
              </w:numPr>
              <w:ind w:firstLine="480" w:firstLineChars="200"/>
              <w:rPr>
                <w:rFonts w:hint="eastAsia" w:ascii="Times New Roman" w:hAnsi="Times New Roman" w:cs="Times New Roman"/>
                <w:color w:val="auto"/>
                <w:kern w:val="2"/>
                <w:sz w:val="24"/>
                <w:szCs w:val="24"/>
                <w:lang w:val="en-US" w:eastAsia="zh-CN" w:bidi="ar"/>
              </w:rPr>
            </w:pPr>
            <w:r>
              <w:rPr>
                <w:rFonts w:hint="eastAsia" w:ascii="Times New Roman" w:hAnsi="Times New Roman" w:cs="Times New Roman"/>
                <w:color w:val="auto"/>
                <w:kern w:val="2"/>
                <w:sz w:val="24"/>
                <w:szCs w:val="24"/>
                <w:lang w:val="en-US" w:eastAsia="zh-CN" w:bidi="ar"/>
              </w:rPr>
              <w:t>根据上表可知，本项目的建设符合《空气质量持续改善行动计划》中的相关要求。</w:t>
            </w:r>
          </w:p>
          <w:p w14:paraId="65A8C8E9">
            <w:pPr>
              <w:pStyle w:val="77"/>
              <w:numPr>
                <w:ilvl w:val="0"/>
                <w:numId w:val="0"/>
              </w:numPr>
              <w:ind w:firstLine="480" w:firstLineChars="200"/>
              <w:rPr>
                <w:rFonts w:hint="default" w:ascii="Times New Roman" w:hAnsi="Times New Roman" w:cs="Times New Roman"/>
                <w:color w:val="auto"/>
                <w:kern w:val="2"/>
                <w:sz w:val="24"/>
                <w:szCs w:val="24"/>
                <w:lang w:val="en-US" w:eastAsia="zh-CN" w:bidi="ar"/>
              </w:rPr>
            </w:pPr>
            <w:r>
              <w:rPr>
                <w:rFonts w:hint="eastAsia" w:ascii="Times New Roman" w:hAnsi="Times New Roman" w:cs="Times New Roman"/>
                <w:color w:val="auto"/>
                <w:kern w:val="2"/>
                <w:sz w:val="24"/>
                <w:szCs w:val="24"/>
                <w:lang w:val="en-US" w:eastAsia="zh-CN" w:bidi="ar"/>
              </w:rPr>
              <w:t>8</w:t>
            </w:r>
            <w:r>
              <w:rPr>
                <w:rFonts w:hint="default" w:ascii="Times New Roman" w:hAnsi="Times New Roman" w:cs="Times New Roman"/>
                <w:color w:val="auto"/>
                <w:kern w:val="2"/>
                <w:sz w:val="24"/>
                <w:szCs w:val="24"/>
                <w:lang w:val="en-US" w:eastAsia="zh-CN" w:bidi="ar"/>
              </w:rPr>
              <w:t>、项目与</w:t>
            </w:r>
            <w:r>
              <w:rPr>
                <w:rFonts w:hint="eastAsia" w:ascii="Times New Roman" w:hAnsi="Times New Roman" w:cs="Times New Roman"/>
                <w:color w:val="auto"/>
                <w:kern w:val="2"/>
                <w:sz w:val="24"/>
                <w:szCs w:val="24"/>
                <w:lang w:val="en-US" w:eastAsia="zh-CN" w:bidi="ar"/>
              </w:rPr>
              <w:t>《</w:t>
            </w:r>
            <w:r>
              <w:rPr>
                <w:rFonts w:hint="default" w:ascii="Times New Roman" w:hAnsi="Times New Roman" w:cs="Times New Roman"/>
                <w:color w:val="auto"/>
                <w:kern w:val="2"/>
                <w:sz w:val="24"/>
                <w:szCs w:val="24"/>
                <w:lang w:val="en-US" w:eastAsia="zh-CN" w:bidi="ar"/>
              </w:rPr>
              <w:t>中共云南省委 云南省人民政府关于全面加强生态环境保护坚决打好污染防治攻坚战的实施意见</w:t>
            </w:r>
            <w:r>
              <w:rPr>
                <w:rFonts w:hint="eastAsia" w:ascii="Times New Roman" w:hAnsi="Times New Roman" w:cs="Times New Roman"/>
                <w:color w:val="auto"/>
                <w:kern w:val="2"/>
                <w:sz w:val="24"/>
                <w:szCs w:val="24"/>
                <w:lang w:val="en-US" w:eastAsia="zh-CN" w:bidi="ar"/>
              </w:rPr>
              <w:t>》</w:t>
            </w:r>
            <w:r>
              <w:rPr>
                <w:rFonts w:hint="default" w:ascii="Times New Roman" w:hAnsi="Times New Roman" w:cs="Times New Roman"/>
                <w:color w:val="auto"/>
                <w:kern w:val="2"/>
                <w:sz w:val="24"/>
                <w:szCs w:val="24"/>
                <w:lang w:val="en-US" w:eastAsia="zh-CN" w:bidi="ar"/>
              </w:rPr>
              <w:t>符合性分析</w:t>
            </w:r>
          </w:p>
          <w:p w14:paraId="6615DA57">
            <w:pPr>
              <w:autoSpaceDE w:val="0"/>
              <w:autoSpaceDN w:val="0"/>
              <w:adjustRightInd w:val="0"/>
              <w:snapToGrid w:val="0"/>
              <w:spacing w:line="360" w:lineRule="auto"/>
              <w:jc w:val="center"/>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lang w:val="en-US" w:eastAsia="zh-CN"/>
              </w:rPr>
              <w:t>表1-</w:t>
            </w:r>
            <w:r>
              <w:rPr>
                <w:rFonts w:hint="eastAsia" w:ascii="Times New Roman" w:hAnsi="Times New Roman" w:cs="Times New Roman"/>
                <w:b/>
                <w:bCs/>
                <w:color w:val="auto"/>
                <w:kern w:val="0"/>
                <w:sz w:val="24"/>
                <w:highlight w:val="none"/>
                <w:lang w:val="en-US" w:eastAsia="zh-CN"/>
              </w:rPr>
              <w:t xml:space="preserve">12  </w:t>
            </w:r>
            <w:r>
              <w:rPr>
                <w:rFonts w:hint="default" w:ascii="Times New Roman" w:hAnsi="Times New Roman" w:cs="Times New Roman"/>
                <w:b/>
                <w:bCs/>
                <w:color w:val="auto"/>
                <w:kern w:val="0"/>
                <w:sz w:val="24"/>
                <w:highlight w:val="none"/>
                <w:lang w:val="en-US" w:eastAsia="zh-CN"/>
              </w:rPr>
              <w:t>与《</w:t>
            </w:r>
            <w:r>
              <w:rPr>
                <w:rFonts w:hint="eastAsia" w:ascii="Times New Roman" w:hAnsi="Times New Roman" w:cs="Times New Roman"/>
                <w:b/>
                <w:bCs/>
                <w:color w:val="auto"/>
                <w:kern w:val="0"/>
                <w:sz w:val="24"/>
                <w:highlight w:val="none"/>
                <w:lang w:val="en-US" w:eastAsia="zh-CN"/>
              </w:rPr>
              <w:t>中共云南省委 云南省人民政府关于全面加强生态环境保护坚决打好污染防治攻坚战的实施意见</w:t>
            </w:r>
            <w:r>
              <w:rPr>
                <w:rFonts w:hint="default" w:ascii="Times New Roman" w:hAnsi="Times New Roman" w:cs="Times New Roman"/>
                <w:b/>
                <w:bCs/>
                <w:color w:val="auto"/>
                <w:kern w:val="0"/>
                <w:sz w:val="24"/>
                <w:highlight w:val="none"/>
                <w:lang w:val="en-US" w:eastAsia="zh-CN"/>
              </w:rPr>
              <w:t>》的符合性分析</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5"/>
              <w:gridCol w:w="3088"/>
              <w:gridCol w:w="901"/>
            </w:tblGrid>
            <w:tr w14:paraId="6172C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9" w:type="pct"/>
                  <w:noWrap w:val="0"/>
                  <w:vAlign w:val="center"/>
                </w:tcPr>
                <w:p w14:paraId="65F174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
                      <w:color w:val="auto"/>
                      <w:sz w:val="21"/>
                      <w:szCs w:val="21"/>
                      <w:lang w:eastAsia="zh-CN"/>
                    </w:rPr>
                    <w:t>文件内容</w:t>
                  </w:r>
                </w:p>
              </w:tc>
              <w:tc>
                <w:tcPr>
                  <w:tcW w:w="1950" w:type="pct"/>
                  <w:noWrap w:val="0"/>
                  <w:vAlign w:val="center"/>
                </w:tcPr>
                <w:p w14:paraId="36DF94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
                      <w:color w:val="auto"/>
                      <w:sz w:val="21"/>
                      <w:szCs w:val="21"/>
                    </w:rPr>
                    <w:t>相符性分析</w:t>
                  </w:r>
                </w:p>
              </w:tc>
              <w:tc>
                <w:tcPr>
                  <w:tcW w:w="569" w:type="pct"/>
                  <w:noWrap w:val="0"/>
                  <w:vAlign w:val="center"/>
                </w:tcPr>
                <w:p w14:paraId="05640C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
                      <w:color w:val="auto"/>
                      <w:sz w:val="21"/>
                      <w:szCs w:val="21"/>
                    </w:rPr>
                    <w:t>符合性</w:t>
                  </w:r>
                </w:p>
              </w:tc>
            </w:tr>
            <w:tr w14:paraId="354A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9" w:type="pct"/>
                  <w:noWrap w:val="0"/>
                  <w:vAlign w:val="center"/>
                </w:tcPr>
                <w:p w14:paraId="279256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加强工业企业大气污染综合治理。到2019年年底，基本完成“散乱污”企业及集群综合整治。强化工业企业无组织排放管理，加快火电、工业硅等大气污染重点行业的脱硫、脱硝技术改造。实施工业污染源全面达标排放计划，全面实施燃煤电厂超低排放改造和工业硅烟气治理。到2020年，完成火电企业燃煤机组超低排放改造任务，完成58户工业硅冶炼企业烟气脱硫工程建设。大力推进石化、工业涂装、汽车维修等重点行业挥发性有机物综合整治，严格执行有机溶剂产品有害物质限量标准。</w:t>
                  </w:r>
                </w:p>
              </w:tc>
              <w:tc>
                <w:tcPr>
                  <w:tcW w:w="1950" w:type="pct"/>
                  <w:noWrap w:val="0"/>
                  <w:vAlign w:val="center"/>
                </w:tcPr>
                <w:p w14:paraId="766668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本项目外购的原料为密封袋装，挤出机采用密闭式，项目生产过程中产生的塑料废气（以非甲烷总烃计）经包围型集气罩（含软帘）收集，经管道引入1套废气处理设施（活性炭吸附浓缩+CO处理工艺）（TA001）进行处理，处理后通过1根20m高排气筒排放（DA001），印刷废气经包围型集气罩（含软帘）收集，经管道引入1套废气处理设施（二级活性炭吸附）（TA002）进行处理，处理后通过1根20m高排气筒排放（DA002）。根据污染物源强核算，本项目DA001及DA002排放口均能够做到达标排放。</w:t>
                  </w:r>
                  <w:r>
                    <w:rPr>
                      <w:rFonts w:hint="default" w:ascii="Times New Roman" w:hAnsi="Times New Roman" w:eastAsia="宋体" w:cs="Times New Roman"/>
                      <w:color w:val="auto"/>
                      <w:sz w:val="21"/>
                      <w:szCs w:val="21"/>
                      <w:lang w:val="en-US" w:eastAsia="zh-CN"/>
                    </w:rPr>
                    <w:t>项目各生产工序均在密闭的车间内进行，通过加强车间通风等措施，无组织废气对外环境的影响不大。综上，</w:t>
                  </w:r>
                  <w:r>
                    <w:rPr>
                      <w:rFonts w:hint="default" w:ascii="Times New Roman" w:hAnsi="Times New Roman" w:eastAsia="宋体" w:cs="Times New Roman"/>
                      <w:b w:val="0"/>
                      <w:bCs/>
                      <w:color w:val="auto"/>
                      <w:sz w:val="21"/>
                      <w:szCs w:val="21"/>
                      <w:lang w:val="en-US" w:eastAsia="zh-CN"/>
                    </w:rPr>
                    <w:t>本项目的生产规模较小，污染物的产生量不大，项目的建设对周边大气环境的影响在可接受范围内。</w:t>
                  </w:r>
                </w:p>
              </w:tc>
              <w:tc>
                <w:tcPr>
                  <w:tcW w:w="569" w:type="pct"/>
                  <w:noWrap w:val="0"/>
                  <w:vAlign w:val="center"/>
                </w:tcPr>
                <w:p w14:paraId="755631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符合</w:t>
                  </w:r>
                </w:p>
              </w:tc>
            </w:tr>
            <w:tr w14:paraId="72B6C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9" w:type="pct"/>
                  <w:noWrap w:val="0"/>
                  <w:vAlign w:val="center"/>
                </w:tcPr>
                <w:p w14:paraId="701DEC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打好固体废物污染治理攻坚战。深入推进长江经济带固体废物大排查，重点开展工业固体废物堆存场所排查整治，调查、评估重点工业行业危险废物产生、贮存、利用、处置情况。严格执行危险废物经营许可、转移等管理制度，逐步建立信息化监管体系，提升危险废物处理处置能力，启动全过程监管。严厉打击危险废物非法转移、倾倒等违法犯罪活动。鼓励“无废城市”试点，推动固体废物资源化利用。加强医疗废物和有毒有害化学品监管。</w:t>
                  </w:r>
                </w:p>
              </w:tc>
              <w:tc>
                <w:tcPr>
                  <w:tcW w:w="1950" w:type="pct"/>
                  <w:noWrap w:val="0"/>
                  <w:vAlign w:val="center"/>
                </w:tcPr>
                <w:p w14:paraId="273F0B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固体废物主要分为生活垃圾、化粪池污泥、一般工业固废、危险废物。生活垃圾经设置的定点垃圾桶收集后定期，交由当地环卫部门清运处置；化粪池污泥委托有化粪池清掏资质的专业单位定期清掏处置；生产过程中产生的不合格品、边角料收集后回</w:t>
                  </w:r>
                  <w:r>
                    <w:rPr>
                      <w:rFonts w:hint="eastAsia" w:ascii="Times New Roman" w:hAnsi="Times New Roman" w:eastAsia="宋体" w:cs="Times New Roman"/>
                      <w:color w:val="auto"/>
                      <w:sz w:val="21"/>
                      <w:szCs w:val="21"/>
                      <w:lang w:val="en-US" w:eastAsia="zh-CN"/>
                    </w:rPr>
                    <w:t>用作</w:t>
                  </w:r>
                  <w:r>
                    <w:rPr>
                      <w:rFonts w:hint="default" w:ascii="Times New Roman" w:hAnsi="Times New Roman" w:eastAsia="宋体" w:cs="Times New Roman"/>
                      <w:color w:val="auto"/>
                      <w:sz w:val="21"/>
                      <w:szCs w:val="21"/>
                      <w:lang w:val="en-US" w:eastAsia="zh-CN"/>
                    </w:rPr>
                    <w:t>生产原料，废弃的包装物收集后定期外售至当地废品回收站进行资源化利用；</w:t>
                  </w:r>
                  <w:r>
                    <w:rPr>
                      <w:rFonts w:hint="eastAsia" w:ascii="Times New Roman" w:hAnsi="Times New Roman" w:eastAsia="宋体" w:cs="Times New Roman"/>
                      <w:color w:val="auto"/>
                      <w:sz w:val="21"/>
                      <w:szCs w:val="21"/>
                      <w:lang w:val="en-US" w:eastAsia="zh-CN"/>
                    </w:rPr>
                    <w:t>废催化剂、</w:t>
                  </w:r>
                  <w:r>
                    <w:rPr>
                      <w:rFonts w:hint="default" w:ascii="Times New Roman" w:hAnsi="Times New Roman" w:eastAsia="宋体" w:cs="Times New Roman"/>
                      <w:color w:val="auto"/>
                      <w:sz w:val="21"/>
                      <w:szCs w:val="21"/>
                      <w:lang w:val="en-US" w:eastAsia="zh-CN"/>
                    </w:rPr>
                    <w:t>废活性炭</w:t>
                  </w:r>
                  <w:r>
                    <w:rPr>
                      <w:rFonts w:hint="eastAsia" w:ascii="Times New Roman" w:hAnsi="Times New Roman" w:eastAsia="宋体" w:cs="Times New Roman"/>
                      <w:color w:val="auto"/>
                      <w:sz w:val="21"/>
                      <w:szCs w:val="21"/>
                      <w:lang w:val="en-US" w:eastAsia="zh-CN"/>
                    </w:rPr>
                    <w:t>等危险废物</w:t>
                  </w:r>
                  <w:r>
                    <w:rPr>
                      <w:rFonts w:hint="default" w:ascii="Times New Roman" w:hAnsi="Times New Roman" w:eastAsia="宋体" w:cs="Times New Roman"/>
                      <w:color w:val="auto"/>
                      <w:sz w:val="21"/>
                      <w:szCs w:val="21"/>
                      <w:lang w:val="en-US" w:eastAsia="zh-CN"/>
                    </w:rPr>
                    <w:t>收集后分区暂存于危险废物</w:t>
                  </w:r>
                  <w:r>
                    <w:rPr>
                      <w:rFonts w:hint="eastAsia" w:ascii="Times New Roman" w:hAnsi="Times New Roman" w:eastAsia="宋体" w:cs="Times New Roman"/>
                      <w:color w:val="auto"/>
                      <w:sz w:val="21"/>
                      <w:szCs w:val="21"/>
                      <w:lang w:val="en-US" w:eastAsia="zh-CN"/>
                    </w:rPr>
                    <w:t>暂存间</w:t>
                  </w:r>
                  <w:r>
                    <w:rPr>
                      <w:rFonts w:hint="default" w:ascii="Times New Roman" w:hAnsi="Times New Roman" w:eastAsia="宋体" w:cs="Times New Roman"/>
                      <w:color w:val="auto"/>
                      <w:sz w:val="21"/>
                      <w:szCs w:val="21"/>
                      <w:lang w:val="en-US" w:eastAsia="zh-CN"/>
                    </w:rPr>
                    <w:t>内，定期委托有资质的单位清运处置。综上，项目区产生的各类固体废物均得到了妥善地收集、处置，处置率100%。</w:t>
                  </w:r>
                </w:p>
              </w:tc>
              <w:tc>
                <w:tcPr>
                  <w:tcW w:w="569" w:type="pct"/>
                  <w:noWrap w:val="0"/>
                  <w:vAlign w:val="center"/>
                </w:tcPr>
                <w:p w14:paraId="59E5AA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符合</w:t>
                  </w:r>
                </w:p>
              </w:tc>
            </w:tr>
          </w:tbl>
          <w:p w14:paraId="20854FC1">
            <w:pPr>
              <w:pStyle w:val="77"/>
              <w:numPr>
                <w:ilvl w:val="0"/>
                <w:numId w:val="0"/>
              </w:numPr>
              <w:ind w:firstLine="480" w:firstLineChars="200"/>
              <w:rPr>
                <w:rFonts w:hint="eastAsia" w:ascii="Times New Roman" w:hAnsi="Times New Roman" w:cs="Times New Roman"/>
                <w:color w:val="auto"/>
                <w:kern w:val="2"/>
                <w:sz w:val="24"/>
                <w:szCs w:val="24"/>
                <w:lang w:val="en-US" w:eastAsia="zh-CN" w:bidi="ar"/>
              </w:rPr>
            </w:pPr>
            <w:r>
              <w:rPr>
                <w:rFonts w:hint="eastAsia" w:ascii="Times New Roman" w:hAnsi="Times New Roman" w:cs="Times New Roman"/>
                <w:color w:val="auto"/>
                <w:kern w:val="2"/>
                <w:sz w:val="24"/>
                <w:szCs w:val="24"/>
                <w:lang w:val="en-US" w:eastAsia="zh-CN" w:bidi="ar"/>
              </w:rPr>
              <w:t>根据上表可知，本项目的建设符合《中共云南省委 云南省人民政府关于全面加强生态环境保护坚决打好污染防治攻坚战的实施意见》中的相关要求。</w:t>
            </w:r>
          </w:p>
          <w:p w14:paraId="6AF2DDA2">
            <w:pPr>
              <w:pStyle w:val="77"/>
              <w:numPr>
                <w:ilvl w:val="0"/>
                <w:numId w:val="0"/>
              </w:numPr>
              <w:ind w:firstLine="480" w:firstLineChars="200"/>
              <w:rPr>
                <w:rFonts w:hint="default" w:ascii="Times New Roman" w:hAnsi="Times New Roman" w:cs="Times New Roman"/>
                <w:color w:val="auto"/>
                <w:kern w:val="2"/>
                <w:sz w:val="24"/>
                <w:szCs w:val="24"/>
                <w:lang w:val="en-US" w:eastAsia="zh-CN" w:bidi="ar"/>
              </w:rPr>
            </w:pPr>
            <w:r>
              <w:rPr>
                <w:rFonts w:hint="eastAsia" w:ascii="Times New Roman" w:hAnsi="Times New Roman" w:cs="Times New Roman"/>
                <w:color w:val="auto"/>
                <w:kern w:val="2"/>
                <w:sz w:val="24"/>
                <w:szCs w:val="24"/>
                <w:lang w:val="en-US" w:eastAsia="zh-CN" w:bidi="ar"/>
              </w:rPr>
              <w:t>9</w:t>
            </w:r>
            <w:r>
              <w:rPr>
                <w:rFonts w:hint="default" w:ascii="Times New Roman" w:hAnsi="Times New Roman" w:cs="Times New Roman"/>
                <w:color w:val="auto"/>
                <w:kern w:val="2"/>
                <w:sz w:val="24"/>
                <w:szCs w:val="24"/>
                <w:lang w:val="en-US" w:eastAsia="zh-CN" w:bidi="ar"/>
              </w:rPr>
              <w:t>、项目与《</w:t>
            </w:r>
            <w:r>
              <w:rPr>
                <w:rFonts w:hint="eastAsia" w:ascii="Times New Roman" w:hAnsi="Times New Roman" w:cs="Times New Roman"/>
                <w:color w:val="auto"/>
                <w:kern w:val="2"/>
                <w:sz w:val="24"/>
                <w:szCs w:val="24"/>
                <w:lang w:val="en-US" w:eastAsia="zh-CN" w:bidi="ar"/>
              </w:rPr>
              <w:t>挥发性有机物无组织控制标准</w:t>
            </w:r>
            <w:r>
              <w:rPr>
                <w:rFonts w:hint="default" w:ascii="Times New Roman" w:hAnsi="Times New Roman" w:cs="Times New Roman"/>
                <w:color w:val="auto"/>
                <w:kern w:val="2"/>
                <w:sz w:val="24"/>
                <w:szCs w:val="24"/>
                <w:lang w:val="en-US" w:eastAsia="zh-CN" w:bidi="ar"/>
              </w:rPr>
              <w:t>》</w:t>
            </w:r>
            <w:r>
              <w:rPr>
                <w:rFonts w:hint="eastAsia" w:ascii="Times New Roman" w:hAnsi="Times New Roman" w:cs="Times New Roman"/>
                <w:color w:val="auto"/>
                <w:kern w:val="2"/>
                <w:sz w:val="24"/>
                <w:szCs w:val="24"/>
                <w:lang w:val="en-US" w:eastAsia="zh-CN" w:bidi="ar"/>
              </w:rPr>
              <w:t>（GB37822-2019）</w:t>
            </w:r>
            <w:r>
              <w:rPr>
                <w:rFonts w:hint="default" w:ascii="Times New Roman" w:hAnsi="Times New Roman" w:cs="Times New Roman"/>
                <w:color w:val="auto"/>
                <w:kern w:val="2"/>
                <w:sz w:val="24"/>
                <w:szCs w:val="24"/>
                <w:lang w:val="en-US" w:eastAsia="zh-CN" w:bidi="ar"/>
              </w:rPr>
              <w:t>的符合性分析</w:t>
            </w:r>
          </w:p>
          <w:p w14:paraId="4F3021E9">
            <w:pPr>
              <w:autoSpaceDE w:val="0"/>
              <w:autoSpaceDN w:val="0"/>
              <w:adjustRightInd w:val="0"/>
              <w:snapToGrid w:val="0"/>
              <w:spacing w:line="360" w:lineRule="auto"/>
              <w:jc w:val="center"/>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lang w:val="en-US" w:eastAsia="zh-CN"/>
              </w:rPr>
              <w:t>表1-</w:t>
            </w:r>
            <w:r>
              <w:rPr>
                <w:rFonts w:hint="eastAsia" w:ascii="Times New Roman" w:hAnsi="Times New Roman" w:cs="Times New Roman"/>
                <w:b/>
                <w:bCs/>
                <w:color w:val="auto"/>
                <w:kern w:val="0"/>
                <w:sz w:val="24"/>
                <w:highlight w:val="none"/>
                <w:lang w:val="en-US" w:eastAsia="zh-CN"/>
              </w:rPr>
              <w:t xml:space="preserve">13  </w:t>
            </w:r>
            <w:r>
              <w:rPr>
                <w:rFonts w:hint="default" w:ascii="Times New Roman" w:hAnsi="Times New Roman" w:cs="Times New Roman"/>
                <w:b/>
                <w:bCs/>
                <w:color w:val="auto"/>
                <w:kern w:val="0"/>
                <w:sz w:val="24"/>
                <w:highlight w:val="none"/>
                <w:lang w:val="en-US" w:eastAsia="zh-CN"/>
              </w:rPr>
              <w:t>与《</w:t>
            </w:r>
            <w:r>
              <w:rPr>
                <w:rFonts w:hint="eastAsia" w:ascii="Times New Roman" w:hAnsi="Times New Roman" w:cs="Times New Roman"/>
                <w:b/>
                <w:bCs/>
                <w:color w:val="auto"/>
                <w:kern w:val="0"/>
                <w:sz w:val="24"/>
                <w:highlight w:val="none"/>
                <w:lang w:val="en-US" w:eastAsia="zh-CN"/>
              </w:rPr>
              <w:t>挥发性有机物无组织控制标准</w:t>
            </w:r>
            <w:r>
              <w:rPr>
                <w:rFonts w:hint="default" w:ascii="Times New Roman" w:hAnsi="Times New Roman" w:cs="Times New Roman"/>
                <w:b/>
                <w:bCs/>
                <w:color w:val="auto"/>
                <w:kern w:val="0"/>
                <w:sz w:val="24"/>
                <w:highlight w:val="none"/>
                <w:lang w:val="en-US" w:eastAsia="zh-CN"/>
              </w:rPr>
              <w:t>》的符合性分析表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2690"/>
              <w:gridCol w:w="3029"/>
              <w:gridCol w:w="936"/>
            </w:tblGrid>
            <w:tr w14:paraId="3731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5" w:type="pct"/>
                  <w:gridSpan w:val="2"/>
                  <w:noWrap w:val="0"/>
                  <w:vAlign w:val="center"/>
                </w:tcPr>
                <w:p w14:paraId="7A7933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
                      <w:color w:val="auto"/>
                      <w:sz w:val="21"/>
                      <w:szCs w:val="21"/>
                      <w:lang w:eastAsia="zh-CN"/>
                    </w:rPr>
                    <w:t>标准要求</w:t>
                  </w:r>
                </w:p>
              </w:tc>
              <w:tc>
                <w:tcPr>
                  <w:tcW w:w="1913" w:type="pct"/>
                  <w:noWrap w:val="0"/>
                  <w:vAlign w:val="center"/>
                </w:tcPr>
                <w:p w14:paraId="3A4AAF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
                      <w:color w:val="auto"/>
                      <w:sz w:val="21"/>
                      <w:szCs w:val="21"/>
                    </w:rPr>
                    <w:t>相符性分析</w:t>
                  </w:r>
                </w:p>
              </w:tc>
              <w:tc>
                <w:tcPr>
                  <w:tcW w:w="591" w:type="pct"/>
                  <w:noWrap w:val="0"/>
                  <w:vAlign w:val="center"/>
                </w:tcPr>
                <w:p w14:paraId="7DD5A8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
                      <w:color w:val="auto"/>
                      <w:sz w:val="21"/>
                      <w:szCs w:val="21"/>
                    </w:rPr>
                    <w:t>符合性</w:t>
                  </w:r>
                </w:p>
              </w:tc>
            </w:tr>
            <w:tr w14:paraId="37CF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pct"/>
                  <w:noWrap w:val="0"/>
                  <w:vAlign w:val="center"/>
                </w:tcPr>
                <w:p w14:paraId="71BD8F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VOCs物料储存无组织排放控制要求</w:t>
                  </w:r>
                </w:p>
              </w:tc>
              <w:tc>
                <w:tcPr>
                  <w:tcW w:w="1698" w:type="pct"/>
                  <w:noWrap w:val="0"/>
                  <w:vAlign w:val="center"/>
                </w:tcPr>
                <w:p w14:paraId="3C8862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VOCs物料应储存于密闭的容器、包装袋、储罐、储库、料仓中。盛装VOCs物料的容器或包装袋应存放于室内，或存放于设置雨棚、遮阳和防渗设施的专用场地。盛装VOCs物料的容器或包装袋在非取用状态时应加盖、封口，保持密闭。VOCs物料储罐应密封良好VOCs物料储库、仓库应为封闭式建筑，除人员、车辆、设备、物料进出时以及依法设立的排气筒、通风口外，门窗及其他开口（孔）部位应随时保持关闭状态。</w:t>
                  </w:r>
                </w:p>
              </w:tc>
              <w:tc>
                <w:tcPr>
                  <w:tcW w:w="1913" w:type="pct"/>
                  <w:noWrap w:val="0"/>
                  <w:vAlign w:val="center"/>
                </w:tcPr>
                <w:p w14:paraId="0C4FD3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本项目不涉及废旧再生塑料颗粒的使用，使用的PE颗粒均为市场上外购的新料，固体颗粒状，</w:t>
                  </w:r>
                  <w:r>
                    <w:rPr>
                      <w:rFonts w:hint="eastAsia" w:ascii="Times New Roman" w:hAnsi="Times New Roman" w:eastAsia="宋体" w:cs="Times New Roman"/>
                      <w:bCs/>
                      <w:color w:val="auto"/>
                      <w:sz w:val="21"/>
                      <w:szCs w:val="21"/>
                      <w:lang w:val="en-US" w:eastAsia="zh-CN"/>
                    </w:rPr>
                    <w:t>属于</w:t>
                  </w:r>
                  <w:r>
                    <w:rPr>
                      <w:rFonts w:hint="default" w:ascii="Times New Roman" w:hAnsi="Times New Roman" w:eastAsia="宋体" w:cs="Times New Roman"/>
                      <w:bCs/>
                      <w:color w:val="auto"/>
                      <w:sz w:val="21"/>
                      <w:szCs w:val="21"/>
                      <w:lang w:val="en-US" w:eastAsia="zh-CN"/>
                    </w:rPr>
                    <w:t>低VOCs含量、低反应活性的材料，采用编织袋密闭包装（规格为25kg/袋），外购进厂后堆存在生产车间内的原料堆场上；生产车间为密闭结构，地面均进行了硬化处理，可做到防雨、遮阳等。</w:t>
                  </w:r>
                </w:p>
              </w:tc>
              <w:tc>
                <w:tcPr>
                  <w:tcW w:w="591" w:type="pct"/>
                  <w:noWrap w:val="0"/>
                  <w:vAlign w:val="center"/>
                </w:tcPr>
                <w:p w14:paraId="08B6CC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符合</w:t>
                  </w:r>
                </w:p>
              </w:tc>
            </w:tr>
            <w:tr w14:paraId="002F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pct"/>
                  <w:noWrap w:val="0"/>
                  <w:vAlign w:val="center"/>
                </w:tcPr>
                <w:p w14:paraId="0ACFD7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含VOCs产品的使用过程</w:t>
                  </w:r>
                </w:p>
              </w:tc>
              <w:tc>
                <w:tcPr>
                  <w:tcW w:w="1698" w:type="pct"/>
                  <w:noWrap w:val="0"/>
                  <w:vAlign w:val="center"/>
                </w:tcPr>
                <w:p w14:paraId="655D6A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VOCs质量占比大于等于10%的含VOCs产品，其使用过程应采用密闭设备或在密闭空间内操作，废气应排至VOCs废气收集处理系统；无法封闭的，应采取局部气体收集措施，废气应排至VOCs废气收集处理系统。</w:t>
                  </w:r>
                </w:p>
              </w:tc>
              <w:tc>
                <w:tcPr>
                  <w:tcW w:w="1913" w:type="pct"/>
                  <w:noWrap w:val="0"/>
                  <w:vAlign w:val="center"/>
                </w:tcPr>
                <w:p w14:paraId="578764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项目使用的树脂属低VOCs含量、低反应活性的原料，运营期各生产工序均在密闭的车间内进行，本着应收尽收的原则，项目生产过程中产生的塑料废气（以非甲烷总烃计）经包围型集气罩（含软帘）收集，经管道引入1套废气处理设施（活性炭吸附浓缩+CO处理工艺）（TA001）进行处理，处理后通过1根20m高排气筒排放（DA001）。</w:t>
                  </w:r>
                </w:p>
              </w:tc>
              <w:tc>
                <w:tcPr>
                  <w:tcW w:w="591" w:type="pct"/>
                  <w:noWrap w:val="0"/>
                  <w:vAlign w:val="center"/>
                </w:tcPr>
                <w:p w14:paraId="68281A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符合</w:t>
                  </w:r>
                </w:p>
              </w:tc>
            </w:tr>
            <w:tr w14:paraId="207D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pct"/>
                  <w:noWrap w:val="0"/>
                  <w:vAlign w:val="center"/>
                </w:tcPr>
                <w:p w14:paraId="6A2900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VOCs排放控制要求</w:t>
                  </w:r>
                </w:p>
              </w:tc>
              <w:tc>
                <w:tcPr>
                  <w:tcW w:w="1698" w:type="pct"/>
                  <w:noWrap w:val="0"/>
                  <w:vAlign w:val="center"/>
                </w:tcPr>
                <w:p w14:paraId="162306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收集的废气中NMHC初始排放速率大于等于3kg/h时，应配置VOCs处理设施，处理效率不应低于80%。</w:t>
                  </w:r>
                </w:p>
              </w:tc>
              <w:tc>
                <w:tcPr>
                  <w:tcW w:w="1913" w:type="pct"/>
                  <w:noWrap w:val="0"/>
                  <w:vAlign w:val="center"/>
                </w:tcPr>
                <w:p w14:paraId="4B4637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经计算，项目NMHC</w:t>
                  </w:r>
                  <w:r>
                    <w:rPr>
                      <w:rFonts w:hint="eastAsia" w:cs="Times New Roman"/>
                      <w:bCs/>
                      <w:color w:val="auto"/>
                      <w:sz w:val="21"/>
                      <w:szCs w:val="21"/>
                      <w:highlight w:val="none"/>
                      <w:lang w:val="en-US" w:eastAsia="zh-CN"/>
                    </w:rPr>
                    <w:t>（塑料废气）</w:t>
                  </w:r>
                  <w:r>
                    <w:rPr>
                      <w:rFonts w:hint="default" w:ascii="Times New Roman" w:hAnsi="Times New Roman" w:eastAsia="宋体" w:cs="Times New Roman"/>
                      <w:bCs/>
                      <w:color w:val="auto"/>
                      <w:sz w:val="21"/>
                      <w:szCs w:val="21"/>
                      <w:highlight w:val="none"/>
                      <w:lang w:val="en-US" w:eastAsia="zh-CN"/>
                    </w:rPr>
                    <w:t>初始排放速率约为</w:t>
                  </w:r>
                  <w:r>
                    <w:rPr>
                      <w:rFonts w:hint="eastAsia" w:cs="Times New Roman"/>
                      <w:bCs/>
                      <w:color w:val="auto"/>
                      <w:sz w:val="21"/>
                      <w:szCs w:val="21"/>
                      <w:highlight w:val="none"/>
                      <w:lang w:val="en-US" w:eastAsia="zh-CN"/>
                    </w:rPr>
                    <w:t>10.73</w:t>
                  </w:r>
                  <w:r>
                    <w:rPr>
                      <w:rFonts w:hint="default" w:ascii="Times New Roman" w:hAnsi="Times New Roman" w:eastAsia="宋体" w:cs="Times New Roman"/>
                      <w:bCs/>
                      <w:color w:val="auto"/>
                      <w:sz w:val="21"/>
                      <w:szCs w:val="21"/>
                      <w:highlight w:val="none"/>
                      <w:lang w:val="en-US" w:eastAsia="zh-CN"/>
                    </w:rPr>
                    <w:t>kg/h，项目生产过程中产生的塑料废气（以非甲烷总烃计）经包围型集气罩（含软帘）收集，经管道引入1套废气处理设施（活性炭吸附浓缩+CO处理工艺）（TA001）进行处理，处理后通过1根20m高排气筒排放（DA001）</w:t>
                  </w:r>
                  <w:r>
                    <w:rPr>
                      <w:rFonts w:hint="eastAsia" w:cs="Times New Roman"/>
                      <w:bCs/>
                      <w:color w:val="auto"/>
                      <w:sz w:val="21"/>
                      <w:szCs w:val="21"/>
                      <w:highlight w:val="none"/>
                      <w:lang w:val="en-US" w:eastAsia="zh-CN"/>
                    </w:rPr>
                    <w:t>，</w:t>
                  </w:r>
                  <w:r>
                    <w:rPr>
                      <w:rFonts w:hint="default" w:ascii="Times New Roman" w:hAnsi="Times New Roman" w:eastAsia="宋体" w:cs="Times New Roman"/>
                      <w:bCs/>
                      <w:color w:val="auto"/>
                      <w:sz w:val="21"/>
                      <w:szCs w:val="21"/>
                      <w:highlight w:val="none"/>
                      <w:lang w:val="en-US" w:eastAsia="zh-CN"/>
                    </w:rPr>
                    <w:t>处理效率</w:t>
                  </w:r>
                  <w:r>
                    <w:rPr>
                      <w:rFonts w:hint="eastAsia" w:cs="Times New Roman"/>
                      <w:bCs/>
                      <w:color w:val="auto"/>
                      <w:sz w:val="21"/>
                      <w:szCs w:val="21"/>
                      <w:highlight w:val="none"/>
                      <w:lang w:val="en-US" w:eastAsia="zh-CN"/>
                    </w:rPr>
                    <w:t>为</w:t>
                  </w:r>
                  <w:r>
                    <w:rPr>
                      <w:rFonts w:hint="default" w:ascii="Times New Roman" w:hAnsi="Times New Roman" w:eastAsia="宋体" w:cs="Times New Roman"/>
                      <w:bCs/>
                      <w:color w:val="auto"/>
                      <w:sz w:val="21"/>
                      <w:szCs w:val="21"/>
                      <w:highlight w:val="none"/>
                      <w:lang w:val="en-US" w:eastAsia="zh-CN"/>
                    </w:rPr>
                    <w:t>80%</w:t>
                  </w:r>
                  <w:r>
                    <w:rPr>
                      <w:rFonts w:hint="eastAsia" w:cs="Times New Roman"/>
                      <w:bCs/>
                      <w:color w:val="auto"/>
                      <w:sz w:val="21"/>
                      <w:szCs w:val="21"/>
                      <w:highlight w:val="none"/>
                      <w:lang w:val="en-US" w:eastAsia="zh-CN"/>
                    </w:rPr>
                    <w:t>。项目</w:t>
                  </w:r>
                  <w:r>
                    <w:rPr>
                      <w:rFonts w:hint="default" w:ascii="Times New Roman" w:hAnsi="Times New Roman" w:eastAsia="宋体" w:cs="Times New Roman"/>
                      <w:bCs/>
                      <w:color w:val="auto"/>
                      <w:sz w:val="21"/>
                      <w:szCs w:val="21"/>
                      <w:highlight w:val="none"/>
                      <w:lang w:val="en-US" w:eastAsia="zh-CN"/>
                    </w:rPr>
                    <w:t>各有机废气产生的环节</w:t>
                  </w:r>
                  <w:r>
                    <w:rPr>
                      <w:rFonts w:hint="eastAsia" w:cs="Times New Roman"/>
                      <w:bCs/>
                      <w:color w:val="auto"/>
                      <w:sz w:val="21"/>
                      <w:szCs w:val="21"/>
                      <w:highlight w:val="none"/>
                      <w:lang w:val="en-US" w:eastAsia="zh-CN"/>
                    </w:rPr>
                    <w:t>遵循</w:t>
                  </w:r>
                  <w:r>
                    <w:rPr>
                      <w:rFonts w:hint="default" w:ascii="Times New Roman" w:hAnsi="Times New Roman" w:eastAsia="宋体" w:cs="Times New Roman"/>
                      <w:bCs/>
                      <w:color w:val="auto"/>
                      <w:sz w:val="21"/>
                      <w:szCs w:val="21"/>
                      <w:highlight w:val="none"/>
                      <w:lang w:val="en-US" w:eastAsia="zh-CN"/>
                    </w:rPr>
                    <w:t>“应收尽收”</w:t>
                  </w:r>
                  <w:r>
                    <w:rPr>
                      <w:rFonts w:hint="eastAsia" w:cs="Times New Roman"/>
                      <w:bCs/>
                      <w:color w:val="auto"/>
                      <w:sz w:val="21"/>
                      <w:szCs w:val="21"/>
                      <w:highlight w:val="none"/>
                      <w:lang w:val="en-US" w:eastAsia="zh-CN"/>
                    </w:rPr>
                    <w:t>的要求</w:t>
                  </w:r>
                  <w:r>
                    <w:rPr>
                      <w:rFonts w:hint="default" w:ascii="Times New Roman" w:hAnsi="Times New Roman" w:eastAsia="宋体" w:cs="Times New Roman"/>
                      <w:bCs/>
                      <w:color w:val="auto"/>
                      <w:sz w:val="21"/>
                      <w:szCs w:val="21"/>
                      <w:highlight w:val="none"/>
                      <w:lang w:val="en-US" w:eastAsia="zh-CN"/>
                    </w:rPr>
                    <w:t>，经治理后的废气能够做到达标排放，有效地降低了对外环境的影响</w:t>
                  </w:r>
                  <w:r>
                    <w:rPr>
                      <w:rFonts w:hint="eastAsia" w:cs="Times New Roman"/>
                      <w:bCs/>
                      <w:color w:val="auto"/>
                      <w:sz w:val="21"/>
                      <w:szCs w:val="21"/>
                      <w:highlight w:val="none"/>
                      <w:lang w:val="en-US" w:eastAsia="zh-CN"/>
                    </w:rPr>
                    <w:t>，满足VOCs排放控制要求。</w:t>
                  </w:r>
                </w:p>
              </w:tc>
              <w:tc>
                <w:tcPr>
                  <w:tcW w:w="591" w:type="pct"/>
                  <w:noWrap w:val="0"/>
                  <w:vAlign w:val="center"/>
                </w:tcPr>
                <w:p w14:paraId="0607D8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符合</w:t>
                  </w:r>
                </w:p>
              </w:tc>
            </w:tr>
          </w:tbl>
          <w:p w14:paraId="45454600">
            <w:pPr>
              <w:pStyle w:val="77"/>
              <w:numPr>
                <w:ilvl w:val="0"/>
                <w:numId w:val="0"/>
              </w:numPr>
              <w:ind w:firstLine="480" w:firstLineChars="200"/>
              <w:rPr>
                <w:rFonts w:hint="eastAsia" w:ascii="Times New Roman" w:hAnsi="Times New Roman" w:cs="Times New Roman"/>
                <w:color w:val="auto"/>
                <w:kern w:val="2"/>
                <w:sz w:val="24"/>
                <w:szCs w:val="24"/>
                <w:lang w:val="en-US" w:eastAsia="zh-CN" w:bidi="ar"/>
              </w:rPr>
            </w:pPr>
            <w:r>
              <w:rPr>
                <w:rFonts w:hint="eastAsia" w:ascii="Times New Roman" w:hAnsi="Times New Roman" w:cs="Times New Roman"/>
                <w:color w:val="auto"/>
                <w:kern w:val="2"/>
                <w:sz w:val="24"/>
                <w:szCs w:val="24"/>
                <w:lang w:val="en-US" w:eastAsia="zh-CN" w:bidi="ar"/>
              </w:rPr>
              <w:t>根据上表可知，本项目的建设符合《挥发性有机物无组织控制标准》（GB</w:t>
            </w:r>
            <w:r>
              <w:rPr>
                <w:rFonts w:hint="eastAsia" w:cs="Times New Roman"/>
                <w:color w:val="auto"/>
                <w:kern w:val="2"/>
                <w:sz w:val="24"/>
                <w:szCs w:val="24"/>
                <w:lang w:val="en-US" w:eastAsia="zh-CN" w:bidi="ar"/>
              </w:rPr>
              <w:t xml:space="preserve"> </w:t>
            </w:r>
            <w:r>
              <w:rPr>
                <w:rFonts w:hint="eastAsia" w:ascii="Times New Roman" w:hAnsi="Times New Roman" w:cs="Times New Roman"/>
                <w:color w:val="auto"/>
                <w:kern w:val="2"/>
                <w:sz w:val="24"/>
                <w:szCs w:val="24"/>
                <w:lang w:val="en-US" w:eastAsia="zh-CN" w:bidi="ar"/>
              </w:rPr>
              <w:t>37822-2019）中的相关要求。</w:t>
            </w:r>
          </w:p>
          <w:p w14:paraId="4EF024B5">
            <w:pPr>
              <w:pStyle w:val="77"/>
              <w:numPr>
                <w:ilvl w:val="0"/>
                <w:numId w:val="0"/>
              </w:numPr>
              <w:ind w:firstLine="480" w:firstLineChars="200"/>
              <w:rPr>
                <w:rFonts w:hint="default" w:ascii="Times New Roman" w:hAnsi="Times New Roman" w:cs="Times New Roman"/>
                <w:color w:val="auto"/>
                <w:kern w:val="2"/>
                <w:sz w:val="24"/>
                <w:szCs w:val="24"/>
                <w:lang w:val="en-US" w:eastAsia="zh-CN" w:bidi="ar"/>
              </w:rPr>
            </w:pPr>
            <w:r>
              <w:rPr>
                <w:rFonts w:hint="eastAsia" w:ascii="Times New Roman" w:hAnsi="Times New Roman" w:cs="Times New Roman"/>
                <w:color w:val="auto"/>
                <w:kern w:val="2"/>
                <w:sz w:val="24"/>
                <w:szCs w:val="24"/>
                <w:lang w:val="en-US" w:eastAsia="zh-CN" w:bidi="ar"/>
              </w:rPr>
              <w:t>10</w:t>
            </w:r>
            <w:r>
              <w:rPr>
                <w:rFonts w:hint="default" w:ascii="Times New Roman" w:hAnsi="Times New Roman" w:cs="Times New Roman"/>
                <w:color w:val="auto"/>
                <w:kern w:val="2"/>
                <w:sz w:val="24"/>
                <w:szCs w:val="24"/>
                <w:lang w:val="en-US" w:eastAsia="zh-CN" w:bidi="ar"/>
              </w:rPr>
              <w:t>、项目与《</w:t>
            </w:r>
            <w:r>
              <w:rPr>
                <w:rFonts w:hint="eastAsia" w:ascii="Times New Roman" w:hAnsi="Times New Roman" w:cs="Times New Roman"/>
                <w:color w:val="auto"/>
                <w:kern w:val="2"/>
                <w:sz w:val="24"/>
                <w:szCs w:val="24"/>
                <w:lang w:val="en-US" w:eastAsia="zh-CN" w:bidi="ar"/>
              </w:rPr>
              <w:t>排污许可证申请与核发技术规范 橡胶和塑料制品工业</w:t>
            </w:r>
            <w:r>
              <w:rPr>
                <w:rFonts w:hint="default" w:ascii="Times New Roman" w:hAnsi="Times New Roman" w:cs="Times New Roman"/>
                <w:color w:val="auto"/>
                <w:kern w:val="2"/>
                <w:sz w:val="24"/>
                <w:szCs w:val="24"/>
                <w:lang w:val="en-US" w:eastAsia="zh-CN" w:bidi="ar"/>
              </w:rPr>
              <w:t>》</w:t>
            </w:r>
            <w:r>
              <w:rPr>
                <w:rFonts w:hint="eastAsia" w:ascii="Times New Roman" w:hAnsi="Times New Roman" w:cs="Times New Roman"/>
                <w:color w:val="auto"/>
                <w:kern w:val="2"/>
                <w:sz w:val="24"/>
                <w:szCs w:val="24"/>
                <w:lang w:val="en-US" w:eastAsia="zh-CN" w:bidi="ar"/>
              </w:rPr>
              <w:t>（HJ1122-2020）</w:t>
            </w:r>
            <w:r>
              <w:rPr>
                <w:rFonts w:hint="default" w:ascii="Times New Roman" w:hAnsi="Times New Roman" w:cs="Times New Roman"/>
                <w:color w:val="auto"/>
                <w:kern w:val="2"/>
                <w:sz w:val="24"/>
                <w:szCs w:val="24"/>
                <w:lang w:val="en-US" w:eastAsia="zh-CN" w:bidi="ar"/>
              </w:rPr>
              <w:t>的符合性分析</w:t>
            </w:r>
          </w:p>
          <w:p w14:paraId="4F00805A">
            <w:pPr>
              <w:autoSpaceDE w:val="0"/>
              <w:autoSpaceDN w:val="0"/>
              <w:adjustRightInd w:val="0"/>
              <w:snapToGrid w:val="0"/>
              <w:spacing w:line="360" w:lineRule="auto"/>
              <w:jc w:val="center"/>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lang w:val="en-US" w:eastAsia="zh-CN"/>
              </w:rPr>
              <w:t>表1-</w:t>
            </w:r>
            <w:r>
              <w:rPr>
                <w:rFonts w:hint="eastAsia" w:ascii="Times New Roman" w:hAnsi="Times New Roman" w:cs="Times New Roman"/>
                <w:b/>
                <w:bCs/>
                <w:color w:val="auto"/>
                <w:kern w:val="0"/>
                <w:sz w:val="24"/>
                <w:highlight w:val="none"/>
                <w:lang w:val="en-US" w:eastAsia="zh-CN"/>
              </w:rPr>
              <w:t xml:space="preserve">14  </w:t>
            </w:r>
            <w:r>
              <w:rPr>
                <w:rFonts w:hint="default" w:ascii="Times New Roman" w:hAnsi="Times New Roman" w:cs="Times New Roman"/>
                <w:b/>
                <w:bCs/>
                <w:color w:val="auto"/>
                <w:kern w:val="0"/>
                <w:sz w:val="24"/>
                <w:highlight w:val="none"/>
                <w:lang w:val="en-US" w:eastAsia="zh-CN"/>
              </w:rPr>
              <w:t>与《排污许可证申请与核发技术规范 橡胶和塑料制品工业》的符合性分析</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956"/>
              <w:gridCol w:w="2294"/>
              <w:gridCol w:w="3063"/>
              <w:gridCol w:w="874"/>
            </w:tblGrid>
            <w:tr w14:paraId="2277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2" w:type="pct"/>
                  <w:gridSpan w:val="3"/>
                  <w:noWrap w:val="0"/>
                  <w:vAlign w:val="center"/>
                </w:tcPr>
                <w:p w14:paraId="38D774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
                      <w:color w:val="auto"/>
                      <w:sz w:val="21"/>
                      <w:szCs w:val="21"/>
                      <w:lang w:eastAsia="zh-CN"/>
                    </w:rPr>
                    <w:t>污染防治可行技术要求</w:t>
                  </w:r>
                </w:p>
              </w:tc>
              <w:tc>
                <w:tcPr>
                  <w:tcW w:w="1935" w:type="pct"/>
                  <w:noWrap w:val="0"/>
                  <w:vAlign w:val="center"/>
                </w:tcPr>
                <w:p w14:paraId="3C8086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
                      <w:color w:val="auto"/>
                      <w:sz w:val="21"/>
                      <w:szCs w:val="21"/>
                    </w:rPr>
                    <w:t>相符性分析</w:t>
                  </w:r>
                </w:p>
              </w:tc>
              <w:tc>
                <w:tcPr>
                  <w:tcW w:w="552" w:type="pct"/>
                  <w:noWrap w:val="0"/>
                  <w:vAlign w:val="center"/>
                </w:tcPr>
                <w:p w14:paraId="219C74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
                      <w:color w:val="auto"/>
                      <w:sz w:val="21"/>
                      <w:szCs w:val="21"/>
                    </w:rPr>
                    <w:t>符合性</w:t>
                  </w:r>
                </w:p>
              </w:tc>
            </w:tr>
            <w:tr w14:paraId="6368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 w:type="pct"/>
                  <w:vMerge w:val="restart"/>
                  <w:noWrap w:val="0"/>
                  <w:vAlign w:val="center"/>
                </w:tcPr>
                <w:p w14:paraId="7B7F33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废气</w:t>
                  </w:r>
                </w:p>
              </w:tc>
              <w:tc>
                <w:tcPr>
                  <w:tcW w:w="603" w:type="pct"/>
                  <w:noWrap w:val="0"/>
                  <w:vAlign w:val="center"/>
                </w:tcPr>
                <w:p w14:paraId="373DAE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有组织排放</w:t>
                  </w:r>
                </w:p>
              </w:tc>
              <w:tc>
                <w:tcPr>
                  <w:tcW w:w="1449" w:type="pct"/>
                  <w:noWrap w:val="0"/>
                  <w:vAlign w:val="center"/>
                </w:tcPr>
                <w:p w14:paraId="039606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w:t>
                  </w:r>
                  <w:r>
                    <w:rPr>
                      <w:rFonts w:hint="default" w:ascii="Times New Roman" w:hAnsi="Times New Roman" w:eastAsia="宋体" w:cs="Times New Roman"/>
                      <w:bCs/>
                      <w:color w:val="auto"/>
                      <w:sz w:val="21"/>
                      <w:szCs w:val="21"/>
                      <w:lang w:val="en-US" w:eastAsia="zh-CN"/>
                    </w:rPr>
                    <w:t>企业应考虑生产工艺、操作方式、废气性质、处理方法等因素，对工艺废气进行分类收集、分类处理或预处理，严禁经污染控制设施处理后的废气与锅炉排放烟气及其他未经处理的废气混合后直接排放，严禁经污染控制设施处理后的废气与空气混合后稀释排放。</w:t>
                  </w:r>
                </w:p>
                <w:p w14:paraId="6F55EE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环保设施应先于其对应的生产设施运转，后于对应设施关闭，保证在生产设施运行波动情况下仍能正常运转，实现达标排放。产生大气污染物的生产工艺和装置需设立局部或整体气体收集系统和净化处理装置，集气方向应与污染气流运动方向一致。</w:t>
                  </w:r>
                </w:p>
                <w:p w14:paraId="0CCC94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3）废气收集系统的输送管道应密闭，在负压下运行。废气收集系统排风罩（集气罩）的设置应符合GB/T16758的规定。采用外部排风罩的，应按GB/T16758、AQ/T4274规定的方法测量控制风速。</w:t>
                  </w:r>
                </w:p>
              </w:tc>
              <w:tc>
                <w:tcPr>
                  <w:tcW w:w="1935" w:type="pct"/>
                  <w:noWrap w:val="0"/>
                  <w:vAlign w:val="center"/>
                </w:tcPr>
                <w:p w14:paraId="46CC4F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项目运营期产生的废气根据污染物种类的不同分别进行收集处理，生产过程中产生的塑料废气（以非甲烷总烃计）经包围型集气罩（含软帘）收集，经管道引入1套废气处理设施（活性炭吸附浓缩+CO处理工艺）（TA001）进行处理，处理后通过1根20m高排气筒排放（DA001），印刷废气经包围型集气罩（含软帘）收集，经管道引入1套废气处理设施（二级活性炭吸附）（TA002）进行处理，处理后通过1根20m高排气筒排放（DA002）。</w:t>
                  </w:r>
                </w:p>
                <w:p w14:paraId="4BA7BC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项目各生产过程中产生的废气本着应收尽收的原则进行收集，并设置有相应的治理设施，运营期各有组织废气均能够做到达标排放；各生产设备均设置在密闭的车间内，集气罩均设置在设备上方，与污染气流运动方向一致，能够保证废气的收集效率。</w:t>
                  </w:r>
                </w:p>
                <w:p w14:paraId="124B8B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3）项目废气收集管道均设置为负压密闭式，各集气罩的悬挂位置、高度及风量均按照GB/T</w:t>
                  </w:r>
                  <w:r>
                    <w:rPr>
                      <w:rFonts w:hint="eastAsia" w:ascii="Times New Roman" w:hAnsi="Times New Roman" w:eastAsia="宋体" w:cs="Times New Roman"/>
                      <w:bCs/>
                      <w:color w:val="auto"/>
                      <w:sz w:val="21"/>
                      <w:szCs w:val="21"/>
                      <w:lang w:val="en-US" w:eastAsia="zh-CN"/>
                    </w:rPr>
                    <w:t xml:space="preserve"> </w:t>
                  </w:r>
                  <w:r>
                    <w:rPr>
                      <w:rFonts w:hint="default" w:ascii="Times New Roman" w:hAnsi="Times New Roman" w:eastAsia="宋体" w:cs="Times New Roman"/>
                      <w:bCs/>
                      <w:color w:val="auto"/>
                      <w:sz w:val="21"/>
                      <w:szCs w:val="21"/>
                      <w:lang w:val="en-US" w:eastAsia="zh-CN"/>
                    </w:rPr>
                    <w:t>16758等相关标准的要求进行设计，能够满足项目运营期废气的收集要求。</w:t>
                  </w:r>
                </w:p>
              </w:tc>
              <w:tc>
                <w:tcPr>
                  <w:tcW w:w="552" w:type="pct"/>
                  <w:noWrap w:val="0"/>
                  <w:vAlign w:val="center"/>
                </w:tcPr>
                <w:p w14:paraId="029E01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符合</w:t>
                  </w:r>
                </w:p>
              </w:tc>
            </w:tr>
            <w:tr w14:paraId="0205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 w:type="pct"/>
                  <w:vMerge w:val="continue"/>
                  <w:noWrap w:val="0"/>
                  <w:vAlign w:val="center"/>
                </w:tcPr>
                <w:p w14:paraId="176DB5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p>
              </w:tc>
              <w:tc>
                <w:tcPr>
                  <w:tcW w:w="603" w:type="pct"/>
                  <w:noWrap w:val="0"/>
                  <w:vAlign w:val="center"/>
                </w:tcPr>
                <w:p w14:paraId="237729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无组织排放</w:t>
                  </w:r>
                </w:p>
              </w:tc>
              <w:tc>
                <w:tcPr>
                  <w:tcW w:w="1449" w:type="pct"/>
                  <w:noWrap w:val="0"/>
                  <w:vAlign w:val="center"/>
                </w:tcPr>
                <w:p w14:paraId="347AF9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挥发性有机物物料应储存于密闭的容器、包装袋、储库、料仓中：盛装挥发性有机物物料的容器或包装袋应存放于室内，或存放于设置有雨棚、遮阳和防渗设施的专用场地。盛装挥发性有机物物料的容器或包装袋在非取用状态时应加盖、封口，保持密闭。</w:t>
                  </w:r>
                </w:p>
                <w:p w14:paraId="1EF49C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2）挥发性有机物物料使用过程无法密闭的，应采取局部气体收集措施，废气应排放至挥发性有机物废气收集处理系统。</w:t>
                  </w:r>
                </w:p>
                <w:p w14:paraId="671C50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液态挥发性有机物物料应采用密闭管道输送。采用非管道输送方式转移液态挥发性有机物物料时，应采用密闭容器。粉状、粒状挥发性有机物物料应采用气力输送设备、管状带式输送机、螺旋输送机等密闭输送方式，或者采用密闭的包装袋、容器进行物料转移。</w:t>
                  </w:r>
                </w:p>
              </w:tc>
              <w:tc>
                <w:tcPr>
                  <w:tcW w:w="1935" w:type="pct"/>
                  <w:noWrap w:val="0"/>
                  <w:vAlign w:val="center"/>
                </w:tcPr>
                <w:p w14:paraId="50CBB3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1）本项目不涉及废旧再生塑料颗粒的使用，使用的PE颗粒均为市场上外购的新料，固体颗粒状，</w:t>
                  </w:r>
                  <w:r>
                    <w:rPr>
                      <w:rFonts w:hint="eastAsia" w:ascii="Times New Roman" w:hAnsi="Times New Roman" w:eastAsia="宋体" w:cs="Times New Roman"/>
                      <w:bCs/>
                      <w:color w:val="auto"/>
                      <w:sz w:val="21"/>
                      <w:szCs w:val="21"/>
                      <w:lang w:val="en-US" w:eastAsia="zh-CN"/>
                    </w:rPr>
                    <w:t>属于</w:t>
                  </w:r>
                  <w:r>
                    <w:rPr>
                      <w:rFonts w:hint="default" w:ascii="Times New Roman" w:hAnsi="Times New Roman" w:eastAsia="宋体" w:cs="Times New Roman"/>
                      <w:bCs/>
                      <w:color w:val="auto"/>
                      <w:sz w:val="21"/>
                      <w:szCs w:val="21"/>
                      <w:lang w:val="en-US" w:eastAsia="zh-CN"/>
                    </w:rPr>
                    <w:t>低VOCs含量、低反应活性的材料，采用编织袋密闭包装（规格为25kg/袋），外购进厂后堆存在生产车间内的原料堆场上；生产车间为密闭结构，地面均进行了硬化处理，可做到防雨、遮阳等。</w:t>
                  </w:r>
                </w:p>
                <w:p w14:paraId="615565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项目使用的树脂属低VOCs含量、低反应活性的原料，运营期各生产工序均在密闭的车间内进行，本着应收尽收的原则，生产过程中产生的塑料废气（以非甲烷总烃计）经包围型集气罩（含软帘）收集，经管道引入1套废气处理设施（活性炭吸附浓缩+CO处理工艺）（TA001）进行处理，处理后通过1根20m高排气筒排放（DA001），印刷废气经包围型集气罩（含软帘）收集，经管道引入1套废气处理设施（二级活性炭吸附）（TA002）进行处理，处理后通过1根20m高排气筒排放（DA002）。</w:t>
                  </w:r>
                </w:p>
                <w:p w14:paraId="2B4E1B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3）项目运营期不涉及液态挥发性有机物物料的使用，设计的粉状、粒状物料均采用密闭的包装袋及容器进行转运。</w:t>
                  </w:r>
                </w:p>
              </w:tc>
              <w:tc>
                <w:tcPr>
                  <w:tcW w:w="552" w:type="pct"/>
                  <w:noWrap w:val="0"/>
                  <w:vAlign w:val="center"/>
                </w:tcPr>
                <w:p w14:paraId="049464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符合</w:t>
                  </w:r>
                </w:p>
              </w:tc>
            </w:tr>
            <w:tr w14:paraId="00A9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pct"/>
                  <w:gridSpan w:val="2"/>
                  <w:noWrap w:val="0"/>
                  <w:vAlign w:val="center"/>
                </w:tcPr>
                <w:p w14:paraId="5DFC15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废水</w:t>
                  </w:r>
                </w:p>
              </w:tc>
              <w:tc>
                <w:tcPr>
                  <w:tcW w:w="1449" w:type="pct"/>
                  <w:noWrap w:val="0"/>
                  <w:vAlign w:val="center"/>
                </w:tcPr>
                <w:p w14:paraId="1D92D1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1）应当按照相关法律法规、标准和技术规范等要求运行废水治理设施并进行维护和管理，保证设施运行正常，处理、排放水污染物符合国家或地方污染物排放标准的规定。</w:t>
                  </w:r>
                </w:p>
                <w:p w14:paraId="19D53D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2）应进行雨污分流、清污分流、冷热分流，分类收集、分质处理，循环利用，污染物稳定达到排放标准要求。</w:t>
                  </w:r>
                </w:p>
              </w:tc>
              <w:tc>
                <w:tcPr>
                  <w:tcW w:w="1935" w:type="pct"/>
                  <w:noWrap w:val="0"/>
                  <w:vAlign w:val="center"/>
                </w:tcPr>
                <w:p w14:paraId="42AD5D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1）项目运营期无生产废水的外排，项目设备冷却水循环使用，不外排；办公、生活污水依托云南三缘电缆有限公司化粪池（10m³）预处理后，采用槽罐车外送至玉溪市第二污水处理厂处理。</w:t>
                  </w:r>
                </w:p>
                <w:p w14:paraId="03F723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项目采用雨污分流制排水方式。雨水经雨水管道收集后排至园区雨水管网；项目办公、生活污水依托云南三缘电缆有限公司化粪池（10m³）处理，处理后通过槽罐车运送至玉溪市第二污水处理厂处置。设备冷却水进行间接冷却，循环使用，不外排，项目的建设不会改变区域水环境质量功能。</w:t>
                  </w:r>
                </w:p>
              </w:tc>
              <w:tc>
                <w:tcPr>
                  <w:tcW w:w="552" w:type="pct"/>
                  <w:noWrap w:val="0"/>
                  <w:vAlign w:val="center"/>
                </w:tcPr>
                <w:p w14:paraId="478B37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符合</w:t>
                  </w:r>
                </w:p>
              </w:tc>
            </w:tr>
            <w:tr w14:paraId="1E28A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pct"/>
                  <w:gridSpan w:val="2"/>
                  <w:noWrap w:val="0"/>
                  <w:vAlign w:val="center"/>
                </w:tcPr>
                <w:p w14:paraId="232462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固体废物</w:t>
                  </w:r>
                </w:p>
              </w:tc>
              <w:tc>
                <w:tcPr>
                  <w:tcW w:w="1449" w:type="pct"/>
                  <w:noWrap w:val="0"/>
                  <w:vAlign w:val="center"/>
                </w:tcPr>
                <w:p w14:paraId="237457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1）加强固体废物收集、贮存、利用、处置等各环节的环境管理，一般工业固体废物和危险废物暂存应采取措施有效防止有毒有害物质渗漏、流失和扬散。</w:t>
                  </w:r>
                </w:p>
                <w:p w14:paraId="51C567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2）生产过程中产生的可自行利用的固体废物应尽可能进行综合利用，不能利用的固体废物按照法规标准进行处理处置。</w:t>
                  </w:r>
                </w:p>
                <w:p w14:paraId="76A597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3）固体废物自行综合利用时，应采取有效措施防治二次污染。</w:t>
                  </w:r>
                </w:p>
                <w:p w14:paraId="44248E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4）危险废物应按照相关规定严格执行危险废物转移联单制度。</w:t>
                  </w:r>
                </w:p>
              </w:tc>
              <w:tc>
                <w:tcPr>
                  <w:tcW w:w="1935" w:type="pct"/>
                  <w:noWrap w:val="0"/>
                  <w:vAlign w:val="center"/>
                </w:tcPr>
                <w:p w14:paraId="3DD06B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1）本项目设置有一般固废</w:t>
                  </w:r>
                  <w:r>
                    <w:rPr>
                      <w:rFonts w:hint="eastAsia" w:ascii="Times New Roman" w:hAnsi="Times New Roman" w:eastAsia="宋体" w:cs="Times New Roman"/>
                      <w:bCs/>
                      <w:color w:val="auto"/>
                      <w:sz w:val="21"/>
                      <w:szCs w:val="21"/>
                      <w:lang w:val="en-US" w:eastAsia="zh-CN"/>
                    </w:rPr>
                    <w:t>暂存间</w:t>
                  </w:r>
                  <w:r>
                    <w:rPr>
                      <w:rFonts w:hint="default" w:ascii="Times New Roman" w:hAnsi="Times New Roman" w:eastAsia="宋体" w:cs="Times New Roman"/>
                      <w:bCs/>
                      <w:color w:val="auto"/>
                      <w:sz w:val="21"/>
                      <w:szCs w:val="21"/>
                      <w:lang w:val="en-US" w:eastAsia="zh-CN"/>
                    </w:rPr>
                    <w:t>及危险废物</w:t>
                  </w:r>
                  <w:r>
                    <w:rPr>
                      <w:rFonts w:hint="eastAsia" w:ascii="Times New Roman" w:hAnsi="Times New Roman" w:eastAsia="宋体" w:cs="Times New Roman"/>
                      <w:bCs/>
                      <w:color w:val="auto"/>
                      <w:sz w:val="21"/>
                      <w:szCs w:val="21"/>
                      <w:lang w:val="en-US" w:eastAsia="zh-CN"/>
                    </w:rPr>
                    <w:t>暂存间</w:t>
                  </w:r>
                  <w:r>
                    <w:rPr>
                      <w:rFonts w:hint="default" w:ascii="Times New Roman" w:hAnsi="Times New Roman" w:eastAsia="宋体" w:cs="Times New Roman"/>
                      <w:bCs/>
                      <w:color w:val="auto"/>
                      <w:sz w:val="21"/>
                      <w:szCs w:val="21"/>
                      <w:lang w:val="en-US" w:eastAsia="zh-CN"/>
                    </w:rPr>
                    <w:t>，用于收集暂存运营过程中产生的各类固体废物，经采取分区防渗措施处理后，不会对周边环境造成影响。</w:t>
                  </w:r>
                </w:p>
                <w:p w14:paraId="5D191F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Cs/>
                      <w:color w:val="auto"/>
                      <w:sz w:val="21"/>
                      <w:szCs w:val="21"/>
                      <w:lang w:val="en-US" w:eastAsia="zh-CN"/>
                    </w:rPr>
                    <w:t>2）生活垃圾经设置的定点垃圾桶收集后定期，交由当地环卫部门清运处置；化粪池污泥委托有化粪池清掏资质的专业单位定期清掏处置；生产过程中产生的不合格品、边角料收集后回</w:t>
                  </w:r>
                  <w:r>
                    <w:rPr>
                      <w:rFonts w:hint="eastAsia" w:cs="Times New Roman"/>
                      <w:bCs/>
                      <w:color w:val="auto"/>
                      <w:sz w:val="21"/>
                      <w:szCs w:val="21"/>
                      <w:lang w:val="en-US" w:eastAsia="zh-CN"/>
                    </w:rPr>
                    <w:t>用作</w:t>
                  </w:r>
                  <w:r>
                    <w:rPr>
                      <w:rFonts w:hint="default" w:ascii="Times New Roman" w:hAnsi="Times New Roman" w:eastAsia="宋体" w:cs="Times New Roman"/>
                      <w:bCs/>
                      <w:color w:val="auto"/>
                      <w:sz w:val="21"/>
                      <w:szCs w:val="21"/>
                      <w:lang w:val="en-US" w:eastAsia="zh-CN"/>
                    </w:rPr>
                    <w:t>生产原料，废弃的包装物收集后定期外售至当地废品回收站进行资源化利用；废催化剂、废活性炭等危险废物收集后分区暂存于危险废物暂存间内，定期委托有资质的单位清运处置</w:t>
                  </w:r>
                  <w:r>
                    <w:rPr>
                      <w:rFonts w:hint="default" w:ascii="Times New Roman" w:hAnsi="Times New Roman" w:eastAsia="宋体" w:cs="Times New Roman"/>
                      <w:color w:val="auto"/>
                      <w:sz w:val="21"/>
                      <w:szCs w:val="21"/>
                      <w:lang w:val="en-US" w:eastAsia="zh-CN"/>
                    </w:rPr>
                    <w:t>。</w:t>
                  </w:r>
                </w:p>
                <w:p w14:paraId="6EB27F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3）本项目设置有一般固废</w:t>
                  </w:r>
                  <w:r>
                    <w:rPr>
                      <w:rFonts w:hint="eastAsia" w:ascii="Times New Roman" w:hAnsi="Times New Roman" w:eastAsia="宋体" w:cs="Times New Roman"/>
                      <w:bCs/>
                      <w:color w:val="auto"/>
                      <w:sz w:val="21"/>
                      <w:szCs w:val="21"/>
                      <w:lang w:val="en-US" w:eastAsia="zh-CN"/>
                    </w:rPr>
                    <w:t>暂存间</w:t>
                  </w:r>
                  <w:r>
                    <w:rPr>
                      <w:rFonts w:hint="default" w:ascii="Times New Roman" w:hAnsi="Times New Roman" w:eastAsia="宋体" w:cs="Times New Roman"/>
                      <w:bCs/>
                      <w:color w:val="auto"/>
                      <w:sz w:val="21"/>
                      <w:szCs w:val="21"/>
                      <w:lang w:val="en-US" w:eastAsia="zh-CN"/>
                    </w:rPr>
                    <w:t>对</w:t>
                  </w:r>
                  <w:r>
                    <w:rPr>
                      <w:rFonts w:hint="default" w:ascii="Times New Roman" w:hAnsi="Times New Roman" w:eastAsia="宋体" w:cs="Times New Roman"/>
                      <w:color w:val="auto"/>
                      <w:sz w:val="21"/>
                      <w:szCs w:val="21"/>
                      <w:lang w:val="en-US" w:eastAsia="zh-CN"/>
                    </w:rPr>
                    <w:t>生产过程中产生的不合格品、边角料进行收集，经破碎后回用于生产；</w:t>
                  </w:r>
                </w:p>
                <w:p w14:paraId="660682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4）项目运营过程中产生的</w:t>
                  </w:r>
                  <w:r>
                    <w:rPr>
                      <w:rFonts w:hint="eastAsia" w:ascii="Times New Roman" w:hAnsi="Times New Roman" w:eastAsia="宋体" w:cs="Times New Roman"/>
                      <w:bCs/>
                      <w:color w:val="auto"/>
                      <w:sz w:val="21"/>
                      <w:szCs w:val="21"/>
                      <w:lang w:val="en-US" w:eastAsia="zh-CN"/>
                    </w:rPr>
                    <w:t>废催化剂、</w:t>
                  </w:r>
                  <w:r>
                    <w:rPr>
                      <w:rFonts w:hint="default" w:ascii="Times New Roman" w:hAnsi="Times New Roman" w:eastAsia="宋体" w:cs="Times New Roman"/>
                      <w:color w:val="auto"/>
                      <w:sz w:val="21"/>
                      <w:szCs w:val="21"/>
                      <w:lang w:val="en-US" w:eastAsia="zh-CN"/>
                    </w:rPr>
                    <w:t>废活性炭</w:t>
                  </w:r>
                  <w:r>
                    <w:rPr>
                      <w:rFonts w:hint="eastAsia" w:ascii="Times New Roman" w:hAnsi="Times New Roman" w:eastAsia="宋体" w:cs="Times New Roman"/>
                      <w:color w:val="auto"/>
                      <w:sz w:val="21"/>
                      <w:szCs w:val="21"/>
                      <w:lang w:val="en-US" w:eastAsia="zh-CN"/>
                    </w:rPr>
                    <w:t>等危险废物</w:t>
                  </w:r>
                  <w:r>
                    <w:rPr>
                      <w:rFonts w:hint="default" w:ascii="Times New Roman" w:hAnsi="Times New Roman" w:eastAsia="宋体" w:cs="Times New Roman"/>
                      <w:color w:val="auto"/>
                      <w:sz w:val="21"/>
                      <w:szCs w:val="21"/>
                      <w:lang w:val="en-US" w:eastAsia="zh-CN"/>
                    </w:rPr>
                    <w:t>收集后分区暂存于危险废物</w:t>
                  </w:r>
                  <w:r>
                    <w:rPr>
                      <w:rFonts w:hint="eastAsia" w:ascii="Times New Roman" w:hAnsi="Times New Roman" w:eastAsia="宋体" w:cs="Times New Roman"/>
                      <w:color w:val="auto"/>
                      <w:sz w:val="21"/>
                      <w:szCs w:val="21"/>
                      <w:lang w:val="en-US" w:eastAsia="zh-CN"/>
                    </w:rPr>
                    <w:t>暂存间</w:t>
                  </w:r>
                  <w:r>
                    <w:rPr>
                      <w:rFonts w:hint="default" w:ascii="Times New Roman" w:hAnsi="Times New Roman" w:eastAsia="宋体" w:cs="Times New Roman"/>
                      <w:color w:val="auto"/>
                      <w:sz w:val="21"/>
                      <w:szCs w:val="21"/>
                      <w:lang w:val="en-US" w:eastAsia="zh-CN"/>
                    </w:rPr>
                    <w:t>内，定期委托有资质的单位清运处置。综上，项目区产生的各类固体废物均得到了妥善地收集、处置，处置率100%。</w:t>
                  </w:r>
                </w:p>
              </w:tc>
              <w:tc>
                <w:tcPr>
                  <w:tcW w:w="552" w:type="pct"/>
                  <w:noWrap w:val="0"/>
                  <w:vAlign w:val="center"/>
                </w:tcPr>
                <w:p w14:paraId="476788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符合</w:t>
                  </w:r>
                </w:p>
              </w:tc>
            </w:tr>
          </w:tbl>
          <w:p w14:paraId="3E0BEC00">
            <w:pPr>
              <w:pStyle w:val="77"/>
              <w:numPr>
                <w:ilvl w:val="0"/>
                <w:numId w:val="0"/>
              </w:numPr>
              <w:ind w:firstLine="480" w:firstLineChars="200"/>
              <w:rPr>
                <w:rFonts w:hint="eastAsia" w:ascii="Times New Roman" w:hAnsi="Times New Roman" w:cs="Times New Roman"/>
                <w:color w:val="auto"/>
                <w:kern w:val="2"/>
                <w:sz w:val="24"/>
                <w:szCs w:val="24"/>
                <w:lang w:val="en-US" w:eastAsia="zh-CN" w:bidi="ar"/>
              </w:rPr>
            </w:pPr>
            <w:r>
              <w:rPr>
                <w:rFonts w:hint="eastAsia" w:ascii="Times New Roman" w:hAnsi="Times New Roman" w:cs="Times New Roman"/>
                <w:color w:val="auto"/>
                <w:kern w:val="2"/>
                <w:sz w:val="24"/>
                <w:szCs w:val="24"/>
                <w:lang w:val="en-US" w:eastAsia="zh-CN" w:bidi="ar"/>
              </w:rPr>
              <w:t>根据上表可知，本项目的建设符合《排污许可证申请与核发技术规范 橡胶和塑料制品工业》（HJ1122-2020）中的相关要求。</w:t>
            </w:r>
          </w:p>
          <w:p w14:paraId="4BE8B5A7">
            <w:pPr>
              <w:pStyle w:val="77"/>
              <w:numPr>
                <w:ilvl w:val="0"/>
                <w:numId w:val="0"/>
              </w:numPr>
              <w:ind w:firstLine="480" w:firstLineChars="200"/>
              <w:rPr>
                <w:rFonts w:hint="default" w:ascii="Times New Roman" w:hAnsi="Times New Roman" w:cs="Times New Roman"/>
                <w:color w:val="auto"/>
                <w:kern w:val="2"/>
                <w:sz w:val="24"/>
                <w:szCs w:val="24"/>
                <w:lang w:val="en-US" w:eastAsia="zh-CN" w:bidi="ar"/>
              </w:rPr>
            </w:pPr>
            <w:r>
              <w:rPr>
                <w:rFonts w:hint="eastAsia" w:ascii="Times New Roman" w:hAnsi="Times New Roman" w:cs="Times New Roman"/>
                <w:color w:val="auto"/>
                <w:kern w:val="2"/>
                <w:sz w:val="24"/>
                <w:szCs w:val="24"/>
                <w:lang w:val="en-US" w:eastAsia="zh-CN" w:bidi="ar"/>
              </w:rPr>
              <w:t>11</w:t>
            </w:r>
            <w:r>
              <w:rPr>
                <w:rFonts w:hint="default" w:ascii="Times New Roman" w:hAnsi="Times New Roman" w:cs="Times New Roman"/>
                <w:color w:val="auto"/>
                <w:kern w:val="2"/>
                <w:sz w:val="24"/>
                <w:szCs w:val="24"/>
                <w:lang w:val="en-US" w:eastAsia="zh-CN" w:bidi="ar"/>
              </w:rPr>
              <w:t>、项目与《排污许可证申请与核发技术规范 印刷工业》（HJ 1066-2019）的符合性分析</w:t>
            </w:r>
          </w:p>
          <w:p w14:paraId="5D570BF1">
            <w:pPr>
              <w:autoSpaceDE w:val="0"/>
              <w:autoSpaceDN w:val="0"/>
              <w:adjustRightInd w:val="0"/>
              <w:snapToGrid w:val="0"/>
              <w:spacing w:line="360" w:lineRule="auto"/>
              <w:jc w:val="center"/>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lang w:val="en-US" w:eastAsia="zh-CN"/>
              </w:rPr>
              <w:t>表1-</w:t>
            </w:r>
            <w:r>
              <w:rPr>
                <w:rFonts w:hint="eastAsia" w:ascii="Times New Roman" w:hAnsi="Times New Roman" w:cs="Times New Roman"/>
                <w:b/>
                <w:bCs/>
                <w:color w:val="auto"/>
                <w:kern w:val="0"/>
                <w:sz w:val="24"/>
                <w:highlight w:val="none"/>
                <w:lang w:val="en-US" w:eastAsia="zh-CN"/>
              </w:rPr>
              <w:t xml:space="preserve">15  </w:t>
            </w:r>
            <w:r>
              <w:rPr>
                <w:rFonts w:hint="default" w:ascii="Times New Roman" w:hAnsi="Times New Roman" w:cs="Times New Roman"/>
                <w:b/>
                <w:bCs/>
                <w:color w:val="auto"/>
                <w:kern w:val="0"/>
                <w:sz w:val="24"/>
                <w:highlight w:val="none"/>
                <w:lang w:val="en-US" w:eastAsia="zh-CN"/>
              </w:rPr>
              <w:t>与《排污许可证申请与核发技术规范 印刷工业》的符合性分析</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925"/>
              <w:gridCol w:w="2287"/>
              <w:gridCol w:w="3025"/>
              <w:gridCol w:w="891"/>
            </w:tblGrid>
            <w:tr w14:paraId="02C4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01" w:type="dxa"/>
                  <w:gridSpan w:val="3"/>
                  <w:vAlign w:val="center"/>
                </w:tcPr>
                <w:p w14:paraId="1F6C45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rPr>
                  </w:pPr>
                  <w:r>
                    <w:rPr>
                      <w:rFonts w:hint="default" w:ascii="Times New Roman" w:hAnsi="Times New Roman" w:eastAsia="宋体" w:cs="Times New Roman"/>
                      <w:b/>
                      <w:bCs/>
                      <w:color w:val="auto"/>
                      <w:sz w:val="21"/>
                      <w:szCs w:val="21"/>
                      <w:highlight w:val="none"/>
                      <w:vertAlign w:val="baseline"/>
                    </w:rPr>
                    <w:t>污染防治可行技术要求</w:t>
                  </w:r>
                </w:p>
              </w:tc>
              <w:tc>
                <w:tcPr>
                  <w:tcW w:w="3025" w:type="dxa"/>
                  <w:shd w:val="clear" w:color="auto" w:fill="auto"/>
                  <w:vAlign w:val="center"/>
                </w:tcPr>
                <w:p w14:paraId="61FE43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rPr>
                    <w:t>相符性分析</w:t>
                  </w:r>
                </w:p>
              </w:tc>
              <w:tc>
                <w:tcPr>
                  <w:tcW w:w="891" w:type="dxa"/>
                  <w:shd w:val="clear" w:color="auto" w:fill="auto"/>
                  <w:vAlign w:val="center"/>
                </w:tcPr>
                <w:p w14:paraId="5E0E2F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rPr>
                    <w:t>符合性</w:t>
                  </w:r>
                </w:p>
              </w:tc>
            </w:tr>
            <w:tr w14:paraId="03E50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vMerge w:val="restart"/>
                  <w:vAlign w:val="center"/>
                </w:tcPr>
                <w:p w14:paraId="3DC8B8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废气</w:t>
                  </w:r>
                </w:p>
              </w:tc>
              <w:tc>
                <w:tcPr>
                  <w:tcW w:w="925" w:type="dxa"/>
                  <w:vAlign w:val="center"/>
                </w:tcPr>
                <w:p w14:paraId="59A925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有组织排放</w:t>
                  </w:r>
                </w:p>
              </w:tc>
              <w:tc>
                <w:tcPr>
                  <w:tcW w:w="2287" w:type="dxa"/>
                  <w:vAlign w:val="center"/>
                </w:tcPr>
                <w:p w14:paraId="0F7741C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w:t>
                  </w:r>
                  <w:r>
                    <w:rPr>
                      <w:rFonts w:hint="default" w:ascii="Times New Roman" w:hAnsi="Times New Roman" w:eastAsia="宋体" w:cs="Times New Roman"/>
                      <w:color w:val="auto"/>
                      <w:sz w:val="21"/>
                      <w:szCs w:val="21"/>
                      <w:highlight w:val="none"/>
                      <w:vertAlign w:val="baseline"/>
                      <w:lang w:val="en-US" w:eastAsia="zh-CN"/>
                    </w:rPr>
                    <w:t>）对于生产过程中涉及VOCs物料的印刷机、烘干、复合机应该设立密闭或符合规范的废气捕集装置，将有组织废气收集并导入废气治理设施。</w:t>
                  </w:r>
                </w:p>
                <w:p w14:paraId="217CF49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w:t>
                  </w:r>
                  <w:r>
                    <w:rPr>
                      <w:rFonts w:hint="default" w:ascii="Times New Roman" w:hAnsi="Times New Roman" w:eastAsia="宋体" w:cs="Times New Roman"/>
                      <w:color w:val="auto"/>
                      <w:sz w:val="21"/>
                      <w:szCs w:val="21"/>
                      <w:highlight w:val="none"/>
                      <w:vertAlign w:val="baseline"/>
                      <w:lang w:val="en-US" w:eastAsia="zh-CN"/>
                    </w:rPr>
                    <w:t>）环保设施应先于或与其对应的生产工艺设备同步运转，保证在生产工艺设备运行波动情况下仍能正常运转，实现达标排放。产生大气污染物的生产工艺和装置需设立局部或整体气体收集系统和净化处理装置。</w:t>
                  </w:r>
                </w:p>
              </w:tc>
              <w:tc>
                <w:tcPr>
                  <w:tcW w:w="3025" w:type="dxa"/>
                  <w:vAlign w:val="center"/>
                </w:tcPr>
                <w:p w14:paraId="68418B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项目运营期产生的废气根据污染物种类的不同分别进行收集处理，生产过程中产生的塑料废气（以非甲烷总烃计）经包围型集气罩（含软帘）收集，经管道引入1套废气处理设施（活性炭吸附浓缩+CO处理工艺）（TA001）进行处理，处理后通过1根20m高排气筒排放（DA001），印刷废气经包围型集气罩（含软帘）收集，经管道引入1套废气处理设施（二级活性炭吸附）（TA002）进行处理，处理后通过1根20m高排气筒排放（DA002）。项目严格执行治理设施与生产设备联动管理要求，废气处理设施与印刷设备同步启停，做到治污设施先启后停，可确保生产工况波动期间废气持续有效收集、稳定治理，废气收集及净化系统布设均满足规范要求。</w:t>
                  </w:r>
                </w:p>
              </w:tc>
              <w:tc>
                <w:tcPr>
                  <w:tcW w:w="891" w:type="dxa"/>
                  <w:vAlign w:val="center"/>
                </w:tcPr>
                <w:p w14:paraId="3F3B71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符合</w:t>
                  </w:r>
                </w:p>
              </w:tc>
            </w:tr>
            <w:tr w14:paraId="77D6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vMerge w:val="continue"/>
                  <w:vAlign w:val="center"/>
                </w:tcPr>
                <w:p w14:paraId="04E5A5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rPr>
                  </w:pPr>
                </w:p>
              </w:tc>
              <w:tc>
                <w:tcPr>
                  <w:tcW w:w="925" w:type="dxa"/>
                  <w:vAlign w:val="center"/>
                </w:tcPr>
                <w:p w14:paraId="30D6C1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无组织排放</w:t>
                  </w:r>
                </w:p>
              </w:tc>
              <w:tc>
                <w:tcPr>
                  <w:tcW w:w="2287" w:type="dxa"/>
                  <w:vAlign w:val="center"/>
                </w:tcPr>
                <w:p w14:paraId="78ED543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rPr>
                  </w:pPr>
                  <w:r>
                    <w:rPr>
                      <w:rFonts w:hint="eastAsia" w:ascii="Times New Roman" w:hAnsi="Times New Roman" w:eastAsia="宋体" w:cs="Times New Roman"/>
                      <w:color w:val="auto"/>
                      <w:sz w:val="21"/>
                      <w:szCs w:val="21"/>
                      <w:highlight w:val="none"/>
                      <w:vertAlign w:val="baseline"/>
                      <w:lang w:val="en-US" w:eastAsia="zh-CN"/>
                    </w:rPr>
                    <w:t>1</w:t>
                  </w:r>
                  <w:r>
                    <w:rPr>
                      <w:rFonts w:hint="default" w:ascii="Times New Roman" w:hAnsi="Times New Roman" w:eastAsia="宋体" w:cs="Times New Roman"/>
                      <w:color w:val="auto"/>
                      <w:sz w:val="21"/>
                      <w:szCs w:val="21"/>
                      <w:highlight w:val="none"/>
                      <w:vertAlign w:val="baseline"/>
                    </w:rPr>
                    <w:t>）印刷工业排污单位油墨、稀释剂、胶粘剂、涂布液、清洗剂等VOCs物料的贮存、调配、输送、使用等工艺环节VOCs无组织逸散控制要求适用于GB 37822。VOCs物料的储存和输送过程应保持密闭。</w:t>
                  </w:r>
                </w:p>
                <w:p w14:paraId="5789928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rPr>
                  </w:pPr>
                  <w:r>
                    <w:rPr>
                      <w:rFonts w:hint="eastAsia" w:ascii="Times New Roman" w:hAnsi="Times New Roman" w:eastAsia="宋体" w:cs="Times New Roman"/>
                      <w:color w:val="auto"/>
                      <w:sz w:val="21"/>
                      <w:szCs w:val="21"/>
                      <w:highlight w:val="none"/>
                      <w:vertAlign w:val="baseline"/>
                      <w:lang w:val="en-US" w:eastAsia="zh-CN"/>
                    </w:rPr>
                    <w:t>2</w:t>
                  </w:r>
                  <w:r>
                    <w:rPr>
                      <w:rFonts w:hint="default" w:ascii="Times New Roman" w:hAnsi="Times New Roman" w:eastAsia="宋体" w:cs="Times New Roman"/>
                      <w:color w:val="auto"/>
                      <w:sz w:val="21"/>
                      <w:szCs w:val="21"/>
                      <w:highlight w:val="none"/>
                      <w:vertAlign w:val="baseline"/>
                    </w:rPr>
                    <w:t>）油墨、胶粘剂等VOCs物料的调配应在密闭装置或空间内进行并有效收集，非即用状态应加盖密封。供墨、调墨配胶、印刷、复合、烘干、洗车等VOCs物料使用过程应采用密闭设备或在密闭空间内操作；无法密闭的，应采取局部气体收集措施，废气排至VOCs废气收集系统。对于只能采用吸风罩收集的工序，废气收集系统排风罩（集气罩）的设计应满足GB/T 16758的规定。采用外部排风罩的，应按GB/T 16758、AQ/T 4274规定的方法测量控制风速，测量点应选取在距排风罩开口面最远处的VOCs无组织排放位置，控制风速不应低于0.3 m/s（行业相关规范有具体规定的，按相关规定执行）。</w:t>
                  </w:r>
                </w:p>
                <w:p w14:paraId="0DECD21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rPr>
                  </w:pPr>
                  <w:r>
                    <w:rPr>
                      <w:rFonts w:hint="eastAsia" w:ascii="Times New Roman" w:hAnsi="Times New Roman" w:eastAsia="宋体" w:cs="Times New Roman"/>
                      <w:color w:val="auto"/>
                      <w:sz w:val="21"/>
                      <w:szCs w:val="21"/>
                      <w:highlight w:val="none"/>
                      <w:vertAlign w:val="baseline"/>
                      <w:lang w:val="en-US" w:eastAsia="zh-CN"/>
                    </w:rPr>
                    <w:t>3</w:t>
                  </w:r>
                  <w:r>
                    <w:rPr>
                      <w:rFonts w:hint="default" w:ascii="Times New Roman" w:hAnsi="Times New Roman" w:eastAsia="宋体" w:cs="Times New Roman"/>
                      <w:color w:val="auto"/>
                      <w:sz w:val="21"/>
                      <w:szCs w:val="21"/>
                      <w:highlight w:val="none"/>
                      <w:vertAlign w:val="baseline"/>
                    </w:rPr>
                    <w:t>）环境影响评价文件或地方相关规定中有针对原辅材料、生产过程等其他污染防治强制要求的，还应根据环境影响评价文件或地方相关规定，明确其他需要落实的污染防治要求。</w:t>
                  </w:r>
                </w:p>
              </w:tc>
              <w:tc>
                <w:tcPr>
                  <w:tcW w:w="3025" w:type="dxa"/>
                  <w:vAlign w:val="center"/>
                </w:tcPr>
                <w:p w14:paraId="66199A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项目印刷工序使用低VOCs含量水性油墨，原辅材料采用密封桶装储存，存放于密闭生产车间内，非取用状态全程加盖封口、保持密闭，物料转运过程无敞口作业。印刷作业在全密闭车间内开展，配套包围型集气罩对废气进行捕集，集气罩结构、安装位置、风量配置均严格按照GB/T 16758、AQ/T</w:t>
                  </w:r>
                  <w:r>
                    <w:rPr>
                      <w:rFonts w:hint="eastAsia" w:cs="Times New Roman"/>
                      <w:color w:val="auto"/>
                      <w:sz w:val="21"/>
                      <w:szCs w:val="21"/>
                      <w:highlight w:val="none"/>
                      <w:vertAlign w:val="baseline"/>
                      <w:lang w:val="en-US" w:eastAsia="zh-CN"/>
                    </w:rPr>
                    <w:t xml:space="preserve"> </w:t>
                  </w:r>
                  <w:r>
                    <w:rPr>
                      <w:rFonts w:hint="default" w:ascii="Times New Roman" w:hAnsi="Times New Roman" w:eastAsia="宋体" w:cs="Times New Roman"/>
                      <w:color w:val="auto"/>
                      <w:sz w:val="21"/>
                      <w:szCs w:val="21"/>
                      <w:highlight w:val="none"/>
                      <w:vertAlign w:val="baseline"/>
                    </w:rPr>
                    <w:t>4274标准设计，控制风速不低于0.3m/s，可有效收集工艺废气，从源头和过程双重管 VOCs无组织逸散。项目全面落实本环评提出的各项废气管控、治理及环境管理要求。</w:t>
                  </w:r>
                </w:p>
              </w:tc>
              <w:tc>
                <w:tcPr>
                  <w:tcW w:w="891" w:type="dxa"/>
                  <w:vAlign w:val="center"/>
                </w:tcPr>
                <w:p w14:paraId="66D601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符合</w:t>
                  </w:r>
                </w:p>
              </w:tc>
            </w:tr>
            <w:tr w14:paraId="19E3A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4" w:type="dxa"/>
                  <w:gridSpan w:val="2"/>
                  <w:vAlign w:val="center"/>
                </w:tcPr>
                <w:p w14:paraId="05103E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废水</w:t>
                  </w:r>
                </w:p>
              </w:tc>
              <w:tc>
                <w:tcPr>
                  <w:tcW w:w="2287" w:type="dxa"/>
                  <w:vAlign w:val="center"/>
                </w:tcPr>
                <w:p w14:paraId="0A48FA6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1</w:t>
                  </w:r>
                  <w:r>
                    <w:rPr>
                      <w:rFonts w:hint="default" w:ascii="Times New Roman" w:hAnsi="Times New Roman" w:eastAsia="宋体" w:cs="Times New Roman"/>
                      <w:color w:val="auto"/>
                      <w:sz w:val="21"/>
                      <w:szCs w:val="21"/>
                      <w:highlight w:val="none"/>
                      <w:vertAlign w:val="baseline"/>
                    </w:rPr>
                    <w:t>）源头控制：废水处理设施应加强源头管理、加强对工艺废水来水的监测，并通过管理手段控制工艺废水来水水质，满足废水处理设施的进水要求。</w:t>
                  </w:r>
                </w:p>
                <w:p w14:paraId="3FE5E72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2</w:t>
                  </w:r>
                  <w:r>
                    <w:rPr>
                      <w:rFonts w:hint="default" w:ascii="Times New Roman" w:hAnsi="Times New Roman" w:eastAsia="宋体" w:cs="Times New Roman"/>
                      <w:color w:val="auto"/>
                      <w:sz w:val="21"/>
                      <w:szCs w:val="21"/>
                      <w:highlight w:val="none"/>
                      <w:vertAlign w:val="baseline"/>
                    </w:rPr>
                    <w:t>）污染防治设施监测管理：排污单位根据运行管理需要及规范管理要求开展污染防治设施运行效果的监测、分析。定期对在线监控设备进行比对校核。</w:t>
                  </w:r>
                </w:p>
                <w:p w14:paraId="42E12A0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3</w:t>
                  </w:r>
                  <w:r>
                    <w:rPr>
                      <w:rFonts w:hint="default" w:ascii="Times New Roman" w:hAnsi="Times New Roman" w:eastAsia="宋体" w:cs="Times New Roman"/>
                      <w:color w:val="auto"/>
                      <w:sz w:val="21"/>
                      <w:szCs w:val="21"/>
                      <w:highlight w:val="none"/>
                      <w:vertAlign w:val="baseline"/>
                    </w:rPr>
                    <w:t>）操作规程：所有废水治理设施应制定操作规程，明确各项运行参数。</w:t>
                  </w:r>
                </w:p>
              </w:tc>
              <w:tc>
                <w:tcPr>
                  <w:tcW w:w="3025" w:type="dxa"/>
                  <w:vAlign w:val="center"/>
                </w:tcPr>
                <w:p w14:paraId="0C6B9F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本项目印刷工序不产生工艺废水。项目生产设备冷却水循环</w:t>
                  </w:r>
                  <w:r>
                    <w:rPr>
                      <w:rFonts w:hint="eastAsia" w:cs="Times New Roman"/>
                      <w:color w:val="auto"/>
                      <w:sz w:val="21"/>
                      <w:szCs w:val="21"/>
                      <w:highlight w:val="none"/>
                      <w:vertAlign w:val="baseline"/>
                      <w:lang w:val="en-US" w:eastAsia="zh-CN"/>
                    </w:rPr>
                    <w:t>使用，</w:t>
                  </w:r>
                  <w:r>
                    <w:rPr>
                      <w:rFonts w:hint="default" w:ascii="Times New Roman" w:hAnsi="Times New Roman" w:eastAsia="宋体" w:cs="Times New Roman"/>
                      <w:color w:val="auto"/>
                      <w:sz w:val="21"/>
                      <w:szCs w:val="21"/>
                      <w:highlight w:val="none"/>
                      <w:vertAlign w:val="baseline"/>
                    </w:rPr>
                    <w:t>不外排废水；项目办公及生活污水依托云南三缘电缆有限公司现有10m³化粪池进行预处理，预处理达标后采用槽罐车统一转运至玉溪市第二污水处理厂集中处置。企业将建立完善的废水管理制度，制定污水收集、预处理、转运全流程操作规程，明确运行管理参数，常态化开展设施巡检与维护，保障废水处置全过程合规。</w:t>
                  </w:r>
                </w:p>
              </w:tc>
              <w:tc>
                <w:tcPr>
                  <w:tcW w:w="891" w:type="dxa"/>
                  <w:vAlign w:val="center"/>
                </w:tcPr>
                <w:p w14:paraId="7004B3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符合</w:t>
                  </w:r>
                </w:p>
              </w:tc>
            </w:tr>
            <w:tr w14:paraId="60B9B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4" w:type="dxa"/>
                  <w:gridSpan w:val="2"/>
                  <w:vAlign w:val="center"/>
                </w:tcPr>
                <w:p w14:paraId="74539E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固体废物</w:t>
                  </w:r>
                </w:p>
              </w:tc>
              <w:tc>
                <w:tcPr>
                  <w:tcW w:w="2287" w:type="dxa"/>
                  <w:vAlign w:val="center"/>
                </w:tcPr>
                <w:p w14:paraId="42DA9BD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1</w:t>
                  </w:r>
                  <w:r>
                    <w:rPr>
                      <w:rFonts w:hint="default" w:ascii="Times New Roman" w:hAnsi="Times New Roman" w:eastAsia="宋体" w:cs="Times New Roman"/>
                      <w:color w:val="auto"/>
                      <w:sz w:val="21"/>
                      <w:szCs w:val="21"/>
                      <w:highlight w:val="none"/>
                      <w:vertAlign w:val="baseline"/>
                    </w:rPr>
                    <w:t>）印刷车间产生的报废纸张、报废纸板、报废塑料、报废金属板材等应尽可能进行综合利用。</w:t>
                  </w:r>
                </w:p>
                <w:p w14:paraId="56302C1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2</w:t>
                  </w:r>
                  <w:r>
                    <w:rPr>
                      <w:rFonts w:hint="default" w:ascii="Times New Roman" w:hAnsi="Times New Roman" w:eastAsia="宋体" w:cs="Times New Roman"/>
                      <w:color w:val="auto"/>
                      <w:sz w:val="21"/>
                      <w:szCs w:val="21"/>
                      <w:highlight w:val="none"/>
                      <w:vertAlign w:val="baseline"/>
                    </w:rPr>
                    <w:t>）盛装过挥发性有机物原辅材料的废包装容器应加盖密闭。</w:t>
                  </w:r>
                </w:p>
                <w:p w14:paraId="3E82442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3</w:t>
                  </w:r>
                  <w:r>
                    <w:rPr>
                      <w:rFonts w:hint="default" w:ascii="Times New Roman" w:hAnsi="Times New Roman" w:eastAsia="宋体" w:cs="Times New Roman"/>
                      <w:color w:val="auto"/>
                      <w:sz w:val="21"/>
                      <w:szCs w:val="21"/>
                      <w:highlight w:val="none"/>
                      <w:vertAlign w:val="baseline"/>
                    </w:rPr>
                    <w:t>）生产车间产生的废油墨、废涂料、废稀释剂、废胶粘剂及其包装桶（包装物）、废抹布、吸附了挥发性有机物的废吸附材料以及其他固体废物，应进行分类管理并及时处理处置，危险废物应委托有资质的相关单位进行处理。</w:t>
                  </w:r>
                </w:p>
                <w:p w14:paraId="09411A0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cs="Times New Roman"/>
                      <w:color w:val="auto"/>
                      <w:sz w:val="21"/>
                      <w:szCs w:val="21"/>
                      <w:highlight w:val="none"/>
                      <w:vertAlign w:val="baseline"/>
                      <w:lang w:eastAsia="zh-CN"/>
                    </w:rPr>
                  </w:pPr>
                  <w:r>
                    <w:rPr>
                      <w:rFonts w:hint="eastAsia" w:cs="Times New Roman"/>
                      <w:color w:val="auto"/>
                      <w:sz w:val="21"/>
                      <w:szCs w:val="21"/>
                      <w:highlight w:val="none"/>
                      <w:vertAlign w:val="baseline"/>
                      <w:lang w:val="en-US" w:eastAsia="zh-CN"/>
                    </w:rPr>
                    <w:t>4</w:t>
                  </w:r>
                  <w:r>
                    <w:rPr>
                      <w:rFonts w:hint="default" w:ascii="Times New Roman" w:hAnsi="Times New Roman" w:eastAsia="宋体" w:cs="Times New Roman"/>
                      <w:color w:val="auto"/>
                      <w:sz w:val="21"/>
                      <w:szCs w:val="21"/>
                      <w:highlight w:val="none"/>
                      <w:vertAlign w:val="baseline"/>
                    </w:rPr>
                    <w:t>）应记录固体废物产生量和去向（处理、处置、综合利用或外运）及相应量</w:t>
                  </w:r>
                  <w:r>
                    <w:rPr>
                      <w:rFonts w:hint="eastAsia" w:cs="Times New Roman"/>
                      <w:color w:val="auto"/>
                      <w:sz w:val="21"/>
                      <w:szCs w:val="21"/>
                      <w:highlight w:val="none"/>
                      <w:vertAlign w:val="baseline"/>
                      <w:lang w:eastAsia="zh-CN"/>
                    </w:rPr>
                    <w:t>。</w:t>
                  </w:r>
                </w:p>
                <w:p w14:paraId="7776FA3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5</w:t>
                  </w:r>
                  <w:r>
                    <w:rPr>
                      <w:rFonts w:hint="default" w:ascii="Times New Roman" w:hAnsi="Times New Roman" w:eastAsia="宋体" w:cs="Times New Roman"/>
                      <w:color w:val="auto"/>
                      <w:sz w:val="21"/>
                      <w:szCs w:val="21"/>
                      <w:highlight w:val="none"/>
                      <w:vertAlign w:val="baseline"/>
                    </w:rPr>
                    <w:t>）危险废物应按规定严格执行危险废物转移联单制度。</w:t>
                  </w:r>
                </w:p>
              </w:tc>
              <w:tc>
                <w:tcPr>
                  <w:tcW w:w="3025" w:type="dxa"/>
                  <w:vAlign w:val="center"/>
                </w:tcPr>
                <w:p w14:paraId="462443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项目印刷环节产生的废包装材料等一般工业固体废物统一收集后外售至物资回收单位，实现资源化综合利用；废油墨桶、废活性炭等涉VOCs危险废物，分类收集后存放于危险废物暂存间内，废包装容器全程加盖密闭，暂存区域落实防渗、防雨、防流失、防扬散措施。企业建立固体废物全过程管理台账，如实记录各类固废产生、贮存、转运、处置数量及去向。所有危险废物均委托具备危险废物收集、运输、处置资质的单位定期清运处置，严格执行危险废物转移联单管理制度，固废处置率100%。</w:t>
                  </w:r>
                </w:p>
              </w:tc>
              <w:tc>
                <w:tcPr>
                  <w:tcW w:w="891" w:type="dxa"/>
                  <w:vAlign w:val="center"/>
                </w:tcPr>
                <w:p w14:paraId="7531FA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符合</w:t>
                  </w:r>
                </w:p>
              </w:tc>
            </w:tr>
          </w:tbl>
          <w:p w14:paraId="075A81FF">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根据上表可知，本项目的建设符合《排污许可证申请与核发技术规范 印刷工业》（HJ 1066-2019）中的相关要求。</w:t>
            </w:r>
          </w:p>
          <w:p w14:paraId="70E7102D">
            <w:pPr>
              <w:pStyle w:val="77"/>
              <w:numPr>
                <w:ilvl w:val="0"/>
                <w:numId w:val="0"/>
              </w:numPr>
              <w:ind w:firstLine="480" w:firstLineChars="200"/>
              <w:rPr>
                <w:rFonts w:hint="default" w:ascii="Times New Roman" w:hAnsi="Times New Roman" w:cs="Times New Roman"/>
                <w:color w:val="auto"/>
                <w:kern w:val="2"/>
                <w:sz w:val="24"/>
                <w:szCs w:val="24"/>
                <w:lang w:val="en-US" w:eastAsia="zh-CN" w:bidi="ar"/>
              </w:rPr>
            </w:pPr>
            <w:r>
              <w:rPr>
                <w:rFonts w:hint="eastAsia" w:ascii="Times New Roman" w:hAnsi="Times New Roman" w:cs="Times New Roman"/>
                <w:color w:val="auto"/>
                <w:kern w:val="2"/>
                <w:sz w:val="24"/>
                <w:szCs w:val="24"/>
                <w:lang w:val="en-US" w:eastAsia="zh-CN" w:bidi="ar"/>
              </w:rPr>
              <w:t>12</w:t>
            </w:r>
            <w:r>
              <w:rPr>
                <w:rFonts w:hint="default" w:ascii="Times New Roman" w:hAnsi="Times New Roman" w:cs="Times New Roman"/>
                <w:color w:val="auto"/>
                <w:kern w:val="2"/>
                <w:sz w:val="24"/>
                <w:szCs w:val="24"/>
                <w:lang w:val="en-US" w:eastAsia="zh-CN" w:bidi="ar"/>
              </w:rPr>
              <w:t>、项目与《印刷工业</w:t>
            </w:r>
            <w:r>
              <w:rPr>
                <w:rFonts w:hint="eastAsia" w:ascii="Times New Roman" w:hAnsi="Times New Roman" w:cs="Times New Roman"/>
                <w:color w:val="auto"/>
                <w:kern w:val="2"/>
                <w:sz w:val="24"/>
                <w:szCs w:val="24"/>
                <w:lang w:val="en-US" w:eastAsia="zh-CN" w:bidi="ar"/>
              </w:rPr>
              <w:t>大气污染物排放标准</w:t>
            </w:r>
            <w:r>
              <w:rPr>
                <w:rFonts w:hint="default" w:ascii="Times New Roman" w:hAnsi="Times New Roman" w:cs="Times New Roman"/>
                <w:color w:val="auto"/>
                <w:kern w:val="2"/>
                <w:sz w:val="24"/>
                <w:szCs w:val="24"/>
                <w:lang w:val="en-US" w:eastAsia="zh-CN" w:bidi="ar"/>
              </w:rPr>
              <w:t>》（</w:t>
            </w:r>
            <w:r>
              <w:rPr>
                <w:rFonts w:hint="eastAsia" w:ascii="Times New Roman" w:hAnsi="Times New Roman" w:cs="Times New Roman"/>
                <w:color w:val="auto"/>
                <w:kern w:val="2"/>
                <w:sz w:val="24"/>
                <w:szCs w:val="24"/>
                <w:lang w:val="en-US" w:eastAsia="zh-CN" w:bidi="ar"/>
              </w:rPr>
              <w:t>GB</w:t>
            </w:r>
            <w:r>
              <w:rPr>
                <w:rFonts w:hint="default" w:ascii="Times New Roman" w:hAnsi="Times New Roman" w:cs="Times New Roman"/>
                <w:color w:val="auto"/>
                <w:kern w:val="2"/>
                <w:sz w:val="24"/>
                <w:szCs w:val="24"/>
                <w:lang w:val="en-US" w:eastAsia="zh-CN" w:bidi="ar"/>
              </w:rPr>
              <w:t xml:space="preserve"> </w:t>
            </w:r>
            <w:r>
              <w:rPr>
                <w:rFonts w:hint="eastAsia" w:ascii="Times New Roman" w:hAnsi="Times New Roman" w:cs="Times New Roman"/>
                <w:color w:val="auto"/>
                <w:kern w:val="2"/>
                <w:sz w:val="24"/>
                <w:szCs w:val="24"/>
                <w:lang w:val="en-US" w:eastAsia="zh-CN" w:bidi="ar"/>
              </w:rPr>
              <w:t>4</w:t>
            </w:r>
            <w:r>
              <w:rPr>
                <w:rFonts w:hint="default" w:ascii="Times New Roman" w:hAnsi="Times New Roman" w:cs="Times New Roman"/>
                <w:color w:val="auto"/>
                <w:kern w:val="2"/>
                <w:sz w:val="24"/>
                <w:szCs w:val="24"/>
                <w:lang w:val="en-US" w:eastAsia="zh-CN" w:bidi="ar"/>
              </w:rPr>
              <w:t>16</w:t>
            </w:r>
            <w:r>
              <w:rPr>
                <w:rFonts w:hint="eastAsia" w:ascii="Times New Roman" w:hAnsi="Times New Roman" w:cs="Times New Roman"/>
                <w:color w:val="auto"/>
                <w:kern w:val="2"/>
                <w:sz w:val="24"/>
                <w:szCs w:val="24"/>
                <w:lang w:val="en-US" w:eastAsia="zh-CN" w:bidi="ar"/>
              </w:rPr>
              <w:t>16</w:t>
            </w:r>
            <w:r>
              <w:rPr>
                <w:rFonts w:hint="default" w:ascii="Times New Roman" w:hAnsi="Times New Roman" w:cs="Times New Roman"/>
                <w:color w:val="auto"/>
                <w:kern w:val="2"/>
                <w:sz w:val="24"/>
                <w:szCs w:val="24"/>
                <w:lang w:val="en-US" w:eastAsia="zh-CN" w:bidi="ar"/>
              </w:rPr>
              <w:t>-20</w:t>
            </w:r>
            <w:r>
              <w:rPr>
                <w:rFonts w:hint="eastAsia" w:ascii="Times New Roman" w:hAnsi="Times New Roman" w:cs="Times New Roman"/>
                <w:color w:val="auto"/>
                <w:kern w:val="2"/>
                <w:sz w:val="24"/>
                <w:szCs w:val="24"/>
                <w:lang w:val="en-US" w:eastAsia="zh-CN" w:bidi="ar"/>
              </w:rPr>
              <w:t>22</w:t>
            </w:r>
            <w:r>
              <w:rPr>
                <w:rFonts w:hint="default" w:ascii="Times New Roman" w:hAnsi="Times New Roman" w:cs="Times New Roman"/>
                <w:color w:val="auto"/>
                <w:kern w:val="2"/>
                <w:sz w:val="24"/>
                <w:szCs w:val="24"/>
                <w:lang w:val="en-US" w:eastAsia="zh-CN" w:bidi="ar"/>
              </w:rPr>
              <w:t>）的符合性分析</w:t>
            </w:r>
          </w:p>
          <w:p w14:paraId="08431F01">
            <w:pPr>
              <w:autoSpaceDE w:val="0"/>
              <w:autoSpaceDN w:val="0"/>
              <w:adjustRightInd w:val="0"/>
              <w:snapToGrid w:val="0"/>
              <w:spacing w:line="360" w:lineRule="auto"/>
              <w:jc w:val="center"/>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lang w:val="en-US" w:eastAsia="zh-CN"/>
              </w:rPr>
              <w:t>表1-</w:t>
            </w:r>
            <w:r>
              <w:rPr>
                <w:rFonts w:hint="eastAsia" w:ascii="Times New Roman" w:hAnsi="Times New Roman" w:cs="Times New Roman"/>
                <w:b/>
                <w:bCs/>
                <w:color w:val="auto"/>
                <w:kern w:val="0"/>
                <w:sz w:val="24"/>
                <w:highlight w:val="none"/>
                <w:lang w:val="en-US" w:eastAsia="zh-CN"/>
              </w:rPr>
              <w:t xml:space="preserve">16  </w:t>
            </w:r>
            <w:r>
              <w:rPr>
                <w:rFonts w:hint="default" w:ascii="Times New Roman" w:hAnsi="Times New Roman" w:cs="Times New Roman"/>
                <w:b/>
                <w:bCs/>
                <w:color w:val="auto"/>
                <w:kern w:val="0"/>
                <w:sz w:val="24"/>
                <w:highlight w:val="none"/>
                <w:lang w:val="en-US" w:eastAsia="zh-CN"/>
              </w:rPr>
              <w:t>与《印刷工业大气污染物排放标准》的符合性分析</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
              <w:gridCol w:w="3425"/>
              <w:gridCol w:w="2712"/>
              <w:gridCol w:w="891"/>
            </w:tblGrid>
            <w:tr w14:paraId="6569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4" w:type="dxa"/>
                  <w:gridSpan w:val="2"/>
                  <w:vAlign w:val="center"/>
                </w:tcPr>
                <w:p w14:paraId="31A18D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排放控制要求</w:t>
                  </w:r>
                </w:p>
              </w:tc>
              <w:tc>
                <w:tcPr>
                  <w:tcW w:w="2712" w:type="dxa"/>
                  <w:shd w:val="clear" w:color="auto" w:fill="auto"/>
                  <w:vAlign w:val="center"/>
                </w:tcPr>
                <w:p w14:paraId="3C377E8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rPr>
                    <w:t>相符性分析</w:t>
                  </w:r>
                </w:p>
              </w:tc>
              <w:tc>
                <w:tcPr>
                  <w:tcW w:w="891" w:type="dxa"/>
                  <w:shd w:val="clear" w:color="auto" w:fill="auto"/>
                  <w:vAlign w:val="center"/>
                </w:tcPr>
                <w:p w14:paraId="220772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rPr>
                    <w:t>符合性</w:t>
                  </w:r>
                </w:p>
              </w:tc>
            </w:tr>
            <w:tr w14:paraId="0816D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dxa"/>
                  <w:vAlign w:val="center"/>
                </w:tcPr>
                <w:p w14:paraId="1D4AE3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有组织排放</w:t>
                  </w:r>
                </w:p>
              </w:tc>
              <w:tc>
                <w:tcPr>
                  <w:tcW w:w="3425" w:type="dxa"/>
                  <w:vAlign w:val="center"/>
                </w:tcPr>
                <w:p w14:paraId="163CDB9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w:t>
                  </w:r>
                  <w:r>
                    <w:rPr>
                      <w:rFonts w:hint="default" w:ascii="Times New Roman" w:hAnsi="Times New Roman" w:eastAsia="宋体" w:cs="Times New Roman"/>
                      <w:color w:val="auto"/>
                      <w:sz w:val="21"/>
                      <w:szCs w:val="21"/>
                      <w:highlight w:val="none"/>
                      <w:vertAlign w:val="baseline"/>
                      <w:lang w:val="en-US" w:eastAsia="zh-CN"/>
                    </w:rPr>
                    <w:t>）车间或生产设施排气中NMHC初始排放速率≥</w:t>
                  </w:r>
                  <w:r>
                    <w:rPr>
                      <w:rFonts w:hint="eastAsia" w:cs="Times New Roman"/>
                      <w:color w:val="auto"/>
                      <w:sz w:val="21"/>
                      <w:szCs w:val="21"/>
                      <w:highlight w:val="none"/>
                      <w:vertAlign w:val="baseline"/>
                      <w:lang w:val="en-US" w:eastAsia="zh-CN"/>
                    </w:rPr>
                    <w:t>3</w:t>
                  </w:r>
                  <w:r>
                    <w:rPr>
                      <w:rFonts w:hint="default" w:ascii="Times New Roman" w:hAnsi="Times New Roman" w:eastAsia="宋体" w:cs="Times New Roman"/>
                      <w:color w:val="auto"/>
                      <w:sz w:val="21"/>
                      <w:szCs w:val="21"/>
                      <w:highlight w:val="none"/>
                      <w:vertAlign w:val="baseline"/>
                      <w:lang w:val="en-US" w:eastAsia="zh-CN"/>
                    </w:rPr>
                    <w:t>kg/h的，VOCs处理设施的处理效率不应低于80%；对于重点地区，车间或生产设施排气中NMHC初始排放速率≥2kg/h的，VOCs处理设施的处理效率不应低于80%；采用的原辅材料符合国家有关低VOCs含量产品规定的除外。</w:t>
                  </w:r>
                </w:p>
                <w:p w14:paraId="6A6716A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w:t>
                  </w:r>
                  <w:r>
                    <w:rPr>
                      <w:rFonts w:hint="default" w:ascii="Times New Roman" w:hAnsi="Times New Roman" w:eastAsia="宋体" w:cs="Times New Roman"/>
                      <w:color w:val="auto"/>
                      <w:sz w:val="21"/>
                      <w:szCs w:val="21"/>
                      <w:highlight w:val="none"/>
                      <w:vertAlign w:val="baseline"/>
                      <w:lang w:val="en-US" w:eastAsia="zh-CN"/>
                    </w:rPr>
                    <w:t>）排气筒高度不低于15m</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因安全考虑或有特殊工艺要求的除外</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具体高度以及与周围建筑物的相对高度关系应根据环境影响评价文件确定｡</w:t>
                  </w:r>
                </w:p>
                <w:p w14:paraId="3440C9B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3）废气收集处理系统应与生产工艺设备同步运行｡废气收集处理系统发生故障或检修时，对应的生产工艺设备应停止运行，待排除故障或检修完毕后同步投入使用｡</w:t>
                  </w:r>
                </w:p>
                <w:p w14:paraId="4094499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4）企业应按照HJ 944要求建立台账，记录污染处理设施的主要运行信息，如废气收集量和处理量､废气浓度､处理设施关键运行参数（操作温度､停留时间､吸附剂再生/更换周期和更换量､吸收液用量等）､运行时间等｡台账（包括处理设施控制系统运行数据记录）保存期限不少于3年｡</w:t>
                  </w:r>
                </w:p>
              </w:tc>
              <w:tc>
                <w:tcPr>
                  <w:tcW w:w="2712" w:type="dxa"/>
                  <w:vAlign w:val="center"/>
                </w:tcPr>
                <w:p w14:paraId="0197081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cs="Times New Roman"/>
                      <w:color w:val="auto"/>
                      <w:sz w:val="21"/>
                      <w:szCs w:val="21"/>
                      <w:highlight w:val="none"/>
                      <w:vertAlign w:val="baseline"/>
                      <w:lang w:eastAsia="zh-CN"/>
                    </w:rPr>
                  </w:pPr>
                  <w:r>
                    <w:rPr>
                      <w:rFonts w:hint="eastAsia" w:cs="Times New Roman"/>
                      <w:color w:val="auto"/>
                      <w:sz w:val="21"/>
                      <w:szCs w:val="21"/>
                      <w:highlight w:val="none"/>
                      <w:vertAlign w:val="baseline"/>
                      <w:lang w:val="en-US" w:eastAsia="zh-CN"/>
                    </w:rPr>
                    <w:t>1</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经计算，项目NMHC（塑料废气）初始排放速率约为10.73kg/h，项目生产过程中产生的塑料废气（以非甲烷总烃计）经包围型集气罩（含软帘）收集，经管道引入1套废气处理设施（活性炭吸附浓缩+CO处理工艺）（TA001）进行处理，处理后通过1根20m高排气筒排放（DA001），处理效率为80%。项目各有机废气产生的环节遵循“应收尽收”的要求，经治理后的废气能够做到达标排放，有效地降低了对外环境的影响，满足VOCs排放控制要求</w:t>
                  </w:r>
                  <w:r>
                    <w:rPr>
                      <w:rFonts w:hint="eastAsia" w:cs="Times New Roman"/>
                      <w:color w:val="auto"/>
                      <w:sz w:val="21"/>
                      <w:szCs w:val="21"/>
                      <w:highlight w:val="none"/>
                      <w:vertAlign w:val="baseline"/>
                      <w:lang w:eastAsia="zh-CN"/>
                    </w:rPr>
                    <w:t>。</w:t>
                  </w:r>
                </w:p>
                <w:p w14:paraId="25711B3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cs="Times New Roman"/>
                      <w:color w:val="auto"/>
                      <w:sz w:val="21"/>
                      <w:szCs w:val="21"/>
                      <w:highlight w:val="none"/>
                      <w:vertAlign w:val="baseline"/>
                      <w:lang w:eastAsia="zh-CN"/>
                    </w:rPr>
                  </w:pPr>
                  <w:r>
                    <w:rPr>
                      <w:rFonts w:hint="eastAsia" w:cs="Times New Roman"/>
                      <w:color w:val="auto"/>
                      <w:sz w:val="21"/>
                      <w:szCs w:val="21"/>
                      <w:highlight w:val="none"/>
                      <w:vertAlign w:val="baseline"/>
                      <w:lang w:val="en-US" w:eastAsia="zh-CN"/>
                    </w:rPr>
                    <w:t>2</w:t>
                  </w:r>
                  <w:r>
                    <w:rPr>
                      <w:rFonts w:hint="eastAsia" w:cs="Times New Roman"/>
                      <w:color w:val="auto"/>
                      <w:sz w:val="21"/>
                      <w:szCs w:val="21"/>
                      <w:highlight w:val="none"/>
                      <w:vertAlign w:val="baseline"/>
                      <w:lang w:eastAsia="zh-CN"/>
                    </w:rPr>
                    <w:t>）项目印刷废气经收集</w:t>
                  </w:r>
                  <w:r>
                    <w:rPr>
                      <w:rFonts w:hint="eastAsia" w:cs="Times New Roman"/>
                      <w:color w:val="auto"/>
                      <w:sz w:val="21"/>
                      <w:szCs w:val="21"/>
                      <w:highlight w:val="none"/>
                      <w:vertAlign w:val="baseline"/>
                      <w:lang w:val="en-US" w:eastAsia="zh-CN"/>
                    </w:rPr>
                    <w:t>后由“</w:t>
                  </w:r>
                  <w:r>
                    <w:rPr>
                      <w:rFonts w:hint="eastAsia" w:cs="Times New Roman"/>
                      <w:color w:val="auto"/>
                      <w:sz w:val="21"/>
                      <w:szCs w:val="21"/>
                      <w:highlight w:val="none"/>
                      <w:vertAlign w:val="baseline"/>
                      <w:lang w:eastAsia="zh-CN"/>
                    </w:rPr>
                    <w:t>二级活性炭吸附废气处理设施”（TA002）处理，最终通过1根高度为20m的排气筒（DA002）排放，排气筒高度超</w:t>
                  </w:r>
                  <w:r>
                    <w:rPr>
                      <w:rFonts w:hint="eastAsia" w:cs="Times New Roman"/>
                      <w:color w:val="auto"/>
                      <w:sz w:val="21"/>
                      <w:szCs w:val="21"/>
                      <w:highlight w:val="none"/>
                      <w:vertAlign w:val="baseline"/>
                      <w:lang w:val="en-US" w:eastAsia="zh-CN"/>
                    </w:rPr>
                    <w:t>过</w:t>
                  </w:r>
                  <w:r>
                    <w:rPr>
                      <w:rFonts w:hint="eastAsia" w:cs="Times New Roman"/>
                      <w:color w:val="auto"/>
                      <w:sz w:val="21"/>
                      <w:szCs w:val="21"/>
                      <w:highlight w:val="none"/>
                      <w:vertAlign w:val="baseline"/>
                      <w:lang w:eastAsia="zh-CN"/>
                    </w:rPr>
                    <w:t>标准规定的15m最低要求，布设高度、与周边建筑相对位置均符合环评文件及规范要求。</w:t>
                  </w:r>
                </w:p>
                <w:p w14:paraId="21A4371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cs="Times New Roman"/>
                      <w:color w:val="auto"/>
                      <w:sz w:val="21"/>
                      <w:szCs w:val="21"/>
                      <w:highlight w:val="none"/>
                      <w:vertAlign w:val="baseline"/>
                      <w:lang w:eastAsia="zh-CN"/>
                    </w:rPr>
                  </w:pPr>
                  <w:r>
                    <w:rPr>
                      <w:rFonts w:hint="eastAsia" w:cs="Times New Roman"/>
                      <w:color w:val="auto"/>
                      <w:sz w:val="21"/>
                      <w:szCs w:val="21"/>
                      <w:highlight w:val="none"/>
                      <w:vertAlign w:val="baseline"/>
                      <w:lang w:val="en-US" w:eastAsia="zh-CN"/>
                    </w:rPr>
                    <w:t>3</w:t>
                  </w:r>
                  <w:r>
                    <w:rPr>
                      <w:rFonts w:hint="eastAsia" w:cs="Times New Roman"/>
                      <w:color w:val="auto"/>
                      <w:sz w:val="21"/>
                      <w:szCs w:val="21"/>
                      <w:highlight w:val="none"/>
                      <w:vertAlign w:val="baseline"/>
                      <w:lang w:eastAsia="zh-CN"/>
                    </w:rPr>
                    <w:t>）项目建立严格的设备联动运行制度，废气收集处理系统与印刷生产设备严格同步启停，遵循“先启治污设施、后启生产设备，先停生产设备、后停治污设施”的运行原则。若废气收集处理系统出现故障、检修维护时，将立即停止印刷工序生产，待设施故障排除、检修完成且运行正常后，方可同步恢复生产，杜绝非正常废气排放。</w:t>
                  </w:r>
                </w:p>
                <w:p w14:paraId="3160A5E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cs="Times New Roman"/>
                      <w:color w:val="auto"/>
                      <w:sz w:val="21"/>
                      <w:szCs w:val="21"/>
                      <w:highlight w:val="none"/>
                      <w:vertAlign w:val="baseline"/>
                      <w:lang w:eastAsia="zh-CN"/>
                    </w:rPr>
                  </w:pPr>
                  <w:r>
                    <w:rPr>
                      <w:rFonts w:hint="eastAsia" w:cs="Times New Roman"/>
                      <w:color w:val="auto"/>
                      <w:sz w:val="21"/>
                      <w:szCs w:val="21"/>
                      <w:highlight w:val="none"/>
                      <w:vertAlign w:val="baseline"/>
                      <w:lang w:val="en-US" w:eastAsia="zh-CN"/>
                    </w:rPr>
                    <w:t>4</w:t>
                  </w:r>
                  <w:r>
                    <w:rPr>
                      <w:rFonts w:hint="eastAsia" w:cs="Times New Roman"/>
                      <w:color w:val="auto"/>
                      <w:sz w:val="21"/>
                      <w:szCs w:val="21"/>
                      <w:highlight w:val="none"/>
                      <w:vertAlign w:val="baseline"/>
                      <w:lang w:eastAsia="zh-CN"/>
                    </w:rPr>
                    <w:t>）项目运营后将严格遵照HJ 944规范建立健全环保运行台账，全面、如实记录治理设施运行时长、操作参数、活性炭吸附剂更换周期及更换量等关键信息，完整留存设施控制系统运行数据。所有台账资料统一归档管理，留存期限不低于3年，满足标准台账管理要求。</w:t>
                  </w:r>
                </w:p>
              </w:tc>
              <w:tc>
                <w:tcPr>
                  <w:tcW w:w="891" w:type="dxa"/>
                  <w:vAlign w:val="center"/>
                </w:tcPr>
                <w:p w14:paraId="2A89FE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符合</w:t>
                  </w:r>
                </w:p>
              </w:tc>
            </w:tr>
            <w:tr w14:paraId="107DE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dxa"/>
                  <w:vAlign w:val="center"/>
                </w:tcPr>
                <w:p w14:paraId="57353E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无组织排放</w:t>
                  </w:r>
                </w:p>
              </w:tc>
              <w:tc>
                <w:tcPr>
                  <w:tcW w:w="3425" w:type="dxa"/>
                  <w:vAlign w:val="center"/>
                </w:tcPr>
                <w:p w14:paraId="4131B7F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rPr>
                  </w:pPr>
                  <w:r>
                    <w:rPr>
                      <w:rFonts w:hint="eastAsia" w:ascii="Times New Roman" w:hAnsi="Times New Roman" w:eastAsia="宋体" w:cs="Times New Roman"/>
                      <w:color w:val="auto"/>
                      <w:sz w:val="21"/>
                      <w:szCs w:val="21"/>
                      <w:highlight w:val="none"/>
                      <w:vertAlign w:val="baseline"/>
                      <w:lang w:val="en-US" w:eastAsia="zh-CN"/>
                    </w:rPr>
                    <w:t>1</w:t>
                  </w:r>
                  <w:r>
                    <w:rPr>
                      <w:rFonts w:hint="default" w:ascii="Times New Roman" w:hAnsi="Times New Roman" w:eastAsia="宋体" w:cs="Times New Roman"/>
                      <w:color w:val="auto"/>
                      <w:sz w:val="21"/>
                      <w:szCs w:val="21"/>
                      <w:highlight w:val="none"/>
                      <w:vertAlign w:val="baseline"/>
                    </w:rPr>
                    <w:t>）油墨､稀释剂､润版液､胶粘剂､涂料､光油､清洗剂､废油墨､废清洗剂､废擦机布等VOCs物料应储存于密闭的容器､包装袋或储罐中｡盛装VOCs物料的容器或包装袋应存放于密闭空间｡盛装VOCs物料的容器或包装袋在物料非取 用状态时应加盖､封口</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保持密闭｡存放过VOCs物料的容器或包装袋应加盖､封口</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保持密闭｡</w:t>
                  </w:r>
                </w:p>
                <w:p w14:paraId="3457603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rPr>
                  </w:pPr>
                  <w:r>
                    <w:rPr>
                      <w:rFonts w:hint="eastAsia" w:ascii="Times New Roman" w:hAnsi="Times New Roman" w:eastAsia="宋体" w:cs="Times New Roman"/>
                      <w:color w:val="auto"/>
                      <w:sz w:val="21"/>
                      <w:szCs w:val="21"/>
                      <w:highlight w:val="none"/>
                      <w:vertAlign w:val="baseline"/>
                      <w:lang w:val="en-US" w:eastAsia="zh-CN"/>
                    </w:rPr>
                    <w:t>2</w:t>
                  </w:r>
                  <w:r>
                    <w:rPr>
                      <w:rFonts w:hint="default" w:ascii="Times New Roman" w:hAnsi="Times New Roman" w:eastAsia="宋体" w:cs="Times New Roman"/>
                      <w:color w:val="auto"/>
                      <w:sz w:val="21"/>
                      <w:szCs w:val="21"/>
                      <w:highlight w:val="none"/>
                      <w:vertAlign w:val="baseline"/>
                    </w:rPr>
                    <w:t>）VOCs物料应采用密闭管道输送｡采用非管道输送方式转移VOCs物料时</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应采用密闭容器或包装袋｡</w:t>
                  </w:r>
                </w:p>
                <w:p w14:paraId="4447644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rPr>
                  </w:pPr>
                  <w:r>
                    <w:rPr>
                      <w:rFonts w:hint="eastAsia" w:ascii="Times New Roman" w:hAnsi="Times New Roman" w:eastAsia="宋体" w:cs="Times New Roman"/>
                      <w:color w:val="auto"/>
                      <w:sz w:val="21"/>
                      <w:szCs w:val="21"/>
                      <w:highlight w:val="none"/>
                      <w:vertAlign w:val="baseline"/>
                      <w:lang w:val="en-US" w:eastAsia="zh-CN"/>
                    </w:rPr>
                    <w:t>3</w:t>
                  </w:r>
                  <w:r>
                    <w:rPr>
                      <w:rFonts w:hint="default" w:ascii="Times New Roman" w:hAnsi="Times New Roman" w:eastAsia="宋体" w:cs="Times New Roman"/>
                      <w:color w:val="auto"/>
                      <w:sz w:val="21"/>
                      <w:szCs w:val="21"/>
                      <w:highlight w:val="none"/>
                      <w:vertAlign w:val="baseline"/>
                    </w:rPr>
                    <w:t>）涉VOCs物料的印刷､干燥､清洗､上光､覆膜､复合､涂布等过程</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应采用密闭设备或在密闭空间内操作</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废气应排至VOCs废气收集处理系统</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无法密闭的</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应采取局部气体收集措施</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废气应排至VOCs废气收集处理系统｡</w:t>
                  </w:r>
                </w:p>
                <w:p w14:paraId="645CCB1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cs="Times New Roman"/>
                      <w:color w:val="auto"/>
                      <w:sz w:val="21"/>
                      <w:szCs w:val="21"/>
                      <w:highlight w:val="none"/>
                      <w:vertAlign w:val="baseline"/>
                      <w:lang w:eastAsia="zh-CN"/>
                    </w:rPr>
                  </w:pPr>
                  <w:r>
                    <w:rPr>
                      <w:rFonts w:hint="eastAsia" w:cs="Times New Roman"/>
                      <w:color w:val="auto"/>
                      <w:sz w:val="21"/>
                      <w:szCs w:val="21"/>
                      <w:highlight w:val="none"/>
                      <w:vertAlign w:val="baseline"/>
                      <w:lang w:val="en-US" w:eastAsia="zh-CN"/>
                    </w:rPr>
                    <w:t>4</w:t>
                  </w:r>
                  <w:r>
                    <w:rPr>
                      <w:rFonts w:hint="eastAsia" w:cs="Times New Roman"/>
                      <w:color w:val="auto"/>
                      <w:sz w:val="21"/>
                      <w:szCs w:val="21"/>
                      <w:highlight w:val="none"/>
                      <w:vertAlign w:val="baseline"/>
                      <w:lang w:eastAsia="zh-CN"/>
                    </w:rPr>
                    <w:t>）企业应考虑印刷生产工艺､操作方式､废气性质､污染物种类､浓度水平等因素，对VOCs废气 进行分类收集处理｡</w:t>
                  </w:r>
                </w:p>
                <w:p w14:paraId="7C040A3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cs="Times New Roman"/>
                      <w:color w:val="auto"/>
                      <w:sz w:val="21"/>
                      <w:szCs w:val="21"/>
                      <w:highlight w:val="none"/>
                      <w:vertAlign w:val="baseline"/>
                      <w:lang w:eastAsia="zh-CN"/>
                    </w:rPr>
                  </w:pPr>
                  <w:r>
                    <w:rPr>
                      <w:rFonts w:hint="eastAsia" w:cs="Times New Roman"/>
                      <w:color w:val="auto"/>
                      <w:sz w:val="21"/>
                      <w:szCs w:val="21"/>
                      <w:highlight w:val="none"/>
                      <w:vertAlign w:val="baseline"/>
                      <w:lang w:val="en-US" w:eastAsia="zh-CN"/>
                    </w:rPr>
                    <w:t>5</w:t>
                  </w:r>
                  <w:r>
                    <w:rPr>
                      <w:rFonts w:hint="eastAsia" w:cs="Times New Roman"/>
                      <w:color w:val="auto"/>
                      <w:sz w:val="21"/>
                      <w:szCs w:val="21"/>
                      <w:highlight w:val="none"/>
                      <w:vertAlign w:val="baseline"/>
                      <w:lang w:eastAsia="zh-CN"/>
                    </w:rPr>
                    <w:t>）废气收集系统排风罩（集气罩）的设置应符合GB/T 16758的规定｡采用外部排风罩的，应按GB/T 16758､WS/T 757—2016规定的方法测量控制风速，测量点应选取在距排风罩开口面最远处的VOCs无组织排放位置，控制风速不应低于0.3m/s｡</w:t>
                  </w:r>
                </w:p>
                <w:p w14:paraId="602B49D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cs="Times New Roman"/>
                      <w:color w:val="auto"/>
                      <w:sz w:val="21"/>
                      <w:szCs w:val="21"/>
                      <w:highlight w:val="none"/>
                      <w:vertAlign w:val="baseline"/>
                      <w:lang w:eastAsia="zh-CN"/>
                    </w:rPr>
                  </w:pPr>
                  <w:r>
                    <w:rPr>
                      <w:rFonts w:hint="eastAsia" w:cs="Times New Roman"/>
                      <w:color w:val="auto"/>
                      <w:sz w:val="21"/>
                      <w:szCs w:val="21"/>
                      <w:highlight w:val="none"/>
                      <w:vertAlign w:val="baseline"/>
                      <w:lang w:val="en-US" w:eastAsia="zh-CN"/>
                    </w:rPr>
                    <w:t>6</w:t>
                  </w:r>
                  <w:r>
                    <w:rPr>
                      <w:rFonts w:hint="eastAsia" w:cs="Times New Roman"/>
                      <w:color w:val="auto"/>
                      <w:sz w:val="21"/>
                      <w:szCs w:val="21"/>
                      <w:highlight w:val="none"/>
                      <w:vertAlign w:val="baseline"/>
                      <w:lang w:eastAsia="zh-CN"/>
                    </w:rPr>
                    <w:t>）无组织排放废气收集处理系统应与生产工艺设备同步运行｡废气收集处理系统发生故障或检修时，对应的生产工艺设备应停止运行，待排除故障或检修完毕后同步投入使用｡</w:t>
                  </w:r>
                </w:p>
              </w:tc>
              <w:tc>
                <w:tcPr>
                  <w:tcW w:w="2712" w:type="dxa"/>
                  <w:vAlign w:val="center"/>
                </w:tcPr>
                <w:p w14:paraId="3083E52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1</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项目涉VOCs物料主要为水性油墨，均采用密闭桶装储存，存放于封闭式生产车间内。物料仅在投料取用期间短暂开盖，其余非取用状态全程加盖封口、密闭存放；使用完毕的空油墨桶等物料，及时密闭封存，符合物料储存管控要求。</w:t>
                  </w:r>
                </w:p>
                <w:p w14:paraId="0B17E11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2</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项目油墨等VOCs物料全程采用密闭容器转移物料，物料转移全过程密闭性良好，可有效杜绝VOCs物料转移过程中的无组织逸散排放。</w:t>
                  </w:r>
                </w:p>
                <w:p w14:paraId="0FD499E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3</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项目涉VOCs的印刷工序全部布置于密闭生产车间内开展，同时针对印刷作业点位配套布设带软帘的包围型局部集气收集设施，对印刷过程产生的有机废气进行全方位收集，收集后的废气统一送入二级活性炭吸附废气处理系统处置，实现无组织废气高效收集、规范治理。</w:t>
                  </w:r>
                </w:p>
                <w:p w14:paraId="23BDCAD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4</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项目结合各生产工序工艺特点、废气污染物组分及浓度差异，实行废气分类收集、分质专项治理。将印刷废气与塑料废气单独管网收集、分开处置，为印刷VOCs废气配套</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二级活性炭吸附治理设施</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，废气收集治理体系科学规范、贴合生产实际。</w:t>
                  </w:r>
                </w:p>
                <w:p w14:paraId="6CCC713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5</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项目印刷工序配套的包围型外部集气罩，严格按照GB/T 16758规范设计、布设与安装，风机风量与集气区域精准匹配。按照WS/T 757—2016标准要求对集气罩风速进行管控，确保排风罩开口面最远端无组织排放点位的控制风速稳定不低于0.3m/s，废气收集效率高，可有效管控无组织废气逸散，满足标准规范要求。</w:t>
                  </w:r>
                </w:p>
                <w:p w14:paraId="01C4CD8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vertAlign w:val="baseline"/>
                    </w:rPr>
                  </w:pPr>
                  <w:r>
                    <w:rPr>
                      <w:rFonts w:hint="eastAsia" w:cs="Times New Roman"/>
                      <w:color w:val="auto"/>
                      <w:sz w:val="21"/>
                      <w:szCs w:val="21"/>
                      <w:highlight w:val="none"/>
                      <w:vertAlign w:val="baseline"/>
                      <w:lang w:val="en-US" w:eastAsia="zh-CN"/>
                    </w:rPr>
                    <w:t>6</w:t>
                  </w:r>
                  <w:r>
                    <w:rPr>
                      <w:rFonts w:hint="eastAsia"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项目废气收集设施与印刷生产设备实现一体化联动管控，同步启停、同步运行，生产作业期间集气系统全程稳定运行。若废气收集处理系统出现故障、停机检修，将第一时间暂停所有涉VOCs印刷生产作业，待系统检修完成、试运行正常后，方可同步恢复生产，彻底规避废气非正常排放风险。</w:t>
                  </w:r>
                </w:p>
              </w:tc>
              <w:tc>
                <w:tcPr>
                  <w:tcW w:w="891" w:type="dxa"/>
                  <w:vAlign w:val="center"/>
                </w:tcPr>
                <w:p w14:paraId="11BB0D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符合</w:t>
                  </w:r>
                </w:p>
              </w:tc>
            </w:tr>
          </w:tbl>
          <w:p w14:paraId="21815E79">
            <w:pPr>
              <w:autoSpaceDE w:val="0"/>
              <w:autoSpaceDN w:val="0"/>
              <w:adjustRightInd w:val="0"/>
              <w:snapToGrid w:val="0"/>
              <w:spacing w:line="360" w:lineRule="auto"/>
              <w:ind w:firstLine="482" w:firstLineChars="200"/>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w:t>
            </w:r>
            <w:r>
              <w:rPr>
                <w:rFonts w:hint="default" w:ascii="Times New Roman" w:hAnsi="Times New Roman" w:eastAsia="宋体" w:cs="Times New Roman"/>
                <w:b/>
                <w:bCs/>
                <w:color w:val="auto"/>
                <w:sz w:val="24"/>
                <w:highlight w:val="none"/>
                <w:lang w:val="en-US" w:eastAsia="zh-CN"/>
              </w:rPr>
              <w:t>三</w:t>
            </w:r>
            <w:r>
              <w:rPr>
                <w:rFonts w:hint="default" w:ascii="Times New Roman" w:hAnsi="Times New Roman" w:eastAsia="宋体" w:cs="Times New Roman"/>
                <w:b/>
                <w:bCs/>
                <w:color w:val="auto"/>
                <w:sz w:val="24"/>
                <w:highlight w:val="none"/>
              </w:rPr>
              <w:t>）产业政策符合性分析</w:t>
            </w:r>
          </w:p>
          <w:p w14:paraId="3363410D">
            <w:pPr>
              <w:spacing w:line="360" w:lineRule="auto"/>
              <w:ind w:firstLine="480" w:firstLineChars="200"/>
              <w:rPr>
                <w:rFonts w:hint="default" w:ascii="Times New Roman" w:hAnsi="Times New Roman" w:cs="Times New Roman"/>
                <w:color w:val="auto"/>
                <w:sz w:val="24"/>
                <w:highlight w:val="none"/>
              </w:rPr>
            </w:pPr>
            <w:bookmarkStart w:id="5" w:name="_Hlk161927802"/>
            <w:r>
              <w:rPr>
                <w:rFonts w:hint="default" w:ascii="Times New Roman" w:hAnsi="Times New Roman" w:cs="Times New Roman"/>
                <w:color w:val="auto"/>
                <w:sz w:val="24"/>
                <w:highlight w:val="none"/>
              </w:rPr>
              <w:t>本项目主要生产</w:t>
            </w:r>
            <w:r>
              <w:rPr>
                <w:rFonts w:hint="eastAsia" w:cs="Times New Roman"/>
                <w:color w:val="auto"/>
                <w:sz w:val="24"/>
                <w:highlight w:val="none"/>
                <w:lang w:val="en-US" w:eastAsia="zh-CN"/>
              </w:rPr>
              <w:t>新型环保材料石塑箱</w:t>
            </w:r>
            <w:r>
              <w:rPr>
                <w:rFonts w:hint="default" w:ascii="Times New Roman" w:hAnsi="Times New Roman" w:cs="Times New Roman"/>
                <w:color w:val="auto"/>
                <w:sz w:val="24"/>
                <w:highlight w:val="none"/>
              </w:rPr>
              <w:t>，属于塑料制品业。对照《产业结构调整指导目录（2024年本）》，项目不属于鼓励类、限制类和淘汰类。根据国务院《促进产业结构调整暂行规定》（国发〔2005〕40号），第十三条</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不属于鼓励类、限制类及淘汰类，且符合国家有关法律、法规和政策规定的，为</w:t>
            </w:r>
            <w:r>
              <w:rPr>
                <w:rFonts w:hint="eastAsia" w:cs="Times New Roman"/>
                <w:color w:val="auto"/>
                <w:sz w:val="24"/>
                <w:highlight w:val="none"/>
                <w:lang w:eastAsia="zh-CN"/>
              </w:rPr>
              <w:t>“允许类”</w:t>
            </w:r>
            <w:r>
              <w:rPr>
                <w:rFonts w:hint="default" w:ascii="Times New Roman" w:hAnsi="Times New Roman" w:cs="Times New Roman"/>
                <w:color w:val="auto"/>
                <w:sz w:val="24"/>
                <w:highlight w:val="none"/>
              </w:rPr>
              <w:t>。因此，项目属于允许类项目。</w:t>
            </w:r>
          </w:p>
          <w:p w14:paraId="4C937816">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项目位于</w:t>
            </w:r>
            <w:r>
              <w:rPr>
                <w:rFonts w:hint="eastAsia" w:cs="Times New Roman"/>
                <w:color w:val="auto"/>
                <w:sz w:val="24"/>
                <w:highlight w:val="none"/>
                <w:lang w:val="en-US" w:eastAsia="zh-CN"/>
              </w:rPr>
              <w:t>云南红塔产业园区，建设于</w:t>
            </w:r>
            <w:r>
              <w:rPr>
                <w:rFonts w:hint="default" w:ascii="Times New Roman" w:hAnsi="Times New Roman" w:cs="Times New Roman"/>
                <w:color w:val="auto"/>
                <w:sz w:val="24"/>
                <w:highlight w:val="none"/>
              </w:rPr>
              <w:t>云南省玉溪市红塔区研和街道贾井社区研和工业园区三缘电缆厂内，属于研和片区地块一。项目于2025年8月6日取得了玉溪市红塔区发展和改革局核发的云南省固定资产投资项目备案证（备案编号：2508-530402-04-01-454327）。项目于2025年8月22日，取得了云南红塔产业园区管理委员会核发的入园通知书，同意项目入园。</w:t>
            </w:r>
          </w:p>
          <w:p w14:paraId="2814B25D">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因此，项目建设符合国家相关产业政策。</w:t>
            </w:r>
          </w:p>
          <w:bookmarkEnd w:id="5"/>
          <w:p w14:paraId="346A17FB">
            <w:pPr>
              <w:autoSpaceDE w:val="0"/>
              <w:autoSpaceDN w:val="0"/>
              <w:adjustRightInd w:val="0"/>
              <w:snapToGrid w:val="0"/>
              <w:spacing w:line="360" w:lineRule="auto"/>
              <w:ind w:firstLine="482" w:firstLineChars="200"/>
              <w:jc w:val="left"/>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w:t>
            </w:r>
            <w:r>
              <w:rPr>
                <w:rFonts w:hint="default" w:ascii="Times New Roman" w:hAnsi="Times New Roman" w:eastAsia="宋体" w:cs="Times New Roman"/>
                <w:b/>
                <w:bCs/>
                <w:color w:val="auto"/>
                <w:sz w:val="24"/>
                <w:highlight w:val="none"/>
                <w:lang w:val="en-US" w:eastAsia="zh-CN"/>
              </w:rPr>
              <w:t>四</w:t>
            </w:r>
            <w:r>
              <w:rPr>
                <w:rFonts w:hint="default" w:ascii="Times New Roman" w:hAnsi="Times New Roman" w:eastAsia="宋体" w:cs="Times New Roman"/>
                <w:b/>
                <w:bCs/>
                <w:color w:val="auto"/>
                <w:sz w:val="24"/>
                <w:highlight w:val="none"/>
              </w:rPr>
              <w:t>）选址合理性分析</w:t>
            </w:r>
          </w:p>
          <w:p w14:paraId="68D38944">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本项目位于云南省玉溪市红塔区研和街道贾井社区研和工业园区三缘电缆厂内，租</w:t>
            </w:r>
            <w:r>
              <w:rPr>
                <w:rFonts w:hint="eastAsia" w:cs="Times New Roman"/>
                <w:color w:val="auto"/>
                <w:sz w:val="24"/>
                <w:highlight w:val="none"/>
                <w:lang w:val="en-US" w:eastAsia="zh-CN"/>
              </w:rPr>
              <w:t>用云南三缘电缆有限责任公司</w:t>
            </w:r>
            <w:r>
              <w:rPr>
                <w:rFonts w:hint="default" w:ascii="Times New Roman" w:hAnsi="Times New Roman" w:cs="Times New Roman"/>
                <w:color w:val="auto"/>
                <w:sz w:val="24"/>
                <w:highlight w:val="none"/>
              </w:rPr>
              <w:t>的闲置厂房进行建设。</w:t>
            </w:r>
          </w:p>
          <w:p w14:paraId="3D03AA65">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项目于2025年8月22日，取得了云南红塔产业园区管理委员会核发的入园通知书，同意项目入园</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根据2025年</w:t>
            </w:r>
            <w:r>
              <w:rPr>
                <w:rFonts w:hint="eastAsia" w:cs="Times New Roman"/>
                <w:color w:val="auto"/>
                <w:sz w:val="24"/>
                <w:highlight w:val="none"/>
                <w:lang w:val="en-US" w:eastAsia="zh-CN"/>
              </w:rPr>
              <w:t>9</w:t>
            </w:r>
            <w:r>
              <w:rPr>
                <w:rFonts w:hint="default" w:ascii="Times New Roman" w:hAnsi="Times New Roman" w:cs="Times New Roman"/>
                <w:color w:val="auto"/>
                <w:sz w:val="24"/>
                <w:highlight w:val="none"/>
              </w:rPr>
              <w:t>月</w:t>
            </w:r>
            <w:r>
              <w:rPr>
                <w:rFonts w:hint="eastAsia" w:cs="Times New Roman"/>
                <w:color w:val="auto"/>
                <w:sz w:val="24"/>
                <w:highlight w:val="none"/>
                <w:lang w:val="en-US" w:eastAsia="zh-CN"/>
              </w:rPr>
              <w:t>5</w:t>
            </w:r>
            <w:r>
              <w:rPr>
                <w:rFonts w:hint="default" w:ascii="Times New Roman" w:hAnsi="Times New Roman" w:cs="Times New Roman"/>
                <w:color w:val="auto"/>
                <w:sz w:val="24"/>
                <w:highlight w:val="none"/>
              </w:rPr>
              <w:t>日玉溪市红塔区自然资源局出具的《红塔区项目规划审查表》，本项目位于</w:t>
            </w:r>
            <w:r>
              <w:rPr>
                <w:rFonts w:hint="eastAsia" w:cs="Times New Roman"/>
                <w:color w:val="auto"/>
                <w:sz w:val="24"/>
                <w:highlight w:val="none"/>
                <w:lang w:val="en-US" w:eastAsia="zh-CN"/>
              </w:rPr>
              <w:t>红塔区城镇开发边界范围</w:t>
            </w:r>
            <w:r>
              <w:rPr>
                <w:rFonts w:hint="default" w:ascii="Times New Roman" w:hAnsi="Times New Roman" w:cs="Times New Roman"/>
                <w:color w:val="auto"/>
                <w:sz w:val="24"/>
                <w:highlight w:val="none"/>
              </w:rPr>
              <w:t>内，不涉及</w:t>
            </w:r>
            <w:r>
              <w:rPr>
                <w:rFonts w:hint="eastAsia" w:cs="Times New Roman"/>
                <w:color w:val="auto"/>
                <w:sz w:val="24"/>
                <w:highlight w:val="none"/>
                <w:lang w:val="en-US" w:eastAsia="zh-CN"/>
              </w:rPr>
              <w:t>占用红塔区永久基本农田</w:t>
            </w:r>
            <w:r>
              <w:rPr>
                <w:rFonts w:hint="default" w:ascii="Times New Roman" w:hAnsi="Times New Roman" w:cs="Times New Roman"/>
                <w:color w:val="auto"/>
                <w:sz w:val="24"/>
                <w:highlight w:val="none"/>
              </w:rPr>
              <w:t>，不涉及</w:t>
            </w:r>
            <w:r>
              <w:rPr>
                <w:rFonts w:hint="eastAsia" w:cs="Times New Roman"/>
                <w:color w:val="auto"/>
                <w:sz w:val="24"/>
                <w:highlight w:val="none"/>
                <w:lang w:val="en-US" w:eastAsia="zh-CN"/>
              </w:rPr>
              <w:t>占用红塔区生态保护红线</w:t>
            </w:r>
            <w:r>
              <w:rPr>
                <w:rFonts w:hint="default" w:ascii="Times New Roman" w:hAnsi="Times New Roman" w:cs="Times New Roman"/>
                <w:color w:val="auto"/>
                <w:sz w:val="24"/>
                <w:highlight w:val="none"/>
              </w:rPr>
              <w:t>。根据《云南省生态环境分区管控公共服务查询平台》查询结果，本项目位于红塔区产业园区重点管控单元（ZH53040220005）</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本项目</w:t>
            </w:r>
            <w:r>
              <w:rPr>
                <w:rFonts w:hint="eastAsia" w:cs="Times New Roman"/>
                <w:color w:val="auto"/>
                <w:sz w:val="24"/>
                <w:highlight w:val="none"/>
                <w:lang w:val="en-US" w:eastAsia="zh-CN"/>
              </w:rPr>
              <w:t>属于</w:t>
            </w:r>
            <w:r>
              <w:rPr>
                <w:rFonts w:hint="default" w:ascii="Times New Roman" w:hAnsi="Times New Roman" w:cs="Times New Roman"/>
                <w:color w:val="auto"/>
                <w:sz w:val="24"/>
                <w:highlight w:val="none"/>
              </w:rPr>
              <w:t>红塔区产业园区重点管控单元，经对照分析，本项目符合项目所在地生态环境分区管控要求。</w:t>
            </w:r>
          </w:p>
          <w:p w14:paraId="00F94925">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项目周边主要为云南</w:t>
            </w:r>
            <w:r>
              <w:rPr>
                <w:rFonts w:hint="eastAsia" w:cs="Times New Roman"/>
                <w:color w:val="auto"/>
                <w:sz w:val="24"/>
                <w:highlight w:val="none"/>
                <w:lang w:val="en-US" w:eastAsia="zh-CN"/>
              </w:rPr>
              <w:t>太疆生物科技有限公司</w:t>
            </w:r>
            <w:r>
              <w:rPr>
                <w:rFonts w:hint="default" w:ascii="Times New Roman" w:hAnsi="Times New Roman" w:cs="Times New Roman"/>
                <w:color w:val="auto"/>
                <w:sz w:val="24"/>
                <w:highlight w:val="none"/>
              </w:rPr>
              <w:t>、玉溪</w:t>
            </w:r>
            <w:r>
              <w:rPr>
                <w:rFonts w:hint="eastAsia" w:cs="Times New Roman"/>
                <w:color w:val="auto"/>
                <w:sz w:val="24"/>
                <w:highlight w:val="none"/>
                <w:lang w:val="en-US" w:eastAsia="zh-CN"/>
              </w:rPr>
              <w:t>德汇成套电力有限公司</w:t>
            </w:r>
            <w:r>
              <w:rPr>
                <w:rFonts w:hint="default" w:ascii="Times New Roman" w:hAnsi="Times New Roman" w:cs="Times New Roman"/>
                <w:color w:val="auto"/>
                <w:sz w:val="24"/>
                <w:highlight w:val="none"/>
              </w:rPr>
              <w:t>、玉溪</w:t>
            </w:r>
            <w:r>
              <w:rPr>
                <w:rFonts w:hint="eastAsia" w:cs="Times New Roman"/>
                <w:color w:val="auto"/>
                <w:sz w:val="24"/>
                <w:highlight w:val="none"/>
                <w:lang w:val="en-US" w:eastAsia="zh-CN"/>
              </w:rPr>
              <w:t>朗进装备制造有限公司</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云南建投玉溪建材有限公司</w:t>
            </w:r>
            <w:r>
              <w:rPr>
                <w:rFonts w:hint="default" w:ascii="Times New Roman" w:hAnsi="Times New Roman" w:cs="Times New Roman"/>
                <w:color w:val="auto"/>
                <w:sz w:val="24"/>
                <w:highlight w:val="none"/>
              </w:rPr>
              <w:t>等工业企业。本项目周围无自然保护区、风景名胜区、生态红线保护区、居民区等环境敏感区。本项目为塑料制品业，生产工序简单，主要能耗为电能，属于清洁能源。项目生产过程中产生的塑料废气（以非甲烷总烃计）经包围型集气罩（含软帘）收集，经管道引入1套废气处理设施（活性炭吸附浓缩+CO处理工艺）（TA001）进行处理，处理后通过1根20m高排气筒排放（DA001），印刷废气经包围型集气罩（含软帘）收集，经管道引入1套废气处理设施（二级活性炭吸附）（TA002）进行处理，处理后通过1根20m高排气筒排放（DA002）</w:t>
            </w:r>
            <w:r>
              <w:rPr>
                <w:rFonts w:hint="eastAsia" w:cs="Times New Roman"/>
                <w:color w:val="auto"/>
                <w:sz w:val="24"/>
                <w:highlight w:val="none"/>
                <w:lang w:eastAsia="zh-CN"/>
              </w:rPr>
              <w:t>。项目设备冷却水循环使用，不外排；办公、生活污水依托云南三缘电缆有限公司化粪池（10m³）处理后通过槽罐车运送至玉溪市第</w:t>
            </w:r>
            <w:r>
              <w:rPr>
                <w:rFonts w:hint="eastAsia" w:cs="Times New Roman"/>
                <w:color w:val="auto"/>
                <w:sz w:val="24"/>
                <w:highlight w:val="none"/>
                <w:lang w:val="en-US" w:eastAsia="zh-CN"/>
              </w:rPr>
              <w:t>二</w:t>
            </w:r>
            <w:r>
              <w:rPr>
                <w:rFonts w:hint="eastAsia" w:cs="Times New Roman"/>
                <w:color w:val="auto"/>
                <w:sz w:val="24"/>
                <w:highlight w:val="none"/>
                <w:lang w:eastAsia="zh-CN"/>
              </w:rPr>
              <w:t>污水处理厂处置。</w:t>
            </w:r>
            <w:r>
              <w:rPr>
                <w:rFonts w:hint="eastAsia" w:cs="Times New Roman"/>
                <w:color w:val="auto"/>
                <w:sz w:val="24"/>
                <w:highlight w:val="none"/>
                <w:lang w:val="en-US" w:eastAsia="zh-CN"/>
              </w:rPr>
              <w:t>项目</w:t>
            </w:r>
            <w:r>
              <w:rPr>
                <w:rFonts w:hint="eastAsia" w:cs="Times New Roman"/>
                <w:color w:val="auto"/>
                <w:sz w:val="24"/>
                <w:highlight w:val="none"/>
                <w:lang w:eastAsia="zh-CN"/>
              </w:rPr>
              <w:t>生活垃圾、化粪池污泥委托园区环卫部门定期清运处置，不合格产品、边角废料收集后回用到生产，废活性炭、废机油</w:t>
            </w:r>
            <w:r>
              <w:rPr>
                <w:rFonts w:hint="eastAsia" w:cs="Times New Roman"/>
                <w:color w:val="auto"/>
                <w:sz w:val="24"/>
                <w:highlight w:val="none"/>
                <w:lang w:val="en-US" w:eastAsia="zh-CN"/>
              </w:rPr>
              <w:t>等危险废物</w:t>
            </w:r>
            <w:r>
              <w:rPr>
                <w:rFonts w:hint="eastAsia" w:cs="Times New Roman"/>
                <w:color w:val="auto"/>
                <w:sz w:val="24"/>
                <w:highlight w:val="none"/>
                <w:lang w:eastAsia="zh-CN"/>
              </w:rPr>
              <w:t>委托有危险废物处置、运输资质的单位定期清运处置，并建立转移联单，固废处置率为100%。</w:t>
            </w:r>
            <w:r>
              <w:rPr>
                <w:rFonts w:hint="default" w:ascii="Times New Roman" w:hAnsi="Times New Roman" w:cs="Times New Roman"/>
                <w:color w:val="auto"/>
                <w:sz w:val="24"/>
                <w:highlight w:val="none"/>
              </w:rPr>
              <w:t>项目产生的污染物在采取相应环保措施后，产生的环境影响可以得到有效控制，不会改变区域的环境功能区划。</w:t>
            </w:r>
          </w:p>
          <w:p w14:paraId="7FF9A96D">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从环境影响的角度分析，本项目选址合理。</w:t>
            </w:r>
          </w:p>
          <w:p w14:paraId="08A2273F">
            <w:pPr>
              <w:spacing w:line="360" w:lineRule="auto"/>
              <w:ind w:firstLine="480" w:firstLineChars="200"/>
              <w:rPr>
                <w:rFonts w:hint="default" w:ascii="Times New Roman" w:hAnsi="Times New Roman" w:cs="Times New Roman"/>
                <w:color w:val="auto"/>
                <w:sz w:val="24"/>
                <w:highlight w:val="none"/>
              </w:rPr>
            </w:pPr>
          </w:p>
          <w:p w14:paraId="110A6042">
            <w:pPr>
              <w:spacing w:line="360" w:lineRule="auto"/>
              <w:ind w:firstLine="480" w:firstLineChars="200"/>
              <w:rPr>
                <w:rFonts w:hint="default" w:ascii="Times New Roman" w:hAnsi="Times New Roman" w:cs="Times New Roman"/>
                <w:color w:val="auto"/>
                <w:sz w:val="24"/>
                <w:highlight w:val="none"/>
              </w:rPr>
            </w:pPr>
          </w:p>
          <w:p w14:paraId="619659CF">
            <w:pPr>
              <w:spacing w:line="360" w:lineRule="auto"/>
              <w:ind w:firstLine="480" w:firstLineChars="200"/>
              <w:rPr>
                <w:rFonts w:hint="default" w:ascii="Times New Roman" w:hAnsi="Times New Roman" w:cs="Times New Roman"/>
                <w:color w:val="auto"/>
                <w:sz w:val="24"/>
                <w:highlight w:val="none"/>
              </w:rPr>
            </w:pPr>
          </w:p>
          <w:p w14:paraId="33D45F46">
            <w:pPr>
              <w:spacing w:line="360" w:lineRule="auto"/>
              <w:ind w:firstLine="480" w:firstLineChars="200"/>
              <w:rPr>
                <w:rFonts w:hint="default" w:ascii="Times New Roman" w:hAnsi="Times New Roman" w:cs="Times New Roman"/>
                <w:color w:val="auto"/>
                <w:sz w:val="24"/>
                <w:highlight w:val="none"/>
              </w:rPr>
            </w:pPr>
          </w:p>
          <w:p w14:paraId="28E3603A">
            <w:pPr>
              <w:spacing w:line="360" w:lineRule="auto"/>
              <w:ind w:firstLine="480" w:firstLineChars="200"/>
              <w:rPr>
                <w:rFonts w:hint="default" w:ascii="Times New Roman" w:hAnsi="Times New Roman" w:cs="Times New Roman"/>
                <w:color w:val="auto"/>
                <w:sz w:val="24"/>
                <w:highlight w:val="none"/>
              </w:rPr>
            </w:pPr>
          </w:p>
          <w:p w14:paraId="1FD3EB4D">
            <w:pPr>
              <w:spacing w:line="360" w:lineRule="auto"/>
              <w:ind w:firstLine="480" w:firstLineChars="200"/>
              <w:rPr>
                <w:rFonts w:hint="default" w:ascii="Times New Roman" w:hAnsi="Times New Roman" w:cs="Times New Roman"/>
                <w:color w:val="auto"/>
                <w:sz w:val="24"/>
                <w:highlight w:val="none"/>
              </w:rPr>
            </w:pPr>
          </w:p>
          <w:p w14:paraId="5EC2CC38">
            <w:pPr>
              <w:spacing w:line="360" w:lineRule="auto"/>
              <w:ind w:firstLine="480" w:firstLineChars="200"/>
              <w:rPr>
                <w:rFonts w:hint="default" w:ascii="Times New Roman" w:hAnsi="Times New Roman" w:cs="Times New Roman"/>
                <w:color w:val="auto"/>
                <w:sz w:val="24"/>
                <w:highlight w:val="none"/>
              </w:rPr>
            </w:pPr>
          </w:p>
          <w:p w14:paraId="7A28B183">
            <w:pPr>
              <w:spacing w:line="360" w:lineRule="auto"/>
              <w:ind w:firstLine="480" w:firstLineChars="200"/>
              <w:rPr>
                <w:rFonts w:hint="default" w:ascii="Times New Roman" w:hAnsi="Times New Roman" w:cs="Times New Roman"/>
                <w:color w:val="auto"/>
                <w:sz w:val="24"/>
                <w:highlight w:val="none"/>
              </w:rPr>
            </w:pPr>
          </w:p>
          <w:p w14:paraId="4E23BBC6">
            <w:pPr>
              <w:spacing w:line="360" w:lineRule="auto"/>
              <w:ind w:firstLine="480" w:firstLineChars="200"/>
              <w:rPr>
                <w:rFonts w:hint="default" w:ascii="Times New Roman" w:hAnsi="Times New Roman" w:cs="Times New Roman"/>
                <w:color w:val="auto"/>
                <w:sz w:val="24"/>
                <w:highlight w:val="none"/>
              </w:rPr>
            </w:pPr>
          </w:p>
          <w:p w14:paraId="17798263">
            <w:pPr>
              <w:spacing w:line="360" w:lineRule="auto"/>
              <w:ind w:firstLine="480" w:firstLineChars="200"/>
              <w:rPr>
                <w:rFonts w:hint="default" w:ascii="Times New Roman" w:hAnsi="Times New Roman" w:cs="Times New Roman"/>
                <w:color w:val="auto"/>
                <w:sz w:val="24"/>
                <w:highlight w:val="none"/>
              </w:rPr>
            </w:pPr>
          </w:p>
          <w:p w14:paraId="5E159E97">
            <w:pPr>
              <w:spacing w:line="360" w:lineRule="auto"/>
              <w:ind w:firstLine="480" w:firstLineChars="200"/>
              <w:rPr>
                <w:rFonts w:hint="default" w:ascii="Times New Roman" w:hAnsi="Times New Roman" w:cs="Times New Roman"/>
                <w:color w:val="auto"/>
                <w:sz w:val="24"/>
                <w:highlight w:val="none"/>
              </w:rPr>
            </w:pPr>
          </w:p>
          <w:p w14:paraId="736F1088">
            <w:pPr>
              <w:spacing w:line="360" w:lineRule="auto"/>
              <w:ind w:firstLine="480" w:firstLineChars="200"/>
              <w:rPr>
                <w:rFonts w:hint="default" w:ascii="Times New Roman" w:hAnsi="Times New Roman" w:cs="Times New Roman"/>
                <w:color w:val="auto"/>
                <w:sz w:val="24"/>
                <w:highlight w:val="none"/>
              </w:rPr>
            </w:pPr>
          </w:p>
          <w:p w14:paraId="569509A1">
            <w:pPr>
              <w:spacing w:line="360" w:lineRule="auto"/>
              <w:ind w:firstLine="480" w:firstLineChars="200"/>
              <w:rPr>
                <w:rFonts w:hint="default" w:ascii="Times New Roman" w:hAnsi="Times New Roman" w:cs="Times New Roman"/>
                <w:color w:val="auto"/>
                <w:sz w:val="24"/>
                <w:highlight w:val="none"/>
              </w:rPr>
            </w:pPr>
          </w:p>
          <w:p w14:paraId="631F72E9">
            <w:pPr>
              <w:spacing w:line="360" w:lineRule="auto"/>
              <w:ind w:firstLine="480" w:firstLineChars="200"/>
              <w:rPr>
                <w:rFonts w:hint="default" w:ascii="Times New Roman" w:hAnsi="Times New Roman" w:cs="Times New Roman"/>
                <w:color w:val="auto"/>
                <w:sz w:val="24"/>
                <w:highlight w:val="none"/>
              </w:rPr>
            </w:pPr>
          </w:p>
          <w:p w14:paraId="359CD96E">
            <w:pPr>
              <w:spacing w:line="360" w:lineRule="auto"/>
              <w:ind w:firstLine="480" w:firstLineChars="200"/>
              <w:rPr>
                <w:rFonts w:hint="default" w:ascii="Times New Roman" w:hAnsi="Times New Roman" w:cs="Times New Roman"/>
                <w:color w:val="auto"/>
                <w:sz w:val="24"/>
                <w:highlight w:val="none"/>
              </w:rPr>
            </w:pPr>
          </w:p>
          <w:p w14:paraId="67EF33B5">
            <w:pPr>
              <w:spacing w:line="360" w:lineRule="auto"/>
              <w:ind w:firstLine="480" w:firstLineChars="200"/>
              <w:rPr>
                <w:rFonts w:hint="default" w:ascii="Times New Roman" w:hAnsi="Times New Roman" w:cs="Times New Roman"/>
                <w:color w:val="auto"/>
                <w:sz w:val="24"/>
                <w:highlight w:val="none"/>
              </w:rPr>
            </w:pPr>
          </w:p>
          <w:p w14:paraId="74C2AF00">
            <w:pPr>
              <w:spacing w:line="360" w:lineRule="auto"/>
              <w:ind w:firstLine="480" w:firstLineChars="200"/>
              <w:rPr>
                <w:rFonts w:hint="default" w:ascii="Times New Roman" w:hAnsi="Times New Roman" w:cs="Times New Roman"/>
                <w:color w:val="auto"/>
                <w:sz w:val="24"/>
                <w:highlight w:val="none"/>
              </w:rPr>
            </w:pPr>
          </w:p>
          <w:p w14:paraId="4A2E023F">
            <w:pPr>
              <w:spacing w:line="360" w:lineRule="auto"/>
              <w:ind w:firstLine="480" w:firstLineChars="200"/>
              <w:rPr>
                <w:rFonts w:hint="default" w:ascii="Times New Roman" w:hAnsi="Times New Roman" w:cs="Times New Roman"/>
                <w:color w:val="auto"/>
                <w:sz w:val="24"/>
                <w:highlight w:val="none"/>
              </w:rPr>
            </w:pPr>
          </w:p>
          <w:p w14:paraId="451B61C7">
            <w:pPr>
              <w:spacing w:line="360" w:lineRule="auto"/>
              <w:ind w:firstLine="480" w:firstLineChars="200"/>
              <w:rPr>
                <w:rFonts w:hint="default" w:ascii="Times New Roman" w:hAnsi="Times New Roman" w:cs="Times New Roman"/>
                <w:color w:val="auto"/>
                <w:sz w:val="24"/>
                <w:highlight w:val="none"/>
              </w:rPr>
            </w:pPr>
          </w:p>
          <w:p w14:paraId="1E9E646F">
            <w:pPr>
              <w:spacing w:line="360" w:lineRule="auto"/>
              <w:ind w:firstLine="480" w:firstLineChars="200"/>
              <w:rPr>
                <w:rFonts w:hint="default" w:ascii="Times New Roman" w:hAnsi="Times New Roman" w:cs="Times New Roman"/>
                <w:color w:val="auto"/>
                <w:sz w:val="24"/>
                <w:highlight w:val="none"/>
              </w:rPr>
            </w:pPr>
          </w:p>
          <w:p w14:paraId="0E564BEE">
            <w:pPr>
              <w:spacing w:line="360" w:lineRule="auto"/>
              <w:ind w:firstLine="480" w:firstLineChars="200"/>
              <w:rPr>
                <w:rFonts w:hint="default" w:ascii="Times New Roman" w:hAnsi="Times New Roman" w:cs="Times New Roman"/>
                <w:color w:val="auto"/>
                <w:sz w:val="24"/>
                <w:highlight w:val="none"/>
              </w:rPr>
            </w:pPr>
          </w:p>
          <w:p w14:paraId="4EA477DA">
            <w:pPr>
              <w:spacing w:line="360" w:lineRule="auto"/>
              <w:ind w:firstLine="480" w:firstLineChars="200"/>
              <w:rPr>
                <w:rFonts w:hint="default" w:ascii="Times New Roman" w:hAnsi="Times New Roman" w:cs="Times New Roman"/>
                <w:color w:val="auto"/>
                <w:sz w:val="24"/>
                <w:highlight w:val="none"/>
              </w:rPr>
            </w:pPr>
          </w:p>
          <w:p w14:paraId="55F76D67">
            <w:pPr>
              <w:spacing w:line="360" w:lineRule="auto"/>
              <w:ind w:firstLine="480" w:firstLineChars="200"/>
              <w:rPr>
                <w:rFonts w:hint="default" w:ascii="Times New Roman" w:hAnsi="Times New Roman" w:cs="Times New Roman"/>
                <w:color w:val="auto"/>
                <w:sz w:val="24"/>
                <w:highlight w:val="none"/>
              </w:rPr>
            </w:pPr>
          </w:p>
          <w:p w14:paraId="7552ED89">
            <w:pPr>
              <w:spacing w:line="360" w:lineRule="auto"/>
              <w:ind w:firstLine="480" w:firstLineChars="200"/>
              <w:rPr>
                <w:rFonts w:hint="default" w:ascii="Times New Roman" w:hAnsi="Times New Roman" w:cs="Times New Roman"/>
                <w:color w:val="auto"/>
                <w:sz w:val="24"/>
                <w:highlight w:val="none"/>
              </w:rPr>
            </w:pPr>
          </w:p>
          <w:p w14:paraId="6400958D">
            <w:pPr>
              <w:spacing w:line="360" w:lineRule="auto"/>
              <w:ind w:firstLine="480" w:firstLineChars="200"/>
              <w:rPr>
                <w:rFonts w:hint="default" w:ascii="Times New Roman" w:hAnsi="Times New Roman" w:cs="Times New Roman"/>
                <w:color w:val="auto"/>
                <w:sz w:val="24"/>
                <w:highlight w:val="none"/>
                <w:lang w:val="en-US" w:eastAsia="zh-CN"/>
              </w:rPr>
            </w:pPr>
          </w:p>
        </w:tc>
      </w:tr>
    </w:tbl>
    <w:p w14:paraId="789F7278">
      <w:pPr>
        <w:spacing w:line="360" w:lineRule="auto"/>
        <w:rPr>
          <w:rFonts w:eastAsia="黑体"/>
          <w:color w:val="auto"/>
          <w:sz w:val="30"/>
          <w:highlight w:val="none"/>
        </w:rPr>
        <w:sectPr>
          <w:footerReference r:id="rId4" w:type="default"/>
          <w:pgSz w:w="11906" w:h="16838"/>
          <w:pgMar w:top="1701" w:right="1531" w:bottom="1701" w:left="1531" w:header="851" w:footer="1077" w:gutter="0"/>
          <w:pgNumType w:start="1"/>
          <w:cols w:space="720" w:num="1"/>
          <w:docGrid w:linePitch="312" w:charSpace="0"/>
        </w:sectPr>
      </w:pPr>
    </w:p>
    <w:p w14:paraId="4D3FFD68">
      <w:pPr>
        <w:pStyle w:val="21"/>
        <w:jc w:val="center"/>
        <w:outlineLvl w:val="0"/>
        <w:rPr>
          <w:rFonts w:ascii="Times New Roman" w:hAnsi="Times New Roman" w:eastAsia="黑体"/>
          <w:snapToGrid w:val="0"/>
          <w:color w:val="auto"/>
          <w:sz w:val="30"/>
          <w:szCs w:val="30"/>
          <w:highlight w:val="none"/>
        </w:rPr>
      </w:pPr>
      <w:bookmarkStart w:id="6" w:name="_Toc17251"/>
      <w:r>
        <w:rPr>
          <w:rFonts w:ascii="Times New Roman" w:hAnsi="黑体" w:eastAsia="黑体"/>
          <w:snapToGrid w:val="0"/>
          <w:color w:val="auto"/>
          <w:sz w:val="30"/>
          <w:szCs w:val="30"/>
          <w:highlight w:val="none"/>
        </w:rPr>
        <w:t>二、建设项目工程分析</w:t>
      </w:r>
      <w:bookmarkEnd w:id="6"/>
    </w:p>
    <w:tbl>
      <w:tblPr>
        <w:tblStyle w:val="25"/>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14"/>
        <w:gridCol w:w="8544"/>
      </w:tblGrid>
      <w:tr w14:paraId="1C850B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0" w:type="pct"/>
            <w:vAlign w:val="center"/>
          </w:tcPr>
          <w:p w14:paraId="7F3F88DC">
            <w:pPr>
              <w:pStyle w:val="21"/>
              <w:adjustRightInd w:val="0"/>
              <w:snapToGrid w:val="0"/>
              <w:spacing w:before="0" w:beforeAutospacing="0" w:after="0" w:afterAutospacing="0"/>
              <w:jc w:val="center"/>
              <w:rPr>
                <w:rFonts w:ascii="Times New Roman" w:hAnsi="Times New Roman"/>
                <w:color w:val="auto"/>
                <w:szCs w:val="24"/>
                <w:highlight w:val="none"/>
              </w:rPr>
            </w:pPr>
            <w:r>
              <w:rPr>
                <w:rFonts w:ascii="Times New Roman"/>
                <w:color w:val="auto"/>
                <w:szCs w:val="24"/>
                <w:highlight w:val="none"/>
              </w:rPr>
              <w:t>建设内容</w:t>
            </w:r>
          </w:p>
        </w:tc>
        <w:tc>
          <w:tcPr>
            <w:tcW w:w="4689" w:type="pct"/>
          </w:tcPr>
          <w:p w14:paraId="48273E87">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default" w:eastAsia="宋体"/>
                <w:b/>
                <w:bCs/>
                <w:color w:val="auto"/>
                <w:sz w:val="24"/>
                <w:szCs w:val="22"/>
                <w:highlight w:val="none"/>
                <w:lang w:val="en-US" w:eastAsia="zh-CN"/>
              </w:rPr>
            </w:pPr>
            <w:r>
              <w:rPr>
                <w:rFonts w:hint="eastAsia"/>
                <w:b/>
                <w:bCs/>
                <w:color w:val="auto"/>
                <w:sz w:val="24"/>
                <w:szCs w:val="22"/>
                <w:highlight w:val="none"/>
              </w:rPr>
              <w:t>一、</w:t>
            </w:r>
            <w:r>
              <w:rPr>
                <w:rFonts w:hint="eastAsia"/>
                <w:b/>
                <w:bCs/>
                <w:color w:val="auto"/>
                <w:sz w:val="24"/>
                <w:szCs w:val="22"/>
                <w:highlight w:val="none"/>
                <w:lang w:val="en-US" w:eastAsia="zh-CN"/>
              </w:rPr>
              <w:t>项目由来</w:t>
            </w:r>
          </w:p>
          <w:p w14:paraId="38D6B51B">
            <w:pPr>
              <w:adjustRightInd w:val="0"/>
              <w:snapToGrid w:val="0"/>
              <w:spacing w:line="360" w:lineRule="auto"/>
              <w:ind w:firstLine="480" w:firstLineChars="200"/>
              <w:jc w:val="left"/>
              <w:rPr>
                <w:rFonts w:hint="eastAsia"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项目位于云南省玉溪市红塔区研和街道贾井社区研和工业园区三缘电缆厂内，</w:t>
            </w:r>
            <w:r>
              <w:rPr>
                <w:rFonts w:hint="eastAsia" w:cs="Times New Roman"/>
                <w:color w:val="auto"/>
                <w:sz w:val="24"/>
                <w:szCs w:val="22"/>
                <w:highlight w:val="none"/>
                <w:lang w:val="en-US" w:eastAsia="zh-CN"/>
              </w:rPr>
              <w:t>用地面积为3328㎡，</w:t>
            </w:r>
            <w:r>
              <w:rPr>
                <w:rFonts w:hint="eastAsia" w:ascii="Times New Roman" w:hAnsi="Times New Roman" w:eastAsia="宋体" w:cs="Times New Roman"/>
                <w:color w:val="auto"/>
                <w:sz w:val="24"/>
                <w:szCs w:val="22"/>
                <w:highlight w:val="none"/>
                <w:lang w:val="en-US" w:eastAsia="zh-CN"/>
              </w:rPr>
              <w:t>属于</w:t>
            </w:r>
            <w:r>
              <w:rPr>
                <w:rFonts w:hint="eastAsia" w:cs="Times New Roman"/>
                <w:color w:val="auto"/>
                <w:sz w:val="24"/>
                <w:szCs w:val="22"/>
                <w:highlight w:val="none"/>
                <w:lang w:val="en-US" w:eastAsia="zh-CN"/>
              </w:rPr>
              <w:t>云南红塔产业园区</w:t>
            </w:r>
            <w:r>
              <w:rPr>
                <w:rFonts w:hint="eastAsia" w:ascii="Times New Roman" w:hAnsi="Times New Roman" w:eastAsia="宋体" w:cs="Times New Roman"/>
                <w:color w:val="auto"/>
                <w:sz w:val="24"/>
                <w:szCs w:val="22"/>
                <w:highlight w:val="none"/>
                <w:lang w:val="en-US" w:eastAsia="zh-CN"/>
              </w:rPr>
              <w:t>研和</w:t>
            </w:r>
            <w:r>
              <w:rPr>
                <w:rFonts w:hint="eastAsia" w:cs="Times New Roman"/>
                <w:color w:val="auto"/>
                <w:sz w:val="24"/>
                <w:szCs w:val="22"/>
                <w:highlight w:val="none"/>
                <w:lang w:val="en-US" w:eastAsia="zh-CN"/>
              </w:rPr>
              <w:t>片区</w:t>
            </w:r>
            <w:r>
              <w:rPr>
                <w:rFonts w:hint="eastAsia" w:ascii="Times New Roman" w:hAnsi="Times New Roman" w:eastAsia="宋体" w:cs="Times New Roman"/>
                <w:color w:val="auto"/>
                <w:sz w:val="24"/>
                <w:szCs w:val="22"/>
                <w:highlight w:val="none"/>
                <w:lang w:val="en-US" w:eastAsia="zh-CN"/>
              </w:rPr>
              <w:t>地块一</w:t>
            </w:r>
            <w:r>
              <w:rPr>
                <w:rFonts w:hint="eastAsia" w:cs="Times New Roman"/>
                <w:color w:val="auto"/>
                <w:sz w:val="24"/>
                <w:szCs w:val="22"/>
                <w:highlight w:val="none"/>
                <w:lang w:val="en-US" w:eastAsia="zh-CN"/>
              </w:rPr>
              <w:t>，用地性质为工业用地</w:t>
            </w:r>
            <w:r>
              <w:rPr>
                <w:rFonts w:hint="eastAsia" w:ascii="Times New Roman" w:hAnsi="Times New Roman" w:eastAsia="宋体" w:cs="Times New Roman"/>
                <w:color w:val="auto"/>
                <w:sz w:val="24"/>
                <w:szCs w:val="22"/>
                <w:highlight w:val="none"/>
                <w:lang w:val="en-US" w:eastAsia="zh-CN"/>
              </w:rPr>
              <w:t>。项目于2025年8月6日取得玉溪市红塔区发展和改革局核发的云南省固定资产投资项目备案证（备案编号：2508-530402-04-01-454327）。项目于2025年8月22日，取得云南红塔产业园区管理委员会核发的入园通知书。</w:t>
            </w:r>
          </w:p>
          <w:p w14:paraId="4FFE46EB">
            <w:pPr>
              <w:adjustRightInd w:val="0"/>
              <w:snapToGrid w:val="0"/>
              <w:spacing w:line="360" w:lineRule="auto"/>
              <w:ind w:firstLine="480" w:firstLineChars="200"/>
              <w:jc w:val="left"/>
              <w:rPr>
                <w:rFonts w:hint="eastAsia"/>
                <w:color w:val="auto"/>
                <w:sz w:val="24"/>
                <w:szCs w:val="22"/>
                <w:highlight w:val="none"/>
              </w:rPr>
            </w:pPr>
            <w:r>
              <w:rPr>
                <w:rFonts w:hint="eastAsia"/>
                <w:color w:val="auto"/>
                <w:sz w:val="24"/>
                <w:szCs w:val="22"/>
                <w:highlight w:val="none"/>
              </w:rPr>
              <w:t>根据《建设项目环境影响评价分类管理名录》（2021版），项目属于二十六、橡胶和塑料制品业53 塑料制品业292，</w:t>
            </w:r>
            <w:r>
              <w:rPr>
                <w:rFonts w:hint="eastAsia"/>
                <w:color w:val="auto"/>
                <w:sz w:val="24"/>
                <w:szCs w:val="22"/>
                <w:highlight w:val="none"/>
                <w:lang w:eastAsia="zh-CN"/>
              </w:rPr>
              <w:t>“</w:t>
            </w:r>
            <w:r>
              <w:rPr>
                <w:rFonts w:hint="eastAsia"/>
                <w:color w:val="auto"/>
                <w:sz w:val="24"/>
                <w:szCs w:val="22"/>
                <w:highlight w:val="none"/>
                <w:lang w:val="en-US" w:eastAsia="zh-CN"/>
              </w:rPr>
              <w:t>其他（年用非溶剂型低VOCs含量涂料10吨以下的除外）</w:t>
            </w:r>
            <w:r>
              <w:rPr>
                <w:rFonts w:hint="eastAsia"/>
                <w:color w:val="auto"/>
                <w:sz w:val="24"/>
                <w:szCs w:val="22"/>
                <w:highlight w:val="none"/>
                <w:lang w:eastAsia="zh-CN"/>
              </w:rPr>
              <w:t>”</w:t>
            </w:r>
            <w:r>
              <w:rPr>
                <w:rFonts w:hint="eastAsia"/>
                <w:color w:val="auto"/>
                <w:sz w:val="24"/>
                <w:szCs w:val="22"/>
                <w:highlight w:val="none"/>
              </w:rPr>
              <w:t>，应编制环境影响报告表</w:t>
            </w:r>
            <w:r>
              <w:rPr>
                <w:rFonts w:hint="eastAsia"/>
                <w:color w:val="auto"/>
                <w:sz w:val="24"/>
                <w:szCs w:val="22"/>
                <w:highlight w:val="none"/>
                <w:lang w:eastAsia="zh-CN"/>
              </w:rPr>
              <w:t>。</w:t>
            </w:r>
            <w:r>
              <w:rPr>
                <w:rFonts w:hint="eastAsia"/>
                <w:color w:val="auto"/>
                <w:sz w:val="24"/>
                <w:szCs w:val="22"/>
                <w:highlight w:val="none"/>
              </w:rPr>
              <w:t>因此，项目编制环境影响报告表。</w:t>
            </w:r>
          </w:p>
          <w:p w14:paraId="72A02D2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b/>
                <w:bCs/>
                <w:color w:val="auto"/>
                <w:sz w:val="24"/>
                <w:szCs w:val="22"/>
                <w:highlight w:val="none"/>
              </w:rPr>
            </w:pPr>
            <w:r>
              <w:rPr>
                <w:rFonts w:hint="eastAsia"/>
                <w:b/>
                <w:bCs/>
                <w:color w:val="auto"/>
                <w:sz w:val="24"/>
                <w:szCs w:val="22"/>
                <w:highlight w:val="none"/>
                <w:lang w:val="en-US" w:eastAsia="zh-CN"/>
              </w:rPr>
              <w:t>二</w:t>
            </w:r>
            <w:r>
              <w:rPr>
                <w:rFonts w:hint="eastAsia"/>
                <w:b/>
                <w:bCs/>
                <w:color w:val="auto"/>
                <w:sz w:val="24"/>
                <w:szCs w:val="22"/>
                <w:highlight w:val="none"/>
              </w:rPr>
              <w:t>、项目建设内容</w:t>
            </w:r>
          </w:p>
          <w:p w14:paraId="5354FFB7">
            <w:pPr>
              <w:adjustRightInd w:val="0"/>
              <w:snapToGrid w:val="0"/>
              <w:spacing w:line="360" w:lineRule="auto"/>
              <w:ind w:firstLine="480" w:firstLineChars="200"/>
              <w:jc w:val="left"/>
              <w:rPr>
                <w:rFonts w:hint="eastAsia" w:ascii="Times New Roman" w:hAnsi="Times New Roman" w:eastAsia="宋体" w:cs="Times New Roman"/>
                <w:color w:val="auto"/>
                <w:sz w:val="24"/>
                <w:szCs w:val="22"/>
                <w:highlight w:val="none"/>
                <w:lang w:val="zh-CN" w:eastAsia="zh-CN"/>
              </w:rPr>
            </w:pPr>
            <w:r>
              <w:rPr>
                <w:rFonts w:hint="eastAsia" w:ascii="Times New Roman" w:hAnsi="Times New Roman" w:eastAsia="宋体" w:cs="Times New Roman"/>
                <w:color w:val="auto"/>
                <w:sz w:val="24"/>
                <w:szCs w:val="22"/>
                <w:highlight w:val="none"/>
                <w:lang w:val="zh-CN" w:eastAsia="zh-CN"/>
              </w:rPr>
              <w:t>项目租赁云南三缘电缆有限公司钢结构厂房，</w:t>
            </w:r>
            <w:r>
              <w:rPr>
                <w:rFonts w:hint="eastAsia" w:cs="Times New Roman"/>
                <w:color w:val="auto"/>
                <w:sz w:val="24"/>
                <w:szCs w:val="22"/>
                <w:highlight w:val="none"/>
                <w:lang w:val="en-US" w:eastAsia="zh-CN"/>
              </w:rPr>
              <w:t>位于</w:t>
            </w:r>
            <w:r>
              <w:rPr>
                <w:rFonts w:hint="eastAsia" w:ascii="Times New Roman" w:hAnsi="Times New Roman" w:eastAsia="宋体" w:cs="Times New Roman"/>
                <w:color w:val="auto"/>
                <w:sz w:val="24"/>
                <w:szCs w:val="22"/>
                <w:highlight w:val="none"/>
                <w:lang w:val="zh-CN" w:eastAsia="zh-CN"/>
              </w:rPr>
              <w:t>云南省玉溪市红塔区研和街道贾井社区研和工业园区三缘电缆厂内</w:t>
            </w:r>
            <w:r>
              <w:rPr>
                <w:rFonts w:hint="eastAsia" w:cs="Times New Roman"/>
                <w:color w:val="auto"/>
                <w:sz w:val="24"/>
                <w:szCs w:val="22"/>
                <w:highlight w:val="none"/>
                <w:lang w:val="zh-CN" w:eastAsia="zh-CN"/>
              </w:rPr>
              <w:t>。</w:t>
            </w:r>
            <w:r>
              <w:rPr>
                <w:rFonts w:hint="eastAsia" w:cs="Times New Roman"/>
                <w:color w:val="auto"/>
                <w:sz w:val="24"/>
                <w:szCs w:val="22"/>
                <w:highlight w:val="none"/>
                <w:lang w:val="en-US" w:eastAsia="zh-CN"/>
              </w:rPr>
              <w:t>总投资500万元，占地面积3328㎡。项目购置、安装五</w:t>
            </w:r>
            <w:r>
              <w:rPr>
                <w:rFonts w:hint="eastAsia" w:ascii="Times New Roman" w:hAnsi="Times New Roman" w:eastAsia="宋体" w:cs="Times New Roman"/>
                <w:color w:val="auto"/>
                <w:sz w:val="24"/>
                <w:szCs w:val="22"/>
                <w:highlight w:val="none"/>
                <w:lang w:val="zh-CN" w:eastAsia="zh-CN"/>
              </w:rPr>
              <w:t>条</w:t>
            </w:r>
            <w:r>
              <w:rPr>
                <w:rFonts w:hint="eastAsia" w:cs="Times New Roman"/>
                <w:color w:val="auto"/>
                <w:sz w:val="24"/>
                <w:szCs w:val="22"/>
                <w:highlight w:val="none"/>
                <w:lang w:val="en-US" w:eastAsia="zh-CN"/>
              </w:rPr>
              <w:t>新型材料环保石塑箱</w:t>
            </w:r>
            <w:r>
              <w:rPr>
                <w:rFonts w:hint="eastAsia" w:ascii="Times New Roman" w:hAnsi="Times New Roman" w:eastAsia="宋体" w:cs="Times New Roman"/>
                <w:color w:val="auto"/>
                <w:sz w:val="24"/>
                <w:szCs w:val="22"/>
                <w:highlight w:val="none"/>
                <w:lang w:val="zh-CN" w:eastAsia="zh-CN"/>
              </w:rPr>
              <w:t>生产线，</w:t>
            </w:r>
            <w:r>
              <w:rPr>
                <w:rFonts w:hint="eastAsia" w:ascii="Times New Roman" w:hAnsi="Times New Roman" w:eastAsia="宋体" w:cs="Times New Roman"/>
                <w:color w:val="auto"/>
                <w:sz w:val="24"/>
                <w:szCs w:val="22"/>
                <w:highlight w:val="none"/>
                <w:lang w:val="en-US" w:eastAsia="zh-CN"/>
              </w:rPr>
              <w:t>建设</w:t>
            </w:r>
            <w:r>
              <w:rPr>
                <w:rFonts w:hint="eastAsia" w:cs="Times New Roman"/>
                <w:color w:val="auto"/>
                <w:sz w:val="24"/>
                <w:szCs w:val="22"/>
                <w:highlight w:val="none"/>
                <w:lang w:val="en-US" w:eastAsia="zh-CN"/>
              </w:rPr>
              <w:t>内容包含</w:t>
            </w:r>
            <w:r>
              <w:rPr>
                <w:rFonts w:hint="eastAsia" w:ascii="Times New Roman" w:hAnsi="Times New Roman" w:eastAsia="宋体" w:cs="Times New Roman"/>
                <w:color w:val="auto"/>
                <w:sz w:val="24"/>
                <w:szCs w:val="22"/>
                <w:highlight w:val="none"/>
                <w:lang w:val="zh-CN" w:eastAsia="zh-CN"/>
              </w:rPr>
              <w:t>主体工程</w:t>
            </w:r>
            <w:r>
              <w:rPr>
                <w:rFonts w:hint="eastAsia" w:cs="Times New Roman"/>
                <w:color w:val="auto"/>
                <w:sz w:val="24"/>
                <w:szCs w:val="22"/>
                <w:highlight w:val="none"/>
                <w:lang w:val="zh-CN" w:eastAsia="zh-CN"/>
              </w:rPr>
              <w:t>、</w:t>
            </w:r>
            <w:r>
              <w:rPr>
                <w:rFonts w:hint="eastAsia" w:cs="Times New Roman"/>
                <w:color w:val="auto"/>
                <w:sz w:val="24"/>
                <w:szCs w:val="22"/>
                <w:highlight w:val="none"/>
                <w:lang w:val="en-US" w:eastAsia="zh-CN"/>
              </w:rPr>
              <w:t>储运工程、</w:t>
            </w:r>
            <w:r>
              <w:rPr>
                <w:rFonts w:hint="eastAsia" w:ascii="Times New Roman" w:hAnsi="Times New Roman" w:eastAsia="宋体" w:cs="Times New Roman"/>
                <w:color w:val="auto"/>
                <w:sz w:val="24"/>
                <w:szCs w:val="22"/>
                <w:highlight w:val="none"/>
                <w:lang w:val="zh-CN" w:eastAsia="zh-CN"/>
              </w:rPr>
              <w:t>环保</w:t>
            </w:r>
            <w:r>
              <w:rPr>
                <w:rFonts w:hint="eastAsia" w:cs="Times New Roman"/>
                <w:color w:val="auto"/>
                <w:sz w:val="24"/>
                <w:szCs w:val="22"/>
                <w:highlight w:val="none"/>
                <w:lang w:val="en-US" w:eastAsia="zh-CN"/>
              </w:rPr>
              <w:t>工程以及配套的</w:t>
            </w:r>
            <w:r>
              <w:rPr>
                <w:rFonts w:hint="eastAsia" w:ascii="Times New Roman" w:hAnsi="Times New Roman" w:eastAsia="宋体" w:cs="Times New Roman"/>
                <w:color w:val="auto"/>
                <w:sz w:val="24"/>
                <w:szCs w:val="22"/>
                <w:highlight w:val="none"/>
                <w:lang w:val="zh-CN" w:eastAsia="zh-CN"/>
              </w:rPr>
              <w:t>辅助</w:t>
            </w:r>
            <w:r>
              <w:rPr>
                <w:rFonts w:hint="eastAsia" w:cs="Times New Roman"/>
                <w:color w:val="auto"/>
                <w:sz w:val="24"/>
                <w:szCs w:val="22"/>
                <w:highlight w:val="none"/>
                <w:lang w:val="en-US" w:eastAsia="zh-CN"/>
              </w:rPr>
              <w:t>设施，建成后形成年产49500吨新型材料环保石塑箱品的生产规模</w:t>
            </w:r>
            <w:r>
              <w:rPr>
                <w:rFonts w:hint="eastAsia" w:ascii="Times New Roman" w:hAnsi="Times New Roman" w:eastAsia="宋体" w:cs="Times New Roman"/>
                <w:color w:val="auto"/>
                <w:sz w:val="24"/>
                <w:szCs w:val="22"/>
                <w:highlight w:val="none"/>
                <w:lang w:val="zh-CN" w:eastAsia="zh-CN"/>
              </w:rPr>
              <w:t>。</w:t>
            </w:r>
          </w:p>
          <w:p w14:paraId="3DA56469">
            <w:pPr>
              <w:adjustRightInd w:val="0"/>
              <w:snapToGrid w:val="0"/>
              <w:spacing w:line="360" w:lineRule="auto"/>
              <w:ind w:firstLine="480" w:firstLineChars="200"/>
              <w:jc w:val="left"/>
              <w:rPr>
                <w:rFonts w:hint="eastAsia" w:ascii="Times New Roman" w:hAnsi="Times New Roman" w:eastAsia="宋体" w:cs="Times New Roman"/>
                <w:color w:val="auto"/>
                <w:sz w:val="24"/>
                <w:szCs w:val="22"/>
                <w:highlight w:val="none"/>
                <w:lang w:val="zh-CN" w:eastAsia="zh-CN"/>
              </w:rPr>
            </w:pPr>
            <w:r>
              <w:rPr>
                <w:rFonts w:hint="eastAsia" w:ascii="Times New Roman" w:hAnsi="Times New Roman" w:eastAsia="宋体" w:cs="Times New Roman"/>
                <w:color w:val="auto"/>
                <w:sz w:val="24"/>
                <w:szCs w:val="22"/>
                <w:highlight w:val="none"/>
                <w:lang w:val="zh-CN" w:eastAsia="zh-CN"/>
              </w:rPr>
              <w:t>项目建设内容详见下表。</w:t>
            </w:r>
          </w:p>
          <w:p w14:paraId="5E210103">
            <w:pPr>
              <w:pStyle w:val="78"/>
              <w:spacing w:after="120"/>
              <w:rPr>
                <w:rFonts w:hint="default" w:ascii="Times New Roman" w:hAnsi="Times New Roman" w:eastAsia="宋体" w:cs="Times New Roman"/>
                <w:bCs w:val="0"/>
                <w:color w:val="auto"/>
                <w:spacing w:val="0"/>
                <w:kern w:val="24"/>
                <w:highlight w:val="none"/>
                <w:lang w:val="zh-CN"/>
              </w:rPr>
            </w:pPr>
            <w:r>
              <w:rPr>
                <w:rFonts w:hint="default" w:ascii="Times New Roman" w:hAnsi="Times New Roman" w:eastAsia="宋体" w:cs="Times New Roman"/>
                <w:bCs w:val="0"/>
                <w:color w:val="auto"/>
                <w:spacing w:val="0"/>
                <w:kern w:val="24"/>
                <w:highlight w:val="none"/>
                <w:lang w:val="zh-CN"/>
              </w:rPr>
              <w:t>表</w:t>
            </w:r>
            <w:r>
              <w:rPr>
                <w:rFonts w:ascii="Times New Roman" w:hAnsi="Times New Roman" w:eastAsia="宋体" w:cs="Times New Roman"/>
                <w:bCs w:val="0"/>
                <w:color w:val="auto"/>
                <w:spacing w:val="0"/>
                <w:kern w:val="24"/>
                <w:highlight w:val="none"/>
                <w:lang w:val="zh-CN"/>
              </w:rPr>
              <w:t>2</w:t>
            </w:r>
            <w:r>
              <w:rPr>
                <w:rFonts w:hint="default" w:ascii="Times New Roman" w:hAnsi="Times New Roman" w:eastAsia="宋体" w:cs="Times New Roman"/>
                <w:bCs w:val="0"/>
                <w:color w:val="auto"/>
                <w:spacing w:val="0"/>
                <w:kern w:val="24"/>
                <w:highlight w:val="none"/>
                <w:lang w:val="zh-CN"/>
              </w:rPr>
              <w:t>-1  项目</w:t>
            </w:r>
            <w:r>
              <w:rPr>
                <w:rFonts w:ascii="Times New Roman" w:hAnsi="Times New Roman" w:eastAsia="宋体" w:cs="Times New Roman"/>
                <w:bCs w:val="0"/>
                <w:color w:val="auto"/>
                <w:spacing w:val="0"/>
                <w:kern w:val="24"/>
                <w:highlight w:val="none"/>
                <w:lang w:val="zh-CN"/>
              </w:rPr>
              <w:t>工程建设内容一览表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750"/>
              <w:gridCol w:w="1264"/>
              <w:gridCol w:w="4382"/>
              <w:gridCol w:w="1155"/>
            </w:tblGrid>
            <w:tr w14:paraId="1FA3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0" w:type="pct"/>
                  <w:gridSpan w:val="3"/>
                  <w:shd w:val="clear" w:color="auto" w:fill="auto"/>
                  <w:vAlign w:val="center"/>
                </w:tcPr>
                <w:p w14:paraId="55D27A5F">
                  <w:pPr>
                    <w:pStyle w:val="79"/>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名  称</w:t>
                  </w:r>
                </w:p>
              </w:tc>
              <w:tc>
                <w:tcPr>
                  <w:tcW w:w="2634" w:type="pct"/>
                  <w:shd w:val="clear" w:color="auto" w:fill="auto"/>
                  <w:vAlign w:val="center"/>
                </w:tcPr>
                <w:p w14:paraId="001221BF">
                  <w:pPr>
                    <w:pStyle w:val="79"/>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建设内容及规模</w:t>
                  </w:r>
                </w:p>
              </w:tc>
              <w:tc>
                <w:tcPr>
                  <w:tcW w:w="694" w:type="pct"/>
                  <w:shd w:val="clear" w:color="auto" w:fill="auto"/>
                  <w:vAlign w:val="center"/>
                </w:tcPr>
                <w:p w14:paraId="5B953E12">
                  <w:pPr>
                    <w:pStyle w:val="79"/>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备注</w:t>
                  </w:r>
                </w:p>
              </w:tc>
            </w:tr>
            <w:tr w14:paraId="54155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9" w:type="pct"/>
                  <w:shd w:val="clear" w:color="auto" w:fill="auto"/>
                  <w:vAlign w:val="center"/>
                </w:tcPr>
                <w:p w14:paraId="088B3001">
                  <w:pPr>
                    <w:pStyle w:val="79"/>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主体工程</w:t>
                  </w:r>
                </w:p>
              </w:tc>
              <w:tc>
                <w:tcPr>
                  <w:tcW w:w="1211" w:type="pct"/>
                  <w:gridSpan w:val="2"/>
                  <w:shd w:val="clear" w:color="auto" w:fill="auto"/>
                  <w:vAlign w:val="center"/>
                </w:tcPr>
                <w:p w14:paraId="74B1B8BA">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生产车间</w:t>
                  </w:r>
                </w:p>
              </w:tc>
              <w:tc>
                <w:tcPr>
                  <w:tcW w:w="2634" w:type="pct"/>
                  <w:shd w:val="clear" w:color="auto" w:fill="auto"/>
                  <w:vAlign w:val="center"/>
                </w:tcPr>
                <w:p w14:paraId="4660001C">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rPr>
                    <w:t>1栋，1层，</w:t>
                  </w:r>
                  <w:r>
                    <w:rPr>
                      <w:rFonts w:hint="default" w:ascii="Times New Roman" w:hAnsi="Times New Roman" w:eastAsia="宋体" w:cs="Times New Roman"/>
                      <w:color w:val="auto"/>
                      <w:sz w:val="21"/>
                      <w:szCs w:val="21"/>
                      <w:highlight w:val="none"/>
                      <w:lang w:val="en-US" w:eastAsia="zh-CN"/>
                    </w:rPr>
                    <w:t>钢混结构，</w:t>
                  </w:r>
                  <w:r>
                    <w:rPr>
                      <w:rFonts w:hint="default" w:ascii="Times New Roman" w:hAnsi="Times New Roman" w:eastAsia="宋体" w:cs="Times New Roman"/>
                      <w:color w:val="auto"/>
                      <w:sz w:val="21"/>
                      <w:szCs w:val="21"/>
                      <w:highlight w:val="none"/>
                      <w:lang w:val="en-US"/>
                    </w:rPr>
                    <w:t>占地面积</w:t>
                  </w:r>
                  <w:r>
                    <w:rPr>
                      <w:rFonts w:hint="default" w:ascii="Times New Roman" w:hAnsi="Times New Roman" w:eastAsia="宋体" w:cs="Times New Roman"/>
                      <w:color w:val="auto"/>
                      <w:sz w:val="21"/>
                      <w:szCs w:val="21"/>
                      <w:highlight w:val="none"/>
                      <w:lang w:val="en-US" w:eastAsia="zh-CN"/>
                    </w:rPr>
                    <w:t>3328㎡</w:t>
                  </w:r>
                  <w:r>
                    <w:rPr>
                      <w:rFonts w:hint="default" w:ascii="Times New Roman" w:hAnsi="Times New Roman" w:eastAsia="宋体" w:cs="Times New Roman"/>
                      <w:color w:val="auto"/>
                      <w:sz w:val="21"/>
                      <w:szCs w:val="21"/>
                      <w:highlight w:val="none"/>
                    </w:rPr>
                    <w:t>，建筑面积</w:t>
                  </w:r>
                  <w:r>
                    <w:rPr>
                      <w:rFonts w:hint="default" w:ascii="Times New Roman" w:hAnsi="Times New Roman" w:eastAsia="宋体" w:cs="Times New Roman"/>
                      <w:color w:val="auto"/>
                      <w:sz w:val="21"/>
                      <w:szCs w:val="21"/>
                      <w:highlight w:val="none"/>
                      <w:lang w:val="en-US" w:eastAsia="zh-CN"/>
                    </w:rPr>
                    <w:t>3328</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层高15m。建设五条新型材料环保石塑箱生产线以及配套的辅助设施，设置有生产区、原料仓库、一般固废暂存间、成品仓库、危废暂存</w:t>
                  </w:r>
                  <w:r>
                    <w:rPr>
                      <w:rFonts w:hint="eastAsia" w:cs="Times New Roman"/>
                      <w:color w:val="auto"/>
                      <w:sz w:val="21"/>
                      <w:szCs w:val="21"/>
                      <w:highlight w:val="none"/>
                      <w:lang w:val="en-US" w:eastAsia="zh-CN"/>
                    </w:rPr>
                    <w:t>间</w:t>
                  </w:r>
                  <w:r>
                    <w:rPr>
                      <w:rFonts w:hint="default" w:ascii="Times New Roman" w:hAnsi="Times New Roman" w:eastAsia="宋体" w:cs="Times New Roman"/>
                      <w:color w:val="auto"/>
                      <w:sz w:val="21"/>
                      <w:szCs w:val="21"/>
                      <w:highlight w:val="none"/>
                      <w:lang w:val="en-US" w:eastAsia="zh-CN"/>
                    </w:rPr>
                    <w:t>以及样品区。</w:t>
                  </w:r>
                </w:p>
              </w:tc>
              <w:tc>
                <w:tcPr>
                  <w:tcW w:w="694" w:type="pct"/>
                  <w:shd w:val="clear" w:color="auto" w:fill="auto"/>
                  <w:vAlign w:val="center"/>
                </w:tcPr>
                <w:p w14:paraId="356C8080">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改建</w:t>
                  </w:r>
                </w:p>
              </w:tc>
            </w:tr>
            <w:tr w14:paraId="4F47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9" w:type="pct"/>
                  <w:vMerge w:val="restart"/>
                  <w:shd w:val="clear" w:color="auto" w:fill="auto"/>
                  <w:vAlign w:val="center"/>
                </w:tcPr>
                <w:p w14:paraId="23B1C094">
                  <w:pPr>
                    <w:pStyle w:val="79"/>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储运工程</w:t>
                  </w:r>
                </w:p>
              </w:tc>
              <w:tc>
                <w:tcPr>
                  <w:tcW w:w="1211" w:type="pct"/>
                  <w:gridSpan w:val="2"/>
                  <w:shd w:val="clear" w:color="auto" w:fill="auto"/>
                  <w:vAlign w:val="center"/>
                </w:tcPr>
                <w:p w14:paraId="1E579751">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原料仓库</w:t>
                  </w:r>
                </w:p>
              </w:tc>
              <w:tc>
                <w:tcPr>
                  <w:tcW w:w="2634" w:type="pct"/>
                  <w:shd w:val="clear" w:color="auto" w:fill="auto"/>
                  <w:vAlign w:val="center"/>
                </w:tcPr>
                <w:p w14:paraId="5ED32F89">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位于生产车间内，建筑面积约100㎡，主要用于原料的存储。</w:t>
                  </w:r>
                </w:p>
              </w:tc>
              <w:tc>
                <w:tcPr>
                  <w:tcW w:w="694" w:type="pct"/>
                  <w:shd w:val="clear" w:color="auto" w:fill="auto"/>
                  <w:vAlign w:val="center"/>
                </w:tcPr>
                <w:p w14:paraId="1559D07C">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改建</w:t>
                  </w:r>
                </w:p>
              </w:tc>
            </w:tr>
            <w:tr w14:paraId="723B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9" w:type="pct"/>
                  <w:vMerge w:val="continue"/>
                  <w:shd w:val="clear" w:color="auto" w:fill="auto"/>
                  <w:vAlign w:val="center"/>
                </w:tcPr>
                <w:p w14:paraId="416A41B0">
                  <w:pPr>
                    <w:pStyle w:val="79"/>
                    <w:jc w:val="center"/>
                    <w:rPr>
                      <w:rFonts w:hint="default" w:ascii="Times New Roman" w:hAnsi="Times New Roman" w:eastAsia="宋体" w:cs="Times New Roman"/>
                      <w:b/>
                      <w:bCs/>
                      <w:color w:val="auto"/>
                      <w:sz w:val="21"/>
                      <w:szCs w:val="21"/>
                      <w:highlight w:val="none"/>
                      <w:lang w:val="en-US" w:eastAsia="zh-CN"/>
                    </w:rPr>
                  </w:pPr>
                </w:p>
              </w:tc>
              <w:tc>
                <w:tcPr>
                  <w:tcW w:w="1211" w:type="pct"/>
                  <w:gridSpan w:val="2"/>
                  <w:shd w:val="clear" w:color="auto" w:fill="auto"/>
                  <w:vAlign w:val="center"/>
                </w:tcPr>
                <w:p w14:paraId="5878FCA9">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成品仓库</w:t>
                  </w:r>
                </w:p>
              </w:tc>
              <w:tc>
                <w:tcPr>
                  <w:tcW w:w="2634" w:type="pct"/>
                  <w:shd w:val="clear" w:color="auto" w:fill="auto"/>
                  <w:vAlign w:val="center"/>
                </w:tcPr>
                <w:p w14:paraId="67F6C660">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位于生产车间内，建筑面积约75㎡，主要用于成品储存。</w:t>
                  </w:r>
                </w:p>
              </w:tc>
              <w:tc>
                <w:tcPr>
                  <w:tcW w:w="694" w:type="pct"/>
                  <w:shd w:val="clear" w:color="auto" w:fill="auto"/>
                  <w:vAlign w:val="center"/>
                </w:tcPr>
                <w:p w14:paraId="4DEF0C95">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改建</w:t>
                  </w:r>
                </w:p>
              </w:tc>
            </w:tr>
            <w:tr w14:paraId="0A86A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9" w:type="pct"/>
                  <w:vMerge w:val="continue"/>
                  <w:shd w:val="clear" w:color="auto" w:fill="auto"/>
                  <w:vAlign w:val="center"/>
                </w:tcPr>
                <w:p w14:paraId="001E8155">
                  <w:pPr>
                    <w:pStyle w:val="79"/>
                    <w:jc w:val="center"/>
                    <w:rPr>
                      <w:rFonts w:hint="default" w:ascii="Times New Roman" w:hAnsi="Times New Roman" w:eastAsia="宋体" w:cs="Times New Roman"/>
                      <w:b/>
                      <w:bCs/>
                      <w:color w:val="auto"/>
                      <w:sz w:val="21"/>
                      <w:szCs w:val="21"/>
                      <w:highlight w:val="none"/>
                      <w:lang w:val="en-US" w:eastAsia="zh-CN"/>
                    </w:rPr>
                  </w:pPr>
                </w:p>
              </w:tc>
              <w:tc>
                <w:tcPr>
                  <w:tcW w:w="1211" w:type="pct"/>
                  <w:gridSpan w:val="2"/>
                  <w:shd w:val="clear" w:color="auto" w:fill="auto"/>
                  <w:vAlign w:val="center"/>
                </w:tcPr>
                <w:p w14:paraId="7228A01C">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样品区</w:t>
                  </w:r>
                </w:p>
              </w:tc>
              <w:tc>
                <w:tcPr>
                  <w:tcW w:w="2634" w:type="pct"/>
                  <w:shd w:val="clear" w:color="auto" w:fill="auto"/>
                  <w:vAlign w:val="center"/>
                </w:tcPr>
                <w:p w14:paraId="0E9790DF">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位于生产车间内，建筑面积约30㎡，主要用于样品展示。</w:t>
                  </w:r>
                </w:p>
              </w:tc>
              <w:tc>
                <w:tcPr>
                  <w:tcW w:w="694" w:type="pct"/>
                  <w:shd w:val="clear" w:color="auto" w:fill="auto"/>
                  <w:vAlign w:val="center"/>
                </w:tcPr>
                <w:p w14:paraId="599AA69B">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改建</w:t>
                  </w:r>
                </w:p>
              </w:tc>
            </w:tr>
            <w:tr w14:paraId="13C3B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9" w:type="pct"/>
                  <w:vMerge w:val="restart"/>
                  <w:shd w:val="clear" w:color="auto" w:fill="auto"/>
                  <w:vAlign w:val="center"/>
                </w:tcPr>
                <w:p w14:paraId="73E89AF9">
                  <w:pPr>
                    <w:pStyle w:val="79"/>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环保工程</w:t>
                  </w:r>
                </w:p>
              </w:tc>
              <w:tc>
                <w:tcPr>
                  <w:tcW w:w="451" w:type="pct"/>
                  <w:shd w:val="clear" w:color="auto" w:fill="auto"/>
                  <w:vAlign w:val="center"/>
                </w:tcPr>
                <w:p w14:paraId="00A2942F">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废水</w:t>
                  </w:r>
                  <w:r>
                    <w:rPr>
                      <w:rFonts w:hint="eastAsia" w:cs="Times New Roman"/>
                      <w:color w:val="auto"/>
                      <w:sz w:val="21"/>
                      <w:szCs w:val="21"/>
                      <w:highlight w:val="none"/>
                      <w:lang w:val="en-US" w:eastAsia="zh-CN"/>
                    </w:rPr>
                    <w:t>处理</w:t>
                  </w:r>
                </w:p>
              </w:tc>
              <w:tc>
                <w:tcPr>
                  <w:tcW w:w="760" w:type="pct"/>
                  <w:shd w:val="clear" w:color="auto" w:fill="auto"/>
                  <w:vAlign w:val="center"/>
                </w:tcPr>
                <w:p w14:paraId="29240AD9">
                  <w:pPr>
                    <w:adjustRightInd w:val="0"/>
                    <w:snapToGrid w:val="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设备冷</w:t>
                  </w:r>
                </w:p>
                <w:p w14:paraId="2585DAFB">
                  <w:pPr>
                    <w:adjustRightInd w:val="0"/>
                    <w:snapToGrid w:val="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却水</w:t>
                  </w:r>
                </w:p>
              </w:tc>
              <w:tc>
                <w:tcPr>
                  <w:tcW w:w="2634" w:type="pct"/>
                  <w:shd w:val="clear" w:color="auto" w:fill="auto"/>
                  <w:vAlign w:val="center"/>
                </w:tcPr>
                <w:p w14:paraId="5EFF592C">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设备冷却水间接冷却，循环使用，不外排。</w:t>
                  </w:r>
                </w:p>
              </w:tc>
              <w:tc>
                <w:tcPr>
                  <w:tcW w:w="694" w:type="pct"/>
                  <w:shd w:val="clear" w:color="auto" w:fill="auto"/>
                  <w:vAlign w:val="center"/>
                </w:tcPr>
                <w:p w14:paraId="1322A33B">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新建</w:t>
                  </w:r>
                </w:p>
              </w:tc>
            </w:tr>
            <w:tr w14:paraId="6E4BF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9" w:type="pct"/>
                  <w:vMerge w:val="continue"/>
                  <w:shd w:val="clear" w:color="auto" w:fill="auto"/>
                  <w:vAlign w:val="center"/>
                </w:tcPr>
                <w:p w14:paraId="36589845">
                  <w:pPr>
                    <w:pStyle w:val="79"/>
                    <w:jc w:val="center"/>
                    <w:rPr>
                      <w:rFonts w:hint="default" w:ascii="Times New Roman" w:hAnsi="Times New Roman" w:eastAsia="宋体" w:cs="Times New Roman"/>
                      <w:b/>
                      <w:bCs/>
                      <w:color w:val="auto"/>
                      <w:sz w:val="21"/>
                      <w:szCs w:val="21"/>
                      <w:highlight w:val="none"/>
                      <w:lang w:val="en-US" w:eastAsia="zh-CN"/>
                    </w:rPr>
                  </w:pPr>
                </w:p>
              </w:tc>
              <w:tc>
                <w:tcPr>
                  <w:tcW w:w="451" w:type="pct"/>
                  <w:vMerge w:val="restart"/>
                  <w:shd w:val="clear" w:color="auto" w:fill="auto"/>
                  <w:vAlign w:val="center"/>
                </w:tcPr>
                <w:p w14:paraId="5257FE89">
                  <w:pPr>
                    <w:pStyle w:val="79"/>
                    <w:jc w:val="center"/>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废气</w:t>
                  </w:r>
                  <w:r>
                    <w:rPr>
                      <w:rFonts w:hint="eastAsia" w:cs="Times New Roman"/>
                      <w:color w:val="auto"/>
                      <w:sz w:val="21"/>
                      <w:szCs w:val="21"/>
                      <w:highlight w:val="none"/>
                      <w:lang w:val="en-US" w:eastAsia="zh-CN"/>
                    </w:rPr>
                    <w:t>处理</w:t>
                  </w:r>
                </w:p>
              </w:tc>
              <w:tc>
                <w:tcPr>
                  <w:tcW w:w="760" w:type="pct"/>
                  <w:shd w:val="clear" w:color="auto" w:fill="auto"/>
                  <w:vAlign w:val="center"/>
                </w:tcPr>
                <w:p w14:paraId="5CD3E1B9">
                  <w:pPr>
                    <w:adjustRightInd w:val="0"/>
                    <w:snapToGrid w:val="0"/>
                    <w:jc w:val="center"/>
                    <w:rPr>
                      <w:rFonts w:hint="default" w:ascii="Times New Roman" w:hAnsi="Times New Roman" w:eastAsia="宋体" w:cs="Times New Roman"/>
                      <w:color w:val="auto"/>
                      <w:kern w:val="0"/>
                      <w:sz w:val="21"/>
                      <w:szCs w:val="21"/>
                      <w:highlight w:val="none"/>
                    </w:rPr>
                  </w:pPr>
                  <w:r>
                    <w:rPr>
                      <w:rFonts w:hint="eastAsia" w:cs="Times New Roman"/>
                      <w:color w:val="auto"/>
                      <w:kern w:val="0"/>
                      <w:sz w:val="21"/>
                      <w:szCs w:val="21"/>
                      <w:highlight w:val="none"/>
                      <w:lang w:val="en-US" w:eastAsia="zh-CN"/>
                    </w:rPr>
                    <w:t>塑料</w:t>
                  </w:r>
                  <w:r>
                    <w:rPr>
                      <w:rFonts w:hint="default" w:ascii="Times New Roman" w:hAnsi="Times New Roman" w:eastAsia="宋体" w:cs="Times New Roman"/>
                      <w:color w:val="auto"/>
                      <w:kern w:val="0"/>
                      <w:sz w:val="21"/>
                      <w:szCs w:val="21"/>
                      <w:highlight w:val="none"/>
                    </w:rPr>
                    <w:t>废气（</w:t>
                  </w:r>
                  <w:r>
                    <w:rPr>
                      <w:rFonts w:hint="default" w:ascii="Times New Roman" w:hAnsi="Times New Roman" w:eastAsia="宋体" w:cs="Times New Roman"/>
                      <w:color w:val="auto"/>
                      <w:kern w:val="0"/>
                      <w:sz w:val="21"/>
                      <w:szCs w:val="21"/>
                      <w:highlight w:val="none"/>
                      <w:lang w:val="en-US" w:eastAsia="zh-CN"/>
                    </w:rPr>
                    <w:t>以</w:t>
                  </w:r>
                  <w:r>
                    <w:rPr>
                      <w:rFonts w:hint="default" w:ascii="Times New Roman" w:hAnsi="Times New Roman" w:eastAsia="宋体" w:cs="Times New Roman"/>
                      <w:color w:val="auto"/>
                      <w:kern w:val="0"/>
                      <w:sz w:val="21"/>
                      <w:szCs w:val="21"/>
                      <w:highlight w:val="none"/>
                    </w:rPr>
                    <w:t>非甲烷总烃</w:t>
                  </w:r>
                  <w:r>
                    <w:rPr>
                      <w:rFonts w:hint="default" w:ascii="Times New Roman" w:hAnsi="Times New Roman" w:eastAsia="宋体" w:cs="Times New Roman"/>
                      <w:color w:val="auto"/>
                      <w:kern w:val="0"/>
                      <w:sz w:val="21"/>
                      <w:szCs w:val="21"/>
                      <w:highlight w:val="none"/>
                      <w:lang w:val="en-US" w:eastAsia="zh-CN"/>
                    </w:rPr>
                    <w:t>计</w:t>
                  </w:r>
                  <w:r>
                    <w:rPr>
                      <w:rFonts w:hint="default" w:ascii="Times New Roman" w:hAnsi="Times New Roman" w:eastAsia="宋体" w:cs="Times New Roman"/>
                      <w:color w:val="auto"/>
                      <w:kern w:val="0"/>
                      <w:sz w:val="21"/>
                      <w:szCs w:val="21"/>
                      <w:highlight w:val="none"/>
                    </w:rPr>
                    <w:t>）</w:t>
                  </w:r>
                </w:p>
              </w:tc>
              <w:tc>
                <w:tcPr>
                  <w:tcW w:w="2634" w:type="pct"/>
                  <w:shd w:val="clear" w:color="auto" w:fill="auto"/>
                  <w:vAlign w:val="center"/>
                </w:tcPr>
                <w:p w14:paraId="1D5BFF39">
                  <w:pPr>
                    <w:pStyle w:val="79"/>
                    <w:jc w:val="center"/>
                    <w:rPr>
                      <w:rFonts w:hint="default" w:ascii="Times New Roman" w:hAnsi="Times New Roman" w:eastAsia="宋体" w:cs="Times New Roman"/>
                      <w:color w:val="auto"/>
                      <w:sz w:val="21"/>
                      <w:szCs w:val="21"/>
                      <w:highlight w:val="none"/>
                      <w:lang w:val="en-US"/>
                    </w:rPr>
                  </w:pPr>
                  <w:r>
                    <w:rPr>
                      <w:rFonts w:hint="eastAsia" w:cs="Times New Roman"/>
                      <w:color w:val="auto"/>
                      <w:sz w:val="21"/>
                      <w:szCs w:val="21"/>
                      <w:highlight w:val="none"/>
                      <w:lang w:val="en-US" w:eastAsia="zh-CN"/>
                    </w:rPr>
                    <w:t>塑料</w:t>
                  </w:r>
                  <w:r>
                    <w:rPr>
                      <w:rFonts w:hint="default" w:ascii="Times New Roman" w:hAnsi="Times New Roman" w:eastAsia="宋体" w:cs="Times New Roman"/>
                      <w:color w:val="auto"/>
                      <w:sz w:val="21"/>
                      <w:szCs w:val="21"/>
                      <w:highlight w:val="none"/>
                      <w:lang w:val="en-US" w:eastAsia="zh-CN"/>
                    </w:rPr>
                    <w:t>废气产污节点主要为模具成型、超声波焊接工序，共设置</w:t>
                  </w: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套包围型集气罩（含软帘），对各产污点位实行</w:t>
                  </w:r>
                  <w:r>
                    <w:rPr>
                      <w:rFonts w:hint="eastAsia" w:cs="Times New Roman"/>
                      <w:color w:val="auto"/>
                      <w:sz w:val="21"/>
                      <w:szCs w:val="21"/>
                      <w:highlight w:val="none"/>
                      <w:lang w:val="en-US" w:eastAsia="zh-CN"/>
                    </w:rPr>
                    <w:t>废气</w:t>
                  </w:r>
                  <w:r>
                    <w:rPr>
                      <w:rFonts w:hint="default" w:ascii="Times New Roman" w:hAnsi="Times New Roman" w:eastAsia="宋体" w:cs="Times New Roman"/>
                      <w:color w:val="auto"/>
                      <w:sz w:val="21"/>
                      <w:szCs w:val="21"/>
                      <w:highlight w:val="none"/>
                      <w:lang w:val="en-US" w:eastAsia="zh-CN"/>
                    </w:rPr>
                    <w:t>收集</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收集后的废气经管道汇总进入1套废气处理设施（活性炭吸附浓缩+CO处理工艺）（TA001）进行处理，处理后通过1根</w:t>
                  </w:r>
                  <w:r>
                    <w:rPr>
                      <w:rFonts w:hint="eastAsia"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lang w:val="en-US" w:eastAsia="zh-CN"/>
                    </w:rPr>
                    <w:t>m高排气筒排放（DA001）。</w:t>
                  </w:r>
                </w:p>
              </w:tc>
              <w:tc>
                <w:tcPr>
                  <w:tcW w:w="694" w:type="pct"/>
                  <w:shd w:val="clear" w:color="auto" w:fill="auto"/>
                  <w:vAlign w:val="center"/>
                </w:tcPr>
                <w:p w14:paraId="64AB886F">
                  <w:pPr>
                    <w:pStyle w:val="79"/>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53B5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9" w:type="pct"/>
                  <w:vMerge w:val="continue"/>
                  <w:shd w:val="clear" w:color="auto" w:fill="auto"/>
                  <w:vAlign w:val="center"/>
                </w:tcPr>
                <w:p w14:paraId="00B13C07">
                  <w:pPr>
                    <w:pStyle w:val="79"/>
                    <w:jc w:val="center"/>
                    <w:rPr>
                      <w:rFonts w:hint="default" w:ascii="Times New Roman" w:hAnsi="Times New Roman" w:eastAsia="宋体" w:cs="Times New Roman"/>
                      <w:b/>
                      <w:bCs/>
                      <w:color w:val="auto"/>
                      <w:sz w:val="21"/>
                      <w:szCs w:val="21"/>
                      <w:highlight w:val="none"/>
                      <w:lang w:val="en-US" w:eastAsia="zh-CN"/>
                    </w:rPr>
                  </w:pPr>
                </w:p>
              </w:tc>
              <w:tc>
                <w:tcPr>
                  <w:tcW w:w="451" w:type="pct"/>
                  <w:vMerge w:val="continue"/>
                  <w:shd w:val="clear" w:color="auto" w:fill="auto"/>
                  <w:vAlign w:val="center"/>
                </w:tcPr>
                <w:p w14:paraId="4A068CA2">
                  <w:pPr>
                    <w:pStyle w:val="79"/>
                    <w:jc w:val="center"/>
                    <w:rPr>
                      <w:rFonts w:hint="default" w:ascii="Times New Roman" w:hAnsi="Times New Roman" w:eastAsia="宋体" w:cs="Times New Roman"/>
                      <w:color w:val="auto"/>
                      <w:sz w:val="21"/>
                      <w:szCs w:val="21"/>
                      <w:highlight w:val="none"/>
                    </w:rPr>
                  </w:pPr>
                </w:p>
              </w:tc>
              <w:tc>
                <w:tcPr>
                  <w:tcW w:w="760" w:type="pct"/>
                  <w:shd w:val="clear" w:color="auto" w:fill="auto"/>
                  <w:vAlign w:val="center"/>
                </w:tcPr>
                <w:p w14:paraId="54F9B0C9">
                  <w:pPr>
                    <w:adjustRightInd w:val="0"/>
                    <w:snapToGrid w:val="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印刷废气</w:t>
                  </w:r>
                </w:p>
              </w:tc>
              <w:tc>
                <w:tcPr>
                  <w:tcW w:w="2634" w:type="pct"/>
                  <w:shd w:val="clear" w:color="auto" w:fill="auto"/>
                  <w:vAlign w:val="center"/>
                </w:tcPr>
                <w:p w14:paraId="38FA3C5F">
                  <w:pPr>
                    <w:pStyle w:val="79"/>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印刷</w:t>
                  </w:r>
                  <w:r>
                    <w:rPr>
                      <w:rFonts w:hint="default" w:ascii="Times New Roman" w:hAnsi="Times New Roman" w:eastAsia="宋体" w:cs="Times New Roman"/>
                      <w:color w:val="auto"/>
                      <w:sz w:val="21"/>
                      <w:szCs w:val="21"/>
                      <w:highlight w:val="none"/>
                      <w:lang w:val="en-US" w:eastAsia="zh-CN"/>
                    </w:rPr>
                    <w:t>产污节点为柔板水墨印刷，设置</w:t>
                  </w:r>
                  <w:r>
                    <w:rPr>
                      <w:rFonts w:hint="eastAsia"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套包围型集气罩（含软帘），对产污点位实行废气收集。收集后的废气经管道汇总进入1套废气处理设施（</w:t>
                  </w:r>
                  <w:r>
                    <w:rPr>
                      <w:rFonts w:hint="eastAsia" w:cs="Times New Roman"/>
                      <w:color w:val="auto"/>
                      <w:sz w:val="21"/>
                      <w:szCs w:val="21"/>
                      <w:highlight w:val="none"/>
                      <w:lang w:val="en-US" w:eastAsia="zh-CN"/>
                    </w:rPr>
                    <w:t>二级</w:t>
                  </w:r>
                  <w:r>
                    <w:rPr>
                      <w:rFonts w:hint="default" w:ascii="Times New Roman" w:hAnsi="Times New Roman" w:eastAsia="宋体" w:cs="Times New Roman"/>
                      <w:color w:val="auto"/>
                      <w:sz w:val="21"/>
                      <w:szCs w:val="21"/>
                      <w:highlight w:val="none"/>
                      <w:lang w:val="en-US" w:eastAsia="zh-CN"/>
                    </w:rPr>
                    <w:t>活性炭吸附）（TA00</w:t>
                  </w:r>
                  <w:r>
                    <w:rPr>
                      <w:rFonts w:hint="eastAsia"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）进行处理，处理后通过1根20m高排气筒排放（DA00</w:t>
                  </w:r>
                  <w:r>
                    <w:rPr>
                      <w:rFonts w:hint="eastAsia"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w:t>
                  </w:r>
                </w:p>
              </w:tc>
              <w:tc>
                <w:tcPr>
                  <w:tcW w:w="694" w:type="pct"/>
                  <w:shd w:val="clear" w:color="auto" w:fill="auto"/>
                  <w:vAlign w:val="center"/>
                </w:tcPr>
                <w:p w14:paraId="0A99FAF3">
                  <w:pPr>
                    <w:pStyle w:val="79"/>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r>
            <w:tr w14:paraId="4F53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9" w:type="pct"/>
                  <w:vMerge w:val="continue"/>
                  <w:shd w:val="clear" w:color="auto" w:fill="auto"/>
                  <w:vAlign w:val="center"/>
                </w:tcPr>
                <w:p w14:paraId="6EC28E66">
                  <w:pPr>
                    <w:pStyle w:val="79"/>
                    <w:jc w:val="center"/>
                    <w:rPr>
                      <w:rFonts w:hint="default" w:ascii="Times New Roman" w:hAnsi="Times New Roman" w:eastAsia="宋体" w:cs="Times New Roman"/>
                      <w:b/>
                      <w:bCs/>
                      <w:color w:val="auto"/>
                      <w:sz w:val="21"/>
                      <w:szCs w:val="21"/>
                      <w:highlight w:val="none"/>
                    </w:rPr>
                  </w:pPr>
                </w:p>
              </w:tc>
              <w:tc>
                <w:tcPr>
                  <w:tcW w:w="451" w:type="pct"/>
                  <w:vMerge w:val="restart"/>
                  <w:shd w:val="clear" w:color="auto" w:fill="auto"/>
                  <w:vAlign w:val="center"/>
                </w:tcPr>
                <w:p w14:paraId="3B0A0C35">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固废</w:t>
                  </w:r>
                  <w:r>
                    <w:rPr>
                      <w:rFonts w:hint="eastAsia" w:cs="Times New Roman"/>
                      <w:color w:val="auto"/>
                      <w:sz w:val="21"/>
                      <w:szCs w:val="21"/>
                      <w:highlight w:val="none"/>
                      <w:lang w:val="en-US" w:eastAsia="zh-CN"/>
                    </w:rPr>
                    <w:t>处理</w:t>
                  </w:r>
                </w:p>
              </w:tc>
              <w:tc>
                <w:tcPr>
                  <w:tcW w:w="760" w:type="pct"/>
                  <w:shd w:val="clear" w:color="auto" w:fill="auto"/>
                  <w:vAlign w:val="center"/>
                </w:tcPr>
                <w:p w14:paraId="44C30A23">
                  <w:pPr>
                    <w:pStyle w:val="79"/>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一般固废暂存间</w:t>
                  </w:r>
                </w:p>
              </w:tc>
              <w:tc>
                <w:tcPr>
                  <w:tcW w:w="2634" w:type="pct"/>
                  <w:shd w:val="clear" w:color="auto" w:fill="auto"/>
                  <w:vAlign w:val="center"/>
                </w:tcPr>
                <w:p w14:paraId="254AFDA7">
                  <w:pPr>
                    <w:adjustRightInd w:val="0"/>
                    <w:snapToGrid w:val="0"/>
                    <w:spacing w:line="320" w:lineRule="exact"/>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建筑面积</w:t>
                  </w:r>
                  <w:r>
                    <w:rPr>
                      <w:rFonts w:hint="default" w:ascii="Times New Roman" w:hAnsi="Times New Roman" w:eastAsia="宋体" w:cs="Times New Roman"/>
                      <w:color w:val="auto"/>
                      <w:sz w:val="21"/>
                      <w:szCs w:val="21"/>
                      <w:highlight w:val="none"/>
                      <w:lang w:val="en-US" w:eastAsia="zh-CN"/>
                    </w:rPr>
                    <w:t>约10㎡</w:t>
                  </w:r>
                  <w:r>
                    <w:rPr>
                      <w:rFonts w:hint="default" w:ascii="Times New Roman" w:hAnsi="Times New Roman" w:eastAsia="宋体" w:cs="Times New Roman"/>
                      <w:color w:val="auto"/>
                      <w:sz w:val="21"/>
                      <w:szCs w:val="21"/>
                      <w:highlight w:val="none"/>
                    </w:rPr>
                    <w:t>，用于收集</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暂存生产过</w:t>
                  </w:r>
                  <w:r>
                    <w:rPr>
                      <w:rFonts w:hint="eastAsia" w:cs="Times New Roman"/>
                      <w:color w:val="auto"/>
                      <w:sz w:val="21"/>
                      <w:szCs w:val="21"/>
                      <w:highlight w:val="none"/>
                      <w:lang w:eastAsia="zh-CN"/>
                    </w:rPr>
                    <w:t>程中</w:t>
                  </w:r>
                  <w:r>
                    <w:rPr>
                      <w:rFonts w:hint="default" w:ascii="Times New Roman" w:hAnsi="Times New Roman" w:eastAsia="宋体" w:cs="Times New Roman"/>
                      <w:color w:val="auto"/>
                      <w:sz w:val="21"/>
                      <w:szCs w:val="21"/>
                      <w:highlight w:val="none"/>
                    </w:rPr>
                    <w:t>产生的边角料、不合格产品等可回收利用的一般固体废物</w:t>
                  </w:r>
                  <w:r>
                    <w:rPr>
                      <w:rFonts w:hint="default" w:ascii="Times New Roman" w:hAnsi="Times New Roman" w:eastAsia="宋体" w:cs="Times New Roman"/>
                      <w:color w:val="auto"/>
                      <w:sz w:val="21"/>
                      <w:szCs w:val="21"/>
                      <w:highlight w:val="none"/>
                      <w:lang w:eastAsia="zh-CN"/>
                    </w:rPr>
                    <w:t>。</w:t>
                  </w:r>
                </w:p>
              </w:tc>
              <w:tc>
                <w:tcPr>
                  <w:tcW w:w="694" w:type="pct"/>
                  <w:shd w:val="clear" w:color="auto" w:fill="auto"/>
                  <w:vAlign w:val="center"/>
                </w:tcPr>
                <w:p w14:paraId="4DB8D4C9">
                  <w:pPr>
                    <w:adjustRightInd w:val="0"/>
                    <w:snapToGrid w:val="0"/>
                    <w:spacing w:line="32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改建</w:t>
                  </w:r>
                </w:p>
              </w:tc>
            </w:tr>
            <w:tr w14:paraId="0CEF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9" w:type="pct"/>
                  <w:vMerge w:val="continue"/>
                  <w:shd w:val="clear" w:color="auto" w:fill="auto"/>
                  <w:vAlign w:val="center"/>
                </w:tcPr>
                <w:p w14:paraId="04E5CADD">
                  <w:pPr>
                    <w:pStyle w:val="79"/>
                    <w:jc w:val="center"/>
                    <w:rPr>
                      <w:rFonts w:hint="default" w:ascii="Times New Roman" w:hAnsi="Times New Roman" w:eastAsia="宋体" w:cs="Times New Roman"/>
                      <w:b/>
                      <w:bCs/>
                      <w:color w:val="auto"/>
                      <w:sz w:val="21"/>
                      <w:szCs w:val="21"/>
                      <w:highlight w:val="none"/>
                    </w:rPr>
                  </w:pPr>
                </w:p>
              </w:tc>
              <w:tc>
                <w:tcPr>
                  <w:tcW w:w="451" w:type="pct"/>
                  <w:vMerge w:val="continue"/>
                  <w:shd w:val="clear" w:color="auto" w:fill="auto"/>
                  <w:vAlign w:val="center"/>
                </w:tcPr>
                <w:p w14:paraId="1EC3C63A">
                  <w:pPr>
                    <w:pStyle w:val="79"/>
                    <w:jc w:val="center"/>
                    <w:rPr>
                      <w:rFonts w:hint="default" w:ascii="Times New Roman" w:hAnsi="Times New Roman" w:eastAsia="宋体" w:cs="Times New Roman"/>
                      <w:color w:val="auto"/>
                      <w:sz w:val="21"/>
                      <w:szCs w:val="21"/>
                      <w:highlight w:val="none"/>
                    </w:rPr>
                  </w:pPr>
                </w:p>
              </w:tc>
              <w:tc>
                <w:tcPr>
                  <w:tcW w:w="760" w:type="pct"/>
                  <w:shd w:val="clear" w:color="auto" w:fill="auto"/>
                  <w:vAlign w:val="center"/>
                </w:tcPr>
                <w:p w14:paraId="78BEE9F9">
                  <w:pPr>
                    <w:pStyle w:val="79"/>
                    <w:jc w:val="center"/>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危险废物</w:t>
                  </w:r>
                  <w:r>
                    <w:rPr>
                      <w:rFonts w:hint="eastAsia" w:cs="Times New Roman"/>
                      <w:color w:val="auto"/>
                      <w:sz w:val="21"/>
                      <w:szCs w:val="21"/>
                      <w:highlight w:val="none"/>
                      <w:lang w:val="en-US" w:eastAsia="zh-CN"/>
                    </w:rPr>
                    <w:t>暂存间</w:t>
                  </w:r>
                </w:p>
              </w:tc>
              <w:tc>
                <w:tcPr>
                  <w:tcW w:w="2634" w:type="pct"/>
                  <w:shd w:val="clear" w:color="auto" w:fill="auto"/>
                  <w:vAlign w:val="center"/>
                </w:tcPr>
                <w:p w14:paraId="326FB307">
                  <w:pPr>
                    <w:adjustRightInd w:val="0"/>
                    <w:snapToGrid w:val="0"/>
                    <w:spacing w:line="32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设置于厂房</w:t>
                  </w:r>
                  <w:r>
                    <w:rPr>
                      <w:rFonts w:hint="eastAsia" w:cs="Times New Roman"/>
                      <w:color w:val="auto"/>
                      <w:sz w:val="21"/>
                      <w:szCs w:val="21"/>
                      <w:highlight w:val="none"/>
                      <w:lang w:val="en-US" w:eastAsia="zh-CN"/>
                    </w:rPr>
                    <w:t>东</w:t>
                  </w:r>
                  <w:r>
                    <w:rPr>
                      <w:rFonts w:hint="default" w:ascii="Times New Roman" w:hAnsi="Times New Roman" w:eastAsia="宋体" w:cs="Times New Roman"/>
                      <w:color w:val="auto"/>
                      <w:sz w:val="21"/>
                      <w:szCs w:val="21"/>
                      <w:highlight w:val="none"/>
                      <w:lang w:val="en-US" w:eastAsia="zh-CN"/>
                    </w:rPr>
                    <w:t>侧，建筑面积</w:t>
                  </w:r>
                  <w:r>
                    <w:rPr>
                      <w:rFonts w:hint="eastAsia" w:cs="Times New Roman"/>
                      <w:color w:val="auto"/>
                      <w:sz w:val="21"/>
                      <w:szCs w:val="21"/>
                      <w:highlight w:val="none"/>
                      <w:lang w:val="en-US" w:eastAsia="zh-CN"/>
                    </w:rPr>
                    <w:t>10㎡，</w:t>
                  </w:r>
                  <w:r>
                    <w:rPr>
                      <w:rFonts w:hint="default" w:ascii="Times New Roman" w:hAnsi="Times New Roman" w:eastAsia="宋体" w:cs="Times New Roman"/>
                      <w:color w:val="auto"/>
                      <w:sz w:val="21"/>
                      <w:szCs w:val="21"/>
                      <w:highlight w:val="none"/>
                      <w:lang w:val="en-US" w:eastAsia="zh-CN"/>
                    </w:rPr>
                    <w:t>用于危险废物暂存。项目危险废物暂存间按《危险废物贮存污染控制标准》（GB</w:t>
                  </w:r>
                  <w:r>
                    <w:rPr>
                      <w:rFonts w:hint="eastAsia"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18597-2023）进行重点防渗，并配套导流沟、集液池、标识牌、分类分区分隔等相关设施。</w:t>
                  </w:r>
                </w:p>
              </w:tc>
              <w:tc>
                <w:tcPr>
                  <w:tcW w:w="694" w:type="pct"/>
                  <w:shd w:val="clear" w:color="auto" w:fill="auto"/>
                  <w:vAlign w:val="center"/>
                </w:tcPr>
                <w:p w14:paraId="62C9F1BE">
                  <w:pPr>
                    <w:adjustRightInd w:val="0"/>
                    <w:snapToGrid w:val="0"/>
                    <w:spacing w:line="32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新建</w:t>
                  </w:r>
                </w:p>
              </w:tc>
            </w:tr>
            <w:tr w14:paraId="1709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9" w:type="pct"/>
                  <w:vMerge w:val="continue"/>
                  <w:shd w:val="clear" w:color="auto" w:fill="auto"/>
                  <w:vAlign w:val="center"/>
                </w:tcPr>
                <w:p w14:paraId="30204710">
                  <w:pPr>
                    <w:pStyle w:val="79"/>
                    <w:jc w:val="center"/>
                    <w:rPr>
                      <w:rFonts w:hint="default" w:ascii="Times New Roman" w:hAnsi="Times New Roman" w:eastAsia="宋体" w:cs="Times New Roman"/>
                      <w:b/>
                      <w:bCs/>
                      <w:color w:val="auto"/>
                      <w:sz w:val="21"/>
                      <w:szCs w:val="21"/>
                      <w:highlight w:val="none"/>
                    </w:rPr>
                  </w:pPr>
                </w:p>
              </w:tc>
              <w:tc>
                <w:tcPr>
                  <w:tcW w:w="451" w:type="pct"/>
                  <w:shd w:val="clear" w:color="auto" w:fill="auto"/>
                  <w:vAlign w:val="center"/>
                </w:tcPr>
                <w:p w14:paraId="717CB60F">
                  <w:pPr>
                    <w:pStyle w:val="79"/>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w:t>
                  </w:r>
                </w:p>
              </w:tc>
              <w:tc>
                <w:tcPr>
                  <w:tcW w:w="760" w:type="pct"/>
                  <w:shd w:val="clear" w:color="auto" w:fill="auto"/>
                  <w:vAlign w:val="center"/>
                </w:tcPr>
                <w:p w14:paraId="1F120B53">
                  <w:pPr>
                    <w:pStyle w:val="79"/>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设备噪声</w:t>
                  </w:r>
                </w:p>
              </w:tc>
              <w:tc>
                <w:tcPr>
                  <w:tcW w:w="2634" w:type="pct"/>
                  <w:shd w:val="clear" w:color="auto" w:fill="auto"/>
                  <w:vAlign w:val="center"/>
                </w:tcPr>
                <w:p w14:paraId="2DAEEA7F">
                  <w:pPr>
                    <w:pStyle w:val="79"/>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项目采取合理布局，生产设备均置于厂房内封闭生产，通过厂房隔声，基础减振，对产生气流噪声的噪声源加装消声器</w:t>
                  </w:r>
                  <w:r>
                    <w:rPr>
                      <w:rFonts w:hint="default" w:ascii="Times New Roman" w:hAnsi="Times New Roman" w:eastAsia="宋体" w:cs="Times New Roman"/>
                      <w:color w:val="auto"/>
                      <w:sz w:val="21"/>
                      <w:szCs w:val="21"/>
                      <w:highlight w:val="none"/>
                      <w:lang w:eastAsia="zh-CN"/>
                    </w:rPr>
                    <w:t>。</w:t>
                  </w:r>
                </w:p>
              </w:tc>
              <w:tc>
                <w:tcPr>
                  <w:tcW w:w="694" w:type="pct"/>
                  <w:shd w:val="clear" w:color="auto" w:fill="auto"/>
                  <w:vAlign w:val="center"/>
                </w:tcPr>
                <w:p w14:paraId="256D8CC4">
                  <w:pPr>
                    <w:pStyle w:val="79"/>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新建</w:t>
                  </w:r>
                </w:p>
              </w:tc>
            </w:tr>
            <w:tr w14:paraId="624C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9" w:type="pct"/>
                  <w:vMerge w:val="continue"/>
                  <w:shd w:val="clear" w:color="auto" w:fill="auto"/>
                  <w:vAlign w:val="center"/>
                </w:tcPr>
                <w:p w14:paraId="17014755">
                  <w:pPr>
                    <w:pStyle w:val="79"/>
                    <w:jc w:val="center"/>
                    <w:rPr>
                      <w:rFonts w:hint="default" w:ascii="Times New Roman" w:hAnsi="Times New Roman" w:eastAsia="宋体" w:cs="Times New Roman"/>
                      <w:b/>
                      <w:bCs/>
                      <w:color w:val="auto"/>
                      <w:sz w:val="21"/>
                      <w:szCs w:val="21"/>
                      <w:highlight w:val="none"/>
                    </w:rPr>
                  </w:pPr>
                </w:p>
              </w:tc>
              <w:tc>
                <w:tcPr>
                  <w:tcW w:w="451" w:type="pct"/>
                  <w:vMerge w:val="restart"/>
                  <w:shd w:val="clear" w:color="auto" w:fill="auto"/>
                  <w:vAlign w:val="center"/>
                </w:tcPr>
                <w:p w14:paraId="4A345A83">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防渗措施</w:t>
                  </w:r>
                </w:p>
              </w:tc>
              <w:tc>
                <w:tcPr>
                  <w:tcW w:w="760" w:type="pct"/>
                  <w:shd w:val="clear" w:color="auto" w:fill="auto"/>
                  <w:vAlign w:val="center"/>
                </w:tcPr>
                <w:p w14:paraId="2DB62055">
                  <w:pPr>
                    <w:widowControl/>
                    <w:jc w:val="center"/>
                    <w:textAlignment w:val="center"/>
                    <w:rPr>
                      <w:rFonts w:hint="default" w:ascii="Times New Roman" w:hAnsi="Times New Roman" w:eastAsia="宋体" w:cs="Times New Roman"/>
                      <w:color w:val="auto"/>
                      <w:kern w:val="0"/>
                      <w:sz w:val="21"/>
                      <w:szCs w:val="21"/>
                      <w:highlight w:val="none"/>
                      <w:lang w:bidi="ar"/>
                    </w:rPr>
                  </w:pPr>
                  <w:r>
                    <w:rPr>
                      <w:rFonts w:hint="default" w:ascii="Times New Roman" w:hAnsi="Times New Roman" w:eastAsia="宋体" w:cs="Times New Roman"/>
                      <w:color w:val="auto"/>
                      <w:kern w:val="0"/>
                      <w:sz w:val="21"/>
                      <w:szCs w:val="21"/>
                      <w:highlight w:val="none"/>
                      <w:lang w:bidi="ar"/>
                    </w:rPr>
                    <w:t>重点防</w:t>
                  </w:r>
                </w:p>
                <w:p w14:paraId="6961EB2E">
                  <w:pPr>
                    <w:widowControl/>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bidi="ar"/>
                    </w:rPr>
                    <w:t>渗区</w:t>
                  </w:r>
                </w:p>
              </w:tc>
              <w:tc>
                <w:tcPr>
                  <w:tcW w:w="2634" w:type="pct"/>
                  <w:shd w:val="clear" w:color="auto" w:fill="auto"/>
                  <w:vAlign w:val="center"/>
                </w:tcPr>
                <w:p w14:paraId="7D7F1449">
                  <w:pPr>
                    <w:adjustRightInd w:val="0"/>
                    <w:snapToGrid w:val="0"/>
                    <w:spacing w:line="32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bidi="ar"/>
                    </w:rPr>
                    <w:t>项目危险废物暂存间采取重点防渗，其防渗措施采用2mm厚高密度聚乙烯膜。防渗技术要求：渗透系数≦10</w:t>
                  </w:r>
                  <w:r>
                    <w:rPr>
                      <w:rFonts w:hint="default" w:ascii="Times New Roman" w:hAnsi="Times New Roman" w:eastAsia="宋体" w:cs="Times New Roman"/>
                      <w:color w:val="auto"/>
                      <w:kern w:val="0"/>
                      <w:sz w:val="21"/>
                      <w:szCs w:val="21"/>
                      <w:highlight w:val="none"/>
                      <w:vertAlign w:val="superscript"/>
                      <w:lang w:bidi="ar"/>
                    </w:rPr>
                    <w:t>-10</w:t>
                  </w:r>
                  <w:r>
                    <w:rPr>
                      <w:rFonts w:hint="default" w:ascii="Times New Roman" w:hAnsi="Times New Roman" w:eastAsia="宋体" w:cs="Times New Roman"/>
                      <w:color w:val="auto"/>
                      <w:kern w:val="0"/>
                      <w:sz w:val="21"/>
                      <w:szCs w:val="21"/>
                      <w:highlight w:val="none"/>
                      <w:lang w:bidi="ar"/>
                    </w:rPr>
                    <w:t>cm/s。</w:t>
                  </w:r>
                </w:p>
              </w:tc>
              <w:tc>
                <w:tcPr>
                  <w:tcW w:w="694" w:type="pct"/>
                  <w:shd w:val="clear" w:color="auto" w:fill="auto"/>
                  <w:vAlign w:val="center"/>
                </w:tcPr>
                <w:p w14:paraId="36DF0BBF">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新建</w:t>
                  </w:r>
                </w:p>
              </w:tc>
            </w:tr>
            <w:tr w14:paraId="3332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9" w:type="pct"/>
                  <w:vMerge w:val="continue"/>
                  <w:shd w:val="clear" w:color="auto" w:fill="auto"/>
                  <w:vAlign w:val="center"/>
                </w:tcPr>
                <w:p w14:paraId="0108A6B5">
                  <w:pPr>
                    <w:pStyle w:val="79"/>
                    <w:jc w:val="center"/>
                    <w:rPr>
                      <w:rFonts w:hint="default" w:ascii="Times New Roman" w:hAnsi="Times New Roman" w:eastAsia="宋体" w:cs="Times New Roman"/>
                      <w:b/>
                      <w:bCs/>
                      <w:color w:val="auto"/>
                      <w:sz w:val="21"/>
                      <w:szCs w:val="21"/>
                      <w:highlight w:val="none"/>
                    </w:rPr>
                  </w:pPr>
                </w:p>
              </w:tc>
              <w:tc>
                <w:tcPr>
                  <w:tcW w:w="451" w:type="pct"/>
                  <w:vMerge w:val="continue"/>
                  <w:shd w:val="clear" w:color="auto" w:fill="auto"/>
                  <w:vAlign w:val="center"/>
                </w:tcPr>
                <w:p w14:paraId="7739A68F">
                  <w:pPr>
                    <w:pStyle w:val="79"/>
                    <w:jc w:val="center"/>
                    <w:rPr>
                      <w:rFonts w:hint="default" w:ascii="Times New Roman" w:hAnsi="Times New Roman" w:eastAsia="宋体" w:cs="Times New Roman"/>
                      <w:color w:val="auto"/>
                      <w:sz w:val="21"/>
                      <w:szCs w:val="21"/>
                      <w:highlight w:val="none"/>
                      <w:lang w:val="en-US" w:eastAsia="zh-CN"/>
                    </w:rPr>
                  </w:pPr>
                </w:p>
              </w:tc>
              <w:tc>
                <w:tcPr>
                  <w:tcW w:w="760" w:type="pct"/>
                  <w:shd w:val="clear" w:color="auto" w:fill="auto"/>
                  <w:vAlign w:val="center"/>
                </w:tcPr>
                <w:p w14:paraId="4AE81DA0">
                  <w:pPr>
                    <w:widowControl/>
                    <w:jc w:val="center"/>
                    <w:textAlignment w:val="center"/>
                    <w:rPr>
                      <w:rFonts w:hint="default" w:ascii="Times New Roman" w:hAnsi="Times New Roman" w:eastAsia="宋体" w:cs="Times New Roman"/>
                      <w:color w:val="auto"/>
                      <w:kern w:val="0"/>
                      <w:sz w:val="21"/>
                      <w:szCs w:val="21"/>
                      <w:highlight w:val="none"/>
                      <w:lang w:bidi="ar"/>
                    </w:rPr>
                  </w:pPr>
                  <w:r>
                    <w:rPr>
                      <w:rFonts w:hint="default" w:ascii="Times New Roman" w:hAnsi="Times New Roman" w:eastAsia="宋体" w:cs="Times New Roman"/>
                      <w:color w:val="auto"/>
                      <w:kern w:val="0"/>
                      <w:sz w:val="21"/>
                      <w:szCs w:val="21"/>
                      <w:highlight w:val="none"/>
                      <w:lang w:bidi="ar"/>
                    </w:rPr>
                    <w:t>一般防</w:t>
                  </w:r>
                </w:p>
                <w:p w14:paraId="4F4E97F4">
                  <w:pPr>
                    <w:widowControl/>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bidi="ar"/>
                    </w:rPr>
                    <w:t>渗区</w:t>
                  </w:r>
                </w:p>
              </w:tc>
              <w:tc>
                <w:tcPr>
                  <w:tcW w:w="2634" w:type="pct"/>
                  <w:shd w:val="clear" w:color="auto" w:fill="auto"/>
                  <w:vAlign w:val="center"/>
                </w:tcPr>
                <w:p w14:paraId="1979F161">
                  <w:pPr>
                    <w:adjustRightInd w:val="0"/>
                    <w:snapToGrid w:val="0"/>
                    <w:spacing w:line="32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一般固废暂存间</w:t>
                  </w:r>
                  <w:r>
                    <w:rPr>
                      <w:rFonts w:hint="default" w:ascii="Times New Roman" w:hAnsi="Times New Roman" w:eastAsia="宋体" w:cs="Times New Roman"/>
                      <w:color w:val="auto"/>
                      <w:kern w:val="0"/>
                      <w:sz w:val="21"/>
                      <w:szCs w:val="21"/>
                      <w:highlight w:val="none"/>
                      <w:lang w:bidi="ar"/>
                    </w:rPr>
                    <w:t>进行一般防渗，其防渗措施采用抗渗混凝土。防渗技术要求：渗透系数≦10</w:t>
                  </w:r>
                  <w:r>
                    <w:rPr>
                      <w:rFonts w:hint="default" w:ascii="Times New Roman" w:hAnsi="Times New Roman" w:eastAsia="宋体" w:cs="Times New Roman"/>
                      <w:color w:val="auto"/>
                      <w:kern w:val="0"/>
                      <w:sz w:val="21"/>
                      <w:szCs w:val="21"/>
                      <w:highlight w:val="none"/>
                      <w:vertAlign w:val="superscript"/>
                      <w:lang w:bidi="ar"/>
                    </w:rPr>
                    <w:t>-7</w:t>
                  </w:r>
                  <w:r>
                    <w:rPr>
                      <w:rFonts w:hint="default" w:ascii="Times New Roman" w:hAnsi="Times New Roman" w:eastAsia="宋体" w:cs="Times New Roman"/>
                      <w:color w:val="auto"/>
                      <w:kern w:val="0"/>
                      <w:sz w:val="21"/>
                      <w:szCs w:val="21"/>
                      <w:highlight w:val="none"/>
                      <w:lang w:bidi="ar"/>
                    </w:rPr>
                    <w:t>cm/s。</w:t>
                  </w:r>
                </w:p>
              </w:tc>
              <w:tc>
                <w:tcPr>
                  <w:tcW w:w="694" w:type="pct"/>
                  <w:shd w:val="clear" w:color="auto" w:fill="auto"/>
                  <w:vAlign w:val="center"/>
                </w:tcPr>
                <w:p w14:paraId="48A1458E">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新建</w:t>
                  </w:r>
                </w:p>
              </w:tc>
            </w:tr>
            <w:tr w14:paraId="21AA3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9" w:type="pct"/>
                  <w:vMerge w:val="restart"/>
                  <w:shd w:val="clear" w:color="auto" w:fill="auto"/>
                  <w:vAlign w:val="center"/>
                </w:tcPr>
                <w:p w14:paraId="4B4D7A50">
                  <w:pPr>
                    <w:pStyle w:val="79"/>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依托工程</w:t>
                  </w:r>
                </w:p>
              </w:tc>
              <w:tc>
                <w:tcPr>
                  <w:tcW w:w="451" w:type="pct"/>
                  <w:vMerge w:val="restart"/>
                  <w:shd w:val="clear" w:color="auto" w:fill="auto"/>
                  <w:vAlign w:val="center"/>
                </w:tcPr>
                <w:p w14:paraId="779B21FA">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公用</w:t>
                  </w:r>
                </w:p>
              </w:tc>
              <w:tc>
                <w:tcPr>
                  <w:tcW w:w="760" w:type="pct"/>
                  <w:shd w:val="clear" w:color="auto" w:fill="auto"/>
                  <w:vAlign w:val="center"/>
                </w:tcPr>
                <w:p w14:paraId="3BF2E1AC">
                  <w:pPr>
                    <w:pStyle w:val="79"/>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rPr>
                    <w:t>供配电</w:t>
                  </w:r>
                </w:p>
                <w:p w14:paraId="4D2B3ACD">
                  <w:pPr>
                    <w:pStyle w:val="79"/>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rPr>
                    <w:t>系统</w:t>
                  </w:r>
                </w:p>
              </w:tc>
              <w:tc>
                <w:tcPr>
                  <w:tcW w:w="2634" w:type="pct"/>
                  <w:shd w:val="clear" w:color="auto" w:fill="auto"/>
                  <w:vAlign w:val="center"/>
                </w:tcPr>
                <w:p w14:paraId="0153E584">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项目用电搭接园区供电系统，依托云南三缘电缆有限公司自建配电室（162㎡）引至各用电单元使用。</w:t>
                  </w:r>
                </w:p>
              </w:tc>
              <w:tc>
                <w:tcPr>
                  <w:tcW w:w="694" w:type="pct"/>
                  <w:shd w:val="clear" w:color="auto" w:fill="auto"/>
                  <w:vAlign w:val="center"/>
                </w:tcPr>
                <w:p w14:paraId="2FA490A0">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依托现有</w:t>
                  </w:r>
                </w:p>
              </w:tc>
            </w:tr>
            <w:tr w14:paraId="2F07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9" w:type="pct"/>
                  <w:vMerge w:val="continue"/>
                  <w:shd w:val="clear" w:color="auto" w:fill="auto"/>
                  <w:vAlign w:val="center"/>
                </w:tcPr>
                <w:p w14:paraId="58BEF851">
                  <w:pPr>
                    <w:pStyle w:val="79"/>
                    <w:jc w:val="center"/>
                    <w:rPr>
                      <w:rFonts w:hint="default" w:ascii="Times New Roman" w:hAnsi="Times New Roman" w:eastAsia="宋体" w:cs="Times New Roman"/>
                      <w:color w:val="auto"/>
                      <w:sz w:val="21"/>
                      <w:szCs w:val="21"/>
                      <w:highlight w:val="none"/>
                      <w:lang w:val="en-US" w:eastAsia="zh-CN"/>
                    </w:rPr>
                  </w:pPr>
                </w:p>
              </w:tc>
              <w:tc>
                <w:tcPr>
                  <w:tcW w:w="451" w:type="pct"/>
                  <w:vMerge w:val="continue"/>
                  <w:shd w:val="clear" w:color="auto" w:fill="auto"/>
                  <w:vAlign w:val="center"/>
                </w:tcPr>
                <w:p w14:paraId="22976C15">
                  <w:pPr>
                    <w:autoSpaceDE w:val="0"/>
                    <w:autoSpaceDN w:val="0"/>
                    <w:adjustRightInd w:val="0"/>
                    <w:jc w:val="center"/>
                    <w:rPr>
                      <w:rFonts w:hint="default" w:ascii="Times New Roman" w:hAnsi="Times New Roman" w:eastAsia="宋体" w:cs="Times New Roman"/>
                      <w:color w:val="auto"/>
                      <w:sz w:val="21"/>
                      <w:szCs w:val="21"/>
                      <w:highlight w:val="none"/>
                      <w:lang w:val="en-US"/>
                    </w:rPr>
                  </w:pPr>
                </w:p>
              </w:tc>
              <w:tc>
                <w:tcPr>
                  <w:tcW w:w="760" w:type="pct"/>
                  <w:shd w:val="clear" w:color="auto" w:fill="auto"/>
                  <w:vAlign w:val="center"/>
                </w:tcPr>
                <w:p w14:paraId="4328D355">
                  <w:pPr>
                    <w:autoSpaceDE w:val="0"/>
                    <w:autoSpaceDN w:val="0"/>
                    <w:adjustRightIn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供水</w:t>
                  </w:r>
                </w:p>
              </w:tc>
              <w:tc>
                <w:tcPr>
                  <w:tcW w:w="2634" w:type="pct"/>
                  <w:shd w:val="clear" w:color="auto" w:fill="auto"/>
                  <w:vAlign w:val="center"/>
                </w:tcPr>
                <w:p w14:paraId="34013534">
                  <w:pPr>
                    <w:autoSpaceDE w:val="0"/>
                    <w:autoSpaceDN w:val="0"/>
                    <w:adjustRightIn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rPr>
                    <w:t>项目用水由园区供水管网供给</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lang w:val="en-US" w:eastAsia="zh-CN"/>
                    </w:rPr>
                    <w:t>依托云南三缘电缆有限公司原有给水管网引至各用水单位。</w:t>
                  </w:r>
                </w:p>
              </w:tc>
              <w:tc>
                <w:tcPr>
                  <w:tcW w:w="694" w:type="pct"/>
                  <w:shd w:val="clear" w:color="auto" w:fill="auto"/>
                  <w:vAlign w:val="center"/>
                </w:tcPr>
                <w:p w14:paraId="308FDB39">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依托现有</w:t>
                  </w:r>
                </w:p>
              </w:tc>
            </w:tr>
            <w:tr w14:paraId="25C6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9" w:type="pct"/>
                  <w:vMerge w:val="continue"/>
                  <w:shd w:val="clear" w:color="auto" w:fill="auto"/>
                  <w:vAlign w:val="center"/>
                </w:tcPr>
                <w:p w14:paraId="73D0213A">
                  <w:pPr>
                    <w:pStyle w:val="79"/>
                    <w:jc w:val="center"/>
                    <w:rPr>
                      <w:rFonts w:hint="default" w:ascii="Times New Roman" w:hAnsi="Times New Roman" w:eastAsia="宋体" w:cs="Times New Roman"/>
                      <w:color w:val="auto"/>
                      <w:sz w:val="21"/>
                      <w:szCs w:val="21"/>
                      <w:highlight w:val="none"/>
                      <w:lang w:val="en-US" w:eastAsia="zh-CN"/>
                    </w:rPr>
                  </w:pPr>
                </w:p>
              </w:tc>
              <w:tc>
                <w:tcPr>
                  <w:tcW w:w="451" w:type="pct"/>
                  <w:vMerge w:val="continue"/>
                  <w:shd w:val="clear" w:color="auto" w:fill="auto"/>
                  <w:vAlign w:val="center"/>
                </w:tcPr>
                <w:p w14:paraId="47818720">
                  <w:pPr>
                    <w:pStyle w:val="79"/>
                    <w:jc w:val="center"/>
                    <w:rPr>
                      <w:rFonts w:hint="default" w:ascii="Times New Roman" w:hAnsi="Times New Roman" w:eastAsia="宋体" w:cs="Times New Roman"/>
                      <w:color w:val="auto"/>
                      <w:sz w:val="21"/>
                      <w:szCs w:val="21"/>
                      <w:highlight w:val="none"/>
                      <w:lang w:val="en-US"/>
                    </w:rPr>
                  </w:pPr>
                </w:p>
              </w:tc>
              <w:tc>
                <w:tcPr>
                  <w:tcW w:w="760" w:type="pct"/>
                  <w:shd w:val="clear" w:color="auto" w:fill="auto"/>
                  <w:vAlign w:val="center"/>
                </w:tcPr>
                <w:p w14:paraId="76EF5330">
                  <w:pPr>
                    <w:pStyle w:val="79"/>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rPr>
                    <w:t>排水</w:t>
                  </w:r>
                </w:p>
              </w:tc>
              <w:tc>
                <w:tcPr>
                  <w:tcW w:w="2634" w:type="pct"/>
                  <w:shd w:val="clear" w:color="auto" w:fill="auto"/>
                  <w:vAlign w:val="center"/>
                </w:tcPr>
                <w:p w14:paraId="6F6B56CA">
                  <w:pPr>
                    <w:autoSpaceDE w:val="0"/>
                    <w:autoSpaceDN w:val="0"/>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项目采用雨污分流制排水方式。雨水经雨水管道收集后排至</w:t>
                  </w:r>
                  <w:r>
                    <w:rPr>
                      <w:rFonts w:hint="eastAsia" w:ascii="Times New Roman" w:hAnsi="Times New Roman" w:eastAsia="宋体" w:cs="Times New Roman"/>
                      <w:color w:val="auto"/>
                      <w:sz w:val="21"/>
                      <w:szCs w:val="21"/>
                      <w:highlight w:val="none"/>
                      <w:lang w:val="en-US" w:eastAsia="zh-CN"/>
                    </w:rPr>
                    <w:t>园区</w:t>
                  </w:r>
                  <w:r>
                    <w:rPr>
                      <w:rFonts w:hint="default" w:ascii="Times New Roman" w:hAnsi="Times New Roman" w:eastAsia="宋体" w:cs="Times New Roman"/>
                      <w:color w:val="auto"/>
                      <w:sz w:val="21"/>
                      <w:szCs w:val="21"/>
                      <w:highlight w:val="none"/>
                      <w:lang w:val="en-US" w:eastAsia="zh-CN"/>
                    </w:rPr>
                    <w:t>雨水管网；项目</w:t>
                  </w:r>
                  <w:r>
                    <w:rPr>
                      <w:rFonts w:hint="default" w:ascii="Times New Roman" w:hAnsi="Times New Roman" w:eastAsia="宋体" w:cs="Times New Roman"/>
                      <w:color w:val="auto"/>
                      <w:kern w:val="0"/>
                      <w:sz w:val="21"/>
                      <w:szCs w:val="21"/>
                      <w:highlight w:val="none"/>
                    </w:rPr>
                    <w:t>办公</w:t>
                  </w:r>
                  <w:r>
                    <w:rPr>
                      <w:rFonts w:hint="eastAsia"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生活污水依托云南三缘电缆有限公司化粪池（10m³）</w:t>
                  </w:r>
                  <w:r>
                    <w:rPr>
                      <w:rFonts w:hint="default" w:ascii="Times New Roman" w:hAnsi="Times New Roman" w:eastAsia="宋体" w:cs="Times New Roman"/>
                      <w:color w:val="auto"/>
                      <w:kern w:val="0"/>
                      <w:sz w:val="21"/>
                      <w:szCs w:val="21"/>
                      <w:highlight w:val="none"/>
                      <w:lang w:val="en-US" w:eastAsia="zh-CN"/>
                    </w:rPr>
                    <w:t>预</w:t>
                  </w:r>
                  <w:r>
                    <w:rPr>
                      <w:rFonts w:hint="default" w:ascii="Times New Roman" w:hAnsi="Times New Roman" w:eastAsia="宋体" w:cs="Times New Roman"/>
                      <w:color w:val="auto"/>
                      <w:kern w:val="0"/>
                      <w:sz w:val="21"/>
                      <w:szCs w:val="21"/>
                      <w:highlight w:val="none"/>
                    </w:rPr>
                    <w:t>处理后</w:t>
                  </w:r>
                  <w:r>
                    <w:rPr>
                      <w:rFonts w:hint="default" w:ascii="Times New Roman" w:hAnsi="Times New Roman" w:eastAsia="宋体" w:cs="Times New Roman"/>
                      <w:color w:val="auto"/>
                      <w:kern w:val="0"/>
                      <w:sz w:val="21"/>
                      <w:szCs w:val="21"/>
                      <w:highlight w:val="none"/>
                      <w:lang w:eastAsia="zh-CN"/>
                    </w:rPr>
                    <w:t>，采用槽罐车外送至</w:t>
                  </w:r>
                  <w:r>
                    <w:rPr>
                      <w:rFonts w:hint="default" w:ascii="Times New Roman" w:hAnsi="Times New Roman" w:eastAsia="宋体" w:cs="Times New Roman"/>
                      <w:color w:val="auto"/>
                      <w:kern w:val="0"/>
                      <w:sz w:val="21"/>
                      <w:szCs w:val="21"/>
                      <w:highlight w:val="none"/>
                      <w:lang w:val="en-US" w:eastAsia="zh-CN"/>
                    </w:rPr>
                    <w:t>玉溪市第二</w:t>
                  </w:r>
                  <w:r>
                    <w:rPr>
                      <w:rFonts w:hint="default" w:ascii="Times New Roman" w:hAnsi="Times New Roman" w:eastAsia="宋体" w:cs="Times New Roman"/>
                      <w:color w:val="auto"/>
                      <w:kern w:val="0"/>
                      <w:sz w:val="21"/>
                      <w:szCs w:val="21"/>
                      <w:highlight w:val="none"/>
                      <w:lang w:eastAsia="zh-CN"/>
                    </w:rPr>
                    <w:t>污水处理</w:t>
                  </w:r>
                  <w:r>
                    <w:rPr>
                      <w:rFonts w:hint="default" w:ascii="Times New Roman" w:hAnsi="Times New Roman" w:eastAsia="宋体" w:cs="Times New Roman"/>
                      <w:color w:val="auto"/>
                      <w:kern w:val="0"/>
                      <w:sz w:val="21"/>
                      <w:szCs w:val="21"/>
                      <w:highlight w:val="none"/>
                      <w:lang w:val="en-US" w:eastAsia="zh-CN"/>
                    </w:rPr>
                    <w:t>厂</w:t>
                  </w:r>
                  <w:r>
                    <w:rPr>
                      <w:rFonts w:hint="default" w:ascii="Times New Roman" w:hAnsi="Times New Roman" w:eastAsia="宋体" w:cs="Times New Roman"/>
                      <w:color w:val="auto"/>
                      <w:kern w:val="0"/>
                      <w:sz w:val="21"/>
                      <w:szCs w:val="21"/>
                      <w:highlight w:val="none"/>
                      <w:lang w:eastAsia="zh-CN"/>
                    </w:rPr>
                    <w:t>处理</w:t>
                  </w:r>
                  <w:r>
                    <w:rPr>
                      <w:rFonts w:hint="default" w:ascii="Times New Roman" w:hAnsi="Times New Roman" w:eastAsia="宋体" w:cs="Times New Roman"/>
                      <w:color w:val="auto"/>
                      <w:sz w:val="21"/>
                      <w:szCs w:val="21"/>
                      <w:highlight w:val="none"/>
                      <w:lang w:val="en-US" w:eastAsia="zh-CN"/>
                    </w:rPr>
                    <w:t>。设备冷却水间接冷却，循环使用不外排。</w:t>
                  </w:r>
                </w:p>
              </w:tc>
              <w:tc>
                <w:tcPr>
                  <w:tcW w:w="694" w:type="pct"/>
                  <w:shd w:val="clear" w:color="auto" w:fill="auto"/>
                  <w:vAlign w:val="center"/>
                </w:tcPr>
                <w:p w14:paraId="63468B76">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依托现有</w:t>
                  </w:r>
                </w:p>
              </w:tc>
            </w:tr>
            <w:tr w14:paraId="37E77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9" w:type="pct"/>
                  <w:vMerge w:val="continue"/>
                  <w:shd w:val="clear" w:color="auto" w:fill="auto"/>
                  <w:vAlign w:val="center"/>
                </w:tcPr>
                <w:p w14:paraId="3D3F4C61">
                  <w:pPr>
                    <w:pStyle w:val="79"/>
                    <w:jc w:val="center"/>
                    <w:rPr>
                      <w:rFonts w:hint="default" w:ascii="Times New Roman" w:hAnsi="Times New Roman" w:eastAsia="宋体" w:cs="Times New Roman"/>
                      <w:color w:val="auto"/>
                      <w:sz w:val="21"/>
                      <w:szCs w:val="21"/>
                      <w:highlight w:val="none"/>
                      <w:lang w:val="en-US" w:eastAsia="zh-CN"/>
                    </w:rPr>
                  </w:pPr>
                </w:p>
              </w:tc>
              <w:tc>
                <w:tcPr>
                  <w:tcW w:w="451" w:type="pct"/>
                  <w:vMerge w:val="restart"/>
                  <w:shd w:val="clear" w:color="auto" w:fill="auto"/>
                  <w:vAlign w:val="center"/>
                </w:tcPr>
                <w:p w14:paraId="64BC6AFA">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其他</w:t>
                  </w:r>
                </w:p>
              </w:tc>
              <w:tc>
                <w:tcPr>
                  <w:tcW w:w="760" w:type="pct"/>
                  <w:shd w:val="clear" w:color="auto" w:fill="auto"/>
                  <w:vAlign w:val="center"/>
                </w:tcPr>
                <w:p w14:paraId="2DE470CD">
                  <w:pPr>
                    <w:pStyle w:val="79"/>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rPr>
                    <w:t>生活垃圾</w:t>
                  </w:r>
                </w:p>
              </w:tc>
              <w:tc>
                <w:tcPr>
                  <w:tcW w:w="2634" w:type="pct"/>
                  <w:shd w:val="clear" w:color="auto" w:fill="auto"/>
                  <w:vAlign w:val="center"/>
                </w:tcPr>
                <w:p w14:paraId="61B675B5">
                  <w:pPr>
                    <w:adjustRightInd w:val="0"/>
                    <w:snapToGrid w:val="0"/>
                    <w:spacing w:line="32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设置生活垃圾收集桶，对产生的生活垃圾进行收集</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委托环卫部门清运。</w:t>
                  </w:r>
                </w:p>
              </w:tc>
              <w:tc>
                <w:tcPr>
                  <w:tcW w:w="694" w:type="pct"/>
                  <w:shd w:val="clear" w:color="auto" w:fill="auto"/>
                  <w:vAlign w:val="center"/>
                </w:tcPr>
                <w:p w14:paraId="18DBCF09">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依托现有</w:t>
                  </w:r>
                </w:p>
              </w:tc>
            </w:tr>
            <w:tr w14:paraId="1D97F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9" w:type="pct"/>
                  <w:vMerge w:val="continue"/>
                  <w:shd w:val="clear" w:color="auto" w:fill="auto"/>
                  <w:vAlign w:val="center"/>
                </w:tcPr>
                <w:p w14:paraId="0D75A986">
                  <w:pPr>
                    <w:pStyle w:val="79"/>
                    <w:jc w:val="center"/>
                    <w:rPr>
                      <w:rFonts w:hint="default" w:ascii="Times New Roman" w:hAnsi="Times New Roman" w:eastAsia="宋体" w:cs="Times New Roman"/>
                      <w:color w:val="auto"/>
                      <w:sz w:val="21"/>
                      <w:szCs w:val="21"/>
                      <w:highlight w:val="none"/>
                      <w:lang w:val="en-US" w:eastAsia="zh-CN"/>
                    </w:rPr>
                  </w:pPr>
                </w:p>
              </w:tc>
              <w:tc>
                <w:tcPr>
                  <w:tcW w:w="451" w:type="pct"/>
                  <w:vMerge w:val="continue"/>
                  <w:shd w:val="clear" w:color="auto" w:fill="auto"/>
                  <w:vAlign w:val="center"/>
                </w:tcPr>
                <w:p w14:paraId="3FFDADC9">
                  <w:pPr>
                    <w:pStyle w:val="79"/>
                    <w:jc w:val="center"/>
                    <w:rPr>
                      <w:rFonts w:hint="default" w:ascii="Times New Roman" w:hAnsi="Times New Roman" w:eastAsia="宋体" w:cs="Times New Roman"/>
                      <w:color w:val="auto"/>
                      <w:sz w:val="21"/>
                      <w:szCs w:val="21"/>
                      <w:highlight w:val="none"/>
                      <w:lang w:val="en-US" w:eastAsia="zh-CN"/>
                    </w:rPr>
                  </w:pPr>
                </w:p>
              </w:tc>
              <w:tc>
                <w:tcPr>
                  <w:tcW w:w="760" w:type="pct"/>
                  <w:shd w:val="clear" w:color="auto" w:fill="auto"/>
                  <w:vAlign w:val="center"/>
                </w:tcPr>
                <w:p w14:paraId="12650645">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生活污水</w:t>
                  </w:r>
                </w:p>
              </w:tc>
              <w:tc>
                <w:tcPr>
                  <w:tcW w:w="2634" w:type="pct"/>
                  <w:shd w:val="clear" w:color="auto" w:fill="auto"/>
                  <w:vAlign w:val="center"/>
                </w:tcPr>
                <w:p w14:paraId="133631C0">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办公生活污水依托云南三缘电缆有限公司化粪池（10m³）</w:t>
                  </w:r>
                  <w:r>
                    <w:rPr>
                      <w:rFonts w:hint="default" w:ascii="Times New Roman" w:hAnsi="Times New Roman" w:eastAsia="宋体" w:cs="Times New Roman"/>
                      <w:color w:val="auto"/>
                      <w:kern w:val="0"/>
                      <w:sz w:val="21"/>
                      <w:szCs w:val="21"/>
                      <w:highlight w:val="none"/>
                      <w:lang w:val="en-US" w:eastAsia="zh-CN"/>
                    </w:rPr>
                    <w:t>预</w:t>
                  </w:r>
                  <w:r>
                    <w:rPr>
                      <w:rFonts w:hint="default" w:ascii="Times New Roman" w:hAnsi="Times New Roman" w:eastAsia="宋体" w:cs="Times New Roman"/>
                      <w:color w:val="auto"/>
                      <w:kern w:val="0"/>
                      <w:sz w:val="21"/>
                      <w:szCs w:val="21"/>
                      <w:highlight w:val="none"/>
                    </w:rPr>
                    <w:t>处理后</w:t>
                  </w:r>
                  <w:r>
                    <w:rPr>
                      <w:rFonts w:hint="default" w:ascii="Times New Roman" w:hAnsi="Times New Roman" w:eastAsia="宋体" w:cs="Times New Roman"/>
                      <w:color w:val="auto"/>
                      <w:kern w:val="0"/>
                      <w:sz w:val="21"/>
                      <w:szCs w:val="21"/>
                      <w:highlight w:val="none"/>
                      <w:lang w:eastAsia="zh-CN"/>
                    </w:rPr>
                    <w:t>，采用槽罐车外送至</w:t>
                  </w:r>
                  <w:r>
                    <w:rPr>
                      <w:rFonts w:hint="default" w:ascii="Times New Roman" w:hAnsi="Times New Roman" w:eastAsia="宋体" w:cs="Times New Roman"/>
                      <w:color w:val="auto"/>
                      <w:kern w:val="0"/>
                      <w:sz w:val="21"/>
                      <w:szCs w:val="21"/>
                      <w:highlight w:val="none"/>
                      <w:lang w:val="en-US" w:eastAsia="zh-CN"/>
                    </w:rPr>
                    <w:t>玉溪市第二</w:t>
                  </w:r>
                  <w:r>
                    <w:rPr>
                      <w:rFonts w:hint="default" w:ascii="Times New Roman" w:hAnsi="Times New Roman" w:eastAsia="宋体" w:cs="Times New Roman"/>
                      <w:color w:val="auto"/>
                      <w:kern w:val="0"/>
                      <w:sz w:val="21"/>
                      <w:szCs w:val="21"/>
                      <w:highlight w:val="none"/>
                      <w:lang w:eastAsia="zh-CN"/>
                    </w:rPr>
                    <w:t>污水处理</w:t>
                  </w:r>
                  <w:r>
                    <w:rPr>
                      <w:rFonts w:hint="default" w:ascii="Times New Roman" w:hAnsi="Times New Roman" w:eastAsia="宋体" w:cs="Times New Roman"/>
                      <w:color w:val="auto"/>
                      <w:kern w:val="0"/>
                      <w:sz w:val="21"/>
                      <w:szCs w:val="21"/>
                      <w:highlight w:val="none"/>
                      <w:lang w:val="en-US" w:eastAsia="zh-CN"/>
                    </w:rPr>
                    <w:t>厂</w:t>
                  </w:r>
                  <w:r>
                    <w:rPr>
                      <w:rFonts w:hint="default" w:ascii="Times New Roman" w:hAnsi="Times New Roman" w:eastAsia="宋体" w:cs="Times New Roman"/>
                      <w:color w:val="auto"/>
                      <w:kern w:val="0"/>
                      <w:sz w:val="21"/>
                      <w:szCs w:val="21"/>
                      <w:highlight w:val="none"/>
                      <w:lang w:eastAsia="zh-CN"/>
                    </w:rPr>
                    <w:t>处理</w:t>
                  </w:r>
                  <w:r>
                    <w:rPr>
                      <w:rFonts w:hint="default" w:ascii="Times New Roman" w:hAnsi="Times New Roman" w:eastAsia="宋体" w:cs="Times New Roman"/>
                      <w:color w:val="auto"/>
                      <w:kern w:val="0"/>
                      <w:sz w:val="21"/>
                      <w:szCs w:val="21"/>
                      <w:highlight w:val="none"/>
                    </w:rPr>
                    <w:t>。</w:t>
                  </w:r>
                </w:p>
              </w:tc>
              <w:tc>
                <w:tcPr>
                  <w:tcW w:w="694" w:type="pct"/>
                  <w:shd w:val="clear" w:color="auto" w:fill="auto"/>
                  <w:vAlign w:val="center"/>
                </w:tcPr>
                <w:p w14:paraId="37AFFE0D">
                  <w:pPr>
                    <w:pStyle w:val="79"/>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依托现有</w:t>
                  </w:r>
                </w:p>
              </w:tc>
            </w:tr>
          </w:tbl>
          <w:p w14:paraId="57CC04D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b/>
                <w:bCs/>
                <w:color w:val="auto"/>
                <w:sz w:val="24"/>
                <w:szCs w:val="22"/>
                <w:highlight w:val="none"/>
              </w:rPr>
            </w:pPr>
            <w:r>
              <w:rPr>
                <w:rFonts w:hint="eastAsia"/>
                <w:b/>
                <w:bCs/>
                <w:color w:val="auto"/>
                <w:sz w:val="24"/>
                <w:szCs w:val="22"/>
                <w:highlight w:val="none"/>
                <w:lang w:val="en-US" w:eastAsia="zh-CN"/>
              </w:rPr>
              <w:t>三</w:t>
            </w:r>
            <w:r>
              <w:rPr>
                <w:rFonts w:hint="eastAsia"/>
                <w:b/>
                <w:bCs/>
                <w:color w:val="auto"/>
                <w:sz w:val="24"/>
                <w:szCs w:val="22"/>
                <w:highlight w:val="none"/>
              </w:rPr>
              <w:t>、生产规模及产品方案</w:t>
            </w:r>
          </w:p>
          <w:p w14:paraId="3EF74616">
            <w:pPr>
              <w:adjustRightInd w:val="0"/>
              <w:snapToGrid w:val="0"/>
              <w:spacing w:line="360" w:lineRule="auto"/>
              <w:ind w:firstLine="480" w:firstLineChars="200"/>
              <w:rPr>
                <w:rFonts w:hint="eastAsia"/>
                <w:color w:val="auto"/>
                <w:sz w:val="24"/>
                <w:highlight w:val="none"/>
              </w:rPr>
            </w:pPr>
            <w:r>
              <w:rPr>
                <w:rFonts w:hint="eastAsia"/>
                <w:color w:val="auto"/>
                <w:sz w:val="24"/>
                <w:highlight w:val="none"/>
              </w:rPr>
              <w:t>项目租赁云南三缘电缆有限公司3328平方米钢结构厂房，购置</w:t>
            </w:r>
            <w:r>
              <w:rPr>
                <w:rFonts w:hint="eastAsia"/>
                <w:color w:val="auto"/>
                <w:sz w:val="24"/>
                <w:highlight w:val="none"/>
                <w:lang w:eastAsia="zh-CN"/>
              </w:rPr>
              <w:t>、</w:t>
            </w:r>
            <w:r>
              <w:rPr>
                <w:rFonts w:hint="eastAsia"/>
                <w:color w:val="auto"/>
                <w:sz w:val="24"/>
                <w:highlight w:val="none"/>
              </w:rPr>
              <w:t>安装五条新型材料环保石塑箱生产线以及配套的辅助设施，建成后形成年产</w:t>
            </w:r>
            <w:r>
              <w:rPr>
                <w:rFonts w:hint="eastAsia"/>
                <w:color w:val="auto"/>
                <w:sz w:val="24"/>
                <w:highlight w:val="none"/>
                <w:lang w:val="en-US" w:eastAsia="zh-CN"/>
              </w:rPr>
              <w:t>49500吨新型材料环保石塑箱</w:t>
            </w:r>
            <w:r>
              <w:rPr>
                <w:rFonts w:hint="eastAsia"/>
                <w:color w:val="auto"/>
                <w:sz w:val="24"/>
                <w:highlight w:val="none"/>
              </w:rPr>
              <w:t>品</w:t>
            </w:r>
            <w:r>
              <w:rPr>
                <w:rFonts w:hint="eastAsia"/>
                <w:color w:val="auto"/>
                <w:sz w:val="24"/>
                <w:highlight w:val="none"/>
                <w:lang w:val="en-US" w:eastAsia="zh-CN"/>
              </w:rPr>
              <w:t>的</w:t>
            </w:r>
            <w:r>
              <w:rPr>
                <w:rFonts w:hint="eastAsia"/>
                <w:color w:val="auto"/>
                <w:sz w:val="24"/>
                <w:highlight w:val="none"/>
              </w:rPr>
              <w:t>生产规模。</w:t>
            </w:r>
          </w:p>
          <w:p w14:paraId="2417AFEB">
            <w:pPr>
              <w:adjustRightInd w:val="0"/>
              <w:snapToGrid w:val="0"/>
              <w:spacing w:line="360" w:lineRule="auto"/>
              <w:ind w:firstLine="480" w:firstLineChars="200"/>
              <w:rPr>
                <w:rFonts w:hint="eastAsia"/>
                <w:color w:val="auto"/>
                <w:sz w:val="24"/>
                <w:highlight w:val="none"/>
                <w:lang w:eastAsia="zh-CN"/>
              </w:rPr>
            </w:pPr>
            <w:r>
              <w:rPr>
                <w:rFonts w:hint="eastAsia"/>
                <w:color w:val="auto"/>
                <w:sz w:val="24"/>
                <w:highlight w:val="none"/>
              </w:rPr>
              <w:t>本项目产品方案见表2-2</w:t>
            </w:r>
            <w:r>
              <w:rPr>
                <w:rFonts w:hint="eastAsia"/>
                <w:color w:val="auto"/>
                <w:sz w:val="24"/>
                <w:highlight w:val="none"/>
                <w:lang w:eastAsia="zh-CN"/>
              </w:rPr>
              <w:t>。</w:t>
            </w:r>
          </w:p>
          <w:p w14:paraId="1A15E6B2">
            <w:pPr>
              <w:pStyle w:val="78"/>
              <w:spacing w:after="120"/>
              <w:ind w:firstLine="498"/>
              <w:rPr>
                <w:rFonts w:hint="default" w:ascii="Times New Roman" w:hAnsi="Times New Roman" w:eastAsia="宋体" w:cs="Times New Roman"/>
                <w:bCs w:val="0"/>
                <w:color w:val="auto"/>
                <w:spacing w:val="0"/>
                <w:kern w:val="24"/>
                <w:highlight w:val="none"/>
                <w:lang w:val="zh-CN"/>
              </w:rPr>
            </w:pPr>
            <w:r>
              <w:rPr>
                <w:rFonts w:hint="default" w:ascii="Times New Roman" w:hAnsi="Times New Roman" w:eastAsia="宋体" w:cs="Times New Roman"/>
                <w:bCs w:val="0"/>
                <w:color w:val="auto"/>
                <w:spacing w:val="0"/>
                <w:kern w:val="24"/>
                <w:highlight w:val="none"/>
                <w:lang w:val="zh-CN"/>
              </w:rPr>
              <w:t>表2-</w:t>
            </w:r>
            <w:r>
              <w:rPr>
                <w:rFonts w:ascii="Times New Roman" w:hAnsi="Times New Roman" w:eastAsia="宋体" w:cs="Times New Roman"/>
                <w:bCs w:val="0"/>
                <w:color w:val="auto"/>
                <w:spacing w:val="0"/>
                <w:kern w:val="24"/>
                <w:highlight w:val="none"/>
              </w:rPr>
              <w:t>2</w:t>
            </w:r>
            <w:r>
              <w:rPr>
                <w:rFonts w:hint="default" w:ascii="Times New Roman" w:hAnsi="Times New Roman" w:eastAsia="宋体" w:cs="Times New Roman"/>
                <w:bCs w:val="0"/>
                <w:color w:val="auto"/>
                <w:spacing w:val="0"/>
                <w:kern w:val="24"/>
                <w:highlight w:val="none"/>
                <w:lang w:val="zh-CN"/>
              </w:rPr>
              <w:t xml:space="preserve">  项目</w:t>
            </w:r>
            <w:r>
              <w:rPr>
                <w:rFonts w:hint="eastAsia" w:ascii="Times New Roman" w:hAnsi="Times New Roman" w:eastAsia="宋体" w:cs="Times New Roman"/>
                <w:bCs w:val="0"/>
                <w:color w:val="auto"/>
                <w:spacing w:val="0"/>
                <w:kern w:val="24"/>
                <w:highlight w:val="none"/>
                <w:lang w:val="en-US" w:eastAsia="zh-CN"/>
              </w:rPr>
              <w:t>产品方案</w:t>
            </w:r>
            <w:r>
              <w:rPr>
                <w:rFonts w:hint="default" w:ascii="Times New Roman" w:hAnsi="Times New Roman" w:eastAsia="宋体" w:cs="Times New Roman"/>
                <w:bCs w:val="0"/>
                <w:color w:val="auto"/>
                <w:spacing w:val="0"/>
                <w:kern w:val="24"/>
                <w:highlight w:val="none"/>
                <w:lang w:val="zh-CN"/>
              </w:rPr>
              <w:t>一览表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2860"/>
              <w:gridCol w:w="2834"/>
              <w:gridCol w:w="1756"/>
            </w:tblGrid>
            <w:tr w14:paraId="276D0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520" w:type="pct"/>
                  <w:noWrap w:val="0"/>
                  <w:vAlign w:val="center"/>
                </w:tcPr>
                <w:p w14:paraId="5393F569">
                  <w:pPr>
                    <w:pStyle w:val="79"/>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1719" w:type="pct"/>
                  <w:noWrap w:val="0"/>
                  <w:vAlign w:val="center"/>
                </w:tcPr>
                <w:p w14:paraId="1E5F08EB">
                  <w:pPr>
                    <w:pStyle w:val="79"/>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名称</w:t>
                  </w:r>
                </w:p>
              </w:tc>
              <w:tc>
                <w:tcPr>
                  <w:tcW w:w="1703" w:type="pct"/>
                  <w:noWrap w:val="0"/>
                  <w:vAlign w:val="center"/>
                </w:tcPr>
                <w:p w14:paraId="75E49066">
                  <w:pPr>
                    <w:pStyle w:val="79"/>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规格</w:t>
                  </w:r>
                </w:p>
              </w:tc>
              <w:tc>
                <w:tcPr>
                  <w:tcW w:w="1055" w:type="pct"/>
                  <w:noWrap w:val="0"/>
                  <w:vAlign w:val="center"/>
                </w:tcPr>
                <w:p w14:paraId="080F9268">
                  <w:pPr>
                    <w:pStyle w:val="79"/>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产量</w:t>
                  </w:r>
                  <w:r>
                    <w:rPr>
                      <w:rFonts w:hint="eastAsia" w:cs="Times New Roman"/>
                      <w:b/>
                      <w:bCs/>
                      <w:color w:val="auto"/>
                      <w:sz w:val="21"/>
                      <w:szCs w:val="21"/>
                      <w:highlight w:val="none"/>
                      <w:lang w:eastAsia="zh-CN"/>
                    </w:rPr>
                    <w:t>（</w:t>
                  </w:r>
                  <w:r>
                    <w:rPr>
                      <w:rFonts w:hint="eastAsia" w:cs="Times New Roman"/>
                      <w:b/>
                      <w:bCs/>
                      <w:color w:val="auto"/>
                      <w:sz w:val="21"/>
                      <w:szCs w:val="21"/>
                      <w:highlight w:val="none"/>
                      <w:lang w:val="en-US" w:eastAsia="zh-CN"/>
                    </w:rPr>
                    <w:t>t/a</w:t>
                  </w:r>
                  <w:r>
                    <w:rPr>
                      <w:rFonts w:hint="eastAsia" w:cs="Times New Roman"/>
                      <w:b/>
                      <w:bCs/>
                      <w:color w:val="auto"/>
                      <w:sz w:val="21"/>
                      <w:szCs w:val="21"/>
                      <w:highlight w:val="none"/>
                      <w:lang w:eastAsia="zh-CN"/>
                    </w:rPr>
                    <w:t>）</w:t>
                  </w:r>
                </w:p>
              </w:tc>
            </w:tr>
            <w:tr w14:paraId="1F5D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0" w:type="pct"/>
                  <w:noWrap w:val="0"/>
                  <w:vAlign w:val="center"/>
                </w:tcPr>
                <w:p w14:paraId="41DB2953">
                  <w:pPr>
                    <w:pStyle w:val="79"/>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Cs/>
                      <w:snapToGrid/>
                      <w:color w:val="auto"/>
                      <w:kern w:val="2"/>
                      <w:sz w:val="21"/>
                      <w:szCs w:val="21"/>
                      <w:highlight w:val="none"/>
                      <w:lang w:val="en-US"/>
                    </w:rPr>
                  </w:pPr>
                  <w:r>
                    <w:rPr>
                      <w:rFonts w:hint="default" w:ascii="Times New Roman" w:hAnsi="Times New Roman" w:eastAsia="宋体" w:cs="Times New Roman"/>
                      <w:bCs/>
                      <w:snapToGrid/>
                      <w:color w:val="auto"/>
                      <w:kern w:val="2"/>
                      <w:sz w:val="21"/>
                      <w:szCs w:val="21"/>
                      <w:highlight w:val="none"/>
                      <w:lang w:val="en-US"/>
                    </w:rPr>
                    <w:t>1</w:t>
                  </w:r>
                </w:p>
              </w:tc>
              <w:tc>
                <w:tcPr>
                  <w:tcW w:w="1719" w:type="pct"/>
                  <w:noWrap w:val="0"/>
                  <w:vAlign w:val="center"/>
                </w:tcPr>
                <w:p w14:paraId="4AFCBD84">
                  <w:pPr>
                    <w:pStyle w:val="79"/>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Cs/>
                      <w:snapToGrid/>
                      <w:color w:val="auto"/>
                      <w:kern w:val="2"/>
                      <w:sz w:val="21"/>
                      <w:szCs w:val="21"/>
                      <w:highlight w:val="none"/>
                      <w:lang w:val="en-US" w:eastAsia="zh-CN"/>
                    </w:rPr>
                  </w:pPr>
                  <w:r>
                    <w:rPr>
                      <w:rFonts w:hint="default" w:ascii="Times New Roman" w:hAnsi="Times New Roman" w:eastAsia="宋体" w:cs="Times New Roman"/>
                      <w:bCs/>
                      <w:snapToGrid/>
                      <w:color w:val="auto"/>
                      <w:kern w:val="2"/>
                      <w:sz w:val="21"/>
                      <w:szCs w:val="21"/>
                      <w:highlight w:val="none"/>
                      <w:lang w:val="en-US" w:eastAsia="zh-CN"/>
                    </w:rPr>
                    <w:t>新型材料环保石塑箱</w:t>
                  </w:r>
                </w:p>
              </w:tc>
              <w:tc>
                <w:tcPr>
                  <w:tcW w:w="1703" w:type="pct"/>
                  <w:noWrap w:val="0"/>
                  <w:vAlign w:val="center"/>
                </w:tcPr>
                <w:p w14:paraId="6D3CE4E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Cs/>
                      <w:color w:val="auto"/>
                      <w:sz w:val="21"/>
                      <w:szCs w:val="21"/>
                      <w:highlight w:val="none"/>
                      <w:lang w:val="en-US"/>
                    </w:rPr>
                  </w:pPr>
                  <w:r>
                    <w:rPr>
                      <w:rFonts w:hint="default" w:ascii="Times New Roman" w:hAnsi="Times New Roman" w:eastAsia="宋体" w:cs="Times New Roman"/>
                      <w:bCs/>
                      <w:color w:val="auto"/>
                      <w:sz w:val="21"/>
                      <w:szCs w:val="21"/>
                      <w:highlight w:val="none"/>
                    </w:rPr>
                    <w:t>厚度：</w:t>
                  </w:r>
                  <w:r>
                    <w:rPr>
                      <w:rFonts w:hint="eastAsia" w:cs="Times New Roman"/>
                      <w:bCs/>
                      <w:color w:val="auto"/>
                      <w:sz w:val="21"/>
                      <w:szCs w:val="21"/>
                      <w:highlight w:val="none"/>
                      <w:lang w:val="en-US" w:eastAsia="zh-CN"/>
                    </w:rPr>
                    <w:t>约2mm~3</w:t>
                  </w:r>
                  <w:r>
                    <w:rPr>
                      <w:rFonts w:hint="default" w:ascii="Times New Roman" w:hAnsi="Times New Roman" w:eastAsia="宋体" w:cs="Times New Roman"/>
                      <w:bCs/>
                      <w:color w:val="auto"/>
                      <w:sz w:val="21"/>
                      <w:szCs w:val="21"/>
                      <w:highlight w:val="none"/>
                    </w:rPr>
                    <w:t>mm</w:t>
                  </w:r>
                </w:p>
              </w:tc>
              <w:tc>
                <w:tcPr>
                  <w:tcW w:w="1055" w:type="pct"/>
                  <w:noWrap w:val="0"/>
                  <w:vAlign w:val="center"/>
                </w:tcPr>
                <w:p w14:paraId="5616B911">
                  <w:pPr>
                    <w:pStyle w:val="79"/>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Cs/>
                      <w:snapToGrid/>
                      <w:color w:val="auto"/>
                      <w:kern w:val="2"/>
                      <w:sz w:val="21"/>
                      <w:szCs w:val="21"/>
                      <w:highlight w:val="none"/>
                      <w:lang w:val="en-US" w:eastAsia="zh-CN"/>
                    </w:rPr>
                  </w:pPr>
                  <w:r>
                    <w:rPr>
                      <w:rFonts w:hint="eastAsia" w:cs="Times New Roman"/>
                      <w:bCs/>
                      <w:snapToGrid/>
                      <w:color w:val="auto"/>
                      <w:kern w:val="2"/>
                      <w:sz w:val="21"/>
                      <w:szCs w:val="21"/>
                      <w:highlight w:val="none"/>
                      <w:lang w:val="en-US" w:eastAsia="zh-CN"/>
                    </w:rPr>
                    <w:t>49500</w:t>
                  </w:r>
                </w:p>
              </w:tc>
            </w:tr>
          </w:tbl>
          <w:p w14:paraId="7AB03AF3">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b/>
                <w:bCs/>
                <w:color w:val="auto"/>
                <w:sz w:val="24"/>
                <w:szCs w:val="22"/>
                <w:highlight w:val="none"/>
              </w:rPr>
            </w:pPr>
            <w:r>
              <w:rPr>
                <w:rFonts w:hint="eastAsia"/>
                <w:b/>
                <w:bCs/>
                <w:color w:val="auto"/>
                <w:sz w:val="24"/>
                <w:szCs w:val="22"/>
                <w:highlight w:val="none"/>
                <w:lang w:val="en-US" w:eastAsia="zh-CN"/>
              </w:rPr>
              <w:t>四</w:t>
            </w:r>
            <w:r>
              <w:rPr>
                <w:rFonts w:hint="eastAsia"/>
                <w:b/>
                <w:bCs/>
                <w:color w:val="auto"/>
                <w:sz w:val="24"/>
                <w:szCs w:val="22"/>
                <w:highlight w:val="none"/>
              </w:rPr>
              <w:t>、主要原辅材料</w:t>
            </w:r>
          </w:p>
          <w:p w14:paraId="791CAB5A">
            <w:pPr>
              <w:adjustRightInd w:val="0"/>
              <w:snapToGrid w:val="0"/>
              <w:spacing w:line="360" w:lineRule="auto"/>
              <w:ind w:firstLine="482" w:firstLineChars="200"/>
              <w:rPr>
                <w:rFonts w:hint="default" w:eastAsia="宋体"/>
                <w:b/>
                <w:bCs/>
                <w:color w:val="auto"/>
                <w:sz w:val="24"/>
                <w:highlight w:val="none"/>
                <w:lang w:val="en-US" w:eastAsia="zh-CN"/>
              </w:rPr>
            </w:pPr>
            <w:r>
              <w:rPr>
                <w:rFonts w:hint="eastAsia"/>
                <w:b/>
                <w:bCs/>
                <w:color w:val="auto"/>
                <w:sz w:val="24"/>
                <w:highlight w:val="none"/>
                <w:lang w:val="en-US" w:eastAsia="zh-CN"/>
              </w:rPr>
              <w:t>1、原辅料</w:t>
            </w:r>
          </w:p>
          <w:p w14:paraId="324AB7E4">
            <w:pPr>
              <w:adjustRightInd w:val="0"/>
              <w:snapToGrid w:val="0"/>
              <w:spacing w:line="360" w:lineRule="auto"/>
              <w:ind w:firstLine="480" w:firstLineChars="200"/>
              <w:rPr>
                <w:rFonts w:hint="eastAsia"/>
                <w:color w:val="auto"/>
                <w:sz w:val="24"/>
                <w:highlight w:val="none"/>
              </w:rPr>
            </w:pPr>
            <w:r>
              <w:rPr>
                <w:color w:val="auto"/>
                <w:sz w:val="24"/>
                <w:highlight w:val="none"/>
              </w:rPr>
              <w:t>项目</w:t>
            </w:r>
            <w:r>
              <w:rPr>
                <w:rFonts w:hint="eastAsia"/>
                <w:color w:val="auto"/>
                <w:sz w:val="24"/>
                <w:highlight w:val="none"/>
              </w:rPr>
              <w:t>主要原辅料用量见下表。</w:t>
            </w:r>
          </w:p>
          <w:p w14:paraId="07E6258A">
            <w:pPr>
              <w:pStyle w:val="78"/>
              <w:spacing w:after="120"/>
              <w:ind w:firstLine="498"/>
              <w:rPr>
                <w:rFonts w:hint="default" w:ascii="Times New Roman" w:hAnsi="Times New Roman" w:eastAsia="宋体" w:cs="Times New Roman"/>
                <w:bCs w:val="0"/>
                <w:color w:val="auto"/>
                <w:spacing w:val="0"/>
                <w:kern w:val="24"/>
                <w:highlight w:val="none"/>
                <w:lang w:val="zh-CN"/>
              </w:rPr>
            </w:pPr>
            <w:r>
              <w:rPr>
                <w:rFonts w:hint="default" w:ascii="Times New Roman" w:hAnsi="Times New Roman" w:eastAsia="宋体" w:cs="Times New Roman"/>
                <w:bCs w:val="0"/>
                <w:color w:val="auto"/>
                <w:spacing w:val="0"/>
                <w:kern w:val="24"/>
                <w:highlight w:val="none"/>
                <w:lang w:val="zh-CN"/>
              </w:rPr>
              <w:t>表2-</w:t>
            </w:r>
            <w:r>
              <w:rPr>
                <w:rFonts w:hint="eastAsia" w:ascii="Times New Roman" w:hAnsi="Times New Roman" w:eastAsia="宋体" w:cs="Times New Roman"/>
                <w:bCs w:val="0"/>
                <w:color w:val="auto"/>
                <w:spacing w:val="0"/>
                <w:kern w:val="24"/>
                <w:highlight w:val="none"/>
                <w:lang w:val="en-US" w:eastAsia="zh-CN"/>
              </w:rPr>
              <w:t>3</w:t>
            </w:r>
            <w:r>
              <w:rPr>
                <w:rFonts w:hint="default" w:ascii="Times New Roman" w:hAnsi="Times New Roman" w:eastAsia="宋体" w:cs="Times New Roman"/>
                <w:bCs w:val="0"/>
                <w:color w:val="auto"/>
                <w:spacing w:val="0"/>
                <w:kern w:val="24"/>
                <w:highlight w:val="none"/>
                <w:lang w:val="zh-CN"/>
              </w:rPr>
              <w:t xml:space="preserve">  项目原辅材料消耗情况一览表</w:t>
            </w:r>
          </w:p>
          <w:tbl>
            <w:tblPr>
              <w:tblStyle w:val="2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730"/>
              <w:gridCol w:w="1081"/>
              <w:gridCol w:w="1138"/>
              <w:gridCol w:w="982"/>
              <w:gridCol w:w="933"/>
              <w:gridCol w:w="1070"/>
              <w:gridCol w:w="1005"/>
              <w:gridCol w:w="680"/>
            </w:tblGrid>
            <w:tr w14:paraId="033E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6" w:type="pct"/>
                  <w:vAlign w:val="center"/>
                </w:tcPr>
                <w:p w14:paraId="583C61D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439" w:type="pct"/>
                  <w:vAlign w:val="center"/>
                </w:tcPr>
                <w:p w14:paraId="10618B9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种类</w:t>
                  </w:r>
                </w:p>
              </w:tc>
              <w:tc>
                <w:tcPr>
                  <w:tcW w:w="650" w:type="pct"/>
                  <w:vAlign w:val="center"/>
                </w:tcPr>
                <w:p w14:paraId="1817FDB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名称</w:t>
                  </w:r>
                </w:p>
              </w:tc>
              <w:tc>
                <w:tcPr>
                  <w:tcW w:w="684" w:type="pct"/>
                  <w:vAlign w:val="center"/>
                </w:tcPr>
                <w:p w14:paraId="7A19364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主要</w:t>
                  </w:r>
                  <w:r>
                    <w:rPr>
                      <w:rFonts w:hint="default" w:ascii="Times New Roman" w:hAnsi="Times New Roman" w:eastAsia="宋体" w:cs="Times New Roman"/>
                      <w:b/>
                      <w:bCs/>
                      <w:color w:val="auto"/>
                      <w:sz w:val="21"/>
                      <w:szCs w:val="21"/>
                      <w:highlight w:val="none"/>
                      <w:lang w:val="en-US" w:eastAsia="zh-CN"/>
                    </w:rPr>
                    <w:t>成分</w:t>
                  </w:r>
                </w:p>
              </w:tc>
              <w:tc>
                <w:tcPr>
                  <w:tcW w:w="590" w:type="pct"/>
                  <w:vAlign w:val="center"/>
                </w:tcPr>
                <w:p w14:paraId="086963E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单位</w:t>
                  </w:r>
                </w:p>
              </w:tc>
              <w:tc>
                <w:tcPr>
                  <w:tcW w:w="561" w:type="pct"/>
                  <w:vAlign w:val="center"/>
                </w:tcPr>
                <w:p w14:paraId="51AB0A9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年</w:t>
                  </w:r>
                  <w:r>
                    <w:rPr>
                      <w:rFonts w:hint="default" w:ascii="Times New Roman" w:hAnsi="Times New Roman" w:eastAsia="宋体" w:cs="Times New Roman"/>
                      <w:b/>
                      <w:bCs/>
                      <w:color w:val="auto"/>
                      <w:sz w:val="21"/>
                      <w:szCs w:val="21"/>
                      <w:highlight w:val="none"/>
                      <w:lang w:val="en-US" w:eastAsia="zh-CN"/>
                    </w:rPr>
                    <w:t>用</w:t>
                  </w:r>
                  <w:r>
                    <w:rPr>
                      <w:rFonts w:hint="default" w:ascii="Times New Roman" w:hAnsi="Times New Roman" w:eastAsia="宋体" w:cs="Times New Roman"/>
                      <w:b/>
                      <w:bCs/>
                      <w:color w:val="auto"/>
                      <w:sz w:val="21"/>
                      <w:szCs w:val="21"/>
                      <w:highlight w:val="none"/>
                    </w:rPr>
                    <w:t>量</w:t>
                  </w:r>
                </w:p>
              </w:tc>
              <w:tc>
                <w:tcPr>
                  <w:tcW w:w="643" w:type="pct"/>
                  <w:vAlign w:val="center"/>
                </w:tcPr>
                <w:p w14:paraId="30AF808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性质</w:t>
                  </w:r>
                </w:p>
              </w:tc>
              <w:tc>
                <w:tcPr>
                  <w:tcW w:w="604" w:type="pct"/>
                  <w:vAlign w:val="center"/>
                </w:tcPr>
                <w:p w14:paraId="03C320E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规格</w:t>
                  </w:r>
                </w:p>
              </w:tc>
              <w:tc>
                <w:tcPr>
                  <w:tcW w:w="408" w:type="pct"/>
                  <w:vAlign w:val="center"/>
                </w:tcPr>
                <w:p w14:paraId="5262553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备注</w:t>
                  </w:r>
                </w:p>
              </w:tc>
            </w:tr>
            <w:tr w14:paraId="07245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6" w:type="pct"/>
                  <w:vAlign w:val="center"/>
                </w:tcPr>
                <w:p w14:paraId="0466F67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439" w:type="pct"/>
                  <w:vAlign w:val="center"/>
                </w:tcPr>
                <w:p w14:paraId="494D209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原料</w:t>
                  </w:r>
                </w:p>
              </w:tc>
              <w:tc>
                <w:tcPr>
                  <w:tcW w:w="650" w:type="pct"/>
                  <w:vAlign w:val="center"/>
                </w:tcPr>
                <w:p w14:paraId="55D7F03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聚丙烯</w:t>
                  </w:r>
                </w:p>
              </w:tc>
              <w:tc>
                <w:tcPr>
                  <w:tcW w:w="684" w:type="pct"/>
                  <w:vAlign w:val="center"/>
                </w:tcPr>
                <w:p w14:paraId="0C68BA7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树脂</w:t>
                  </w:r>
                </w:p>
              </w:tc>
              <w:tc>
                <w:tcPr>
                  <w:tcW w:w="590" w:type="pct"/>
                  <w:vAlign w:val="center"/>
                </w:tcPr>
                <w:p w14:paraId="61B11FC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t/a</w:t>
                  </w:r>
                </w:p>
              </w:tc>
              <w:tc>
                <w:tcPr>
                  <w:tcW w:w="561" w:type="pct"/>
                  <w:vAlign w:val="center"/>
                </w:tcPr>
                <w:p w14:paraId="3CEAF74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24750</w:t>
                  </w:r>
                </w:p>
              </w:tc>
              <w:tc>
                <w:tcPr>
                  <w:tcW w:w="643" w:type="pct"/>
                  <w:vAlign w:val="center"/>
                </w:tcPr>
                <w:p w14:paraId="0753D55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固态颗粒</w:t>
                  </w:r>
                </w:p>
              </w:tc>
              <w:tc>
                <w:tcPr>
                  <w:tcW w:w="604" w:type="pct"/>
                  <w:vAlign w:val="center"/>
                </w:tcPr>
                <w:p w14:paraId="7F32F5F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25kg/袋</w:t>
                  </w:r>
                </w:p>
              </w:tc>
              <w:tc>
                <w:tcPr>
                  <w:tcW w:w="408" w:type="pct"/>
                  <w:vAlign w:val="center"/>
                </w:tcPr>
                <w:p w14:paraId="269507E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外购</w:t>
                  </w:r>
                </w:p>
              </w:tc>
            </w:tr>
            <w:tr w14:paraId="7CD3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6" w:type="pct"/>
                  <w:vAlign w:val="center"/>
                </w:tcPr>
                <w:p w14:paraId="631422A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439" w:type="pct"/>
                  <w:vMerge w:val="restart"/>
                  <w:shd w:val="clear" w:color="auto" w:fill="auto"/>
                  <w:vAlign w:val="center"/>
                </w:tcPr>
                <w:p w14:paraId="015E440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辅料</w:t>
                  </w:r>
                </w:p>
              </w:tc>
              <w:tc>
                <w:tcPr>
                  <w:tcW w:w="650" w:type="pct"/>
                  <w:shd w:val="clear" w:color="auto" w:fill="auto"/>
                  <w:vAlign w:val="center"/>
                </w:tcPr>
                <w:p w14:paraId="55CB87B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聚乙烯</w:t>
                  </w:r>
                </w:p>
              </w:tc>
              <w:tc>
                <w:tcPr>
                  <w:tcW w:w="684" w:type="pct"/>
                  <w:shd w:val="clear" w:color="auto" w:fill="auto"/>
                  <w:vAlign w:val="center"/>
                </w:tcPr>
                <w:p w14:paraId="74A03DE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树脂</w:t>
                  </w:r>
                </w:p>
              </w:tc>
              <w:tc>
                <w:tcPr>
                  <w:tcW w:w="590" w:type="pct"/>
                  <w:shd w:val="clear" w:color="auto" w:fill="auto"/>
                  <w:vAlign w:val="center"/>
                </w:tcPr>
                <w:p w14:paraId="3D2012C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t/a</w:t>
                  </w:r>
                </w:p>
              </w:tc>
              <w:tc>
                <w:tcPr>
                  <w:tcW w:w="561" w:type="pct"/>
                  <w:shd w:val="clear" w:color="auto" w:fill="auto"/>
                  <w:vAlign w:val="center"/>
                </w:tcPr>
                <w:p w14:paraId="697C9C5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200</w:t>
                  </w:r>
                </w:p>
              </w:tc>
              <w:tc>
                <w:tcPr>
                  <w:tcW w:w="643" w:type="pct"/>
                  <w:shd w:val="clear" w:color="auto" w:fill="auto"/>
                  <w:vAlign w:val="center"/>
                </w:tcPr>
                <w:p w14:paraId="18D8C4D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固态颗粒</w:t>
                  </w:r>
                </w:p>
              </w:tc>
              <w:tc>
                <w:tcPr>
                  <w:tcW w:w="604" w:type="pct"/>
                  <w:shd w:val="clear" w:color="auto" w:fill="auto"/>
                  <w:vAlign w:val="center"/>
                </w:tcPr>
                <w:p w14:paraId="09502A0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25kg/袋</w:t>
                  </w:r>
                </w:p>
              </w:tc>
              <w:tc>
                <w:tcPr>
                  <w:tcW w:w="408" w:type="pct"/>
                  <w:shd w:val="clear" w:color="auto" w:fill="auto"/>
                  <w:vAlign w:val="center"/>
                </w:tcPr>
                <w:p w14:paraId="70940C3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外购</w:t>
                  </w:r>
                </w:p>
              </w:tc>
            </w:tr>
            <w:tr w14:paraId="5908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6" w:type="pct"/>
                  <w:vAlign w:val="center"/>
                </w:tcPr>
                <w:p w14:paraId="3BC2769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439" w:type="pct"/>
                  <w:vMerge w:val="continue"/>
                  <w:vAlign w:val="center"/>
                </w:tcPr>
                <w:p w14:paraId="5CC6C4D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p>
              </w:tc>
              <w:tc>
                <w:tcPr>
                  <w:tcW w:w="650" w:type="pct"/>
                  <w:shd w:val="clear" w:color="auto" w:fill="auto"/>
                  <w:vAlign w:val="center"/>
                </w:tcPr>
                <w:p w14:paraId="14050A4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填充母料</w:t>
                  </w:r>
                </w:p>
              </w:tc>
              <w:tc>
                <w:tcPr>
                  <w:tcW w:w="684" w:type="pct"/>
                  <w:shd w:val="clear" w:color="auto" w:fill="auto"/>
                  <w:vAlign w:val="center"/>
                </w:tcPr>
                <w:p w14:paraId="500562F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CaCO</w:t>
                  </w:r>
                  <w:r>
                    <w:rPr>
                      <w:rFonts w:hint="eastAsia" w:cs="Times New Roman"/>
                      <w:color w:val="auto"/>
                      <w:sz w:val="21"/>
                      <w:szCs w:val="21"/>
                      <w:highlight w:val="none"/>
                      <w:vertAlign w:val="subscript"/>
                      <w:lang w:val="en-US" w:eastAsia="zh-CN"/>
                    </w:rPr>
                    <w:t>3</w:t>
                  </w:r>
                </w:p>
              </w:tc>
              <w:tc>
                <w:tcPr>
                  <w:tcW w:w="590" w:type="pct"/>
                  <w:shd w:val="clear" w:color="auto" w:fill="auto"/>
                  <w:vAlign w:val="center"/>
                </w:tcPr>
                <w:p w14:paraId="1542A14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t/a</w:t>
                  </w:r>
                </w:p>
              </w:tc>
              <w:tc>
                <w:tcPr>
                  <w:tcW w:w="561" w:type="pct"/>
                  <w:vAlign w:val="center"/>
                </w:tcPr>
                <w:p w14:paraId="797ED20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24750</w:t>
                  </w:r>
                </w:p>
              </w:tc>
              <w:tc>
                <w:tcPr>
                  <w:tcW w:w="643" w:type="pct"/>
                  <w:vAlign w:val="center"/>
                </w:tcPr>
                <w:p w14:paraId="5D4A2CF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固态颗粒</w:t>
                  </w:r>
                </w:p>
              </w:tc>
              <w:tc>
                <w:tcPr>
                  <w:tcW w:w="604" w:type="pct"/>
                  <w:vAlign w:val="center"/>
                </w:tcPr>
                <w:p w14:paraId="215CC82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25kg/袋</w:t>
                  </w:r>
                </w:p>
              </w:tc>
              <w:tc>
                <w:tcPr>
                  <w:tcW w:w="408" w:type="pct"/>
                  <w:vAlign w:val="center"/>
                </w:tcPr>
                <w:p w14:paraId="57CCB84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外购</w:t>
                  </w:r>
                </w:p>
              </w:tc>
            </w:tr>
            <w:tr w14:paraId="0E27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6" w:type="pct"/>
                  <w:vAlign w:val="center"/>
                </w:tcPr>
                <w:p w14:paraId="08A65D0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439" w:type="pct"/>
                  <w:vMerge w:val="continue"/>
                  <w:vAlign w:val="center"/>
                </w:tcPr>
                <w:p w14:paraId="6E519F9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p>
              </w:tc>
              <w:tc>
                <w:tcPr>
                  <w:tcW w:w="650" w:type="pct"/>
                  <w:shd w:val="clear" w:color="auto" w:fill="auto"/>
                  <w:vAlign w:val="center"/>
                </w:tcPr>
                <w:p w14:paraId="12119E4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色母料</w:t>
                  </w:r>
                </w:p>
              </w:tc>
              <w:tc>
                <w:tcPr>
                  <w:tcW w:w="684" w:type="pct"/>
                  <w:shd w:val="clear" w:color="auto" w:fill="auto"/>
                  <w:vAlign w:val="center"/>
                </w:tcPr>
                <w:p w14:paraId="290292C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色母</w:t>
                  </w:r>
                </w:p>
              </w:tc>
              <w:tc>
                <w:tcPr>
                  <w:tcW w:w="590" w:type="pct"/>
                  <w:shd w:val="clear" w:color="auto" w:fill="auto"/>
                  <w:vAlign w:val="center"/>
                </w:tcPr>
                <w:p w14:paraId="5D0C177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t/a</w:t>
                  </w:r>
                </w:p>
              </w:tc>
              <w:tc>
                <w:tcPr>
                  <w:tcW w:w="561" w:type="pct"/>
                  <w:vAlign w:val="center"/>
                </w:tcPr>
                <w:p w14:paraId="64D9938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990</w:t>
                  </w:r>
                </w:p>
              </w:tc>
              <w:tc>
                <w:tcPr>
                  <w:tcW w:w="643" w:type="pct"/>
                  <w:vAlign w:val="center"/>
                </w:tcPr>
                <w:p w14:paraId="596FE63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固态颗粒</w:t>
                  </w:r>
                </w:p>
              </w:tc>
              <w:tc>
                <w:tcPr>
                  <w:tcW w:w="604" w:type="pct"/>
                  <w:vAlign w:val="center"/>
                </w:tcPr>
                <w:p w14:paraId="04A0E8F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25kg/袋</w:t>
                  </w:r>
                </w:p>
              </w:tc>
              <w:tc>
                <w:tcPr>
                  <w:tcW w:w="408" w:type="pct"/>
                  <w:vAlign w:val="center"/>
                </w:tcPr>
                <w:p w14:paraId="7F586D5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外购</w:t>
                  </w:r>
                </w:p>
              </w:tc>
            </w:tr>
            <w:tr w14:paraId="0BFC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6" w:type="pct"/>
                  <w:vAlign w:val="center"/>
                </w:tcPr>
                <w:p w14:paraId="38ABCB4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439" w:type="pct"/>
                  <w:vMerge w:val="continue"/>
                  <w:vAlign w:val="center"/>
                </w:tcPr>
                <w:p w14:paraId="51D5452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p>
              </w:tc>
              <w:tc>
                <w:tcPr>
                  <w:tcW w:w="650" w:type="pct"/>
                  <w:shd w:val="clear" w:color="auto" w:fill="auto"/>
                  <w:vAlign w:val="center"/>
                </w:tcPr>
                <w:p w14:paraId="63CC3EB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消泡母料</w:t>
                  </w:r>
                </w:p>
              </w:tc>
              <w:tc>
                <w:tcPr>
                  <w:tcW w:w="684" w:type="pct"/>
                  <w:shd w:val="clear" w:color="auto" w:fill="auto"/>
                  <w:vAlign w:val="center"/>
                </w:tcPr>
                <w:p w14:paraId="453BEBF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氧化钙</w:t>
                  </w:r>
                </w:p>
              </w:tc>
              <w:tc>
                <w:tcPr>
                  <w:tcW w:w="590" w:type="pct"/>
                  <w:shd w:val="clear" w:color="auto" w:fill="auto"/>
                  <w:vAlign w:val="center"/>
                </w:tcPr>
                <w:p w14:paraId="44CC893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t/a</w:t>
                  </w:r>
                </w:p>
              </w:tc>
              <w:tc>
                <w:tcPr>
                  <w:tcW w:w="561" w:type="pct"/>
                  <w:vAlign w:val="center"/>
                </w:tcPr>
                <w:p w14:paraId="4BFA09A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495</w:t>
                  </w:r>
                </w:p>
              </w:tc>
              <w:tc>
                <w:tcPr>
                  <w:tcW w:w="643" w:type="pct"/>
                  <w:vAlign w:val="center"/>
                </w:tcPr>
                <w:p w14:paraId="0353D27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固态颗粒</w:t>
                  </w:r>
                </w:p>
              </w:tc>
              <w:tc>
                <w:tcPr>
                  <w:tcW w:w="604" w:type="pct"/>
                  <w:vAlign w:val="center"/>
                </w:tcPr>
                <w:p w14:paraId="4B5DECC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25kg/袋</w:t>
                  </w:r>
                </w:p>
              </w:tc>
              <w:tc>
                <w:tcPr>
                  <w:tcW w:w="408" w:type="pct"/>
                  <w:vAlign w:val="center"/>
                </w:tcPr>
                <w:p w14:paraId="1489CD5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外购</w:t>
                  </w:r>
                </w:p>
              </w:tc>
            </w:tr>
            <w:tr w14:paraId="2103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6" w:type="pct"/>
                  <w:vAlign w:val="center"/>
                </w:tcPr>
                <w:p w14:paraId="745D4C8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439" w:type="pct"/>
                  <w:vMerge w:val="continue"/>
                  <w:vAlign w:val="center"/>
                </w:tcPr>
                <w:p w14:paraId="685C8FD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p>
              </w:tc>
              <w:tc>
                <w:tcPr>
                  <w:tcW w:w="650" w:type="pct"/>
                  <w:shd w:val="clear" w:color="auto" w:fill="auto"/>
                  <w:vAlign w:val="center"/>
                </w:tcPr>
                <w:p w14:paraId="519A56F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改性料</w:t>
                  </w:r>
                </w:p>
              </w:tc>
              <w:tc>
                <w:tcPr>
                  <w:tcW w:w="684" w:type="pct"/>
                  <w:shd w:val="clear" w:color="auto" w:fill="auto"/>
                  <w:vAlign w:val="center"/>
                </w:tcPr>
                <w:p w14:paraId="5F342F3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590" w:type="pct"/>
                  <w:shd w:val="clear" w:color="auto" w:fill="auto"/>
                  <w:vAlign w:val="center"/>
                </w:tcPr>
                <w:p w14:paraId="3FD286E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t/a</w:t>
                  </w:r>
                </w:p>
              </w:tc>
              <w:tc>
                <w:tcPr>
                  <w:tcW w:w="561" w:type="pct"/>
                  <w:vAlign w:val="center"/>
                </w:tcPr>
                <w:p w14:paraId="6FF032A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495</w:t>
                  </w:r>
                </w:p>
              </w:tc>
              <w:tc>
                <w:tcPr>
                  <w:tcW w:w="643" w:type="pct"/>
                  <w:vAlign w:val="center"/>
                </w:tcPr>
                <w:p w14:paraId="67F09A1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固态颗粒</w:t>
                  </w:r>
                </w:p>
              </w:tc>
              <w:tc>
                <w:tcPr>
                  <w:tcW w:w="604" w:type="pct"/>
                  <w:vAlign w:val="center"/>
                </w:tcPr>
                <w:p w14:paraId="4ECD98F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25kg/袋</w:t>
                  </w:r>
                </w:p>
              </w:tc>
              <w:tc>
                <w:tcPr>
                  <w:tcW w:w="408" w:type="pct"/>
                  <w:vAlign w:val="center"/>
                </w:tcPr>
                <w:p w14:paraId="34689E3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外购</w:t>
                  </w:r>
                </w:p>
              </w:tc>
            </w:tr>
            <w:tr w14:paraId="4F36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6" w:type="pct"/>
                  <w:vAlign w:val="center"/>
                </w:tcPr>
                <w:p w14:paraId="5DBE5C0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w:t>
                  </w:r>
                </w:p>
              </w:tc>
              <w:tc>
                <w:tcPr>
                  <w:tcW w:w="439" w:type="pct"/>
                  <w:vMerge w:val="continue"/>
                  <w:vAlign w:val="center"/>
                </w:tcPr>
                <w:p w14:paraId="18B2960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p>
              </w:tc>
              <w:tc>
                <w:tcPr>
                  <w:tcW w:w="650" w:type="pct"/>
                  <w:shd w:val="clear" w:color="auto" w:fill="auto"/>
                  <w:vAlign w:val="center"/>
                </w:tcPr>
                <w:p w14:paraId="7252AB5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水性油墨</w:t>
                  </w:r>
                </w:p>
              </w:tc>
              <w:tc>
                <w:tcPr>
                  <w:tcW w:w="684" w:type="pct"/>
                  <w:shd w:val="clear" w:color="auto" w:fill="auto"/>
                  <w:vAlign w:val="center"/>
                </w:tcPr>
                <w:p w14:paraId="27F0531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590" w:type="pct"/>
                  <w:shd w:val="clear" w:color="auto" w:fill="auto"/>
                  <w:vAlign w:val="center"/>
                </w:tcPr>
                <w:p w14:paraId="257FED3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t/a</w:t>
                  </w:r>
                </w:p>
              </w:tc>
              <w:tc>
                <w:tcPr>
                  <w:tcW w:w="561" w:type="pct"/>
                  <w:vAlign w:val="center"/>
                </w:tcPr>
                <w:p w14:paraId="4FD4A1FC">
                  <w:pPr>
                    <w:keepNext w:val="0"/>
                    <w:keepLines w:val="0"/>
                    <w:pageBreakBefore w:val="0"/>
                    <w:widowControl w:val="0"/>
                    <w:kinsoku/>
                    <w:wordWrap/>
                    <w:overflowPunct/>
                    <w:topLinePunct w:val="0"/>
                    <w:autoSpaceDE/>
                    <w:autoSpaceDN/>
                    <w:bidi w:val="0"/>
                    <w:adjustRightInd/>
                    <w:snapToGrid/>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643" w:type="pct"/>
                  <w:vAlign w:val="center"/>
                </w:tcPr>
                <w:p w14:paraId="6E69BF5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液态</w:t>
                  </w:r>
                </w:p>
              </w:tc>
              <w:tc>
                <w:tcPr>
                  <w:tcW w:w="604" w:type="pct"/>
                  <w:vAlign w:val="center"/>
                </w:tcPr>
                <w:p w14:paraId="29AE508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20kg/桶</w:t>
                  </w:r>
                </w:p>
              </w:tc>
              <w:tc>
                <w:tcPr>
                  <w:tcW w:w="408" w:type="pct"/>
                  <w:vAlign w:val="center"/>
                </w:tcPr>
                <w:p w14:paraId="5A0102C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外购</w:t>
                  </w:r>
                </w:p>
              </w:tc>
            </w:tr>
            <w:tr w14:paraId="012E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6" w:type="pct"/>
                  <w:vAlign w:val="center"/>
                </w:tcPr>
                <w:p w14:paraId="6A16E46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p>
              </w:tc>
              <w:tc>
                <w:tcPr>
                  <w:tcW w:w="439" w:type="pct"/>
                  <w:vMerge w:val="continue"/>
                  <w:vAlign w:val="center"/>
                </w:tcPr>
                <w:p w14:paraId="65FB39E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p>
              </w:tc>
              <w:tc>
                <w:tcPr>
                  <w:tcW w:w="650" w:type="pct"/>
                  <w:shd w:val="clear" w:color="auto" w:fill="auto"/>
                  <w:vAlign w:val="center"/>
                </w:tcPr>
                <w:p w14:paraId="306B099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PVC边条</w:t>
                  </w:r>
                </w:p>
              </w:tc>
              <w:tc>
                <w:tcPr>
                  <w:tcW w:w="684" w:type="pct"/>
                  <w:shd w:val="clear" w:color="auto" w:fill="auto"/>
                  <w:vAlign w:val="center"/>
                </w:tcPr>
                <w:p w14:paraId="6BB622D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90" w:type="pct"/>
                  <w:shd w:val="clear" w:color="auto" w:fill="auto"/>
                  <w:vAlign w:val="center"/>
                </w:tcPr>
                <w:p w14:paraId="05970BD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万m</w:t>
                  </w:r>
                </w:p>
              </w:tc>
              <w:tc>
                <w:tcPr>
                  <w:tcW w:w="561" w:type="pct"/>
                  <w:vAlign w:val="center"/>
                </w:tcPr>
                <w:p w14:paraId="5267FB1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643" w:type="pct"/>
                  <w:vAlign w:val="center"/>
                </w:tcPr>
                <w:p w14:paraId="1D1CCF4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固态</w:t>
                  </w:r>
                </w:p>
              </w:tc>
              <w:tc>
                <w:tcPr>
                  <w:tcW w:w="604" w:type="pct"/>
                  <w:shd w:val="clear" w:color="auto" w:fill="auto"/>
                  <w:vAlign w:val="center"/>
                </w:tcPr>
                <w:p w14:paraId="5F1ABA8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408" w:type="pct"/>
                  <w:shd w:val="clear" w:color="auto" w:fill="auto"/>
                  <w:vAlign w:val="center"/>
                </w:tcPr>
                <w:p w14:paraId="1494531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外购</w:t>
                  </w:r>
                </w:p>
              </w:tc>
            </w:tr>
            <w:tr w14:paraId="1724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6" w:type="pct"/>
                  <w:vAlign w:val="center"/>
                </w:tcPr>
                <w:p w14:paraId="506BB1A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w:t>
                  </w:r>
                </w:p>
              </w:tc>
              <w:tc>
                <w:tcPr>
                  <w:tcW w:w="439" w:type="pct"/>
                  <w:vMerge w:val="continue"/>
                  <w:vAlign w:val="center"/>
                </w:tcPr>
                <w:p w14:paraId="0CD6FC6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p>
              </w:tc>
              <w:tc>
                <w:tcPr>
                  <w:tcW w:w="650" w:type="pct"/>
                  <w:shd w:val="clear" w:color="auto" w:fill="auto"/>
                  <w:vAlign w:val="center"/>
                </w:tcPr>
                <w:p w14:paraId="00E5635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PVC弯角</w:t>
                  </w:r>
                </w:p>
              </w:tc>
              <w:tc>
                <w:tcPr>
                  <w:tcW w:w="684" w:type="pct"/>
                  <w:shd w:val="clear" w:color="auto" w:fill="auto"/>
                  <w:vAlign w:val="center"/>
                </w:tcPr>
                <w:p w14:paraId="525D31D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90" w:type="pct"/>
                  <w:shd w:val="clear" w:color="auto" w:fill="auto"/>
                  <w:vAlign w:val="center"/>
                </w:tcPr>
                <w:p w14:paraId="648CB0B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万个</w:t>
                  </w:r>
                </w:p>
              </w:tc>
              <w:tc>
                <w:tcPr>
                  <w:tcW w:w="561" w:type="pct"/>
                  <w:vAlign w:val="center"/>
                </w:tcPr>
                <w:p w14:paraId="46016AE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c>
                <w:tcPr>
                  <w:tcW w:w="643" w:type="pct"/>
                  <w:vAlign w:val="center"/>
                </w:tcPr>
                <w:p w14:paraId="51BC681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固态</w:t>
                  </w:r>
                </w:p>
              </w:tc>
              <w:tc>
                <w:tcPr>
                  <w:tcW w:w="604" w:type="pct"/>
                  <w:shd w:val="clear" w:color="auto" w:fill="auto"/>
                  <w:vAlign w:val="center"/>
                </w:tcPr>
                <w:p w14:paraId="7FA5A96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408" w:type="pct"/>
                  <w:shd w:val="clear" w:color="auto" w:fill="auto"/>
                  <w:vAlign w:val="center"/>
                </w:tcPr>
                <w:p w14:paraId="1232A29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外购</w:t>
                  </w:r>
                </w:p>
              </w:tc>
            </w:tr>
            <w:tr w14:paraId="5E18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6" w:type="pct"/>
                  <w:vAlign w:val="center"/>
                </w:tcPr>
                <w:p w14:paraId="7851874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439" w:type="pct"/>
                  <w:vMerge w:val="restart"/>
                  <w:vAlign w:val="center"/>
                </w:tcPr>
                <w:p w14:paraId="3F54F0D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能源</w:t>
                  </w:r>
                </w:p>
              </w:tc>
              <w:tc>
                <w:tcPr>
                  <w:tcW w:w="650" w:type="pct"/>
                  <w:shd w:val="clear" w:color="auto" w:fill="auto"/>
                  <w:vAlign w:val="center"/>
                </w:tcPr>
                <w:p w14:paraId="6ADF1E0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水</w:t>
                  </w:r>
                </w:p>
              </w:tc>
              <w:tc>
                <w:tcPr>
                  <w:tcW w:w="684" w:type="pct"/>
                  <w:shd w:val="clear" w:color="auto" w:fill="auto"/>
                  <w:vAlign w:val="center"/>
                </w:tcPr>
                <w:p w14:paraId="723E215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590" w:type="pct"/>
                  <w:shd w:val="clear" w:color="auto" w:fill="auto"/>
                  <w:vAlign w:val="center"/>
                </w:tcPr>
                <w:p w14:paraId="284AC741">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/年</w:t>
                  </w:r>
                </w:p>
              </w:tc>
              <w:tc>
                <w:tcPr>
                  <w:tcW w:w="561" w:type="pct"/>
                  <w:shd w:val="clear" w:color="auto" w:fill="auto"/>
                  <w:vAlign w:val="center"/>
                </w:tcPr>
                <w:p w14:paraId="2CD5196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1410</w:t>
                  </w:r>
                </w:p>
              </w:tc>
              <w:tc>
                <w:tcPr>
                  <w:tcW w:w="643" w:type="pct"/>
                  <w:vAlign w:val="center"/>
                </w:tcPr>
                <w:p w14:paraId="1B43281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04" w:type="pct"/>
                  <w:shd w:val="clear" w:color="auto" w:fill="auto"/>
                  <w:vAlign w:val="center"/>
                </w:tcPr>
                <w:p w14:paraId="66F4B20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408" w:type="pct"/>
                  <w:vMerge w:val="restart"/>
                  <w:vAlign w:val="center"/>
                </w:tcPr>
                <w:p w14:paraId="5D913E8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依托原有</w:t>
                  </w:r>
                </w:p>
              </w:tc>
            </w:tr>
            <w:tr w14:paraId="20930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6" w:type="pct"/>
                  <w:vAlign w:val="center"/>
                </w:tcPr>
                <w:p w14:paraId="1F6F544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439" w:type="pct"/>
                  <w:vMerge w:val="continue"/>
                  <w:vAlign w:val="center"/>
                </w:tcPr>
                <w:p w14:paraId="147D9B3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p>
              </w:tc>
              <w:tc>
                <w:tcPr>
                  <w:tcW w:w="650" w:type="pct"/>
                  <w:shd w:val="clear" w:color="auto" w:fill="auto"/>
                  <w:vAlign w:val="center"/>
                </w:tcPr>
                <w:p w14:paraId="73A0B43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电</w:t>
                  </w:r>
                </w:p>
              </w:tc>
              <w:tc>
                <w:tcPr>
                  <w:tcW w:w="684" w:type="pct"/>
                  <w:shd w:val="clear" w:color="auto" w:fill="auto"/>
                  <w:vAlign w:val="center"/>
                </w:tcPr>
                <w:p w14:paraId="7B13598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590" w:type="pct"/>
                  <w:shd w:val="clear" w:color="auto" w:fill="auto"/>
                  <w:vAlign w:val="center"/>
                </w:tcPr>
                <w:p w14:paraId="25A6326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万kW·h</w:t>
                  </w:r>
                </w:p>
              </w:tc>
              <w:tc>
                <w:tcPr>
                  <w:tcW w:w="561" w:type="pct"/>
                  <w:shd w:val="clear" w:color="auto" w:fill="auto"/>
                  <w:vAlign w:val="center"/>
                </w:tcPr>
                <w:p w14:paraId="1471AFA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300</w:t>
                  </w:r>
                </w:p>
              </w:tc>
              <w:tc>
                <w:tcPr>
                  <w:tcW w:w="643" w:type="pct"/>
                  <w:vAlign w:val="center"/>
                </w:tcPr>
                <w:p w14:paraId="3A4ECAF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04" w:type="pct"/>
                  <w:shd w:val="clear" w:color="auto" w:fill="auto"/>
                  <w:vAlign w:val="center"/>
                </w:tcPr>
                <w:p w14:paraId="643DEE0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408" w:type="pct"/>
                  <w:vMerge w:val="continue"/>
                  <w:vAlign w:val="center"/>
                </w:tcPr>
                <w:p w14:paraId="167A77A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p>
              </w:tc>
            </w:tr>
          </w:tbl>
          <w:p w14:paraId="5FD90A02">
            <w:pPr>
              <w:adjustRightInd w:val="0"/>
              <w:snapToGrid w:val="0"/>
              <w:spacing w:line="360" w:lineRule="auto"/>
              <w:ind w:firstLine="482" w:firstLineChars="200"/>
              <w:rPr>
                <w:rFonts w:hint="default"/>
                <w:b/>
                <w:bCs/>
                <w:color w:val="auto"/>
                <w:sz w:val="24"/>
                <w:highlight w:val="none"/>
                <w:lang w:val="en-US" w:eastAsia="zh-CN"/>
              </w:rPr>
            </w:pPr>
            <w:r>
              <w:rPr>
                <w:rFonts w:hint="eastAsia"/>
                <w:b/>
                <w:bCs/>
                <w:color w:val="auto"/>
                <w:sz w:val="24"/>
                <w:highlight w:val="none"/>
                <w:lang w:val="en-US" w:eastAsia="zh-CN"/>
              </w:rPr>
              <w:t>2、原辅料特性</w:t>
            </w:r>
          </w:p>
          <w:p w14:paraId="26F64E2E">
            <w:pPr>
              <w:adjustRightInd w:val="0"/>
              <w:snapToGrid w:val="0"/>
              <w:spacing w:line="360" w:lineRule="auto"/>
              <w:ind w:firstLine="480" w:firstLineChars="200"/>
              <w:rPr>
                <w:rFonts w:hint="eastAsia"/>
                <w:color w:val="auto"/>
                <w:sz w:val="24"/>
                <w:highlight w:val="none"/>
              </w:rPr>
            </w:pPr>
            <w:r>
              <w:rPr>
                <w:rFonts w:hint="eastAsia"/>
                <w:color w:val="auto"/>
                <w:sz w:val="24"/>
                <w:highlight w:val="none"/>
                <w:lang w:val="en-US" w:eastAsia="zh-CN"/>
              </w:rPr>
              <w:t>项目原辅料性质</w:t>
            </w:r>
            <w:r>
              <w:rPr>
                <w:rFonts w:hint="eastAsia"/>
                <w:color w:val="auto"/>
                <w:sz w:val="24"/>
                <w:highlight w:val="none"/>
              </w:rPr>
              <w:t>如下</w:t>
            </w:r>
            <w:r>
              <w:rPr>
                <w:rFonts w:hint="eastAsia"/>
                <w:color w:val="auto"/>
                <w:sz w:val="24"/>
                <w:highlight w:val="none"/>
                <w:lang w:val="en-US" w:eastAsia="zh-CN"/>
              </w:rPr>
              <w:t>表2-4。</w:t>
            </w:r>
          </w:p>
          <w:p w14:paraId="0471C0B5">
            <w:pPr>
              <w:pStyle w:val="78"/>
              <w:spacing w:after="120"/>
              <w:ind w:firstLine="498"/>
              <w:rPr>
                <w:rFonts w:hint="default" w:ascii="Times New Roman" w:hAnsi="Times New Roman" w:eastAsia="宋体" w:cs="Times New Roman"/>
                <w:bCs w:val="0"/>
                <w:color w:val="auto"/>
                <w:spacing w:val="0"/>
                <w:kern w:val="24"/>
                <w:highlight w:val="none"/>
                <w:lang w:val="zh-CN"/>
              </w:rPr>
            </w:pPr>
            <w:r>
              <w:rPr>
                <w:rFonts w:hint="eastAsia" w:ascii="Times New Roman" w:hAnsi="Times New Roman" w:eastAsia="宋体" w:cs="Times New Roman"/>
                <w:bCs w:val="0"/>
                <w:color w:val="auto"/>
                <w:spacing w:val="0"/>
                <w:kern w:val="24"/>
                <w:highlight w:val="none"/>
                <w:lang w:val="zh-CN"/>
              </w:rPr>
              <w:t>表2-</w:t>
            </w:r>
            <w:r>
              <w:rPr>
                <w:rFonts w:hint="eastAsia" w:ascii="Times New Roman" w:hAnsi="Times New Roman" w:eastAsia="宋体" w:cs="Times New Roman"/>
                <w:bCs w:val="0"/>
                <w:color w:val="auto"/>
                <w:spacing w:val="0"/>
                <w:kern w:val="24"/>
                <w:highlight w:val="none"/>
                <w:lang w:val="en-US" w:eastAsia="zh-CN"/>
              </w:rPr>
              <w:t>4</w:t>
            </w:r>
            <w:r>
              <w:rPr>
                <w:rFonts w:hint="eastAsia" w:ascii="Times New Roman" w:hAnsi="Times New Roman" w:eastAsia="宋体" w:cs="Times New Roman"/>
                <w:bCs w:val="0"/>
                <w:color w:val="auto"/>
                <w:spacing w:val="0"/>
                <w:kern w:val="24"/>
                <w:highlight w:val="none"/>
                <w:lang w:val="zh-CN"/>
              </w:rPr>
              <w:t xml:space="preserve">  </w:t>
            </w:r>
            <w:r>
              <w:rPr>
                <w:rFonts w:hint="eastAsia" w:ascii="Times New Roman" w:hAnsi="Times New Roman" w:eastAsia="宋体" w:cs="Times New Roman"/>
                <w:bCs w:val="0"/>
                <w:color w:val="auto"/>
                <w:spacing w:val="0"/>
                <w:kern w:val="24"/>
                <w:highlight w:val="none"/>
                <w:lang w:val="en-US" w:eastAsia="zh-CN"/>
              </w:rPr>
              <w:t>原辅材料成分或理化性质</w:t>
            </w:r>
            <w:r>
              <w:rPr>
                <w:rFonts w:hint="eastAsia" w:ascii="Times New Roman" w:hAnsi="Times New Roman" w:eastAsia="宋体" w:cs="Times New Roman"/>
                <w:bCs w:val="0"/>
                <w:color w:val="auto"/>
                <w:spacing w:val="0"/>
                <w:kern w:val="24"/>
                <w:highlight w:val="none"/>
                <w:lang w:val="zh-CN"/>
              </w:rPr>
              <w:t>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1334"/>
              <w:gridCol w:w="6151"/>
            </w:tblGrid>
            <w:tr w14:paraId="598D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9" w:type="pct"/>
                  <w:vAlign w:val="center"/>
                </w:tcPr>
                <w:p w14:paraId="6ABD658D">
                  <w:pPr>
                    <w:jc w:val="center"/>
                    <w:rPr>
                      <w:b/>
                      <w:bCs/>
                      <w:color w:val="auto"/>
                      <w:szCs w:val="21"/>
                      <w:highlight w:val="none"/>
                    </w:rPr>
                  </w:pPr>
                  <w:r>
                    <w:rPr>
                      <w:rFonts w:hint="eastAsia"/>
                      <w:b/>
                      <w:bCs/>
                      <w:color w:val="auto"/>
                      <w:szCs w:val="21"/>
                      <w:highlight w:val="none"/>
                    </w:rPr>
                    <w:t>序号</w:t>
                  </w:r>
                </w:p>
              </w:tc>
              <w:tc>
                <w:tcPr>
                  <w:tcW w:w="802" w:type="pct"/>
                  <w:vAlign w:val="center"/>
                </w:tcPr>
                <w:p w14:paraId="3142125C">
                  <w:pPr>
                    <w:jc w:val="center"/>
                    <w:rPr>
                      <w:rFonts w:hint="eastAsia" w:eastAsia="宋体"/>
                      <w:b/>
                      <w:bCs/>
                      <w:color w:val="auto"/>
                      <w:szCs w:val="21"/>
                      <w:highlight w:val="none"/>
                      <w:lang w:val="en-US" w:eastAsia="zh-CN"/>
                    </w:rPr>
                  </w:pPr>
                  <w:r>
                    <w:rPr>
                      <w:rFonts w:hint="eastAsia"/>
                      <w:b/>
                      <w:bCs/>
                      <w:color w:val="auto"/>
                      <w:szCs w:val="21"/>
                      <w:highlight w:val="none"/>
                      <w:lang w:val="en-US" w:eastAsia="zh-CN"/>
                    </w:rPr>
                    <w:t>名称</w:t>
                  </w:r>
                </w:p>
              </w:tc>
              <w:tc>
                <w:tcPr>
                  <w:tcW w:w="3697" w:type="pct"/>
                  <w:vAlign w:val="center"/>
                </w:tcPr>
                <w:p w14:paraId="6974F272">
                  <w:pPr>
                    <w:jc w:val="center"/>
                    <w:rPr>
                      <w:rFonts w:hint="default" w:eastAsia="宋体"/>
                      <w:b/>
                      <w:bCs/>
                      <w:color w:val="auto"/>
                      <w:szCs w:val="21"/>
                      <w:highlight w:val="none"/>
                      <w:lang w:val="en-US" w:eastAsia="zh-CN"/>
                    </w:rPr>
                  </w:pPr>
                  <w:r>
                    <w:rPr>
                      <w:rFonts w:hint="eastAsia"/>
                      <w:b/>
                      <w:bCs/>
                      <w:color w:val="auto"/>
                      <w:szCs w:val="21"/>
                      <w:highlight w:val="none"/>
                      <w:lang w:val="en-US" w:eastAsia="zh-CN"/>
                    </w:rPr>
                    <w:t>理化性质成分</w:t>
                  </w:r>
                </w:p>
              </w:tc>
            </w:tr>
            <w:tr w14:paraId="35150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9" w:type="pct"/>
                  <w:vAlign w:val="center"/>
                </w:tcPr>
                <w:p w14:paraId="43EDBFDA">
                  <w:pPr>
                    <w:jc w:val="center"/>
                    <w:rPr>
                      <w:color w:val="auto"/>
                      <w:szCs w:val="21"/>
                      <w:highlight w:val="none"/>
                    </w:rPr>
                  </w:pPr>
                  <w:r>
                    <w:rPr>
                      <w:rFonts w:hint="eastAsia"/>
                      <w:color w:val="auto"/>
                      <w:szCs w:val="21"/>
                      <w:highlight w:val="none"/>
                    </w:rPr>
                    <w:t>1</w:t>
                  </w:r>
                </w:p>
              </w:tc>
              <w:tc>
                <w:tcPr>
                  <w:tcW w:w="802" w:type="pct"/>
                  <w:vAlign w:val="center"/>
                </w:tcPr>
                <w:p w14:paraId="74E807C2">
                  <w:pPr>
                    <w:jc w:val="center"/>
                    <w:rPr>
                      <w:color w:val="auto"/>
                      <w:szCs w:val="21"/>
                      <w:highlight w:val="none"/>
                    </w:rPr>
                  </w:pPr>
                  <w:r>
                    <w:rPr>
                      <w:rFonts w:hint="eastAsia"/>
                      <w:color w:val="auto"/>
                      <w:szCs w:val="21"/>
                      <w:highlight w:val="none"/>
                    </w:rPr>
                    <w:t>聚丙烯（PP）</w:t>
                  </w:r>
                </w:p>
              </w:tc>
              <w:tc>
                <w:tcPr>
                  <w:tcW w:w="3697" w:type="pct"/>
                  <w:vAlign w:val="center"/>
                </w:tcPr>
                <w:p w14:paraId="761D67DA">
                  <w:pPr>
                    <w:jc w:val="center"/>
                    <w:rPr>
                      <w:color w:val="auto"/>
                      <w:szCs w:val="21"/>
                      <w:highlight w:val="none"/>
                    </w:rPr>
                  </w:pPr>
                  <w:r>
                    <w:rPr>
                      <w:rFonts w:hint="eastAsia"/>
                      <w:color w:val="auto"/>
                      <w:szCs w:val="21"/>
                      <w:highlight w:val="none"/>
                    </w:rPr>
                    <w:t>聚丙烯（Polypropylene，简称PP）是一种半结晶的热塑性塑料，是丙烯通过加聚反应而成的聚合物。系白色蜡状材料，外观透明而轻。化学式为</w:t>
                  </w:r>
                  <w:r>
                    <w:rPr>
                      <w:rFonts w:hint="eastAsia"/>
                      <w:color w:val="auto"/>
                      <w:szCs w:val="21"/>
                      <w:highlight w:val="none"/>
                      <w:lang w:eastAsia="zh-CN"/>
                    </w:rPr>
                    <w:t>（</w:t>
                  </w:r>
                  <w:r>
                    <w:rPr>
                      <w:rFonts w:hint="eastAsia"/>
                      <w:color w:val="auto"/>
                      <w:szCs w:val="21"/>
                      <w:highlight w:val="none"/>
                    </w:rPr>
                    <w:t>C</w:t>
                  </w:r>
                  <w:r>
                    <w:rPr>
                      <w:rFonts w:hint="eastAsia"/>
                      <w:color w:val="auto"/>
                      <w:szCs w:val="21"/>
                      <w:highlight w:val="none"/>
                      <w:vertAlign w:val="subscript"/>
                    </w:rPr>
                    <w:t>3</w:t>
                  </w:r>
                  <w:r>
                    <w:rPr>
                      <w:rFonts w:hint="eastAsia"/>
                      <w:color w:val="auto"/>
                      <w:szCs w:val="21"/>
                      <w:highlight w:val="none"/>
                    </w:rPr>
                    <w:t>H</w:t>
                  </w:r>
                  <w:r>
                    <w:rPr>
                      <w:rFonts w:hint="eastAsia"/>
                      <w:color w:val="auto"/>
                      <w:szCs w:val="21"/>
                      <w:highlight w:val="none"/>
                      <w:vertAlign w:val="subscript"/>
                    </w:rPr>
                    <w:t>6</w:t>
                  </w:r>
                  <w:r>
                    <w:rPr>
                      <w:rFonts w:hint="eastAsia"/>
                      <w:color w:val="auto"/>
                      <w:szCs w:val="21"/>
                      <w:highlight w:val="none"/>
                      <w:vertAlign w:val="baseline"/>
                      <w:lang w:eastAsia="zh-CN"/>
                    </w:rPr>
                    <w:t>）</w:t>
                  </w:r>
                  <w:r>
                    <w:rPr>
                      <w:rFonts w:hint="eastAsia"/>
                      <w:color w:val="auto"/>
                      <w:szCs w:val="21"/>
                      <w:highlight w:val="none"/>
                    </w:rPr>
                    <w:t>n，密度为0.89～0.91g/c</w:t>
                  </w:r>
                  <w:r>
                    <w:rPr>
                      <w:rFonts w:hint="eastAsia"/>
                      <w:color w:val="auto"/>
                      <w:szCs w:val="21"/>
                      <w:highlight w:val="none"/>
                      <w:lang w:val="en-US" w:eastAsia="zh-CN"/>
                    </w:rPr>
                    <w:t>m³</w:t>
                  </w:r>
                  <w:r>
                    <w:rPr>
                      <w:rFonts w:hint="eastAsia"/>
                      <w:color w:val="auto"/>
                      <w:szCs w:val="21"/>
                      <w:highlight w:val="none"/>
                    </w:rPr>
                    <w:t>，易燃，熔点为164~170°C，在155°C左右软化，使用温度范围为-30～140°C。在80°C以下能耐酸、碱、盐液及多种有机溶剂的腐蚀，能在高温和氧化作用下分解。聚丙烯是一种性能优良的热塑性合成树脂，为无色半透明的热塑性轻质通用塑料，具有耐化学性、耐热性、电绝缘性、高强度机械性能和良好的高耐磨加工性能等，广泛应用于服装、毛毯等纤维制品、医疗器械、汽车、自行车、零件、输送管道、化工容器等生产，也用于食品、药品包装。</w:t>
                  </w:r>
                </w:p>
              </w:tc>
            </w:tr>
            <w:tr w14:paraId="3A5B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9" w:type="pct"/>
                  <w:vAlign w:val="center"/>
                </w:tcPr>
                <w:p w14:paraId="504E9374">
                  <w:pPr>
                    <w:jc w:val="center"/>
                    <w:rPr>
                      <w:color w:val="auto"/>
                      <w:szCs w:val="21"/>
                      <w:highlight w:val="none"/>
                    </w:rPr>
                  </w:pPr>
                  <w:r>
                    <w:rPr>
                      <w:rFonts w:hint="eastAsia"/>
                      <w:color w:val="auto"/>
                      <w:szCs w:val="21"/>
                      <w:highlight w:val="none"/>
                    </w:rPr>
                    <w:t>2</w:t>
                  </w:r>
                </w:p>
              </w:tc>
              <w:tc>
                <w:tcPr>
                  <w:tcW w:w="802" w:type="pct"/>
                  <w:vAlign w:val="center"/>
                </w:tcPr>
                <w:p w14:paraId="61A18F39">
                  <w:pPr>
                    <w:jc w:val="center"/>
                    <w:rPr>
                      <w:rFonts w:hint="default" w:eastAsia="宋体"/>
                      <w:color w:val="auto"/>
                      <w:szCs w:val="21"/>
                      <w:highlight w:val="none"/>
                      <w:lang w:val="en-US" w:eastAsia="zh-CN"/>
                    </w:rPr>
                  </w:pPr>
                  <w:r>
                    <w:rPr>
                      <w:rFonts w:hint="default" w:eastAsia="宋体"/>
                      <w:color w:val="auto"/>
                      <w:szCs w:val="21"/>
                      <w:highlight w:val="none"/>
                      <w:lang w:val="en-US" w:eastAsia="zh-CN"/>
                    </w:rPr>
                    <w:t>聚乙烯（PE）</w:t>
                  </w:r>
                </w:p>
              </w:tc>
              <w:tc>
                <w:tcPr>
                  <w:tcW w:w="3697" w:type="pct"/>
                  <w:vAlign w:val="center"/>
                </w:tcPr>
                <w:p w14:paraId="7BD59294">
                  <w:pPr>
                    <w:jc w:val="center"/>
                    <w:rPr>
                      <w:color w:val="auto"/>
                      <w:szCs w:val="21"/>
                      <w:highlight w:val="none"/>
                    </w:rPr>
                  </w:pPr>
                  <w:r>
                    <w:rPr>
                      <w:rFonts w:hint="eastAsia"/>
                      <w:color w:val="auto"/>
                      <w:szCs w:val="21"/>
                      <w:highlight w:val="none"/>
                    </w:rPr>
                    <w:t>聚乙烯英文名称：polyethylene，简称PE，是乙烯经聚合制得的一</w:t>
                  </w:r>
                  <w:r>
                    <w:rPr>
                      <w:rFonts w:hint="eastAsia"/>
                      <w:color w:val="auto"/>
                      <w:szCs w:val="21"/>
                      <w:highlight w:val="none"/>
                      <w:lang w:val="en-US" w:eastAsia="zh-CN"/>
                    </w:rPr>
                    <w:t>种</w:t>
                  </w:r>
                  <w:r>
                    <w:rPr>
                      <w:rFonts w:hint="eastAsia"/>
                      <w:color w:val="auto"/>
                      <w:szCs w:val="21"/>
                      <w:highlight w:val="none"/>
                    </w:rPr>
                    <w:t>热塑性树脂。在工业上，也包括乙烯与少量α－烯烃的共聚物。聚乙烯无臭，无毒，手感似蜡，具有优良的耐低温性能</w:t>
                  </w:r>
                  <w:r>
                    <w:rPr>
                      <w:rFonts w:hint="eastAsia"/>
                      <w:color w:val="auto"/>
                      <w:szCs w:val="21"/>
                      <w:highlight w:val="none"/>
                      <w:lang w:eastAsia="zh-CN"/>
                    </w:rPr>
                    <w:t>（</w:t>
                  </w:r>
                  <w:r>
                    <w:rPr>
                      <w:rFonts w:hint="eastAsia"/>
                      <w:color w:val="auto"/>
                      <w:szCs w:val="21"/>
                      <w:highlight w:val="none"/>
                    </w:rPr>
                    <w:t>最低使用温度可达-70～-100°C</w:t>
                  </w:r>
                  <w:r>
                    <w:rPr>
                      <w:rFonts w:hint="eastAsia"/>
                      <w:color w:val="auto"/>
                      <w:szCs w:val="21"/>
                      <w:highlight w:val="none"/>
                      <w:lang w:eastAsia="zh-CN"/>
                    </w:rPr>
                    <w:t>）</w:t>
                  </w:r>
                  <w:r>
                    <w:rPr>
                      <w:rFonts w:hint="eastAsia"/>
                      <w:color w:val="auto"/>
                      <w:szCs w:val="21"/>
                      <w:highlight w:val="none"/>
                    </w:rPr>
                    <w:t>，化学稳定性好，能耐大多数酸碱的侵蚀</w:t>
                  </w:r>
                  <w:r>
                    <w:rPr>
                      <w:rFonts w:hint="eastAsia"/>
                      <w:color w:val="auto"/>
                      <w:szCs w:val="21"/>
                      <w:highlight w:val="none"/>
                      <w:lang w:eastAsia="zh-CN"/>
                    </w:rPr>
                    <w:t>（</w:t>
                  </w:r>
                  <w:r>
                    <w:rPr>
                      <w:rFonts w:hint="eastAsia"/>
                      <w:color w:val="auto"/>
                      <w:szCs w:val="21"/>
                      <w:highlight w:val="none"/>
                    </w:rPr>
                    <w:t>不耐具有氧化性质的酸</w:t>
                  </w:r>
                  <w:r>
                    <w:rPr>
                      <w:rFonts w:hint="eastAsia"/>
                      <w:color w:val="auto"/>
                      <w:szCs w:val="21"/>
                      <w:highlight w:val="none"/>
                      <w:lang w:eastAsia="zh-CN"/>
                    </w:rPr>
                    <w:t>）</w:t>
                  </w:r>
                  <w:r>
                    <w:rPr>
                      <w:rFonts w:hint="eastAsia"/>
                      <w:color w:val="auto"/>
                      <w:szCs w:val="21"/>
                      <w:highlight w:val="none"/>
                    </w:rPr>
                    <w:t>，常温下不溶于一般溶剂，吸水性小，但由于其为线性分子可缓慢溶于某些有机溶剂，且不发生溶胀，电绝缘性能优良；但聚乙烯对于环境应力</w:t>
                  </w:r>
                  <w:r>
                    <w:rPr>
                      <w:rFonts w:hint="eastAsia"/>
                      <w:color w:val="auto"/>
                      <w:szCs w:val="21"/>
                      <w:highlight w:val="none"/>
                      <w:lang w:eastAsia="zh-CN"/>
                    </w:rPr>
                    <w:t>（</w:t>
                  </w:r>
                  <w:r>
                    <w:rPr>
                      <w:rFonts w:hint="eastAsia"/>
                      <w:color w:val="auto"/>
                      <w:szCs w:val="21"/>
                      <w:highlight w:val="none"/>
                    </w:rPr>
                    <w:t>化学与机械作用</w:t>
                  </w:r>
                  <w:r>
                    <w:rPr>
                      <w:rFonts w:hint="eastAsia"/>
                      <w:color w:val="auto"/>
                      <w:szCs w:val="21"/>
                      <w:highlight w:val="none"/>
                      <w:lang w:eastAsia="zh-CN"/>
                    </w:rPr>
                    <w:t>）</w:t>
                  </w:r>
                  <w:r>
                    <w:rPr>
                      <w:rFonts w:hint="eastAsia"/>
                      <w:color w:val="auto"/>
                      <w:szCs w:val="21"/>
                      <w:highlight w:val="none"/>
                    </w:rPr>
                    <w:t>是很敏感的，耐热老化性差。</w:t>
                  </w:r>
                </w:p>
              </w:tc>
            </w:tr>
            <w:tr w14:paraId="2A0C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9" w:type="pct"/>
                  <w:vAlign w:val="center"/>
                </w:tcPr>
                <w:p w14:paraId="604EEF4B">
                  <w:pPr>
                    <w:jc w:val="center"/>
                    <w:rPr>
                      <w:color w:val="auto"/>
                      <w:szCs w:val="21"/>
                      <w:highlight w:val="none"/>
                    </w:rPr>
                  </w:pPr>
                  <w:r>
                    <w:rPr>
                      <w:rFonts w:hint="eastAsia"/>
                      <w:color w:val="auto"/>
                      <w:szCs w:val="21"/>
                      <w:highlight w:val="none"/>
                    </w:rPr>
                    <w:t>3</w:t>
                  </w:r>
                </w:p>
              </w:tc>
              <w:tc>
                <w:tcPr>
                  <w:tcW w:w="802" w:type="pct"/>
                  <w:vAlign w:val="center"/>
                </w:tcPr>
                <w:p w14:paraId="1C96DAA9">
                  <w:pPr>
                    <w:jc w:val="center"/>
                    <w:rPr>
                      <w:rFonts w:hint="default" w:eastAsia="宋体"/>
                      <w:color w:val="auto"/>
                      <w:szCs w:val="21"/>
                      <w:highlight w:val="none"/>
                      <w:lang w:val="en-US" w:eastAsia="zh-CN"/>
                    </w:rPr>
                  </w:pPr>
                  <w:r>
                    <w:rPr>
                      <w:rFonts w:hint="default" w:eastAsia="宋体"/>
                      <w:color w:val="auto"/>
                      <w:szCs w:val="21"/>
                      <w:highlight w:val="none"/>
                      <w:lang w:val="en-US" w:eastAsia="zh-CN"/>
                    </w:rPr>
                    <w:t>填充母料</w:t>
                  </w:r>
                </w:p>
              </w:tc>
              <w:tc>
                <w:tcPr>
                  <w:tcW w:w="3697" w:type="pct"/>
                  <w:vAlign w:val="center"/>
                </w:tcPr>
                <w:p w14:paraId="172BE2BC">
                  <w:pPr>
                    <w:jc w:val="center"/>
                    <w:rPr>
                      <w:rFonts w:hint="eastAsia" w:eastAsia="宋体"/>
                      <w:color w:val="auto"/>
                      <w:szCs w:val="21"/>
                      <w:highlight w:val="none"/>
                      <w:lang w:eastAsia="zh-CN"/>
                    </w:rPr>
                  </w:pPr>
                  <w:r>
                    <w:rPr>
                      <w:rFonts w:hint="eastAsia"/>
                      <w:color w:val="auto"/>
                      <w:szCs w:val="21"/>
                      <w:highlight w:val="none"/>
                    </w:rPr>
                    <w:t>填充母粒为改性碳酸钙（CaCO3）颗粒</w:t>
                  </w:r>
                  <w:r>
                    <w:rPr>
                      <w:rFonts w:hint="eastAsia"/>
                      <w:color w:val="auto"/>
                      <w:szCs w:val="21"/>
                      <w:highlight w:val="none"/>
                      <w:lang w:eastAsia="zh-CN"/>
                    </w:rPr>
                    <w:t>，</w:t>
                  </w:r>
                  <w:r>
                    <w:rPr>
                      <w:rFonts w:hint="eastAsia"/>
                      <w:color w:val="auto"/>
                      <w:szCs w:val="21"/>
                      <w:highlight w:val="none"/>
                    </w:rPr>
                    <w:t>在塑料制品加工成型过程中，将所需要的各种助剂、填料与少量载体树脂进行混炼而制得的粒料，本项目填充母料由聚丙烯和重质碳酸钙组成，在生产过程中起到填充料作用，填充母料中聚丙烯15%、重质碳酸钙85%</w:t>
                  </w:r>
                  <w:r>
                    <w:rPr>
                      <w:rFonts w:hint="eastAsia"/>
                      <w:color w:val="auto"/>
                      <w:szCs w:val="21"/>
                      <w:highlight w:val="none"/>
                      <w:lang w:eastAsia="zh-CN"/>
                    </w:rPr>
                    <w:t>。</w:t>
                  </w:r>
                </w:p>
              </w:tc>
            </w:tr>
            <w:tr w14:paraId="2C15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9" w:type="pct"/>
                  <w:vAlign w:val="center"/>
                </w:tcPr>
                <w:p w14:paraId="090756BD">
                  <w:pPr>
                    <w:jc w:val="center"/>
                    <w:rPr>
                      <w:color w:val="auto"/>
                      <w:szCs w:val="21"/>
                      <w:highlight w:val="none"/>
                    </w:rPr>
                  </w:pPr>
                  <w:r>
                    <w:rPr>
                      <w:rFonts w:hint="eastAsia"/>
                      <w:color w:val="auto"/>
                      <w:szCs w:val="21"/>
                      <w:highlight w:val="none"/>
                    </w:rPr>
                    <w:t>4</w:t>
                  </w:r>
                </w:p>
              </w:tc>
              <w:tc>
                <w:tcPr>
                  <w:tcW w:w="802" w:type="pct"/>
                  <w:shd w:val="clear" w:color="auto" w:fill="auto"/>
                  <w:vAlign w:val="center"/>
                </w:tcPr>
                <w:p w14:paraId="65200444">
                  <w:pPr>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色母料</w:t>
                  </w:r>
                </w:p>
              </w:tc>
              <w:tc>
                <w:tcPr>
                  <w:tcW w:w="3697" w:type="pct"/>
                  <w:shd w:val="clear" w:color="auto" w:fill="auto"/>
                  <w:vAlign w:val="center"/>
                </w:tcPr>
                <w:p w14:paraId="3436E8BD">
                  <w:pPr>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色母料（Color Master Batch）也叫色种，是一种新型高分子材料专用着色剂，亦称颜料制备物（Pigment Preparation）。色母主要用在塑料上。色母由颜料或染料、载体和添加剂三种基本要素所组成，是把超常量的颜料均匀载附于树脂之中而制得的聚集体，可称颜料浓缩物（Pigment Concentration），所以它的着色力高于颜料本身。加工时用少量色母料和未着色树脂掺混，就可达到设计颜料浓度的着色树脂或制品</w:t>
                  </w:r>
                </w:p>
              </w:tc>
            </w:tr>
            <w:tr w14:paraId="28887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9" w:type="pct"/>
                  <w:vAlign w:val="center"/>
                </w:tcPr>
                <w:p w14:paraId="7E2E0777">
                  <w:pPr>
                    <w:jc w:val="center"/>
                    <w:rPr>
                      <w:color w:val="auto"/>
                      <w:szCs w:val="21"/>
                      <w:highlight w:val="none"/>
                    </w:rPr>
                  </w:pPr>
                  <w:r>
                    <w:rPr>
                      <w:rFonts w:hint="eastAsia"/>
                      <w:color w:val="auto"/>
                      <w:szCs w:val="21"/>
                      <w:highlight w:val="none"/>
                    </w:rPr>
                    <w:t>5</w:t>
                  </w:r>
                </w:p>
              </w:tc>
              <w:tc>
                <w:tcPr>
                  <w:tcW w:w="802" w:type="pct"/>
                  <w:vAlign w:val="center"/>
                </w:tcPr>
                <w:p w14:paraId="3B4D488A">
                  <w:pPr>
                    <w:jc w:val="center"/>
                    <w:rPr>
                      <w:rFonts w:hint="default" w:eastAsia="宋体"/>
                      <w:color w:val="auto"/>
                      <w:szCs w:val="21"/>
                      <w:highlight w:val="none"/>
                      <w:lang w:val="en-US" w:eastAsia="zh-CN"/>
                    </w:rPr>
                  </w:pPr>
                  <w:r>
                    <w:rPr>
                      <w:rFonts w:hint="default" w:eastAsia="宋体"/>
                      <w:color w:val="auto"/>
                      <w:szCs w:val="21"/>
                      <w:highlight w:val="none"/>
                      <w:lang w:val="en-US" w:eastAsia="zh-CN"/>
                    </w:rPr>
                    <w:t>消泡母料</w:t>
                  </w:r>
                </w:p>
              </w:tc>
              <w:tc>
                <w:tcPr>
                  <w:tcW w:w="3697" w:type="pct"/>
                  <w:shd w:val="clear" w:color="auto" w:fill="auto"/>
                  <w:vAlign w:val="center"/>
                </w:tcPr>
                <w:p w14:paraId="5EEB7BC9">
                  <w:pPr>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消泡母料又叫吸水母料、除潮母料</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塑料消泡剂</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是专为解决以PE、PP、ABS、PS、尼龙为原材料的塑料制品在加工过程中的水泡问题而开发的一种新型功能母料。该母料在塑料成型加工前，通过少量添加和简单的混合，而不用经过干燥过程，就可以成型加工，具有使用方便，提高生产效率，降低能耗的优点。可以消除由于水分引起的气泡、云纹、裂纹、斑点等一切问题，对制品物理机械性能无不良影响</w:t>
                  </w:r>
                  <w:r>
                    <w:rPr>
                      <w:rFonts w:hint="eastAsia" w:cs="Times New Roman"/>
                      <w:color w:val="auto"/>
                      <w:kern w:val="2"/>
                      <w:sz w:val="21"/>
                      <w:szCs w:val="21"/>
                      <w:highlight w:val="none"/>
                      <w:lang w:val="en-US" w:eastAsia="zh-CN" w:bidi="ar-SA"/>
                    </w:rPr>
                    <w:t>。主要由载体、助剂及钙粉组成，其中载体（PE）含量约为15%，助剂（分散剂等）含量约为5%等，钙粉（氧化钙）含量约为80%。</w:t>
                  </w:r>
                </w:p>
              </w:tc>
            </w:tr>
            <w:tr w14:paraId="0996A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9" w:type="pct"/>
                  <w:vAlign w:val="center"/>
                </w:tcPr>
                <w:p w14:paraId="50D11184">
                  <w:pPr>
                    <w:jc w:val="center"/>
                    <w:rPr>
                      <w:color w:val="auto"/>
                      <w:szCs w:val="21"/>
                      <w:highlight w:val="none"/>
                    </w:rPr>
                  </w:pPr>
                  <w:r>
                    <w:rPr>
                      <w:rFonts w:hint="eastAsia"/>
                      <w:color w:val="auto"/>
                      <w:szCs w:val="21"/>
                      <w:highlight w:val="none"/>
                    </w:rPr>
                    <w:t>6</w:t>
                  </w:r>
                </w:p>
              </w:tc>
              <w:tc>
                <w:tcPr>
                  <w:tcW w:w="802" w:type="pct"/>
                  <w:vAlign w:val="center"/>
                </w:tcPr>
                <w:p w14:paraId="299689AD">
                  <w:pPr>
                    <w:jc w:val="center"/>
                    <w:rPr>
                      <w:rFonts w:hint="default" w:eastAsia="宋体"/>
                      <w:color w:val="auto"/>
                      <w:szCs w:val="21"/>
                      <w:highlight w:val="none"/>
                      <w:lang w:val="en-US" w:eastAsia="zh-CN"/>
                    </w:rPr>
                  </w:pPr>
                  <w:r>
                    <w:rPr>
                      <w:rFonts w:hint="default" w:eastAsia="宋体"/>
                      <w:color w:val="auto"/>
                      <w:szCs w:val="21"/>
                      <w:highlight w:val="none"/>
                      <w:lang w:val="en-US" w:eastAsia="zh-CN"/>
                    </w:rPr>
                    <w:t>改性料</w:t>
                  </w:r>
                </w:p>
              </w:tc>
              <w:tc>
                <w:tcPr>
                  <w:tcW w:w="3697" w:type="pct"/>
                  <w:vAlign w:val="center"/>
                </w:tcPr>
                <w:p w14:paraId="214B3D12">
                  <w:pPr>
                    <w:jc w:val="center"/>
                    <w:rPr>
                      <w:color w:val="auto"/>
                      <w:szCs w:val="21"/>
                      <w:highlight w:val="none"/>
                    </w:rPr>
                  </w:pPr>
                  <w:r>
                    <w:rPr>
                      <w:rFonts w:hint="eastAsia"/>
                      <w:color w:val="auto"/>
                      <w:szCs w:val="21"/>
                      <w:highlight w:val="none"/>
                    </w:rPr>
                    <w:t>改性料是以PVC树脂</w:t>
                  </w:r>
                  <w:r>
                    <w:rPr>
                      <w:rFonts w:hint="eastAsia"/>
                      <w:color w:val="auto"/>
                      <w:szCs w:val="21"/>
                      <w:highlight w:val="none"/>
                      <w:lang w:eastAsia="zh-CN"/>
                    </w:rPr>
                    <w:t>（</w:t>
                  </w:r>
                  <w:r>
                    <w:rPr>
                      <w:rFonts w:hint="eastAsia"/>
                      <w:color w:val="auto"/>
                      <w:szCs w:val="21"/>
                      <w:highlight w:val="none"/>
                      <w:lang w:val="en-US" w:eastAsia="zh-CN"/>
                    </w:rPr>
                    <w:t>50%</w:t>
                  </w:r>
                  <w:r>
                    <w:rPr>
                      <w:rFonts w:hint="eastAsia"/>
                      <w:color w:val="auto"/>
                      <w:szCs w:val="21"/>
                      <w:highlight w:val="none"/>
                      <w:lang w:eastAsia="zh-CN"/>
                    </w:rPr>
                    <w:t>）</w:t>
                  </w:r>
                  <w:r>
                    <w:rPr>
                      <w:rFonts w:hint="eastAsia"/>
                      <w:color w:val="auto"/>
                      <w:szCs w:val="21"/>
                      <w:highlight w:val="none"/>
                    </w:rPr>
                    <w:t>为基体，搭配碳酸钙</w:t>
                  </w:r>
                  <w:r>
                    <w:rPr>
                      <w:rFonts w:hint="eastAsia"/>
                      <w:color w:val="auto"/>
                      <w:szCs w:val="21"/>
                      <w:highlight w:val="none"/>
                      <w:lang w:eastAsia="zh-CN"/>
                    </w:rPr>
                    <w:t>（</w:t>
                  </w:r>
                  <w:r>
                    <w:rPr>
                      <w:rFonts w:hint="eastAsia"/>
                      <w:color w:val="auto"/>
                      <w:szCs w:val="21"/>
                      <w:highlight w:val="none"/>
                      <w:lang w:val="en-US" w:eastAsia="zh-CN"/>
                    </w:rPr>
                    <w:t>40%</w:t>
                  </w:r>
                  <w:r>
                    <w:rPr>
                      <w:rFonts w:hint="eastAsia"/>
                      <w:color w:val="auto"/>
                      <w:szCs w:val="21"/>
                      <w:highlight w:val="none"/>
                      <w:lang w:eastAsia="zh-CN"/>
                    </w:rPr>
                    <w:t>）、</w:t>
                  </w:r>
                  <w:r>
                    <w:rPr>
                      <w:rFonts w:hint="eastAsia"/>
                      <w:color w:val="auto"/>
                      <w:szCs w:val="21"/>
                      <w:highlight w:val="none"/>
                      <w:lang w:val="en-US" w:eastAsia="zh-CN"/>
                    </w:rPr>
                    <w:t>增韧剂（3%）、热稳定剂（2%）、加工助剂（3%）和其他功能</w:t>
                  </w:r>
                  <w:r>
                    <w:rPr>
                      <w:rFonts w:hint="eastAsia"/>
                      <w:color w:val="auto"/>
                      <w:szCs w:val="21"/>
                      <w:highlight w:val="none"/>
                    </w:rPr>
                    <w:t>助剂</w:t>
                  </w:r>
                  <w:r>
                    <w:rPr>
                      <w:rFonts w:hint="eastAsia"/>
                      <w:color w:val="auto"/>
                      <w:szCs w:val="21"/>
                      <w:highlight w:val="none"/>
                      <w:lang w:eastAsia="zh-CN"/>
                    </w:rPr>
                    <w:t>（</w:t>
                  </w:r>
                  <w:r>
                    <w:rPr>
                      <w:rFonts w:hint="eastAsia"/>
                      <w:color w:val="auto"/>
                      <w:szCs w:val="21"/>
                      <w:highlight w:val="none"/>
                      <w:lang w:val="en-US" w:eastAsia="zh-CN"/>
                    </w:rPr>
                    <w:t>2%</w:t>
                  </w:r>
                  <w:r>
                    <w:rPr>
                      <w:rFonts w:hint="eastAsia"/>
                      <w:color w:val="auto"/>
                      <w:szCs w:val="21"/>
                      <w:highlight w:val="none"/>
                      <w:lang w:eastAsia="zh-CN"/>
                    </w:rPr>
                    <w:t>）</w:t>
                  </w:r>
                  <w:r>
                    <w:rPr>
                      <w:rFonts w:hint="eastAsia"/>
                      <w:color w:val="auto"/>
                      <w:szCs w:val="21"/>
                      <w:highlight w:val="none"/>
                    </w:rPr>
                    <w:t>通过挤出成型工艺制备的轻量化、高刚性复合材料</w:t>
                  </w:r>
                </w:p>
              </w:tc>
            </w:tr>
            <w:tr w14:paraId="12AB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9" w:type="pct"/>
                  <w:vAlign w:val="center"/>
                </w:tcPr>
                <w:p w14:paraId="7450B519">
                  <w:pPr>
                    <w:jc w:val="center"/>
                    <w:rPr>
                      <w:rFonts w:hint="eastAsia" w:eastAsia="宋体"/>
                      <w:color w:val="auto"/>
                      <w:szCs w:val="21"/>
                      <w:highlight w:val="none"/>
                      <w:lang w:val="en-US" w:eastAsia="zh-CN"/>
                    </w:rPr>
                  </w:pPr>
                  <w:r>
                    <w:rPr>
                      <w:rFonts w:hint="eastAsia"/>
                      <w:color w:val="auto"/>
                      <w:szCs w:val="21"/>
                      <w:highlight w:val="none"/>
                      <w:lang w:val="en-US" w:eastAsia="zh-CN"/>
                    </w:rPr>
                    <w:t>7</w:t>
                  </w:r>
                </w:p>
              </w:tc>
              <w:tc>
                <w:tcPr>
                  <w:tcW w:w="802" w:type="pct"/>
                  <w:vAlign w:val="center"/>
                </w:tcPr>
                <w:p w14:paraId="288547C0">
                  <w:pPr>
                    <w:jc w:val="center"/>
                    <w:rPr>
                      <w:rFonts w:hint="default" w:eastAsia="宋体"/>
                      <w:color w:val="auto"/>
                      <w:szCs w:val="21"/>
                      <w:highlight w:val="none"/>
                      <w:lang w:val="en-US" w:eastAsia="zh-CN"/>
                    </w:rPr>
                  </w:pPr>
                  <w:r>
                    <w:rPr>
                      <w:rFonts w:hint="eastAsia"/>
                      <w:color w:val="auto"/>
                      <w:szCs w:val="21"/>
                      <w:highlight w:val="none"/>
                      <w:lang w:val="en-US" w:eastAsia="zh-CN"/>
                    </w:rPr>
                    <w:t>水性油墨</w:t>
                  </w:r>
                </w:p>
              </w:tc>
              <w:tc>
                <w:tcPr>
                  <w:tcW w:w="3697" w:type="pct"/>
                  <w:vAlign w:val="center"/>
                </w:tcPr>
                <w:p w14:paraId="1A3FDE46">
                  <w:pPr>
                    <w:jc w:val="center"/>
                    <w:rPr>
                      <w:rFonts w:hint="eastAsia"/>
                      <w:color w:val="auto"/>
                      <w:szCs w:val="21"/>
                      <w:highlight w:val="none"/>
                    </w:rPr>
                  </w:pPr>
                  <w:r>
                    <w:rPr>
                      <w:rFonts w:hint="eastAsia"/>
                      <w:color w:val="auto"/>
                      <w:szCs w:val="21"/>
                      <w:highlight w:val="none"/>
                    </w:rPr>
                    <w:t>水溶彩色油状液体，略带刺激性气味，为各种颜色</w:t>
                  </w:r>
                  <w:r>
                    <w:rPr>
                      <w:rFonts w:hint="eastAsia"/>
                      <w:color w:val="auto"/>
                      <w:szCs w:val="21"/>
                      <w:highlight w:val="none"/>
                      <w:lang w:eastAsia="zh-CN"/>
                    </w:rPr>
                    <w:t>黏稠</w:t>
                  </w:r>
                  <w:r>
                    <w:rPr>
                      <w:rFonts w:hint="eastAsia"/>
                      <w:color w:val="auto"/>
                      <w:szCs w:val="21"/>
                      <w:highlight w:val="none"/>
                    </w:rPr>
                    <w:t>物，相对密度（H</w:t>
                  </w:r>
                  <w:r>
                    <w:rPr>
                      <w:rFonts w:hint="eastAsia"/>
                      <w:color w:val="auto"/>
                      <w:szCs w:val="21"/>
                      <w:highlight w:val="none"/>
                      <w:vertAlign w:val="subscript"/>
                    </w:rPr>
                    <w:t>2</w:t>
                  </w:r>
                  <w:r>
                    <w:rPr>
                      <w:rFonts w:hint="eastAsia"/>
                      <w:color w:val="auto"/>
                      <w:szCs w:val="21"/>
                      <w:highlight w:val="none"/>
                    </w:rPr>
                    <w:t>O=1）：＞1，其组分包括：松香改性酚醛树脂</w:t>
                  </w:r>
                  <w:r>
                    <w:rPr>
                      <w:rFonts w:hint="eastAsia"/>
                      <w:color w:val="auto"/>
                      <w:szCs w:val="21"/>
                      <w:highlight w:val="none"/>
                      <w:lang w:val="en-US" w:eastAsia="zh-CN"/>
                    </w:rPr>
                    <w:t>35%</w:t>
                  </w:r>
                  <w:r>
                    <w:rPr>
                      <w:rFonts w:hint="eastAsia"/>
                      <w:color w:val="auto"/>
                      <w:szCs w:val="21"/>
                      <w:highlight w:val="none"/>
                    </w:rPr>
                    <w:t>、颜料</w:t>
                  </w:r>
                  <w:r>
                    <w:rPr>
                      <w:rFonts w:hint="eastAsia"/>
                      <w:color w:val="auto"/>
                      <w:szCs w:val="21"/>
                      <w:highlight w:val="none"/>
                      <w:lang w:val="en-US" w:eastAsia="zh-CN"/>
                    </w:rPr>
                    <w:t>15%</w:t>
                  </w:r>
                  <w:r>
                    <w:rPr>
                      <w:rFonts w:hint="eastAsia"/>
                      <w:color w:val="auto"/>
                      <w:szCs w:val="21"/>
                      <w:highlight w:val="none"/>
                    </w:rPr>
                    <w:t>、大豆油</w:t>
                  </w:r>
                  <w:r>
                    <w:rPr>
                      <w:rFonts w:hint="eastAsia"/>
                      <w:color w:val="auto"/>
                      <w:szCs w:val="21"/>
                      <w:highlight w:val="none"/>
                      <w:lang w:val="en-US" w:eastAsia="zh-CN"/>
                    </w:rPr>
                    <w:t>22.5%</w:t>
                  </w:r>
                  <w:r>
                    <w:rPr>
                      <w:rFonts w:hint="eastAsia"/>
                      <w:color w:val="auto"/>
                      <w:szCs w:val="21"/>
                      <w:highlight w:val="none"/>
                    </w:rPr>
                    <w:t>、矿物油（石油加氢轻馏分）</w:t>
                  </w:r>
                  <w:r>
                    <w:rPr>
                      <w:rFonts w:hint="eastAsia"/>
                      <w:color w:val="auto"/>
                      <w:szCs w:val="21"/>
                      <w:highlight w:val="none"/>
                      <w:lang w:val="en-US" w:eastAsia="zh-CN"/>
                    </w:rPr>
                    <w:t>25%</w:t>
                  </w:r>
                  <w:r>
                    <w:rPr>
                      <w:rFonts w:hint="eastAsia"/>
                      <w:color w:val="auto"/>
                      <w:szCs w:val="21"/>
                      <w:highlight w:val="none"/>
                    </w:rPr>
                    <w:t>、助剂（2-乙基己酸锰）</w:t>
                  </w:r>
                  <w:r>
                    <w:rPr>
                      <w:rFonts w:hint="eastAsia"/>
                      <w:color w:val="auto"/>
                      <w:szCs w:val="21"/>
                      <w:highlight w:val="none"/>
                      <w:lang w:val="en-US" w:eastAsia="zh-CN"/>
                    </w:rPr>
                    <w:t>2.5%</w:t>
                  </w:r>
                  <w:r>
                    <w:rPr>
                      <w:rFonts w:hint="eastAsia"/>
                      <w:color w:val="auto"/>
                      <w:szCs w:val="21"/>
                      <w:highlight w:val="none"/>
                    </w:rPr>
                    <w:t>。通常情况下本品不会有危害健康，长时间吸入高浓度气味，头痛，恶心，食欲减低。室温下较稳定。</w:t>
                  </w:r>
                </w:p>
              </w:tc>
            </w:tr>
          </w:tbl>
          <w:p w14:paraId="7128494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b/>
                <w:bCs/>
                <w:color w:val="auto"/>
                <w:sz w:val="24"/>
                <w:szCs w:val="22"/>
                <w:highlight w:val="none"/>
              </w:rPr>
            </w:pPr>
            <w:r>
              <w:rPr>
                <w:rFonts w:hint="eastAsia"/>
                <w:b/>
                <w:bCs/>
                <w:color w:val="auto"/>
                <w:sz w:val="24"/>
                <w:szCs w:val="22"/>
                <w:highlight w:val="none"/>
                <w:lang w:val="en-US" w:eastAsia="zh-CN"/>
              </w:rPr>
              <w:t>五</w:t>
            </w:r>
            <w:r>
              <w:rPr>
                <w:rFonts w:hint="eastAsia"/>
                <w:b/>
                <w:bCs/>
                <w:color w:val="auto"/>
                <w:sz w:val="24"/>
                <w:szCs w:val="22"/>
                <w:highlight w:val="none"/>
              </w:rPr>
              <w:t>、主要生产设备</w:t>
            </w:r>
          </w:p>
          <w:p w14:paraId="1F767E0C">
            <w:pPr>
              <w:adjustRightInd w:val="0"/>
              <w:snapToGrid w:val="0"/>
              <w:spacing w:line="360" w:lineRule="auto"/>
              <w:ind w:firstLine="480" w:firstLineChars="200"/>
              <w:rPr>
                <w:color w:val="auto"/>
                <w:kern w:val="24"/>
                <w:sz w:val="24"/>
                <w:highlight w:val="none"/>
              </w:rPr>
            </w:pPr>
            <w:r>
              <w:rPr>
                <w:color w:val="auto"/>
                <w:kern w:val="24"/>
                <w:sz w:val="24"/>
                <w:highlight w:val="none"/>
              </w:rPr>
              <w:t>主要生产设备详见表</w:t>
            </w:r>
            <w:r>
              <w:rPr>
                <w:rFonts w:hint="eastAsia"/>
                <w:color w:val="auto"/>
                <w:kern w:val="24"/>
                <w:sz w:val="24"/>
                <w:highlight w:val="none"/>
              </w:rPr>
              <w:t>2</w:t>
            </w:r>
            <w:r>
              <w:rPr>
                <w:color w:val="auto"/>
                <w:kern w:val="24"/>
                <w:sz w:val="24"/>
                <w:highlight w:val="none"/>
              </w:rPr>
              <w:t>-</w:t>
            </w:r>
            <w:r>
              <w:rPr>
                <w:rFonts w:hint="eastAsia"/>
                <w:color w:val="auto"/>
                <w:kern w:val="24"/>
                <w:sz w:val="24"/>
                <w:highlight w:val="none"/>
                <w:lang w:val="en-US" w:eastAsia="zh-CN"/>
              </w:rPr>
              <w:t>5</w:t>
            </w:r>
            <w:r>
              <w:rPr>
                <w:color w:val="auto"/>
                <w:kern w:val="24"/>
                <w:sz w:val="24"/>
                <w:highlight w:val="none"/>
              </w:rPr>
              <w:t>。</w:t>
            </w:r>
          </w:p>
          <w:p w14:paraId="653E6157">
            <w:pPr>
              <w:adjustRightInd w:val="0"/>
              <w:snapToGrid w:val="0"/>
              <w:spacing w:line="360" w:lineRule="auto"/>
              <w:ind w:firstLine="482" w:firstLineChars="200"/>
              <w:jc w:val="center"/>
              <w:rPr>
                <w:b/>
                <w:bCs/>
                <w:color w:val="auto"/>
                <w:kern w:val="24"/>
                <w:sz w:val="24"/>
                <w:highlight w:val="none"/>
              </w:rPr>
            </w:pPr>
            <w:r>
              <w:rPr>
                <w:b/>
                <w:bCs/>
                <w:color w:val="auto"/>
                <w:kern w:val="24"/>
                <w:sz w:val="24"/>
                <w:highlight w:val="none"/>
              </w:rPr>
              <w:t>表2-</w:t>
            </w:r>
            <w:r>
              <w:rPr>
                <w:rFonts w:hint="eastAsia"/>
                <w:b/>
                <w:bCs/>
                <w:color w:val="auto"/>
                <w:kern w:val="24"/>
                <w:sz w:val="24"/>
                <w:highlight w:val="none"/>
                <w:lang w:val="en-US" w:eastAsia="zh-CN"/>
              </w:rPr>
              <w:t>5</w:t>
            </w:r>
            <w:r>
              <w:rPr>
                <w:rFonts w:hint="eastAsia"/>
                <w:b/>
                <w:bCs/>
                <w:color w:val="auto"/>
                <w:kern w:val="24"/>
                <w:sz w:val="24"/>
                <w:highlight w:val="none"/>
              </w:rPr>
              <w:t xml:space="preserve"> </w:t>
            </w:r>
            <w:r>
              <w:rPr>
                <w:b/>
                <w:bCs/>
                <w:color w:val="auto"/>
                <w:kern w:val="24"/>
                <w:sz w:val="24"/>
                <w:highlight w:val="none"/>
              </w:rPr>
              <w:t xml:space="preserve"> 生产设备一览表</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
              <w:gridCol w:w="2020"/>
              <w:gridCol w:w="1969"/>
              <w:gridCol w:w="1250"/>
              <w:gridCol w:w="844"/>
              <w:gridCol w:w="1356"/>
            </w:tblGrid>
            <w:tr w14:paraId="4E208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05FFCD8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1214" w:type="pct"/>
                  <w:vAlign w:val="center"/>
                </w:tcPr>
                <w:p w14:paraId="2AABBEC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设备名称</w:t>
                  </w:r>
                </w:p>
              </w:tc>
              <w:tc>
                <w:tcPr>
                  <w:tcW w:w="1183" w:type="pct"/>
                  <w:vAlign w:val="center"/>
                </w:tcPr>
                <w:p w14:paraId="43EA71F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规格/型号</w:t>
                  </w:r>
                </w:p>
              </w:tc>
              <w:tc>
                <w:tcPr>
                  <w:tcW w:w="751" w:type="pct"/>
                  <w:vAlign w:val="center"/>
                </w:tcPr>
                <w:p w14:paraId="24018CA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数量</w:t>
                  </w:r>
                </w:p>
              </w:tc>
              <w:tc>
                <w:tcPr>
                  <w:tcW w:w="507" w:type="pct"/>
                  <w:vAlign w:val="center"/>
                </w:tcPr>
                <w:p w14:paraId="4CABD14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单位</w:t>
                  </w:r>
                </w:p>
              </w:tc>
              <w:tc>
                <w:tcPr>
                  <w:tcW w:w="815" w:type="pct"/>
                  <w:vAlign w:val="center"/>
                </w:tcPr>
                <w:p w14:paraId="1521A53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rPr>
                      <w:rFonts w:hint="eastAsia"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用途</w:t>
                  </w:r>
                </w:p>
              </w:tc>
            </w:tr>
            <w:tr w14:paraId="7F6D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6EFD22C4">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w:t>
                  </w:r>
                </w:p>
              </w:tc>
              <w:tc>
                <w:tcPr>
                  <w:tcW w:w="1214" w:type="pct"/>
                  <w:shd w:val="clear" w:color="auto" w:fill="auto"/>
                  <w:vAlign w:val="center"/>
                </w:tcPr>
                <w:p w14:paraId="08DE9837">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模切机</w:t>
                  </w:r>
                </w:p>
              </w:tc>
              <w:tc>
                <w:tcPr>
                  <w:tcW w:w="1183" w:type="pct"/>
                  <w:shd w:val="clear" w:color="auto" w:fill="auto"/>
                  <w:vAlign w:val="center"/>
                </w:tcPr>
                <w:p w14:paraId="372E3B0D">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751" w:type="pct"/>
                  <w:shd w:val="clear" w:color="auto" w:fill="auto"/>
                  <w:vAlign w:val="center"/>
                </w:tcPr>
                <w:p w14:paraId="393AB4EC">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w:t>
                  </w:r>
                </w:p>
              </w:tc>
              <w:tc>
                <w:tcPr>
                  <w:tcW w:w="507" w:type="pct"/>
                  <w:shd w:val="clear" w:color="auto" w:fill="auto"/>
                  <w:vAlign w:val="center"/>
                </w:tcPr>
                <w:p w14:paraId="7D07505D">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台</w:t>
                  </w:r>
                </w:p>
              </w:tc>
              <w:tc>
                <w:tcPr>
                  <w:tcW w:w="815" w:type="pct"/>
                  <w:vAlign w:val="center"/>
                </w:tcPr>
                <w:p w14:paraId="41A93E26">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模切</w:t>
                  </w:r>
                </w:p>
              </w:tc>
            </w:tr>
            <w:tr w14:paraId="1C68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2EF9B5DD">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2</w:t>
                  </w:r>
                </w:p>
              </w:tc>
              <w:tc>
                <w:tcPr>
                  <w:tcW w:w="1214" w:type="pct"/>
                  <w:shd w:val="clear" w:color="auto" w:fill="auto"/>
                  <w:vAlign w:val="center"/>
                </w:tcPr>
                <w:p w14:paraId="2C6BA7EC">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粘钉机</w:t>
                  </w:r>
                </w:p>
              </w:tc>
              <w:tc>
                <w:tcPr>
                  <w:tcW w:w="1183" w:type="pct"/>
                  <w:shd w:val="clear" w:color="auto" w:fill="auto"/>
                  <w:vAlign w:val="center"/>
                </w:tcPr>
                <w:p w14:paraId="5C9E9108">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751" w:type="pct"/>
                  <w:shd w:val="clear" w:color="auto" w:fill="auto"/>
                  <w:vAlign w:val="center"/>
                </w:tcPr>
                <w:p w14:paraId="6FFE7224">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w:t>
                  </w:r>
                </w:p>
              </w:tc>
              <w:tc>
                <w:tcPr>
                  <w:tcW w:w="507" w:type="pct"/>
                  <w:shd w:val="clear" w:color="auto" w:fill="auto"/>
                  <w:vAlign w:val="center"/>
                </w:tcPr>
                <w:p w14:paraId="00057CF2">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台</w:t>
                  </w:r>
                </w:p>
              </w:tc>
              <w:tc>
                <w:tcPr>
                  <w:tcW w:w="815" w:type="pct"/>
                  <w:vAlign w:val="center"/>
                </w:tcPr>
                <w:p w14:paraId="71608915">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装订</w:t>
                  </w:r>
                </w:p>
              </w:tc>
            </w:tr>
            <w:tr w14:paraId="5324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7C2CD8B5">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3</w:t>
                  </w:r>
                </w:p>
              </w:tc>
              <w:tc>
                <w:tcPr>
                  <w:tcW w:w="1214" w:type="pct"/>
                  <w:shd w:val="clear" w:color="auto" w:fill="auto"/>
                  <w:vAlign w:val="center"/>
                </w:tcPr>
                <w:p w14:paraId="271F3A0E">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粉碎机</w:t>
                  </w:r>
                </w:p>
              </w:tc>
              <w:tc>
                <w:tcPr>
                  <w:tcW w:w="1183" w:type="pct"/>
                  <w:shd w:val="clear" w:color="auto" w:fill="auto"/>
                  <w:vAlign w:val="center"/>
                </w:tcPr>
                <w:p w14:paraId="08E979C2">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751" w:type="pct"/>
                  <w:shd w:val="clear" w:color="auto" w:fill="auto"/>
                  <w:vAlign w:val="center"/>
                </w:tcPr>
                <w:p w14:paraId="5F28E147">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w:t>
                  </w:r>
                </w:p>
              </w:tc>
              <w:tc>
                <w:tcPr>
                  <w:tcW w:w="507" w:type="pct"/>
                  <w:shd w:val="clear" w:color="auto" w:fill="auto"/>
                  <w:vAlign w:val="center"/>
                </w:tcPr>
                <w:p w14:paraId="64BFB481">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台</w:t>
                  </w:r>
                </w:p>
              </w:tc>
              <w:tc>
                <w:tcPr>
                  <w:tcW w:w="815" w:type="pct"/>
                  <w:vAlign w:val="center"/>
                </w:tcPr>
                <w:p w14:paraId="728D71F9">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破碎</w:t>
                  </w:r>
                </w:p>
              </w:tc>
            </w:tr>
            <w:tr w14:paraId="0EB8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40D88FAE">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4</w:t>
                  </w:r>
                </w:p>
              </w:tc>
              <w:tc>
                <w:tcPr>
                  <w:tcW w:w="1214" w:type="pct"/>
                  <w:shd w:val="clear" w:color="auto" w:fill="auto"/>
                  <w:vAlign w:val="center"/>
                </w:tcPr>
                <w:p w14:paraId="0F8A8F30">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模具</w:t>
                  </w:r>
                </w:p>
              </w:tc>
              <w:tc>
                <w:tcPr>
                  <w:tcW w:w="1183" w:type="pct"/>
                  <w:shd w:val="clear" w:color="auto" w:fill="auto"/>
                  <w:vAlign w:val="center"/>
                </w:tcPr>
                <w:p w14:paraId="7F03F4B9">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口模长</w:t>
                  </w:r>
                  <w:r>
                    <w:rPr>
                      <w:rFonts w:hint="eastAsia" w:cs="Times New Roman"/>
                      <w:b w:val="0"/>
                      <w:bCs w:val="0"/>
                      <w:color w:val="auto"/>
                      <w:sz w:val="21"/>
                      <w:szCs w:val="21"/>
                      <w:highlight w:val="none"/>
                      <w:lang w:val="en-US" w:eastAsia="zh-CN"/>
                    </w:rPr>
                    <w:t>度</w:t>
                  </w:r>
                  <w:r>
                    <w:rPr>
                      <w:rFonts w:hint="default" w:ascii="Times New Roman" w:hAnsi="Times New Roman" w:eastAsia="宋体" w:cs="Times New Roman"/>
                      <w:b w:val="0"/>
                      <w:bCs w:val="0"/>
                      <w:color w:val="auto"/>
                      <w:sz w:val="21"/>
                      <w:szCs w:val="21"/>
                      <w:highlight w:val="none"/>
                      <w:lang w:val="en-US" w:eastAsia="zh-CN"/>
                    </w:rPr>
                    <w:t>1850mm</w:t>
                  </w:r>
                </w:p>
              </w:tc>
              <w:tc>
                <w:tcPr>
                  <w:tcW w:w="751" w:type="pct"/>
                  <w:shd w:val="clear" w:color="auto" w:fill="auto"/>
                  <w:vAlign w:val="center"/>
                </w:tcPr>
                <w:p w14:paraId="6E396D57">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w:t>
                  </w:r>
                </w:p>
              </w:tc>
              <w:tc>
                <w:tcPr>
                  <w:tcW w:w="507" w:type="pct"/>
                  <w:shd w:val="clear" w:color="auto" w:fill="auto"/>
                  <w:vAlign w:val="center"/>
                </w:tcPr>
                <w:p w14:paraId="3A9DEC32">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台</w:t>
                  </w:r>
                </w:p>
              </w:tc>
              <w:tc>
                <w:tcPr>
                  <w:tcW w:w="815" w:type="pct"/>
                  <w:vAlign w:val="center"/>
                </w:tcPr>
                <w:p w14:paraId="49E92A26">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生产</w:t>
                  </w:r>
                </w:p>
              </w:tc>
            </w:tr>
            <w:tr w14:paraId="3EC7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44DE54A6">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5</w:t>
                  </w:r>
                </w:p>
              </w:tc>
              <w:tc>
                <w:tcPr>
                  <w:tcW w:w="1214" w:type="pct"/>
                  <w:shd w:val="clear" w:color="auto" w:fill="auto"/>
                  <w:vAlign w:val="center"/>
                </w:tcPr>
                <w:p w14:paraId="0BEB2A2D">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挤出机</w:t>
                  </w:r>
                </w:p>
              </w:tc>
              <w:tc>
                <w:tcPr>
                  <w:tcW w:w="1183" w:type="pct"/>
                  <w:shd w:val="clear" w:color="auto" w:fill="auto"/>
                  <w:vAlign w:val="center"/>
                </w:tcPr>
                <w:p w14:paraId="36AC7666">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SJ110/36+SJ65/36</w:t>
                  </w:r>
                </w:p>
              </w:tc>
              <w:tc>
                <w:tcPr>
                  <w:tcW w:w="751" w:type="pct"/>
                  <w:shd w:val="clear" w:color="auto" w:fill="auto"/>
                  <w:vAlign w:val="center"/>
                </w:tcPr>
                <w:p w14:paraId="5C665B93">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w:t>
                  </w:r>
                </w:p>
              </w:tc>
              <w:tc>
                <w:tcPr>
                  <w:tcW w:w="507" w:type="pct"/>
                  <w:shd w:val="clear" w:color="auto" w:fill="auto"/>
                  <w:vAlign w:val="center"/>
                </w:tcPr>
                <w:p w14:paraId="67E8B3C3">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台</w:t>
                  </w:r>
                </w:p>
              </w:tc>
              <w:tc>
                <w:tcPr>
                  <w:tcW w:w="815" w:type="pct"/>
                  <w:vAlign w:val="center"/>
                </w:tcPr>
                <w:p w14:paraId="7D3C861B">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挤出</w:t>
                  </w:r>
                </w:p>
              </w:tc>
            </w:tr>
            <w:tr w14:paraId="580C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155E9C4F">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6</w:t>
                  </w:r>
                </w:p>
              </w:tc>
              <w:tc>
                <w:tcPr>
                  <w:tcW w:w="1214" w:type="pct"/>
                  <w:shd w:val="clear" w:color="auto" w:fill="auto"/>
                  <w:vAlign w:val="center"/>
                </w:tcPr>
                <w:p w14:paraId="25F20474">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定型机</w:t>
                  </w:r>
                </w:p>
              </w:tc>
              <w:tc>
                <w:tcPr>
                  <w:tcW w:w="1183" w:type="pct"/>
                  <w:shd w:val="clear" w:color="auto" w:fill="auto"/>
                  <w:vAlign w:val="center"/>
                </w:tcPr>
                <w:p w14:paraId="1A9C69C4">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751" w:type="pct"/>
                  <w:shd w:val="clear" w:color="auto" w:fill="auto"/>
                  <w:vAlign w:val="center"/>
                </w:tcPr>
                <w:p w14:paraId="0A59463A">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w:t>
                  </w:r>
                </w:p>
              </w:tc>
              <w:tc>
                <w:tcPr>
                  <w:tcW w:w="507" w:type="pct"/>
                  <w:shd w:val="clear" w:color="auto" w:fill="auto"/>
                  <w:vAlign w:val="center"/>
                </w:tcPr>
                <w:p w14:paraId="139DAC49">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台</w:t>
                  </w:r>
                </w:p>
              </w:tc>
              <w:tc>
                <w:tcPr>
                  <w:tcW w:w="815" w:type="pct"/>
                  <w:vAlign w:val="center"/>
                </w:tcPr>
                <w:p w14:paraId="0CF563BD">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生产</w:t>
                  </w:r>
                </w:p>
              </w:tc>
            </w:tr>
            <w:tr w14:paraId="699E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03717AAE">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7</w:t>
                  </w:r>
                </w:p>
              </w:tc>
              <w:tc>
                <w:tcPr>
                  <w:tcW w:w="1214" w:type="pct"/>
                  <w:shd w:val="clear" w:color="auto" w:fill="auto"/>
                  <w:vAlign w:val="center"/>
                </w:tcPr>
                <w:p w14:paraId="42B5E1DD">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牵引机</w:t>
                  </w:r>
                </w:p>
              </w:tc>
              <w:tc>
                <w:tcPr>
                  <w:tcW w:w="1183" w:type="pct"/>
                  <w:shd w:val="clear" w:color="auto" w:fill="auto"/>
                  <w:vAlign w:val="center"/>
                </w:tcPr>
                <w:p w14:paraId="2F5241BC">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751" w:type="pct"/>
                  <w:shd w:val="clear" w:color="auto" w:fill="auto"/>
                  <w:vAlign w:val="center"/>
                </w:tcPr>
                <w:p w14:paraId="63732FCC">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10</w:t>
                  </w:r>
                </w:p>
              </w:tc>
              <w:tc>
                <w:tcPr>
                  <w:tcW w:w="507" w:type="pct"/>
                  <w:shd w:val="clear" w:color="auto" w:fill="auto"/>
                  <w:vAlign w:val="center"/>
                </w:tcPr>
                <w:p w14:paraId="16014BCD">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台</w:t>
                  </w:r>
                </w:p>
              </w:tc>
              <w:tc>
                <w:tcPr>
                  <w:tcW w:w="815" w:type="pct"/>
                  <w:vAlign w:val="center"/>
                </w:tcPr>
                <w:p w14:paraId="6DD38C70">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牵引</w:t>
                  </w:r>
                </w:p>
              </w:tc>
            </w:tr>
            <w:tr w14:paraId="1A58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4A5B8091">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8</w:t>
                  </w:r>
                </w:p>
              </w:tc>
              <w:tc>
                <w:tcPr>
                  <w:tcW w:w="1214" w:type="pct"/>
                  <w:shd w:val="clear" w:color="auto" w:fill="auto"/>
                  <w:vAlign w:val="center"/>
                </w:tcPr>
                <w:p w14:paraId="10561A2E">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热定型烘箱</w:t>
                  </w:r>
                </w:p>
              </w:tc>
              <w:tc>
                <w:tcPr>
                  <w:tcW w:w="1183" w:type="pct"/>
                  <w:shd w:val="clear" w:color="auto" w:fill="auto"/>
                  <w:vAlign w:val="center"/>
                </w:tcPr>
                <w:p w14:paraId="4F321967">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30kw</w:t>
                  </w:r>
                </w:p>
              </w:tc>
              <w:tc>
                <w:tcPr>
                  <w:tcW w:w="751" w:type="pct"/>
                  <w:shd w:val="clear" w:color="auto" w:fill="auto"/>
                  <w:vAlign w:val="center"/>
                </w:tcPr>
                <w:p w14:paraId="3F8D334A">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w:t>
                  </w:r>
                </w:p>
              </w:tc>
              <w:tc>
                <w:tcPr>
                  <w:tcW w:w="507" w:type="pct"/>
                  <w:shd w:val="clear" w:color="auto" w:fill="auto"/>
                  <w:vAlign w:val="center"/>
                </w:tcPr>
                <w:p w14:paraId="7D6482C7">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台</w:t>
                  </w:r>
                </w:p>
              </w:tc>
              <w:tc>
                <w:tcPr>
                  <w:tcW w:w="815" w:type="pct"/>
                  <w:vAlign w:val="center"/>
                </w:tcPr>
                <w:p w14:paraId="3C8DFE22">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定型</w:t>
                  </w:r>
                </w:p>
              </w:tc>
            </w:tr>
            <w:tr w14:paraId="6C15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144E89FF">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9</w:t>
                  </w:r>
                </w:p>
              </w:tc>
              <w:tc>
                <w:tcPr>
                  <w:tcW w:w="1214" w:type="pct"/>
                  <w:shd w:val="clear" w:color="auto" w:fill="auto"/>
                  <w:vAlign w:val="center"/>
                </w:tcPr>
                <w:p w14:paraId="7D61E5AB">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冷却定型机</w:t>
                  </w:r>
                </w:p>
              </w:tc>
              <w:tc>
                <w:tcPr>
                  <w:tcW w:w="1183" w:type="pct"/>
                  <w:shd w:val="clear" w:color="auto" w:fill="auto"/>
                  <w:vAlign w:val="center"/>
                </w:tcPr>
                <w:p w14:paraId="1B9E2390">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320×8=2560w</w:t>
                  </w:r>
                </w:p>
              </w:tc>
              <w:tc>
                <w:tcPr>
                  <w:tcW w:w="751" w:type="pct"/>
                  <w:shd w:val="clear" w:color="auto" w:fill="auto"/>
                  <w:vAlign w:val="center"/>
                </w:tcPr>
                <w:p w14:paraId="6533D1E6">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w:t>
                  </w:r>
                </w:p>
              </w:tc>
              <w:tc>
                <w:tcPr>
                  <w:tcW w:w="507" w:type="pct"/>
                  <w:shd w:val="clear" w:color="auto" w:fill="auto"/>
                  <w:vAlign w:val="center"/>
                </w:tcPr>
                <w:p w14:paraId="0E41F6CD">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台</w:t>
                  </w:r>
                </w:p>
              </w:tc>
              <w:tc>
                <w:tcPr>
                  <w:tcW w:w="815" w:type="pct"/>
                  <w:vAlign w:val="center"/>
                </w:tcPr>
                <w:p w14:paraId="0AEBF26E">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冷却</w:t>
                  </w:r>
                </w:p>
              </w:tc>
            </w:tr>
            <w:tr w14:paraId="4A6E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2BFF6AFD">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10</w:t>
                  </w:r>
                </w:p>
              </w:tc>
              <w:tc>
                <w:tcPr>
                  <w:tcW w:w="1214" w:type="pct"/>
                  <w:shd w:val="clear" w:color="auto" w:fill="auto"/>
                  <w:vAlign w:val="center"/>
                </w:tcPr>
                <w:p w14:paraId="1E770F5D">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剪切机</w:t>
                  </w:r>
                </w:p>
              </w:tc>
              <w:tc>
                <w:tcPr>
                  <w:tcW w:w="1183" w:type="pct"/>
                  <w:shd w:val="clear" w:color="auto" w:fill="auto"/>
                  <w:vAlign w:val="center"/>
                </w:tcPr>
                <w:p w14:paraId="5C482E33">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1kw</w:t>
                  </w:r>
                </w:p>
              </w:tc>
              <w:tc>
                <w:tcPr>
                  <w:tcW w:w="751" w:type="pct"/>
                  <w:shd w:val="clear" w:color="auto" w:fill="auto"/>
                  <w:vAlign w:val="center"/>
                </w:tcPr>
                <w:p w14:paraId="45082904">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w:t>
                  </w:r>
                </w:p>
              </w:tc>
              <w:tc>
                <w:tcPr>
                  <w:tcW w:w="507" w:type="pct"/>
                  <w:shd w:val="clear" w:color="auto" w:fill="auto"/>
                  <w:vAlign w:val="center"/>
                </w:tcPr>
                <w:p w14:paraId="78BF29A0">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台</w:t>
                  </w:r>
                </w:p>
              </w:tc>
              <w:tc>
                <w:tcPr>
                  <w:tcW w:w="815" w:type="pct"/>
                  <w:vAlign w:val="center"/>
                </w:tcPr>
                <w:p w14:paraId="393537B1">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裁剪</w:t>
                  </w:r>
                </w:p>
              </w:tc>
            </w:tr>
            <w:tr w14:paraId="3007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1F06603F">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11</w:t>
                  </w:r>
                </w:p>
              </w:tc>
              <w:tc>
                <w:tcPr>
                  <w:tcW w:w="1214" w:type="pct"/>
                  <w:shd w:val="clear" w:color="auto" w:fill="auto"/>
                  <w:vAlign w:val="center"/>
                </w:tcPr>
                <w:p w14:paraId="791AA7C2">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冷却塔</w:t>
                  </w:r>
                </w:p>
              </w:tc>
              <w:tc>
                <w:tcPr>
                  <w:tcW w:w="1183" w:type="pct"/>
                  <w:shd w:val="clear" w:color="auto" w:fill="auto"/>
                  <w:vAlign w:val="center"/>
                </w:tcPr>
                <w:p w14:paraId="40CE199B">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751" w:type="pct"/>
                  <w:shd w:val="clear" w:color="auto" w:fill="auto"/>
                  <w:vAlign w:val="center"/>
                </w:tcPr>
                <w:p w14:paraId="33BAB438">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2</w:t>
                  </w:r>
                </w:p>
              </w:tc>
              <w:tc>
                <w:tcPr>
                  <w:tcW w:w="507" w:type="pct"/>
                  <w:shd w:val="clear" w:color="auto" w:fill="auto"/>
                  <w:vAlign w:val="center"/>
                </w:tcPr>
                <w:p w14:paraId="1ACCB48E">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台</w:t>
                  </w:r>
                </w:p>
              </w:tc>
              <w:tc>
                <w:tcPr>
                  <w:tcW w:w="815" w:type="pct"/>
                  <w:vAlign w:val="center"/>
                </w:tcPr>
                <w:p w14:paraId="3A8D27D9">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设备冷却</w:t>
                  </w:r>
                </w:p>
              </w:tc>
            </w:tr>
            <w:tr w14:paraId="5FBC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3D74C1D9">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12</w:t>
                  </w:r>
                </w:p>
              </w:tc>
              <w:tc>
                <w:tcPr>
                  <w:tcW w:w="1214" w:type="pct"/>
                  <w:shd w:val="clear" w:color="auto" w:fill="auto"/>
                  <w:vAlign w:val="center"/>
                </w:tcPr>
                <w:p w14:paraId="181FA90B">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电晕机</w:t>
                  </w:r>
                </w:p>
              </w:tc>
              <w:tc>
                <w:tcPr>
                  <w:tcW w:w="1183" w:type="pct"/>
                  <w:shd w:val="clear" w:color="auto" w:fill="auto"/>
                  <w:vAlign w:val="center"/>
                </w:tcPr>
                <w:p w14:paraId="40FE20AE">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751" w:type="pct"/>
                  <w:shd w:val="clear" w:color="auto" w:fill="auto"/>
                  <w:vAlign w:val="center"/>
                </w:tcPr>
                <w:p w14:paraId="29791178">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w:t>
                  </w:r>
                </w:p>
              </w:tc>
              <w:tc>
                <w:tcPr>
                  <w:tcW w:w="507" w:type="pct"/>
                  <w:shd w:val="clear" w:color="auto" w:fill="auto"/>
                  <w:vAlign w:val="center"/>
                </w:tcPr>
                <w:p w14:paraId="5B0B3F89">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台</w:t>
                  </w:r>
                </w:p>
              </w:tc>
              <w:tc>
                <w:tcPr>
                  <w:tcW w:w="815" w:type="pct"/>
                  <w:vAlign w:val="center"/>
                </w:tcPr>
                <w:p w14:paraId="0356D3DE">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生产</w:t>
                  </w:r>
                </w:p>
              </w:tc>
            </w:tr>
            <w:tr w14:paraId="6009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50EC775A">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13</w:t>
                  </w:r>
                </w:p>
              </w:tc>
              <w:tc>
                <w:tcPr>
                  <w:tcW w:w="1214" w:type="pct"/>
                  <w:shd w:val="clear" w:color="auto" w:fill="auto"/>
                  <w:vAlign w:val="center"/>
                </w:tcPr>
                <w:p w14:paraId="6390A123">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上料机</w:t>
                  </w:r>
                </w:p>
              </w:tc>
              <w:tc>
                <w:tcPr>
                  <w:tcW w:w="1183" w:type="pct"/>
                  <w:shd w:val="clear" w:color="auto" w:fill="auto"/>
                  <w:vAlign w:val="center"/>
                </w:tcPr>
                <w:p w14:paraId="304FB44E">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751" w:type="pct"/>
                  <w:shd w:val="clear" w:color="auto" w:fill="auto"/>
                  <w:vAlign w:val="center"/>
                </w:tcPr>
                <w:p w14:paraId="7A301841">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w:t>
                  </w:r>
                </w:p>
              </w:tc>
              <w:tc>
                <w:tcPr>
                  <w:tcW w:w="507" w:type="pct"/>
                  <w:shd w:val="clear" w:color="auto" w:fill="auto"/>
                  <w:vAlign w:val="center"/>
                </w:tcPr>
                <w:p w14:paraId="25380781">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台</w:t>
                  </w:r>
                </w:p>
              </w:tc>
              <w:tc>
                <w:tcPr>
                  <w:tcW w:w="815" w:type="pct"/>
                  <w:vAlign w:val="center"/>
                </w:tcPr>
                <w:p w14:paraId="43088C6F">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上料</w:t>
                  </w:r>
                </w:p>
              </w:tc>
            </w:tr>
            <w:tr w14:paraId="1A52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1EB335F4">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14</w:t>
                  </w:r>
                </w:p>
              </w:tc>
              <w:tc>
                <w:tcPr>
                  <w:tcW w:w="1214" w:type="pct"/>
                  <w:shd w:val="clear" w:color="auto" w:fill="auto"/>
                  <w:vAlign w:val="center"/>
                </w:tcPr>
                <w:p w14:paraId="220A8C3F">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液压快速换网器</w:t>
                  </w:r>
                </w:p>
              </w:tc>
              <w:tc>
                <w:tcPr>
                  <w:tcW w:w="1183" w:type="pct"/>
                  <w:shd w:val="clear" w:color="auto" w:fill="auto"/>
                  <w:vAlign w:val="center"/>
                </w:tcPr>
                <w:p w14:paraId="018C193D">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4.0kw</w:t>
                  </w:r>
                </w:p>
              </w:tc>
              <w:tc>
                <w:tcPr>
                  <w:tcW w:w="751" w:type="pct"/>
                  <w:shd w:val="clear" w:color="auto" w:fill="auto"/>
                  <w:vAlign w:val="center"/>
                </w:tcPr>
                <w:p w14:paraId="35F70C6D">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w:t>
                  </w:r>
                </w:p>
              </w:tc>
              <w:tc>
                <w:tcPr>
                  <w:tcW w:w="507" w:type="pct"/>
                  <w:shd w:val="clear" w:color="auto" w:fill="auto"/>
                  <w:vAlign w:val="center"/>
                </w:tcPr>
                <w:p w14:paraId="46A865FF">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套</w:t>
                  </w:r>
                </w:p>
              </w:tc>
              <w:tc>
                <w:tcPr>
                  <w:tcW w:w="815" w:type="pct"/>
                  <w:vAlign w:val="center"/>
                </w:tcPr>
                <w:p w14:paraId="39C2FC7B">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生产</w:t>
                  </w:r>
                </w:p>
              </w:tc>
            </w:tr>
            <w:tr w14:paraId="7DB6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1B5F63D7">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15</w:t>
                  </w:r>
                </w:p>
              </w:tc>
              <w:tc>
                <w:tcPr>
                  <w:tcW w:w="1214" w:type="pct"/>
                  <w:shd w:val="clear" w:color="auto" w:fill="auto"/>
                  <w:vAlign w:val="center"/>
                </w:tcPr>
                <w:p w14:paraId="2619453C">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电控系统</w:t>
                  </w:r>
                </w:p>
              </w:tc>
              <w:tc>
                <w:tcPr>
                  <w:tcW w:w="1183" w:type="pct"/>
                  <w:shd w:val="clear" w:color="auto" w:fill="auto"/>
                  <w:vAlign w:val="center"/>
                </w:tcPr>
                <w:p w14:paraId="643DB13F">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751" w:type="pct"/>
                  <w:shd w:val="clear" w:color="auto" w:fill="auto"/>
                  <w:vAlign w:val="center"/>
                </w:tcPr>
                <w:p w14:paraId="623F4CBF">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w:t>
                  </w:r>
                </w:p>
              </w:tc>
              <w:tc>
                <w:tcPr>
                  <w:tcW w:w="507" w:type="pct"/>
                  <w:shd w:val="clear" w:color="auto" w:fill="auto"/>
                  <w:vAlign w:val="center"/>
                </w:tcPr>
                <w:p w14:paraId="610BAA78">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套</w:t>
                  </w:r>
                </w:p>
              </w:tc>
              <w:tc>
                <w:tcPr>
                  <w:tcW w:w="815" w:type="pct"/>
                  <w:vAlign w:val="center"/>
                </w:tcPr>
                <w:p w14:paraId="60F911A6">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控制</w:t>
                  </w:r>
                </w:p>
              </w:tc>
            </w:tr>
            <w:tr w14:paraId="4315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5CEDB4F8">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16</w:t>
                  </w:r>
                </w:p>
              </w:tc>
              <w:tc>
                <w:tcPr>
                  <w:tcW w:w="1214" w:type="pct"/>
                  <w:shd w:val="clear" w:color="auto" w:fill="auto"/>
                  <w:vAlign w:val="center"/>
                </w:tcPr>
                <w:p w14:paraId="4CFE86A0">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拌料机</w:t>
                  </w:r>
                </w:p>
              </w:tc>
              <w:tc>
                <w:tcPr>
                  <w:tcW w:w="1183" w:type="pct"/>
                  <w:shd w:val="clear" w:color="auto" w:fill="auto"/>
                  <w:vAlign w:val="center"/>
                </w:tcPr>
                <w:p w14:paraId="51674256">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751" w:type="pct"/>
                  <w:shd w:val="clear" w:color="auto" w:fill="auto"/>
                  <w:vAlign w:val="center"/>
                </w:tcPr>
                <w:p w14:paraId="28C98179">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w:t>
                  </w:r>
                </w:p>
              </w:tc>
              <w:tc>
                <w:tcPr>
                  <w:tcW w:w="507" w:type="pct"/>
                  <w:shd w:val="clear" w:color="auto" w:fill="auto"/>
                  <w:vAlign w:val="center"/>
                </w:tcPr>
                <w:p w14:paraId="6C9441A1">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台</w:t>
                  </w:r>
                </w:p>
              </w:tc>
              <w:tc>
                <w:tcPr>
                  <w:tcW w:w="815" w:type="pct"/>
                  <w:vAlign w:val="center"/>
                </w:tcPr>
                <w:p w14:paraId="545F2E34">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拌料</w:t>
                  </w:r>
                </w:p>
              </w:tc>
            </w:tr>
            <w:tr w14:paraId="55D5E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149C1105">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17</w:t>
                  </w:r>
                </w:p>
              </w:tc>
              <w:tc>
                <w:tcPr>
                  <w:tcW w:w="1214" w:type="pct"/>
                  <w:shd w:val="clear" w:color="auto" w:fill="auto"/>
                  <w:vAlign w:val="center"/>
                </w:tcPr>
                <w:p w14:paraId="1EFE091C">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超声波焊接机</w:t>
                  </w:r>
                </w:p>
              </w:tc>
              <w:tc>
                <w:tcPr>
                  <w:tcW w:w="1183" w:type="pct"/>
                  <w:shd w:val="clear" w:color="auto" w:fill="auto"/>
                  <w:vAlign w:val="center"/>
                </w:tcPr>
                <w:p w14:paraId="421F85EE">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lang w:val="en-US" w:eastAsia="zh-CN" w:bidi="ar-SA"/>
                    </w:rPr>
                  </w:pPr>
                  <w:r>
                    <w:rPr>
                      <w:rFonts w:hint="eastAsia" w:cs="Times New Roman"/>
                      <w:b w:val="0"/>
                      <w:bCs w:val="0"/>
                      <w:color w:val="auto"/>
                      <w:sz w:val="21"/>
                      <w:szCs w:val="21"/>
                      <w:highlight w:val="none"/>
                      <w:lang w:val="en-US" w:eastAsia="zh-CN"/>
                    </w:rPr>
                    <w:t>/</w:t>
                  </w:r>
                </w:p>
              </w:tc>
              <w:tc>
                <w:tcPr>
                  <w:tcW w:w="751" w:type="pct"/>
                  <w:shd w:val="clear" w:color="auto" w:fill="auto"/>
                  <w:vAlign w:val="center"/>
                </w:tcPr>
                <w:p w14:paraId="7E694FBA">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3</w:t>
                  </w:r>
                </w:p>
              </w:tc>
              <w:tc>
                <w:tcPr>
                  <w:tcW w:w="507" w:type="pct"/>
                  <w:shd w:val="clear" w:color="auto" w:fill="auto"/>
                  <w:vAlign w:val="center"/>
                </w:tcPr>
                <w:p w14:paraId="03B0D758">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台</w:t>
                  </w:r>
                </w:p>
              </w:tc>
              <w:tc>
                <w:tcPr>
                  <w:tcW w:w="815" w:type="pct"/>
                  <w:shd w:val="clear" w:color="auto" w:fill="auto"/>
                  <w:vAlign w:val="center"/>
                </w:tcPr>
                <w:p w14:paraId="3B7C9164">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kern w:val="0"/>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焊接</w:t>
                  </w:r>
                </w:p>
              </w:tc>
            </w:tr>
            <w:tr w14:paraId="0C13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0C47F7EA">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18</w:t>
                  </w:r>
                </w:p>
              </w:tc>
              <w:tc>
                <w:tcPr>
                  <w:tcW w:w="1214" w:type="pct"/>
                  <w:shd w:val="clear" w:color="auto" w:fill="auto"/>
                  <w:vAlign w:val="center"/>
                </w:tcPr>
                <w:p w14:paraId="34AFC22F">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柔板水墨印刷机</w:t>
                  </w:r>
                </w:p>
              </w:tc>
              <w:tc>
                <w:tcPr>
                  <w:tcW w:w="1183" w:type="pct"/>
                  <w:shd w:val="clear" w:color="auto" w:fill="auto"/>
                  <w:vAlign w:val="center"/>
                </w:tcPr>
                <w:p w14:paraId="46204C29">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c>
                <w:tcPr>
                  <w:tcW w:w="751" w:type="pct"/>
                  <w:shd w:val="clear" w:color="auto" w:fill="auto"/>
                  <w:vAlign w:val="center"/>
                </w:tcPr>
                <w:p w14:paraId="391C8660">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w:t>
                  </w:r>
                </w:p>
              </w:tc>
              <w:tc>
                <w:tcPr>
                  <w:tcW w:w="507" w:type="pct"/>
                  <w:shd w:val="clear" w:color="auto" w:fill="auto"/>
                  <w:vAlign w:val="center"/>
                </w:tcPr>
                <w:p w14:paraId="285DD00C">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台</w:t>
                  </w:r>
                </w:p>
              </w:tc>
              <w:tc>
                <w:tcPr>
                  <w:tcW w:w="815" w:type="pct"/>
                  <w:shd w:val="clear" w:color="auto" w:fill="auto"/>
                  <w:vAlign w:val="center"/>
                </w:tcPr>
                <w:p w14:paraId="1CD17BE4">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cs="Times New Roman"/>
                      <w:b w:val="0"/>
                      <w:bCs w:val="0"/>
                      <w:color w:val="auto"/>
                      <w:kern w:val="0"/>
                      <w:sz w:val="21"/>
                      <w:szCs w:val="21"/>
                      <w:highlight w:val="none"/>
                      <w:lang w:val="en-US" w:eastAsia="zh-CN" w:bidi="ar-SA"/>
                    </w:rPr>
                    <w:t>印刷</w:t>
                  </w:r>
                </w:p>
              </w:tc>
            </w:tr>
            <w:tr w14:paraId="7DE05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6" w:type="pct"/>
                  <w:vAlign w:val="center"/>
                </w:tcPr>
                <w:p w14:paraId="038B14F7">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19</w:t>
                  </w:r>
                </w:p>
              </w:tc>
              <w:tc>
                <w:tcPr>
                  <w:tcW w:w="1214" w:type="pct"/>
                  <w:shd w:val="clear" w:color="auto" w:fill="auto"/>
                  <w:vAlign w:val="center"/>
                </w:tcPr>
                <w:p w14:paraId="0D4394B1">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数码印刷机</w:t>
                  </w:r>
                </w:p>
              </w:tc>
              <w:tc>
                <w:tcPr>
                  <w:tcW w:w="1183" w:type="pct"/>
                  <w:shd w:val="clear" w:color="auto" w:fill="auto"/>
                  <w:vAlign w:val="center"/>
                </w:tcPr>
                <w:p w14:paraId="039F0864">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Times New Roman" w:hAnsi="Times New Roman" w:eastAsia="宋体" w:cs="Times New Roman"/>
                      <w:b w:val="0"/>
                      <w:bCs w:val="0"/>
                      <w:color w:val="auto"/>
                      <w:kern w:val="0"/>
                      <w:sz w:val="21"/>
                      <w:szCs w:val="21"/>
                      <w:highlight w:val="none"/>
                      <w:lang w:val="en-US" w:eastAsia="zh-CN" w:bidi="ar-SA"/>
                    </w:rPr>
                  </w:pPr>
                  <w:r>
                    <w:rPr>
                      <w:rFonts w:hint="eastAsia" w:cs="Times New Roman"/>
                      <w:b w:val="0"/>
                      <w:bCs w:val="0"/>
                      <w:color w:val="auto"/>
                      <w:sz w:val="21"/>
                      <w:szCs w:val="21"/>
                      <w:highlight w:val="none"/>
                      <w:lang w:val="en-US" w:eastAsia="zh-CN"/>
                    </w:rPr>
                    <w:t>/</w:t>
                  </w:r>
                </w:p>
              </w:tc>
              <w:tc>
                <w:tcPr>
                  <w:tcW w:w="751" w:type="pct"/>
                  <w:shd w:val="clear" w:color="auto" w:fill="auto"/>
                  <w:vAlign w:val="center"/>
                </w:tcPr>
                <w:p w14:paraId="1AF1E095">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w:t>
                  </w:r>
                </w:p>
              </w:tc>
              <w:tc>
                <w:tcPr>
                  <w:tcW w:w="507" w:type="pct"/>
                  <w:shd w:val="clear" w:color="auto" w:fill="auto"/>
                  <w:vAlign w:val="center"/>
                </w:tcPr>
                <w:p w14:paraId="09CD19C4">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kern w:val="0"/>
                      <w:sz w:val="21"/>
                      <w:szCs w:val="21"/>
                      <w:highlight w:val="none"/>
                      <w:lang w:val="en-US" w:eastAsia="zh-CN" w:bidi="ar-SA"/>
                    </w:rPr>
                  </w:pPr>
                  <w:r>
                    <w:rPr>
                      <w:rFonts w:hint="eastAsia" w:cs="Times New Roman"/>
                      <w:b w:val="0"/>
                      <w:bCs w:val="0"/>
                      <w:color w:val="auto"/>
                      <w:sz w:val="21"/>
                      <w:szCs w:val="21"/>
                      <w:highlight w:val="none"/>
                      <w:lang w:val="en-US" w:eastAsia="zh-CN"/>
                    </w:rPr>
                    <w:t>台</w:t>
                  </w:r>
                </w:p>
              </w:tc>
              <w:tc>
                <w:tcPr>
                  <w:tcW w:w="815" w:type="pct"/>
                  <w:shd w:val="clear" w:color="auto" w:fill="auto"/>
                  <w:vAlign w:val="center"/>
                </w:tcPr>
                <w:p w14:paraId="7789BD2B">
                  <w:pPr>
                    <w:pStyle w:val="1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cs="Times New Roman"/>
                      <w:b w:val="0"/>
                      <w:bCs w:val="0"/>
                      <w:color w:val="auto"/>
                      <w:kern w:val="0"/>
                      <w:sz w:val="21"/>
                      <w:szCs w:val="21"/>
                      <w:highlight w:val="none"/>
                      <w:lang w:val="en-US" w:eastAsia="zh-CN" w:bidi="ar-SA"/>
                    </w:rPr>
                    <w:t>印刷</w:t>
                  </w:r>
                </w:p>
              </w:tc>
            </w:tr>
          </w:tbl>
          <w:p w14:paraId="36D3BBA2">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Times New Roman" w:hAnsi="Times New Roman" w:cs="Times New Roman"/>
                <w:b/>
                <w:bCs/>
                <w:color w:val="auto"/>
                <w:sz w:val="24"/>
                <w:szCs w:val="22"/>
                <w:highlight w:val="none"/>
                <w:lang w:val="en-US" w:eastAsia="zh-CN"/>
              </w:rPr>
            </w:pPr>
            <w:r>
              <w:rPr>
                <w:rFonts w:hint="eastAsia" w:ascii="Times New Roman" w:hAnsi="Times New Roman" w:cs="Times New Roman"/>
                <w:b/>
                <w:bCs/>
                <w:color w:val="auto"/>
                <w:sz w:val="24"/>
                <w:szCs w:val="22"/>
                <w:highlight w:val="none"/>
                <w:lang w:val="en-US" w:eastAsia="zh-CN"/>
              </w:rPr>
              <w:t>六、劳动定员和工作制度</w:t>
            </w:r>
          </w:p>
          <w:p w14:paraId="65FE9F7D">
            <w:pPr>
              <w:adjustRightInd w:val="0"/>
              <w:snapToGrid w:val="0"/>
              <w:spacing w:line="360" w:lineRule="auto"/>
              <w:ind w:firstLine="480" w:firstLineChars="200"/>
              <w:rPr>
                <w:rFonts w:hint="eastAsia" w:ascii="Times New Roman" w:hAnsi="Times New Roman" w:cs="Times New Roman"/>
                <w:color w:val="auto"/>
                <w:kern w:val="24"/>
                <w:sz w:val="24"/>
                <w:highlight w:val="none"/>
                <w:lang w:val="en-US" w:eastAsia="zh-CN"/>
              </w:rPr>
            </w:pPr>
            <w:r>
              <w:rPr>
                <w:rFonts w:hint="eastAsia" w:ascii="Times New Roman" w:hAnsi="Times New Roman" w:cs="Times New Roman"/>
                <w:color w:val="auto"/>
                <w:kern w:val="24"/>
                <w:sz w:val="24"/>
                <w:highlight w:val="none"/>
              </w:rPr>
              <w:t>本项目劳动定员与工作制度见表2-</w:t>
            </w:r>
            <w:r>
              <w:rPr>
                <w:rFonts w:hint="eastAsia" w:ascii="Times New Roman" w:hAnsi="Times New Roman" w:cs="Times New Roman"/>
                <w:color w:val="auto"/>
                <w:kern w:val="24"/>
                <w:sz w:val="24"/>
                <w:highlight w:val="none"/>
                <w:lang w:val="en-US" w:eastAsia="zh-CN"/>
              </w:rPr>
              <w:t>6。</w:t>
            </w:r>
          </w:p>
          <w:p w14:paraId="0DFE6395">
            <w:pPr>
              <w:adjustRightInd w:val="0"/>
              <w:snapToGrid w:val="0"/>
              <w:spacing w:line="360" w:lineRule="auto"/>
              <w:ind w:firstLine="482" w:firstLineChars="200"/>
              <w:jc w:val="center"/>
              <w:rPr>
                <w:b/>
                <w:bCs/>
                <w:color w:val="auto"/>
                <w:kern w:val="24"/>
                <w:sz w:val="24"/>
                <w:highlight w:val="none"/>
              </w:rPr>
            </w:pPr>
            <w:r>
              <w:rPr>
                <w:rFonts w:hint="eastAsia"/>
                <w:b/>
                <w:bCs/>
                <w:color w:val="auto"/>
                <w:kern w:val="24"/>
                <w:sz w:val="24"/>
                <w:highlight w:val="none"/>
              </w:rPr>
              <w:t>表</w:t>
            </w:r>
            <w:r>
              <w:rPr>
                <w:b/>
                <w:bCs/>
                <w:color w:val="auto"/>
                <w:kern w:val="24"/>
                <w:sz w:val="24"/>
                <w:highlight w:val="none"/>
              </w:rPr>
              <w:t>2-</w:t>
            </w:r>
            <w:r>
              <w:rPr>
                <w:rFonts w:hint="eastAsia"/>
                <w:b/>
                <w:bCs/>
                <w:color w:val="auto"/>
                <w:kern w:val="24"/>
                <w:sz w:val="24"/>
                <w:highlight w:val="none"/>
                <w:lang w:val="en-US" w:eastAsia="zh-CN"/>
              </w:rPr>
              <w:t>6</w:t>
            </w:r>
            <w:r>
              <w:rPr>
                <w:b/>
                <w:bCs/>
                <w:color w:val="auto"/>
                <w:kern w:val="24"/>
                <w:sz w:val="24"/>
                <w:highlight w:val="none"/>
              </w:rPr>
              <w:t xml:space="preserve"> </w:t>
            </w:r>
            <w:r>
              <w:rPr>
                <w:rFonts w:hint="eastAsia"/>
                <w:b/>
                <w:bCs/>
                <w:color w:val="auto"/>
                <w:kern w:val="24"/>
                <w:sz w:val="24"/>
                <w:highlight w:val="none"/>
                <w:lang w:val="en-US" w:eastAsia="zh-CN"/>
              </w:rPr>
              <w:t xml:space="preserve"> 劳动定员与工作制度</w:t>
            </w:r>
            <w:r>
              <w:rPr>
                <w:rFonts w:hint="eastAsia"/>
                <w:b/>
                <w:bCs/>
                <w:color w:val="auto"/>
                <w:kern w:val="24"/>
                <w:sz w:val="24"/>
                <w:highlight w:val="none"/>
              </w:rPr>
              <w:t>一览表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9"/>
              <w:gridCol w:w="2098"/>
              <w:gridCol w:w="4518"/>
            </w:tblGrid>
            <w:tr w14:paraId="061EF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3" w:type="pct"/>
                  <w:gridSpan w:val="2"/>
                  <w:vAlign w:val="center"/>
                </w:tcPr>
                <w:p w14:paraId="5AD426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4"/>
                      <w:sz w:val="21"/>
                      <w:szCs w:val="21"/>
                      <w:highlight w:val="none"/>
                      <w:vertAlign w:val="baseline"/>
                      <w:lang w:val="en-US" w:eastAsia="zh-CN"/>
                    </w:rPr>
                  </w:pPr>
                  <w:r>
                    <w:rPr>
                      <w:rFonts w:hint="eastAsia" w:ascii="Times New Roman" w:hAnsi="Times New Roman" w:eastAsia="宋体" w:cs="Times New Roman"/>
                      <w:color w:val="auto"/>
                      <w:kern w:val="24"/>
                      <w:sz w:val="21"/>
                      <w:szCs w:val="21"/>
                      <w:highlight w:val="none"/>
                      <w:vertAlign w:val="baseline"/>
                      <w:lang w:val="en-US" w:eastAsia="zh-CN"/>
                    </w:rPr>
                    <w:t>内容</w:t>
                  </w:r>
                </w:p>
              </w:tc>
              <w:tc>
                <w:tcPr>
                  <w:tcW w:w="2716" w:type="pct"/>
                  <w:vAlign w:val="center"/>
                </w:tcPr>
                <w:p w14:paraId="047F6A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24"/>
                      <w:sz w:val="21"/>
                      <w:szCs w:val="21"/>
                      <w:highlight w:val="none"/>
                      <w:vertAlign w:val="baseline"/>
                      <w:lang w:val="en-US" w:eastAsia="zh-CN"/>
                    </w:rPr>
                  </w:pPr>
                  <w:r>
                    <w:rPr>
                      <w:rFonts w:hint="eastAsia" w:ascii="Times New Roman" w:hAnsi="Times New Roman" w:eastAsia="宋体" w:cs="Times New Roman"/>
                      <w:color w:val="auto"/>
                      <w:kern w:val="24"/>
                      <w:sz w:val="21"/>
                      <w:szCs w:val="21"/>
                      <w:highlight w:val="none"/>
                      <w:vertAlign w:val="baseline"/>
                      <w:lang w:val="en-US" w:eastAsia="zh-CN"/>
                    </w:rPr>
                    <w:t>云南三缘新型材料有限公司</w:t>
                  </w:r>
                </w:p>
              </w:tc>
            </w:tr>
            <w:tr w14:paraId="2641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vMerge w:val="restart"/>
                  <w:vAlign w:val="center"/>
                </w:tcPr>
                <w:p w14:paraId="43A015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4"/>
                      <w:sz w:val="21"/>
                      <w:szCs w:val="21"/>
                      <w:highlight w:val="none"/>
                      <w:vertAlign w:val="baseline"/>
                      <w:lang w:val="en-US" w:eastAsia="zh-CN"/>
                    </w:rPr>
                  </w:pPr>
                  <w:r>
                    <w:rPr>
                      <w:rFonts w:hint="eastAsia" w:ascii="Times New Roman" w:hAnsi="Times New Roman" w:eastAsia="宋体" w:cs="Times New Roman"/>
                      <w:color w:val="auto"/>
                      <w:kern w:val="24"/>
                      <w:sz w:val="21"/>
                      <w:szCs w:val="21"/>
                      <w:highlight w:val="none"/>
                      <w:vertAlign w:val="baseline"/>
                      <w:lang w:val="en-US" w:eastAsia="zh-CN"/>
                    </w:rPr>
                    <w:t>工作制度</w:t>
                  </w:r>
                </w:p>
              </w:tc>
              <w:tc>
                <w:tcPr>
                  <w:tcW w:w="1260" w:type="pct"/>
                  <w:vAlign w:val="center"/>
                </w:tcPr>
                <w:p w14:paraId="4E00BB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4"/>
                      <w:sz w:val="21"/>
                      <w:szCs w:val="21"/>
                      <w:highlight w:val="none"/>
                      <w:vertAlign w:val="baseline"/>
                      <w:lang w:val="en-US" w:eastAsia="zh-CN"/>
                    </w:rPr>
                  </w:pPr>
                  <w:r>
                    <w:rPr>
                      <w:rFonts w:hint="eastAsia" w:ascii="Times New Roman" w:hAnsi="Times New Roman" w:eastAsia="宋体" w:cs="Times New Roman"/>
                      <w:color w:val="auto"/>
                      <w:kern w:val="24"/>
                      <w:sz w:val="21"/>
                      <w:szCs w:val="21"/>
                      <w:highlight w:val="none"/>
                      <w:vertAlign w:val="baseline"/>
                      <w:lang w:val="en-US" w:eastAsia="zh-CN"/>
                    </w:rPr>
                    <w:t>全年工作天数</w:t>
                  </w:r>
                </w:p>
              </w:tc>
              <w:tc>
                <w:tcPr>
                  <w:tcW w:w="2716" w:type="pct"/>
                  <w:vAlign w:val="center"/>
                </w:tcPr>
                <w:p w14:paraId="06DD5E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4"/>
                      <w:sz w:val="21"/>
                      <w:szCs w:val="21"/>
                      <w:highlight w:val="none"/>
                      <w:vertAlign w:val="baseline"/>
                      <w:lang w:val="en-US" w:eastAsia="zh-CN"/>
                    </w:rPr>
                  </w:pPr>
                  <w:r>
                    <w:rPr>
                      <w:rFonts w:hint="eastAsia" w:ascii="Times New Roman" w:hAnsi="Times New Roman" w:eastAsia="宋体" w:cs="Times New Roman"/>
                      <w:color w:val="auto"/>
                      <w:kern w:val="24"/>
                      <w:sz w:val="21"/>
                      <w:szCs w:val="21"/>
                      <w:highlight w:val="none"/>
                      <w:vertAlign w:val="baseline"/>
                      <w:lang w:val="en-US" w:eastAsia="zh-CN"/>
                    </w:rPr>
                    <w:t>300天</w:t>
                  </w:r>
                </w:p>
              </w:tc>
            </w:tr>
            <w:tr w14:paraId="300A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vMerge w:val="continue"/>
                  <w:vAlign w:val="center"/>
                </w:tcPr>
                <w:p w14:paraId="25D362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4"/>
                      <w:sz w:val="21"/>
                      <w:szCs w:val="21"/>
                      <w:highlight w:val="none"/>
                      <w:vertAlign w:val="baseline"/>
                      <w:lang w:val="en-US" w:eastAsia="zh-CN"/>
                    </w:rPr>
                  </w:pPr>
                </w:p>
              </w:tc>
              <w:tc>
                <w:tcPr>
                  <w:tcW w:w="1260" w:type="pct"/>
                  <w:vAlign w:val="center"/>
                </w:tcPr>
                <w:p w14:paraId="1DCE90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4"/>
                      <w:sz w:val="21"/>
                      <w:szCs w:val="21"/>
                      <w:highlight w:val="none"/>
                      <w:vertAlign w:val="baseline"/>
                      <w:lang w:val="en-US" w:eastAsia="zh-CN"/>
                    </w:rPr>
                  </w:pPr>
                  <w:r>
                    <w:rPr>
                      <w:rFonts w:hint="eastAsia" w:ascii="Times New Roman" w:hAnsi="Times New Roman" w:eastAsia="宋体" w:cs="Times New Roman"/>
                      <w:color w:val="auto"/>
                      <w:kern w:val="24"/>
                      <w:sz w:val="21"/>
                      <w:szCs w:val="21"/>
                      <w:highlight w:val="none"/>
                      <w:vertAlign w:val="baseline"/>
                      <w:lang w:val="en-US" w:eastAsia="zh-CN"/>
                    </w:rPr>
                    <w:t>每天班次</w:t>
                  </w:r>
                </w:p>
              </w:tc>
              <w:tc>
                <w:tcPr>
                  <w:tcW w:w="2716" w:type="pct"/>
                  <w:vAlign w:val="center"/>
                </w:tcPr>
                <w:p w14:paraId="156486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4"/>
                      <w:sz w:val="21"/>
                      <w:szCs w:val="21"/>
                      <w:highlight w:val="none"/>
                      <w:vertAlign w:val="baseline"/>
                      <w:lang w:val="en-US" w:eastAsia="zh-CN"/>
                    </w:rPr>
                  </w:pPr>
                  <w:r>
                    <w:rPr>
                      <w:rFonts w:hint="eastAsia" w:ascii="Times New Roman" w:hAnsi="Times New Roman" w:eastAsia="宋体" w:cs="Times New Roman"/>
                      <w:color w:val="auto"/>
                      <w:kern w:val="24"/>
                      <w:sz w:val="21"/>
                      <w:szCs w:val="21"/>
                      <w:highlight w:val="none"/>
                      <w:vertAlign w:val="baseline"/>
                      <w:lang w:val="en-US" w:eastAsia="zh-CN"/>
                    </w:rPr>
                    <w:t>每日</w:t>
                  </w:r>
                  <w:r>
                    <w:rPr>
                      <w:rFonts w:hint="eastAsia" w:cs="Times New Roman"/>
                      <w:color w:val="auto"/>
                      <w:kern w:val="24"/>
                      <w:sz w:val="21"/>
                      <w:szCs w:val="21"/>
                      <w:highlight w:val="none"/>
                      <w:vertAlign w:val="baseline"/>
                      <w:lang w:val="en-US" w:eastAsia="zh-CN"/>
                    </w:rPr>
                    <w:t>3</w:t>
                  </w:r>
                  <w:r>
                    <w:rPr>
                      <w:rFonts w:hint="eastAsia" w:ascii="Times New Roman" w:hAnsi="Times New Roman" w:eastAsia="宋体" w:cs="Times New Roman"/>
                      <w:color w:val="auto"/>
                      <w:kern w:val="24"/>
                      <w:sz w:val="21"/>
                      <w:szCs w:val="21"/>
                      <w:highlight w:val="none"/>
                      <w:vertAlign w:val="baseline"/>
                      <w:lang w:val="en-US" w:eastAsia="zh-CN"/>
                    </w:rPr>
                    <w:t>班</w:t>
                  </w:r>
                </w:p>
              </w:tc>
            </w:tr>
            <w:tr w14:paraId="4053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vMerge w:val="continue"/>
                  <w:vAlign w:val="center"/>
                </w:tcPr>
                <w:p w14:paraId="7051C1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4"/>
                      <w:sz w:val="21"/>
                      <w:szCs w:val="21"/>
                      <w:highlight w:val="none"/>
                      <w:vertAlign w:val="baseline"/>
                      <w:lang w:val="en-US" w:eastAsia="zh-CN"/>
                    </w:rPr>
                  </w:pPr>
                </w:p>
              </w:tc>
              <w:tc>
                <w:tcPr>
                  <w:tcW w:w="1260" w:type="pct"/>
                  <w:vAlign w:val="center"/>
                </w:tcPr>
                <w:p w14:paraId="6AB0D7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4"/>
                      <w:sz w:val="21"/>
                      <w:szCs w:val="21"/>
                      <w:highlight w:val="none"/>
                      <w:vertAlign w:val="baseline"/>
                      <w:lang w:val="en-US" w:eastAsia="zh-CN"/>
                    </w:rPr>
                  </w:pPr>
                  <w:r>
                    <w:rPr>
                      <w:rFonts w:hint="eastAsia" w:ascii="Times New Roman" w:hAnsi="Times New Roman" w:eastAsia="宋体" w:cs="Times New Roman"/>
                      <w:color w:val="auto"/>
                      <w:kern w:val="24"/>
                      <w:sz w:val="21"/>
                      <w:szCs w:val="21"/>
                      <w:highlight w:val="none"/>
                      <w:vertAlign w:val="baseline"/>
                      <w:lang w:val="en-US" w:eastAsia="zh-CN"/>
                    </w:rPr>
                    <w:t>每班时间</w:t>
                  </w:r>
                </w:p>
              </w:tc>
              <w:tc>
                <w:tcPr>
                  <w:tcW w:w="2716" w:type="pct"/>
                  <w:vAlign w:val="center"/>
                </w:tcPr>
                <w:p w14:paraId="7FBEB0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4"/>
                      <w:sz w:val="21"/>
                      <w:szCs w:val="21"/>
                      <w:highlight w:val="none"/>
                      <w:vertAlign w:val="baseline"/>
                      <w:lang w:val="en-US" w:eastAsia="zh-CN"/>
                    </w:rPr>
                  </w:pPr>
                  <w:r>
                    <w:rPr>
                      <w:rFonts w:hint="eastAsia" w:ascii="Times New Roman" w:hAnsi="Times New Roman" w:eastAsia="宋体" w:cs="Times New Roman"/>
                      <w:color w:val="auto"/>
                      <w:kern w:val="24"/>
                      <w:sz w:val="21"/>
                      <w:szCs w:val="21"/>
                      <w:highlight w:val="none"/>
                      <w:vertAlign w:val="baseline"/>
                      <w:lang w:val="en-US" w:eastAsia="zh-CN"/>
                    </w:rPr>
                    <w:t>8h</w:t>
                  </w:r>
                </w:p>
              </w:tc>
            </w:tr>
            <w:tr w14:paraId="7784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1022" w:type="pct"/>
                  <w:vMerge w:val="continue"/>
                  <w:vAlign w:val="center"/>
                </w:tcPr>
                <w:p w14:paraId="7B0A38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4"/>
                      <w:sz w:val="21"/>
                      <w:szCs w:val="21"/>
                      <w:highlight w:val="none"/>
                      <w:vertAlign w:val="baseline"/>
                      <w:lang w:val="en-US" w:eastAsia="zh-CN"/>
                    </w:rPr>
                  </w:pPr>
                </w:p>
              </w:tc>
              <w:tc>
                <w:tcPr>
                  <w:tcW w:w="1260" w:type="pct"/>
                  <w:vAlign w:val="center"/>
                </w:tcPr>
                <w:p w14:paraId="2A0940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4"/>
                      <w:sz w:val="21"/>
                      <w:szCs w:val="21"/>
                      <w:highlight w:val="none"/>
                      <w:vertAlign w:val="baseline"/>
                      <w:lang w:val="en-US" w:eastAsia="zh-CN"/>
                    </w:rPr>
                  </w:pPr>
                  <w:r>
                    <w:rPr>
                      <w:rFonts w:hint="eastAsia" w:ascii="Times New Roman" w:hAnsi="Times New Roman" w:eastAsia="宋体" w:cs="Times New Roman"/>
                      <w:color w:val="auto"/>
                      <w:kern w:val="24"/>
                      <w:sz w:val="21"/>
                      <w:szCs w:val="21"/>
                      <w:highlight w:val="none"/>
                      <w:vertAlign w:val="baseline"/>
                      <w:lang w:val="en-US" w:eastAsia="zh-CN"/>
                    </w:rPr>
                    <w:t>年工作时间</w:t>
                  </w:r>
                </w:p>
              </w:tc>
              <w:tc>
                <w:tcPr>
                  <w:tcW w:w="2716" w:type="pct"/>
                  <w:vAlign w:val="center"/>
                </w:tcPr>
                <w:p w14:paraId="0A77DA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4"/>
                      <w:sz w:val="21"/>
                      <w:szCs w:val="21"/>
                      <w:highlight w:val="none"/>
                      <w:vertAlign w:val="baseline"/>
                      <w:lang w:val="en-US" w:eastAsia="zh-CN"/>
                    </w:rPr>
                  </w:pPr>
                  <w:r>
                    <w:rPr>
                      <w:rFonts w:hint="eastAsia" w:cs="Times New Roman"/>
                      <w:color w:val="auto"/>
                      <w:kern w:val="24"/>
                      <w:sz w:val="21"/>
                      <w:szCs w:val="21"/>
                      <w:highlight w:val="none"/>
                      <w:vertAlign w:val="baseline"/>
                      <w:lang w:val="en-US" w:eastAsia="zh-CN"/>
                    </w:rPr>
                    <w:t>72</w:t>
                  </w:r>
                  <w:r>
                    <w:rPr>
                      <w:rFonts w:hint="eastAsia" w:ascii="Times New Roman" w:hAnsi="Times New Roman" w:cs="Times New Roman"/>
                      <w:color w:val="auto"/>
                      <w:kern w:val="24"/>
                      <w:sz w:val="21"/>
                      <w:szCs w:val="21"/>
                      <w:highlight w:val="none"/>
                      <w:vertAlign w:val="baseline"/>
                      <w:lang w:val="en-US" w:eastAsia="zh-CN"/>
                    </w:rPr>
                    <w:t>00</w:t>
                  </w:r>
                  <w:r>
                    <w:rPr>
                      <w:rFonts w:hint="eastAsia" w:ascii="Times New Roman" w:hAnsi="Times New Roman" w:eastAsia="宋体" w:cs="Times New Roman"/>
                      <w:color w:val="auto"/>
                      <w:kern w:val="24"/>
                      <w:sz w:val="21"/>
                      <w:szCs w:val="21"/>
                      <w:highlight w:val="none"/>
                      <w:vertAlign w:val="baseline"/>
                      <w:lang w:val="en-US" w:eastAsia="zh-CN"/>
                    </w:rPr>
                    <w:t>h</w:t>
                  </w:r>
                  <w:r>
                    <w:rPr>
                      <w:rFonts w:hint="eastAsia" w:cs="Times New Roman"/>
                      <w:color w:val="auto"/>
                      <w:kern w:val="24"/>
                      <w:sz w:val="21"/>
                      <w:szCs w:val="21"/>
                      <w:highlight w:val="none"/>
                      <w:vertAlign w:val="baseline"/>
                      <w:lang w:val="en-US" w:eastAsia="zh-CN"/>
                    </w:rPr>
                    <w:t>，</w:t>
                  </w:r>
                  <w:r>
                    <w:rPr>
                      <w:rFonts w:hint="eastAsia" w:ascii="Times New Roman" w:hAnsi="Times New Roman" w:eastAsia="宋体" w:cs="Times New Roman"/>
                      <w:color w:val="auto"/>
                      <w:kern w:val="24"/>
                      <w:sz w:val="21"/>
                      <w:szCs w:val="21"/>
                      <w:highlight w:val="none"/>
                      <w:vertAlign w:val="baseline"/>
                      <w:lang w:val="en-US" w:eastAsia="zh-CN"/>
                    </w:rPr>
                    <w:t>其中</w:t>
                  </w:r>
                  <w:r>
                    <w:rPr>
                      <w:rFonts w:hint="eastAsia" w:ascii="Times New Roman" w:hAnsi="Times New Roman" w:cs="Times New Roman"/>
                      <w:color w:val="auto"/>
                      <w:kern w:val="24"/>
                      <w:sz w:val="21"/>
                      <w:szCs w:val="21"/>
                      <w:highlight w:val="none"/>
                      <w:vertAlign w:val="baseline"/>
                      <w:lang w:val="en-US" w:eastAsia="zh-CN"/>
                    </w:rPr>
                    <w:t>柔板水墨印刷机</w:t>
                  </w:r>
                  <w:r>
                    <w:rPr>
                      <w:rFonts w:hint="eastAsia" w:ascii="Times New Roman" w:hAnsi="Times New Roman" w:eastAsia="宋体" w:cs="Times New Roman"/>
                      <w:color w:val="auto"/>
                      <w:kern w:val="24"/>
                      <w:sz w:val="21"/>
                      <w:szCs w:val="21"/>
                      <w:highlight w:val="none"/>
                      <w:vertAlign w:val="baseline"/>
                      <w:lang w:val="en-US" w:eastAsia="zh-CN"/>
                    </w:rPr>
                    <w:t>每天工作时间为</w:t>
                  </w:r>
                  <w:r>
                    <w:rPr>
                      <w:rFonts w:hint="eastAsia" w:cs="Times New Roman"/>
                      <w:color w:val="auto"/>
                      <w:kern w:val="24"/>
                      <w:sz w:val="21"/>
                      <w:szCs w:val="21"/>
                      <w:highlight w:val="none"/>
                      <w:vertAlign w:val="baseline"/>
                      <w:lang w:val="en-US" w:eastAsia="zh-CN"/>
                    </w:rPr>
                    <w:t>3</w:t>
                  </w:r>
                  <w:r>
                    <w:rPr>
                      <w:rFonts w:hint="eastAsia" w:ascii="Times New Roman" w:hAnsi="Times New Roman" w:eastAsia="宋体" w:cs="Times New Roman"/>
                      <w:color w:val="auto"/>
                      <w:kern w:val="24"/>
                      <w:sz w:val="21"/>
                      <w:szCs w:val="21"/>
                      <w:highlight w:val="none"/>
                      <w:vertAlign w:val="baseline"/>
                      <w:lang w:val="en-US" w:eastAsia="zh-CN"/>
                    </w:rPr>
                    <w:t>小时，年</w:t>
                  </w:r>
                  <w:r>
                    <w:rPr>
                      <w:rFonts w:hint="eastAsia" w:ascii="Times New Roman" w:hAnsi="Times New Roman" w:cs="Times New Roman"/>
                      <w:color w:val="auto"/>
                      <w:kern w:val="24"/>
                      <w:sz w:val="21"/>
                      <w:szCs w:val="21"/>
                      <w:highlight w:val="none"/>
                      <w:vertAlign w:val="baseline"/>
                      <w:lang w:val="en-US" w:eastAsia="zh-CN"/>
                    </w:rPr>
                    <w:t>工作290天，年</w:t>
                  </w:r>
                  <w:r>
                    <w:rPr>
                      <w:rFonts w:hint="eastAsia" w:ascii="Times New Roman" w:hAnsi="Times New Roman" w:eastAsia="宋体" w:cs="Times New Roman"/>
                      <w:color w:val="auto"/>
                      <w:kern w:val="24"/>
                      <w:sz w:val="21"/>
                      <w:szCs w:val="21"/>
                      <w:highlight w:val="none"/>
                      <w:vertAlign w:val="baseline"/>
                      <w:lang w:val="en-US" w:eastAsia="zh-CN"/>
                    </w:rPr>
                    <w:t>工作时间</w:t>
                  </w:r>
                  <w:r>
                    <w:rPr>
                      <w:rFonts w:hint="eastAsia" w:cs="Times New Roman"/>
                      <w:color w:val="auto"/>
                      <w:kern w:val="24"/>
                      <w:sz w:val="21"/>
                      <w:szCs w:val="21"/>
                      <w:highlight w:val="none"/>
                      <w:vertAlign w:val="baseline"/>
                      <w:lang w:val="en-US" w:eastAsia="zh-CN"/>
                    </w:rPr>
                    <w:t>870</w:t>
                  </w:r>
                  <w:r>
                    <w:rPr>
                      <w:rFonts w:hint="eastAsia" w:ascii="Times New Roman" w:hAnsi="Times New Roman" w:eastAsia="宋体" w:cs="Times New Roman"/>
                      <w:color w:val="auto"/>
                      <w:kern w:val="24"/>
                      <w:sz w:val="21"/>
                      <w:szCs w:val="21"/>
                      <w:highlight w:val="none"/>
                      <w:vertAlign w:val="baseline"/>
                      <w:lang w:val="en-US" w:eastAsia="zh-CN"/>
                    </w:rPr>
                    <w:t>小时</w:t>
                  </w:r>
                  <w:r>
                    <w:rPr>
                      <w:rFonts w:hint="eastAsia" w:cs="Times New Roman"/>
                      <w:color w:val="auto"/>
                      <w:kern w:val="24"/>
                      <w:sz w:val="21"/>
                      <w:szCs w:val="21"/>
                      <w:highlight w:val="none"/>
                      <w:vertAlign w:val="baseline"/>
                      <w:lang w:val="en-US" w:eastAsia="zh-CN"/>
                    </w:rPr>
                    <w:t>；超声波焊接机每天工作时间为6小时，年工作300天，年工作时间1800小时。</w:t>
                  </w:r>
                </w:p>
              </w:tc>
            </w:tr>
            <w:tr w14:paraId="74F03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vAlign w:val="center"/>
                </w:tcPr>
                <w:p w14:paraId="398E6D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4"/>
                      <w:sz w:val="21"/>
                      <w:szCs w:val="21"/>
                      <w:highlight w:val="none"/>
                      <w:vertAlign w:val="baseline"/>
                      <w:lang w:val="en-US" w:eastAsia="zh-CN"/>
                    </w:rPr>
                  </w:pPr>
                  <w:r>
                    <w:rPr>
                      <w:rFonts w:hint="eastAsia" w:ascii="Times New Roman" w:hAnsi="Times New Roman" w:eastAsia="宋体" w:cs="Times New Roman"/>
                      <w:color w:val="auto"/>
                      <w:kern w:val="24"/>
                      <w:sz w:val="21"/>
                      <w:szCs w:val="21"/>
                      <w:highlight w:val="none"/>
                      <w:vertAlign w:val="baseline"/>
                      <w:lang w:val="en-US" w:eastAsia="zh-CN"/>
                    </w:rPr>
                    <w:t>劳动定员</w:t>
                  </w:r>
                </w:p>
              </w:tc>
              <w:tc>
                <w:tcPr>
                  <w:tcW w:w="1260" w:type="pct"/>
                  <w:vAlign w:val="center"/>
                </w:tcPr>
                <w:p w14:paraId="1C818F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4"/>
                      <w:sz w:val="21"/>
                      <w:szCs w:val="21"/>
                      <w:highlight w:val="none"/>
                      <w:vertAlign w:val="baseline"/>
                      <w:lang w:val="en-US" w:eastAsia="zh-CN"/>
                    </w:rPr>
                  </w:pPr>
                  <w:r>
                    <w:rPr>
                      <w:rFonts w:hint="eastAsia" w:ascii="Times New Roman" w:hAnsi="Times New Roman" w:eastAsia="宋体" w:cs="Times New Roman"/>
                      <w:color w:val="auto"/>
                      <w:kern w:val="24"/>
                      <w:sz w:val="21"/>
                      <w:szCs w:val="21"/>
                      <w:highlight w:val="none"/>
                      <w:vertAlign w:val="baseline"/>
                      <w:lang w:val="en-US" w:eastAsia="zh-CN"/>
                    </w:rPr>
                    <w:t>员工人数</w:t>
                  </w:r>
                </w:p>
              </w:tc>
              <w:tc>
                <w:tcPr>
                  <w:tcW w:w="2716" w:type="pct"/>
                  <w:vAlign w:val="center"/>
                </w:tcPr>
                <w:p w14:paraId="516F3F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4"/>
                      <w:sz w:val="21"/>
                      <w:szCs w:val="21"/>
                      <w:highlight w:val="none"/>
                      <w:vertAlign w:val="baseline"/>
                      <w:lang w:val="en-US" w:eastAsia="zh-CN"/>
                    </w:rPr>
                  </w:pPr>
                  <w:r>
                    <w:rPr>
                      <w:rFonts w:hint="eastAsia" w:ascii="Times New Roman" w:hAnsi="Times New Roman" w:cs="Times New Roman"/>
                      <w:color w:val="auto"/>
                      <w:kern w:val="24"/>
                      <w:sz w:val="21"/>
                      <w:szCs w:val="21"/>
                      <w:highlight w:val="none"/>
                      <w:vertAlign w:val="baseline"/>
                      <w:lang w:val="en-US" w:eastAsia="zh-CN"/>
                    </w:rPr>
                    <w:t>3</w:t>
                  </w:r>
                  <w:r>
                    <w:rPr>
                      <w:rFonts w:hint="eastAsia" w:ascii="Times New Roman" w:hAnsi="Times New Roman" w:eastAsia="宋体" w:cs="Times New Roman"/>
                      <w:color w:val="auto"/>
                      <w:kern w:val="24"/>
                      <w:sz w:val="21"/>
                      <w:szCs w:val="21"/>
                      <w:highlight w:val="none"/>
                      <w:vertAlign w:val="baseline"/>
                      <w:lang w:val="en-US" w:eastAsia="zh-CN"/>
                    </w:rPr>
                    <w:t>5人，</w:t>
                  </w:r>
                  <w:r>
                    <w:rPr>
                      <w:rFonts w:hint="eastAsia" w:ascii="Times New Roman" w:hAnsi="Times New Roman" w:cs="Times New Roman"/>
                      <w:color w:val="auto"/>
                      <w:kern w:val="24"/>
                      <w:sz w:val="21"/>
                      <w:szCs w:val="21"/>
                      <w:highlight w:val="none"/>
                      <w:vertAlign w:val="baseline"/>
                      <w:lang w:val="en-US" w:eastAsia="zh-CN"/>
                    </w:rPr>
                    <w:t>均不在</w:t>
                  </w:r>
                  <w:r>
                    <w:rPr>
                      <w:rFonts w:hint="eastAsia" w:ascii="Times New Roman" w:hAnsi="Times New Roman" w:eastAsia="宋体" w:cs="Times New Roman"/>
                      <w:color w:val="auto"/>
                      <w:kern w:val="24"/>
                      <w:sz w:val="21"/>
                      <w:szCs w:val="21"/>
                      <w:highlight w:val="none"/>
                      <w:vertAlign w:val="baseline"/>
                      <w:lang w:val="en-US" w:eastAsia="zh-CN"/>
                    </w:rPr>
                    <w:t>厂内食宿</w:t>
                  </w:r>
                </w:p>
              </w:tc>
            </w:tr>
          </w:tbl>
          <w:p w14:paraId="726183C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b/>
                <w:bCs/>
                <w:color w:val="auto"/>
                <w:sz w:val="24"/>
                <w:szCs w:val="22"/>
                <w:highlight w:val="none"/>
              </w:rPr>
            </w:pPr>
            <w:r>
              <w:rPr>
                <w:rFonts w:hint="eastAsia"/>
                <w:b/>
                <w:bCs/>
                <w:color w:val="auto"/>
                <w:sz w:val="24"/>
                <w:szCs w:val="22"/>
                <w:highlight w:val="none"/>
                <w:lang w:val="en-US" w:eastAsia="zh-CN"/>
              </w:rPr>
              <w:t>七</w:t>
            </w:r>
            <w:r>
              <w:rPr>
                <w:rFonts w:hint="eastAsia"/>
                <w:b/>
                <w:bCs/>
                <w:color w:val="auto"/>
                <w:sz w:val="24"/>
                <w:szCs w:val="22"/>
                <w:highlight w:val="none"/>
              </w:rPr>
              <w:t>、公用工程</w:t>
            </w:r>
          </w:p>
          <w:p w14:paraId="05174302">
            <w:pPr>
              <w:adjustRightInd w:val="0"/>
              <w:snapToGrid w:val="0"/>
              <w:spacing w:line="360" w:lineRule="auto"/>
              <w:ind w:firstLine="482" w:firstLineChars="200"/>
              <w:jc w:val="left"/>
              <w:rPr>
                <w:rFonts w:hint="eastAsia"/>
                <w:b/>
                <w:bCs/>
                <w:color w:val="auto"/>
                <w:sz w:val="24"/>
                <w:szCs w:val="36"/>
                <w:highlight w:val="none"/>
                <w:lang w:eastAsia="zh-CN"/>
              </w:rPr>
            </w:pPr>
            <w:r>
              <w:rPr>
                <w:rFonts w:hint="eastAsia"/>
                <w:b/>
                <w:bCs/>
                <w:color w:val="auto"/>
                <w:sz w:val="24"/>
                <w:szCs w:val="36"/>
                <w:highlight w:val="none"/>
                <w:lang w:val="en-US" w:eastAsia="zh-CN"/>
              </w:rPr>
              <w:t>1、</w:t>
            </w:r>
            <w:r>
              <w:rPr>
                <w:rFonts w:hint="eastAsia"/>
                <w:b/>
                <w:bCs/>
                <w:color w:val="auto"/>
                <w:sz w:val="24"/>
                <w:szCs w:val="36"/>
                <w:highlight w:val="none"/>
              </w:rPr>
              <w:t>供电</w:t>
            </w:r>
          </w:p>
          <w:p w14:paraId="54D1C1B1">
            <w:pPr>
              <w:adjustRightInd w:val="0"/>
              <w:snapToGrid w:val="0"/>
              <w:spacing w:line="360" w:lineRule="auto"/>
              <w:ind w:firstLine="480" w:firstLineChars="200"/>
              <w:jc w:val="left"/>
              <w:rPr>
                <w:color w:val="auto"/>
                <w:sz w:val="24"/>
                <w:szCs w:val="36"/>
                <w:highlight w:val="none"/>
              </w:rPr>
            </w:pPr>
            <w:r>
              <w:rPr>
                <w:rFonts w:hint="eastAsia"/>
                <w:color w:val="auto"/>
                <w:sz w:val="24"/>
                <w:szCs w:val="36"/>
                <w:highlight w:val="none"/>
              </w:rPr>
              <w:t>项目用电搭接园区供电系统，依托云南三缘电缆有限公司自建配电室（162㎡）引至各用电单元使用。</w:t>
            </w:r>
          </w:p>
          <w:p w14:paraId="73B0CE91">
            <w:pPr>
              <w:adjustRightInd w:val="0"/>
              <w:snapToGrid w:val="0"/>
              <w:spacing w:line="360" w:lineRule="auto"/>
              <w:ind w:firstLine="482" w:firstLineChars="200"/>
              <w:jc w:val="left"/>
              <w:rPr>
                <w:b/>
                <w:bCs/>
                <w:color w:val="auto"/>
                <w:sz w:val="24"/>
                <w:szCs w:val="36"/>
                <w:highlight w:val="none"/>
              </w:rPr>
            </w:pPr>
            <w:r>
              <w:rPr>
                <w:rFonts w:hint="eastAsia"/>
                <w:b/>
                <w:bCs/>
                <w:color w:val="auto"/>
                <w:sz w:val="24"/>
                <w:szCs w:val="36"/>
                <w:highlight w:val="none"/>
                <w:lang w:val="en-US" w:eastAsia="zh-CN"/>
              </w:rPr>
              <w:t>2、</w:t>
            </w:r>
            <w:r>
              <w:rPr>
                <w:rFonts w:hint="eastAsia"/>
                <w:b/>
                <w:bCs/>
                <w:color w:val="auto"/>
                <w:sz w:val="24"/>
                <w:szCs w:val="36"/>
                <w:highlight w:val="none"/>
              </w:rPr>
              <w:t>给水</w:t>
            </w:r>
          </w:p>
          <w:p w14:paraId="4D2F493E">
            <w:pPr>
              <w:adjustRightInd w:val="0"/>
              <w:snapToGrid w:val="0"/>
              <w:spacing w:line="360" w:lineRule="auto"/>
              <w:ind w:firstLine="480" w:firstLineChars="200"/>
              <w:jc w:val="left"/>
              <w:rPr>
                <w:color w:val="auto"/>
                <w:sz w:val="24"/>
                <w:szCs w:val="36"/>
                <w:highlight w:val="none"/>
              </w:rPr>
            </w:pPr>
            <w:r>
              <w:rPr>
                <w:rFonts w:hint="eastAsia"/>
                <w:color w:val="auto"/>
                <w:sz w:val="24"/>
                <w:szCs w:val="36"/>
                <w:highlight w:val="none"/>
              </w:rPr>
              <w:t>项目用水主要有</w:t>
            </w:r>
            <w:r>
              <w:rPr>
                <w:rFonts w:hint="eastAsia"/>
                <w:color w:val="auto"/>
                <w:sz w:val="24"/>
                <w:szCs w:val="36"/>
                <w:highlight w:val="none"/>
                <w:lang w:val="en-US" w:eastAsia="zh-CN"/>
              </w:rPr>
              <w:t>员工生活用水、设备冷却水</w:t>
            </w:r>
            <w:r>
              <w:rPr>
                <w:rFonts w:hint="eastAsia"/>
                <w:color w:val="auto"/>
                <w:sz w:val="24"/>
                <w:szCs w:val="36"/>
                <w:highlight w:val="none"/>
              </w:rPr>
              <w:t>，项目用水由园区供水管网供给，依托云南三缘电缆有限公司原有给水管网引至各用水单位。</w:t>
            </w:r>
          </w:p>
          <w:p w14:paraId="53B123FE">
            <w:pPr>
              <w:adjustRightInd w:val="0"/>
              <w:snapToGrid w:val="0"/>
              <w:spacing w:line="360" w:lineRule="auto"/>
              <w:ind w:firstLine="482" w:firstLineChars="200"/>
              <w:jc w:val="left"/>
              <w:rPr>
                <w:b/>
                <w:bCs/>
                <w:color w:val="auto"/>
                <w:sz w:val="24"/>
                <w:szCs w:val="36"/>
                <w:highlight w:val="none"/>
              </w:rPr>
            </w:pPr>
            <w:r>
              <w:rPr>
                <w:rFonts w:hint="eastAsia"/>
                <w:b/>
                <w:bCs/>
                <w:color w:val="auto"/>
                <w:sz w:val="24"/>
                <w:szCs w:val="36"/>
                <w:highlight w:val="none"/>
                <w:lang w:val="en-US" w:eastAsia="zh-CN"/>
              </w:rPr>
              <w:t>3、</w:t>
            </w:r>
            <w:r>
              <w:rPr>
                <w:rFonts w:hint="eastAsia"/>
                <w:b/>
                <w:bCs/>
                <w:color w:val="auto"/>
                <w:sz w:val="24"/>
                <w:szCs w:val="36"/>
                <w:highlight w:val="none"/>
              </w:rPr>
              <w:t>排水</w:t>
            </w:r>
          </w:p>
          <w:p w14:paraId="3D561D84">
            <w:pPr>
              <w:adjustRightInd w:val="0"/>
              <w:snapToGrid w:val="0"/>
              <w:spacing w:line="360" w:lineRule="auto"/>
              <w:ind w:firstLine="480" w:firstLineChars="200"/>
              <w:jc w:val="left"/>
              <w:rPr>
                <w:b/>
                <w:bCs/>
                <w:color w:val="auto"/>
                <w:sz w:val="24"/>
                <w:highlight w:val="none"/>
              </w:rPr>
            </w:pPr>
            <w:r>
              <w:rPr>
                <w:rFonts w:hint="eastAsia"/>
                <w:color w:val="auto"/>
                <w:sz w:val="24"/>
                <w:szCs w:val="36"/>
                <w:highlight w:val="none"/>
              </w:rPr>
              <w:t>项目采用雨污分流制排水方式。雨水经雨水管道收集后排至</w:t>
            </w:r>
            <w:r>
              <w:rPr>
                <w:rFonts w:hint="eastAsia"/>
                <w:color w:val="auto"/>
                <w:sz w:val="24"/>
                <w:szCs w:val="36"/>
                <w:highlight w:val="none"/>
                <w:lang w:val="en-US" w:eastAsia="zh-CN"/>
              </w:rPr>
              <w:t>园区</w:t>
            </w:r>
            <w:r>
              <w:rPr>
                <w:rFonts w:hint="eastAsia"/>
                <w:color w:val="auto"/>
                <w:sz w:val="24"/>
                <w:szCs w:val="36"/>
                <w:highlight w:val="none"/>
              </w:rPr>
              <w:t>雨水管网；项目办公</w:t>
            </w:r>
            <w:r>
              <w:rPr>
                <w:rFonts w:hint="eastAsia"/>
                <w:color w:val="auto"/>
                <w:sz w:val="24"/>
                <w:szCs w:val="36"/>
                <w:highlight w:val="none"/>
                <w:lang w:eastAsia="zh-CN"/>
              </w:rPr>
              <w:t>、</w:t>
            </w:r>
            <w:r>
              <w:rPr>
                <w:rFonts w:hint="eastAsia"/>
                <w:color w:val="auto"/>
                <w:sz w:val="24"/>
                <w:szCs w:val="36"/>
                <w:highlight w:val="none"/>
              </w:rPr>
              <w:t>生活污水依托云南三缘电缆有限公司化粪池（10m³）处理</w:t>
            </w:r>
            <w:r>
              <w:rPr>
                <w:rFonts w:hint="eastAsia"/>
                <w:color w:val="auto"/>
                <w:sz w:val="24"/>
                <w:szCs w:val="36"/>
                <w:highlight w:val="none"/>
                <w:lang w:eastAsia="zh-CN"/>
              </w:rPr>
              <w:t>，</w:t>
            </w:r>
            <w:r>
              <w:rPr>
                <w:rFonts w:hint="eastAsia"/>
                <w:color w:val="auto"/>
                <w:sz w:val="24"/>
                <w:szCs w:val="36"/>
                <w:highlight w:val="none"/>
                <w:lang w:val="en-US" w:eastAsia="zh-CN"/>
              </w:rPr>
              <w:t>处理后</w:t>
            </w:r>
            <w:r>
              <w:rPr>
                <w:rFonts w:hint="eastAsia"/>
                <w:color w:val="auto"/>
                <w:sz w:val="24"/>
                <w:szCs w:val="36"/>
                <w:highlight w:val="none"/>
              </w:rPr>
              <w:t>通过槽罐车运送至玉溪市第</w:t>
            </w:r>
            <w:r>
              <w:rPr>
                <w:rFonts w:hint="eastAsia"/>
                <w:color w:val="auto"/>
                <w:sz w:val="24"/>
                <w:szCs w:val="36"/>
                <w:highlight w:val="none"/>
                <w:lang w:val="en-US" w:eastAsia="zh-CN"/>
              </w:rPr>
              <w:t>二</w:t>
            </w:r>
            <w:r>
              <w:rPr>
                <w:rFonts w:hint="eastAsia"/>
                <w:color w:val="auto"/>
                <w:sz w:val="24"/>
                <w:szCs w:val="36"/>
                <w:highlight w:val="none"/>
              </w:rPr>
              <w:t>污水处理厂处置。</w:t>
            </w:r>
            <w:r>
              <w:rPr>
                <w:rFonts w:hint="eastAsia"/>
                <w:color w:val="auto"/>
                <w:sz w:val="24"/>
                <w:szCs w:val="36"/>
                <w:highlight w:val="none"/>
                <w:lang w:val="en-US" w:eastAsia="zh-CN"/>
              </w:rPr>
              <w:t>设备</w:t>
            </w:r>
            <w:r>
              <w:rPr>
                <w:rFonts w:hint="eastAsia"/>
                <w:color w:val="auto"/>
                <w:sz w:val="24"/>
                <w:szCs w:val="36"/>
                <w:highlight w:val="none"/>
              </w:rPr>
              <w:t>冷却水</w:t>
            </w:r>
            <w:r>
              <w:rPr>
                <w:rFonts w:hint="eastAsia"/>
                <w:color w:val="auto"/>
                <w:sz w:val="24"/>
                <w:szCs w:val="36"/>
                <w:highlight w:val="none"/>
                <w:lang w:val="en-US" w:eastAsia="zh-CN"/>
              </w:rPr>
              <w:t>进行</w:t>
            </w:r>
            <w:r>
              <w:rPr>
                <w:rFonts w:hint="eastAsia"/>
                <w:color w:val="auto"/>
                <w:sz w:val="24"/>
                <w:szCs w:val="36"/>
                <w:highlight w:val="none"/>
              </w:rPr>
              <w:t>间接冷却，循环使用</w:t>
            </w:r>
            <w:r>
              <w:rPr>
                <w:rFonts w:hint="eastAsia"/>
                <w:color w:val="auto"/>
                <w:sz w:val="24"/>
                <w:szCs w:val="36"/>
                <w:highlight w:val="none"/>
                <w:lang w:eastAsia="zh-CN"/>
              </w:rPr>
              <w:t>，</w:t>
            </w:r>
            <w:r>
              <w:rPr>
                <w:rFonts w:hint="eastAsia"/>
                <w:color w:val="auto"/>
                <w:sz w:val="24"/>
                <w:szCs w:val="36"/>
                <w:highlight w:val="none"/>
              </w:rPr>
              <w:t>不外排。</w:t>
            </w:r>
          </w:p>
          <w:p w14:paraId="4557A562">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b/>
                <w:bCs/>
                <w:color w:val="auto"/>
                <w:sz w:val="24"/>
                <w:szCs w:val="22"/>
                <w:highlight w:val="none"/>
              </w:rPr>
            </w:pPr>
            <w:r>
              <w:rPr>
                <w:rFonts w:hint="eastAsia"/>
                <w:b/>
                <w:bCs/>
                <w:color w:val="auto"/>
                <w:sz w:val="24"/>
                <w:szCs w:val="22"/>
                <w:highlight w:val="none"/>
                <w:lang w:val="en-US" w:eastAsia="zh-CN"/>
              </w:rPr>
              <w:t>八</w:t>
            </w:r>
            <w:r>
              <w:rPr>
                <w:rFonts w:hint="eastAsia"/>
                <w:b/>
                <w:bCs/>
                <w:color w:val="auto"/>
                <w:sz w:val="24"/>
                <w:szCs w:val="22"/>
                <w:highlight w:val="none"/>
              </w:rPr>
              <w:t>、建设项目水平衡分析</w:t>
            </w:r>
          </w:p>
          <w:p w14:paraId="49608EA2">
            <w:pPr>
              <w:adjustRightInd w:val="0"/>
              <w:snapToGrid w:val="0"/>
              <w:spacing w:line="360" w:lineRule="auto"/>
              <w:ind w:firstLine="482" w:firstLineChars="200"/>
              <w:rPr>
                <w:b/>
                <w:bCs/>
                <w:color w:val="auto"/>
                <w:kern w:val="0"/>
                <w:sz w:val="24"/>
                <w:szCs w:val="21"/>
                <w:highlight w:val="none"/>
              </w:rPr>
            </w:pPr>
            <w:r>
              <w:rPr>
                <w:rFonts w:hint="eastAsia"/>
                <w:b/>
                <w:bCs/>
                <w:color w:val="auto"/>
                <w:kern w:val="0"/>
                <w:sz w:val="24"/>
                <w:szCs w:val="21"/>
                <w:highlight w:val="none"/>
              </w:rPr>
              <w:t>1、用水量</w:t>
            </w:r>
          </w:p>
          <w:p w14:paraId="3F840A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bCs/>
                <w:color w:val="auto"/>
                <w:sz w:val="24"/>
                <w:szCs w:val="20"/>
                <w:highlight w:val="none"/>
              </w:rPr>
            </w:pPr>
            <w:r>
              <w:rPr>
                <w:rFonts w:hint="eastAsia"/>
                <w:bCs/>
                <w:color w:val="auto"/>
                <w:sz w:val="24"/>
                <w:szCs w:val="20"/>
                <w:highlight w:val="none"/>
                <w:lang w:eastAsia="zh-CN"/>
              </w:rPr>
              <w:t>（</w:t>
            </w:r>
            <w:r>
              <w:rPr>
                <w:rFonts w:hint="eastAsia"/>
                <w:bCs/>
                <w:color w:val="auto"/>
                <w:sz w:val="24"/>
                <w:szCs w:val="20"/>
                <w:highlight w:val="none"/>
              </w:rPr>
              <w:t>1）</w:t>
            </w:r>
            <w:r>
              <w:rPr>
                <w:rFonts w:hint="eastAsia"/>
                <w:bCs/>
                <w:color w:val="auto"/>
                <w:sz w:val="24"/>
                <w:szCs w:val="20"/>
                <w:highlight w:val="none"/>
                <w:lang w:val="en-US" w:eastAsia="zh-CN"/>
              </w:rPr>
              <w:t>设备</w:t>
            </w:r>
            <w:r>
              <w:rPr>
                <w:rFonts w:hint="eastAsia"/>
                <w:bCs/>
                <w:color w:val="auto"/>
                <w:sz w:val="24"/>
                <w:szCs w:val="20"/>
                <w:highlight w:val="none"/>
              </w:rPr>
              <w:t>冷却水</w:t>
            </w:r>
          </w:p>
          <w:p w14:paraId="4B2A5A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eastAsia="宋体"/>
                <w:color w:val="auto"/>
                <w:kern w:val="24"/>
                <w:sz w:val="24"/>
                <w:highlight w:val="none"/>
                <w:lang w:val="en-US" w:eastAsia="zh-CN"/>
              </w:rPr>
            </w:pPr>
            <w:r>
              <w:rPr>
                <w:rFonts w:hint="eastAsia" w:cs="Times New Roman"/>
                <w:color w:val="auto"/>
                <w:sz w:val="24"/>
                <w:szCs w:val="24"/>
                <w:highlight w:val="none"/>
                <w:lang w:val="en-US" w:eastAsia="zh-CN"/>
              </w:rPr>
              <w:t>项目真空定型台定型时需用水降温冷却，自冷却塔流入真空定型台进行间接冷却，工序结束后回流到冷却塔，循环使用，不外排。根据建设单位经验数据，设备冷却水用量为12m³/d，冷却方式为间接冷却，冷却水在使用过程中因蒸发等因素会产生一定量的损耗，考虑10%的蒸发率，项目损耗水量为1.2m³/d（360m³/a），损耗的水量通过新鲜水补给，补给水量为1.2m³/d（360m³/a），产生的冷却水循环使用，不外排。</w:t>
            </w:r>
          </w:p>
          <w:p w14:paraId="561DCA3F">
            <w:pPr>
              <w:adjustRightInd w:val="0"/>
              <w:snapToGrid w:val="0"/>
              <w:spacing w:line="360" w:lineRule="auto"/>
              <w:ind w:firstLine="480" w:firstLineChars="200"/>
              <w:rPr>
                <w:color w:val="auto"/>
                <w:kern w:val="24"/>
                <w:sz w:val="24"/>
                <w:highlight w:val="none"/>
              </w:rPr>
            </w:pPr>
            <w:r>
              <w:rPr>
                <w:rFonts w:hint="eastAsia"/>
                <w:color w:val="auto"/>
                <w:kern w:val="24"/>
                <w:sz w:val="24"/>
                <w:highlight w:val="none"/>
                <w:lang w:eastAsia="zh-CN"/>
              </w:rPr>
              <w:t>（</w:t>
            </w:r>
            <w:r>
              <w:rPr>
                <w:rFonts w:hint="eastAsia"/>
                <w:color w:val="auto"/>
                <w:kern w:val="24"/>
                <w:sz w:val="24"/>
                <w:highlight w:val="none"/>
              </w:rPr>
              <w:t>2）员工生活用水</w:t>
            </w:r>
          </w:p>
          <w:p w14:paraId="6321CD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本项目建成后有劳动定员35人，均不在厂区食宿。根据《云南省地方标准 用水定额》（DB53/T168-2019）标准，本项目工作人员用水量按100L/人.d计，</w:t>
            </w:r>
            <w:r>
              <w:rPr>
                <w:rFonts w:hint="eastAsia" w:cs="Times New Roman"/>
                <w:color w:val="auto"/>
                <w:sz w:val="24"/>
                <w:szCs w:val="24"/>
                <w:highlight w:val="none"/>
                <w:lang w:val="en-US" w:eastAsia="zh-CN"/>
              </w:rPr>
              <w:t>年工作时间300天，</w:t>
            </w:r>
            <w:r>
              <w:rPr>
                <w:rFonts w:hint="eastAsia" w:ascii="Times New Roman" w:hAnsi="Times New Roman" w:cs="Times New Roman"/>
                <w:color w:val="auto"/>
                <w:sz w:val="24"/>
                <w:szCs w:val="24"/>
                <w:highlight w:val="none"/>
                <w:lang w:val="en-US" w:eastAsia="zh-CN"/>
              </w:rPr>
              <w:t>则</w:t>
            </w:r>
            <w:r>
              <w:rPr>
                <w:rFonts w:hint="eastAsia" w:cs="Times New Roman"/>
                <w:color w:val="auto"/>
                <w:sz w:val="24"/>
                <w:szCs w:val="24"/>
                <w:highlight w:val="none"/>
                <w:lang w:val="en-US" w:eastAsia="zh-CN"/>
              </w:rPr>
              <w:t>项目</w:t>
            </w:r>
            <w:r>
              <w:rPr>
                <w:rFonts w:hint="eastAsia" w:ascii="Times New Roman" w:hAnsi="Times New Roman" w:cs="Times New Roman"/>
                <w:color w:val="auto"/>
                <w:sz w:val="24"/>
                <w:szCs w:val="24"/>
                <w:highlight w:val="none"/>
                <w:lang w:val="en-US" w:eastAsia="zh-CN"/>
              </w:rPr>
              <w:t>职工生活用水量为3.5m³/d、1050m³/a</w:t>
            </w:r>
            <w:r>
              <w:rPr>
                <w:rFonts w:hint="eastAsia" w:cs="Times New Roman"/>
                <w:color w:val="auto"/>
                <w:sz w:val="24"/>
                <w:szCs w:val="24"/>
                <w:highlight w:val="none"/>
                <w:lang w:val="en-US" w:eastAsia="zh-CN"/>
              </w:rPr>
              <w:t>。</w:t>
            </w:r>
          </w:p>
          <w:p w14:paraId="4A1965B5">
            <w:pPr>
              <w:adjustRightInd w:val="0"/>
              <w:snapToGrid w:val="0"/>
              <w:spacing w:line="360" w:lineRule="auto"/>
              <w:ind w:firstLine="482" w:firstLineChars="200"/>
              <w:rPr>
                <w:b/>
                <w:color w:val="auto"/>
                <w:sz w:val="24"/>
                <w:highlight w:val="none"/>
              </w:rPr>
            </w:pPr>
            <w:r>
              <w:rPr>
                <w:rFonts w:hint="eastAsia"/>
                <w:b/>
                <w:bCs/>
                <w:color w:val="auto"/>
                <w:kern w:val="24"/>
                <w:sz w:val="24"/>
                <w:highlight w:val="none"/>
              </w:rPr>
              <w:t>2、</w:t>
            </w:r>
            <w:r>
              <w:rPr>
                <w:rFonts w:hint="eastAsia"/>
                <w:b/>
                <w:color w:val="auto"/>
                <w:sz w:val="24"/>
                <w:highlight w:val="none"/>
              </w:rPr>
              <w:t>废水量</w:t>
            </w:r>
          </w:p>
          <w:p w14:paraId="22825E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本项目废水主要为办公、生活污水，依托云南三缘电缆有限公司化粪池（10m³）预处理后，采用槽罐车外送至玉溪市第二污水处理厂处理。生活污水产生量按用水量的80%计算，则生活污水产生量为2.8m³/d、840m³/a。</w:t>
            </w:r>
          </w:p>
          <w:p w14:paraId="2F673D08">
            <w:pPr>
              <w:adjustRightInd w:val="0"/>
              <w:snapToGrid w:val="0"/>
              <w:spacing w:line="360" w:lineRule="auto"/>
              <w:ind w:firstLine="482" w:firstLineChars="200"/>
              <w:rPr>
                <w:b/>
                <w:color w:val="auto"/>
                <w:sz w:val="24"/>
                <w:highlight w:val="none"/>
              </w:rPr>
            </w:pPr>
            <w:r>
              <w:rPr>
                <w:rFonts w:hint="eastAsia"/>
                <w:b/>
                <w:bCs/>
                <w:color w:val="auto"/>
                <w:kern w:val="24"/>
                <w:sz w:val="24"/>
                <w:highlight w:val="none"/>
              </w:rPr>
              <w:t>3、</w:t>
            </w:r>
            <w:r>
              <w:rPr>
                <w:rFonts w:hint="eastAsia"/>
                <w:b/>
                <w:color w:val="auto"/>
                <w:sz w:val="24"/>
                <w:highlight w:val="none"/>
              </w:rPr>
              <w:t>废水排放去向</w:t>
            </w:r>
          </w:p>
          <w:p w14:paraId="1D70D743">
            <w:pPr>
              <w:pStyle w:val="77"/>
              <w:ind w:firstLine="480"/>
              <w:rPr>
                <w:rFonts w:hint="eastAsia"/>
                <w:color w:val="auto"/>
                <w:szCs w:val="36"/>
                <w:highlight w:val="none"/>
              </w:rPr>
            </w:pPr>
            <w:r>
              <w:rPr>
                <w:color w:val="auto"/>
                <w:szCs w:val="21"/>
                <w:highlight w:val="none"/>
              </w:rPr>
              <w:t>项目采用雨污分流制排水方式。</w:t>
            </w:r>
            <w:r>
              <w:rPr>
                <w:rFonts w:hint="eastAsia"/>
                <w:color w:val="auto"/>
                <w:szCs w:val="36"/>
                <w:highlight w:val="none"/>
              </w:rPr>
              <w:t>雨水经雨水管道收集后排至园区雨水管网。</w:t>
            </w:r>
          </w:p>
          <w:p w14:paraId="5F134A64">
            <w:pPr>
              <w:pStyle w:val="77"/>
              <w:ind w:firstLine="480"/>
              <w:rPr>
                <w:color w:val="auto"/>
                <w:kern w:val="0"/>
                <w:szCs w:val="21"/>
                <w:highlight w:val="none"/>
              </w:rPr>
            </w:pPr>
            <w:r>
              <w:rPr>
                <w:rFonts w:hint="eastAsia"/>
                <w:color w:val="auto"/>
                <w:szCs w:val="36"/>
                <w:highlight w:val="none"/>
                <w:lang w:val="en-US" w:eastAsia="zh-CN"/>
              </w:rPr>
              <w:t>项目</w:t>
            </w:r>
            <w:r>
              <w:rPr>
                <w:rFonts w:hint="eastAsia"/>
                <w:color w:val="auto"/>
                <w:szCs w:val="36"/>
                <w:highlight w:val="none"/>
              </w:rPr>
              <w:t>设备冷却水自冷却塔流入真空定型台进行间接冷却，工序结束后回流到冷却塔，循环使用，不外排</w:t>
            </w:r>
            <w:r>
              <w:rPr>
                <w:rFonts w:hint="eastAsia"/>
                <w:color w:val="auto"/>
                <w:szCs w:val="36"/>
                <w:highlight w:val="none"/>
                <w:lang w:val="en-US" w:eastAsia="zh-CN"/>
              </w:rPr>
              <w:t>。办公、生活污水依托云南三缘电缆有限公司化粪池（10m³）预处理后，采用槽罐车外送至玉溪市第二污水处理厂处理</w:t>
            </w:r>
            <w:r>
              <w:rPr>
                <w:rFonts w:hint="eastAsia"/>
                <w:color w:val="auto"/>
                <w:kern w:val="0"/>
                <w:szCs w:val="21"/>
                <w:highlight w:val="none"/>
              </w:rPr>
              <w:t>。</w:t>
            </w:r>
          </w:p>
          <w:p w14:paraId="1B58F46F">
            <w:pPr>
              <w:pStyle w:val="23"/>
              <w:adjustRightInd w:val="0"/>
              <w:snapToGrid w:val="0"/>
              <w:ind w:firstLine="480" w:firstLineChars="200"/>
              <w:rPr>
                <w:rFonts w:hint="eastAsia"/>
                <w:color w:val="auto"/>
                <w:kern w:val="0"/>
                <w:sz w:val="24"/>
                <w:szCs w:val="21"/>
                <w:highlight w:val="none"/>
              </w:rPr>
            </w:pPr>
            <w:r>
              <w:rPr>
                <w:rFonts w:hint="eastAsia"/>
                <w:color w:val="auto"/>
                <w:kern w:val="0"/>
                <w:sz w:val="24"/>
                <w:szCs w:val="21"/>
                <w:highlight w:val="none"/>
              </w:rPr>
              <w:t>项目水平衡图如下所示：</w:t>
            </w:r>
          </w:p>
          <w:p w14:paraId="3B2C2327">
            <w:pPr>
              <w:jc w:val="center"/>
              <w:rPr>
                <w:rFonts w:hint="eastAsia" w:eastAsia="宋体"/>
                <w:color w:val="auto"/>
                <w:lang w:eastAsia="zh-CN"/>
              </w:rPr>
            </w:pPr>
            <w:r>
              <w:rPr>
                <w:rFonts w:hint="eastAsia" w:eastAsia="宋体"/>
                <w:color w:val="auto"/>
                <w:lang w:eastAsia="zh-CN"/>
              </w:rPr>
              <w:drawing>
                <wp:inline distT="0" distB="0" distL="114300" distR="114300">
                  <wp:extent cx="5288280" cy="2232660"/>
                  <wp:effectExtent l="0" t="0" r="0" b="0"/>
                  <wp:docPr id="1" name="ECB019B1-382A-4266-B25C-5B523AA43C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B019B1-382A-4266-B25C-5B523AA43C14-1"/>
                          <pic:cNvPicPr>
                            <a:picLocks noChangeAspect="1"/>
                          </pic:cNvPicPr>
                        </pic:nvPicPr>
                        <pic:blipFill>
                          <a:blip r:embed="rId7"/>
                          <a:stretch>
                            <a:fillRect/>
                          </a:stretch>
                        </pic:blipFill>
                        <pic:spPr>
                          <a:xfrm>
                            <a:off x="0" y="0"/>
                            <a:ext cx="5288280" cy="2232660"/>
                          </a:xfrm>
                          <a:prstGeom prst="rect">
                            <a:avLst/>
                          </a:prstGeom>
                        </pic:spPr>
                      </pic:pic>
                    </a:graphicData>
                  </a:graphic>
                </wp:inline>
              </w:drawing>
            </w:r>
          </w:p>
          <w:p w14:paraId="2D6FDBD5">
            <w:pPr>
              <w:pStyle w:val="5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4"/>
                <w:szCs w:val="22"/>
                <w:highlight w:val="none"/>
                <w:lang w:val="en-US" w:eastAsia="zh-CN"/>
              </w:rPr>
            </w:pPr>
            <w:r>
              <w:rPr>
                <w:rFonts w:ascii="Times New Roman" w:cs="Times New Roman"/>
                <w:b/>
                <w:color w:val="auto"/>
                <w:kern w:val="24"/>
                <w:szCs w:val="21"/>
                <w:highlight w:val="none"/>
              </w:rPr>
              <w:t>图</w:t>
            </w:r>
            <w:r>
              <w:rPr>
                <w:rFonts w:hint="eastAsia" w:ascii="Times New Roman" w:hAnsi="Times New Roman" w:cs="Times New Roman"/>
                <w:b/>
                <w:color w:val="auto"/>
                <w:kern w:val="24"/>
                <w:szCs w:val="21"/>
                <w:highlight w:val="none"/>
              </w:rPr>
              <w:t>2-</w:t>
            </w:r>
            <w:r>
              <w:rPr>
                <w:rFonts w:hint="eastAsia" w:ascii="Times New Roman" w:hAnsi="Times New Roman" w:cs="Times New Roman"/>
                <w:b/>
                <w:color w:val="auto"/>
                <w:kern w:val="24"/>
                <w:szCs w:val="21"/>
                <w:highlight w:val="none"/>
                <w:lang w:val="en-US"/>
              </w:rPr>
              <w:t>1</w:t>
            </w:r>
            <w:r>
              <w:rPr>
                <w:rFonts w:ascii="Times New Roman" w:hAnsi="Times New Roman" w:cs="Times New Roman"/>
                <w:b/>
                <w:color w:val="auto"/>
                <w:kern w:val="24"/>
                <w:szCs w:val="21"/>
                <w:highlight w:val="none"/>
              </w:rPr>
              <w:t xml:space="preserve">  </w:t>
            </w:r>
            <w:r>
              <w:rPr>
                <w:rFonts w:hint="eastAsia" w:ascii="Times New Roman" w:hAnsi="Times New Roman" w:cs="Times New Roman"/>
                <w:b/>
                <w:color w:val="auto"/>
                <w:kern w:val="24"/>
                <w:szCs w:val="21"/>
                <w:highlight w:val="none"/>
              </w:rPr>
              <w:t>本项</w:t>
            </w:r>
            <w:r>
              <w:rPr>
                <w:rFonts w:hint="eastAsia" w:ascii="Times New Roman" w:hAnsi="Times New Roman" w:cs="Times New Roman"/>
                <w:b/>
                <w:color w:val="auto"/>
                <w:kern w:val="24"/>
                <w:szCs w:val="21"/>
                <w:highlight w:val="none"/>
                <w:lang w:val="en-US"/>
              </w:rPr>
              <w:t>目水量平衡图</w:t>
            </w:r>
            <w:r>
              <w:rPr>
                <w:rFonts w:ascii="Times New Roman" w:hAnsi="Times New Roman" w:cs="Times New Roman"/>
                <w:b/>
                <w:color w:val="auto"/>
                <w:kern w:val="24"/>
                <w:szCs w:val="21"/>
                <w:highlight w:val="none"/>
              </w:rPr>
              <w:t xml:space="preserve">  </w:t>
            </w:r>
            <w:r>
              <w:rPr>
                <w:rFonts w:ascii="Times New Roman" w:cs="Times New Roman"/>
                <w:b/>
                <w:color w:val="auto"/>
                <w:kern w:val="24"/>
                <w:szCs w:val="21"/>
                <w:highlight w:val="none"/>
              </w:rPr>
              <w:t>单位：</w:t>
            </w:r>
            <w:r>
              <w:rPr>
                <w:rFonts w:hint="eastAsia" w:ascii="Times New Roman" w:cs="Times New Roman"/>
                <w:b/>
                <w:color w:val="auto"/>
                <w:kern w:val="24"/>
                <w:szCs w:val="21"/>
                <w:highlight w:val="none"/>
                <w:lang w:val="en-US" w:eastAsia="zh-CN"/>
              </w:rPr>
              <w:t>m³</w:t>
            </w:r>
            <w:r>
              <w:rPr>
                <w:rFonts w:hint="eastAsia" w:ascii="Times New Roman" w:hAnsi="Times New Roman" w:cs="Times New Roman"/>
                <w:b/>
                <w:color w:val="auto"/>
                <w:kern w:val="24"/>
                <w:szCs w:val="21"/>
                <w:highlight w:val="none"/>
                <w:lang w:val="en-US"/>
              </w:rPr>
              <w:t>/</w:t>
            </w:r>
            <w:r>
              <w:rPr>
                <w:rFonts w:hint="eastAsia" w:ascii="Times New Roman" w:hAnsi="Times New Roman" w:cs="Times New Roman"/>
                <w:b/>
                <w:color w:val="auto"/>
                <w:kern w:val="24"/>
                <w:szCs w:val="21"/>
                <w:highlight w:val="none"/>
                <w:lang w:val="en-US" w:eastAsia="zh-CN"/>
              </w:rPr>
              <w:t>d</w:t>
            </w:r>
          </w:p>
          <w:p w14:paraId="7C129B4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b/>
                <w:bCs/>
                <w:color w:val="auto"/>
                <w:sz w:val="24"/>
                <w:szCs w:val="22"/>
                <w:highlight w:val="none"/>
              </w:rPr>
            </w:pPr>
            <w:r>
              <w:rPr>
                <w:rFonts w:hint="eastAsia"/>
                <w:b/>
                <w:bCs/>
                <w:color w:val="auto"/>
                <w:sz w:val="24"/>
                <w:szCs w:val="22"/>
                <w:highlight w:val="none"/>
                <w:lang w:val="en-US" w:eastAsia="zh-CN"/>
              </w:rPr>
              <w:t>九</w:t>
            </w:r>
            <w:r>
              <w:rPr>
                <w:rFonts w:hint="eastAsia"/>
                <w:b/>
                <w:bCs/>
                <w:color w:val="auto"/>
                <w:sz w:val="24"/>
                <w:szCs w:val="22"/>
                <w:highlight w:val="none"/>
              </w:rPr>
              <w:t>、项目总平面布置</w:t>
            </w:r>
          </w:p>
          <w:p w14:paraId="0F03F878">
            <w:pPr>
              <w:adjustRightInd w:val="0"/>
              <w:snapToGrid w:val="0"/>
              <w:spacing w:line="360" w:lineRule="auto"/>
              <w:ind w:firstLine="480" w:firstLineChars="200"/>
              <w:jc w:val="left"/>
              <w:rPr>
                <w:rFonts w:hint="eastAsia"/>
                <w:color w:val="auto"/>
                <w:sz w:val="24"/>
                <w:highlight w:val="none"/>
              </w:rPr>
            </w:pPr>
            <w:r>
              <w:rPr>
                <w:rFonts w:hint="eastAsia"/>
                <w:color w:val="auto"/>
                <w:sz w:val="24"/>
                <w:highlight w:val="none"/>
              </w:rPr>
              <w:t>项目位于云南省玉溪市红塔区研和街道贾井社区研和工业园区三缘电缆厂内</w:t>
            </w:r>
            <w:r>
              <w:rPr>
                <w:rFonts w:hint="eastAsia"/>
                <w:color w:val="auto"/>
                <w:sz w:val="24"/>
                <w:highlight w:val="none"/>
                <w:lang w:eastAsia="zh-CN"/>
              </w:rPr>
              <w:t>，</w:t>
            </w:r>
            <w:r>
              <w:rPr>
                <w:rFonts w:hint="eastAsia"/>
                <w:color w:val="auto"/>
                <w:sz w:val="24"/>
                <w:highlight w:val="none"/>
                <w:lang w:val="en-US" w:eastAsia="zh-CN"/>
              </w:rPr>
              <w:t>租赁</w:t>
            </w:r>
            <w:r>
              <w:rPr>
                <w:rFonts w:hint="eastAsia"/>
                <w:color w:val="auto"/>
                <w:sz w:val="24"/>
                <w:highlight w:val="none"/>
              </w:rPr>
              <w:t>厂房呈东西方向长方形，厂房大门位于</w:t>
            </w:r>
            <w:r>
              <w:rPr>
                <w:rFonts w:hint="eastAsia"/>
                <w:color w:val="auto"/>
                <w:sz w:val="24"/>
                <w:highlight w:val="none"/>
                <w:lang w:val="en-US" w:eastAsia="zh-CN"/>
              </w:rPr>
              <w:t>西</w:t>
            </w:r>
            <w:r>
              <w:rPr>
                <w:rFonts w:hint="eastAsia"/>
                <w:color w:val="auto"/>
                <w:sz w:val="24"/>
                <w:highlight w:val="none"/>
              </w:rPr>
              <w:t>侧</w:t>
            </w:r>
            <w:r>
              <w:rPr>
                <w:rFonts w:hint="eastAsia"/>
                <w:color w:val="auto"/>
                <w:sz w:val="24"/>
                <w:highlight w:val="none"/>
                <w:lang w:eastAsia="zh-CN"/>
              </w:rPr>
              <w:t>。</w:t>
            </w:r>
            <w:r>
              <w:rPr>
                <w:rFonts w:hint="eastAsia"/>
                <w:color w:val="auto"/>
                <w:sz w:val="24"/>
                <w:highlight w:val="none"/>
                <w:lang w:val="en-US" w:eastAsia="zh-CN"/>
              </w:rPr>
              <w:t>生产车间总</w:t>
            </w:r>
            <w:r>
              <w:rPr>
                <w:rFonts w:hint="eastAsia"/>
                <w:color w:val="auto"/>
                <w:sz w:val="24"/>
                <w:highlight w:val="none"/>
              </w:rPr>
              <w:t>占地面积</w:t>
            </w:r>
            <w:r>
              <w:rPr>
                <w:rFonts w:hint="eastAsia"/>
                <w:color w:val="auto"/>
                <w:sz w:val="24"/>
                <w:highlight w:val="none"/>
                <w:lang w:val="en-US" w:eastAsia="zh-CN"/>
              </w:rPr>
              <w:t>为3328</w:t>
            </w:r>
            <w:r>
              <w:rPr>
                <w:rFonts w:hint="eastAsia"/>
                <w:color w:val="auto"/>
                <w:sz w:val="24"/>
                <w:highlight w:val="none"/>
              </w:rPr>
              <w:t>㎡，设置有原料</w:t>
            </w:r>
            <w:r>
              <w:rPr>
                <w:rFonts w:hint="eastAsia"/>
                <w:color w:val="auto"/>
                <w:sz w:val="24"/>
                <w:highlight w:val="none"/>
                <w:lang w:val="en-US" w:eastAsia="zh-CN"/>
              </w:rPr>
              <w:t>仓库</w:t>
            </w:r>
            <w:r>
              <w:rPr>
                <w:rFonts w:hint="eastAsia"/>
                <w:color w:val="auto"/>
                <w:sz w:val="24"/>
                <w:highlight w:val="none"/>
              </w:rPr>
              <w:t>、一般固废暂存</w:t>
            </w:r>
            <w:r>
              <w:rPr>
                <w:rFonts w:hint="eastAsia"/>
                <w:color w:val="auto"/>
                <w:sz w:val="24"/>
                <w:highlight w:val="none"/>
                <w:lang w:val="en-US" w:eastAsia="zh-CN"/>
              </w:rPr>
              <w:t>间</w:t>
            </w:r>
            <w:r>
              <w:rPr>
                <w:rFonts w:hint="eastAsia"/>
                <w:color w:val="auto"/>
                <w:sz w:val="24"/>
                <w:highlight w:val="none"/>
              </w:rPr>
              <w:t>、成品仓库、危废暂存</w:t>
            </w:r>
            <w:r>
              <w:rPr>
                <w:rFonts w:hint="eastAsia"/>
                <w:color w:val="auto"/>
                <w:sz w:val="24"/>
                <w:highlight w:val="none"/>
                <w:lang w:val="en-US" w:eastAsia="zh-CN"/>
              </w:rPr>
              <w:t>间</w:t>
            </w:r>
            <w:r>
              <w:rPr>
                <w:rFonts w:hint="eastAsia"/>
                <w:color w:val="auto"/>
                <w:sz w:val="24"/>
                <w:highlight w:val="none"/>
                <w:lang w:eastAsia="zh-CN"/>
              </w:rPr>
              <w:t>，</w:t>
            </w:r>
            <w:r>
              <w:rPr>
                <w:rFonts w:hint="eastAsia"/>
                <w:color w:val="auto"/>
                <w:sz w:val="24"/>
                <w:highlight w:val="none"/>
                <w:lang w:val="en-US" w:eastAsia="zh-CN"/>
              </w:rPr>
              <w:t>购置拌</w:t>
            </w:r>
            <w:r>
              <w:rPr>
                <w:rFonts w:hint="eastAsia"/>
                <w:color w:val="auto"/>
                <w:sz w:val="24"/>
                <w:highlight w:val="none"/>
              </w:rPr>
              <w:t>料机、上料机、挤出机、模具、电晕机、模切机等</w:t>
            </w:r>
            <w:r>
              <w:rPr>
                <w:rFonts w:hint="eastAsia"/>
                <w:color w:val="auto"/>
                <w:sz w:val="24"/>
                <w:highlight w:val="none"/>
                <w:lang w:val="en-US" w:eastAsia="zh-CN"/>
              </w:rPr>
              <w:t>主要生产设备</w:t>
            </w:r>
            <w:r>
              <w:rPr>
                <w:rFonts w:hint="eastAsia"/>
                <w:color w:val="auto"/>
                <w:sz w:val="24"/>
                <w:highlight w:val="none"/>
              </w:rPr>
              <w:t>。项目平面布置按照生产工艺流程</w:t>
            </w:r>
            <w:r>
              <w:rPr>
                <w:rFonts w:hint="eastAsia"/>
                <w:color w:val="auto"/>
                <w:sz w:val="24"/>
                <w:highlight w:val="none"/>
                <w:lang w:val="en-US" w:eastAsia="zh-CN"/>
              </w:rPr>
              <w:t>特点</w:t>
            </w:r>
            <w:r>
              <w:rPr>
                <w:rFonts w:hint="eastAsia"/>
                <w:color w:val="auto"/>
                <w:sz w:val="24"/>
                <w:highlight w:val="none"/>
              </w:rPr>
              <w:t>，厂房采用一体化布置，所有车间和功能区全部集中布置在主厂房内</w:t>
            </w:r>
            <w:r>
              <w:rPr>
                <w:rFonts w:hint="eastAsia"/>
                <w:color w:val="auto"/>
                <w:sz w:val="24"/>
                <w:highlight w:val="none"/>
                <w:lang w:eastAsia="zh-CN"/>
              </w:rPr>
              <w:t>，</w:t>
            </w:r>
            <w:r>
              <w:rPr>
                <w:rFonts w:hint="eastAsia"/>
                <w:color w:val="auto"/>
                <w:sz w:val="24"/>
                <w:highlight w:val="none"/>
              </w:rPr>
              <w:t>功能分区明确，工艺流程通畅，布局紧凑，并充分考虑到工程行业特点，各装置区之间留有足够的安全间距，避免相互影响。</w:t>
            </w:r>
          </w:p>
          <w:p w14:paraId="5389404D">
            <w:pPr>
              <w:adjustRightInd w:val="0"/>
              <w:snapToGrid w:val="0"/>
              <w:spacing w:line="360" w:lineRule="auto"/>
              <w:ind w:firstLine="480" w:firstLineChars="200"/>
              <w:jc w:val="left"/>
              <w:rPr>
                <w:color w:val="auto"/>
                <w:kern w:val="24"/>
                <w:sz w:val="24"/>
                <w:highlight w:val="none"/>
                <w:lang w:val="zh-CN"/>
              </w:rPr>
            </w:pPr>
            <w:r>
              <w:rPr>
                <w:rFonts w:hint="eastAsia"/>
                <w:color w:val="auto"/>
                <w:kern w:val="24"/>
                <w:sz w:val="24"/>
                <w:highlight w:val="none"/>
              </w:rPr>
              <w:t>项目总平面布置示意图详见附图2。</w:t>
            </w:r>
          </w:p>
          <w:p w14:paraId="114314FD">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b/>
                <w:bCs/>
                <w:color w:val="auto"/>
                <w:sz w:val="24"/>
                <w:szCs w:val="22"/>
                <w:highlight w:val="none"/>
              </w:rPr>
            </w:pPr>
            <w:r>
              <w:rPr>
                <w:rFonts w:hint="eastAsia"/>
                <w:b/>
                <w:bCs/>
                <w:color w:val="auto"/>
                <w:sz w:val="24"/>
                <w:szCs w:val="22"/>
                <w:highlight w:val="none"/>
              </w:rPr>
              <w:t>十、环保投资</w:t>
            </w:r>
          </w:p>
          <w:p w14:paraId="1015D9E8">
            <w:pPr>
              <w:pStyle w:val="77"/>
              <w:ind w:firstLine="480"/>
              <w:rPr>
                <w:rFonts w:hint="eastAsia"/>
                <w:color w:val="auto"/>
                <w:kern w:val="24"/>
                <w:sz w:val="24"/>
                <w:highlight w:val="none"/>
                <w:lang w:eastAsia="zh-CN"/>
              </w:rPr>
            </w:pPr>
            <w:r>
              <w:rPr>
                <w:rFonts w:hint="eastAsia"/>
                <w:color w:val="auto"/>
                <w:kern w:val="24"/>
                <w:sz w:val="24"/>
                <w:highlight w:val="none"/>
                <w:lang w:val="en-US" w:eastAsia="zh-CN"/>
              </w:rPr>
              <w:t>根据项目</w:t>
            </w:r>
            <w:r>
              <w:rPr>
                <w:rFonts w:hint="eastAsia"/>
                <w:color w:val="auto"/>
                <w:kern w:val="24"/>
                <w:highlight w:val="none"/>
              </w:rPr>
              <w:t>投资备案证，</w:t>
            </w:r>
            <w:r>
              <w:rPr>
                <w:rFonts w:hint="eastAsia"/>
                <w:color w:val="auto"/>
                <w:kern w:val="24"/>
                <w:highlight w:val="none"/>
                <w:lang w:val="en-US" w:eastAsia="zh-CN"/>
              </w:rPr>
              <w:t>项目总投资500万元</w:t>
            </w:r>
            <w:r>
              <w:rPr>
                <w:color w:val="auto"/>
                <w:kern w:val="24"/>
                <w:sz w:val="24"/>
                <w:highlight w:val="none"/>
              </w:rPr>
              <w:t>，其中环保</w:t>
            </w:r>
            <w:r>
              <w:rPr>
                <w:rFonts w:hint="eastAsia"/>
                <w:color w:val="auto"/>
                <w:kern w:val="24"/>
                <w:sz w:val="24"/>
                <w:highlight w:val="none"/>
              </w:rPr>
              <w:t>总</w:t>
            </w:r>
            <w:r>
              <w:rPr>
                <w:color w:val="auto"/>
                <w:kern w:val="24"/>
                <w:sz w:val="24"/>
                <w:highlight w:val="none"/>
              </w:rPr>
              <w:t>投资</w:t>
            </w:r>
            <w:r>
              <w:rPr>
                <w:rFonts w:hint="eastAsia"/>
                <w:color w:val="auto"/>
                <w:kern w:val="24"/>
                <w:sz w:val="24"/>
                <w:highlight w:val="none"/>
                <w:lang w:val="en-US" w:eastAsia="zh-CN"/>
              </w:rPr>
              <w:t>41.4</w:t>
            </w:r>
            <w:r>
              <w:rPr>
                <w:color w:val="auto"/>
                <w:kern w:val="24"/>
                <w:sz w:val="24"/>
                <w:highlight w:val="none"/>
              </w:rPr>
              <w:t>万元，占总投资的</w:t>
            </w:r>
            <w:r>
              <w:rPr>
                <w:rFonts w:hint="eastAsia"/>
                <w:color w:val="auto"/>
                <w:kern w:val="24"/>
                <w:sz w:val="24"/>
                <w:highlight w:val="none"/>
                <w:lang w:val="en-US" w:eastAsia="zh-CN"/>
              </w:rPr>
              <w:t>8.28</w:t>
            </w:r>
            <w:r>
              <w:rPr>
                <w:color w:val="auto"/>
                <w:kern w:val="24"/>
                <w:sz w:val="24"/>
                <w:highlight w:val="none"/>
              </w:rPr>
              <w:t>%</w:t>
            </w:r>
            <w:r>
              <w:rPr>
                <w:rFonts w:hint="eastAsia"/>
                <w:color w:val="auto"/>
                <w:kern w:val="24"/>
                <w:sz w:val="24"/>
                <w:highlight w:val="none"/>
                <w:lang w:eastAsia="zh-CN"/>
              </w:rPr>
              <w:t>。</w:t>
            </w:r>
          </w:p>
          <w:p w14:paraId="570B50E0">
            <w:pPr>
              <w:pStyle w:val="77"/>
              <w:ind w:firstLine="480"/>
              <w:rPr>
                <w:b/>
                <w:color w:val="auto"/>
                <w:kern w:val="24"/>
                <w:szCs w:val="21"/>
                <w:highlight w:val="none"/>
                <w:lang w:val="zh-CN"/>
              </w:rPr>
            </w:pPr>
            <w:r>
              <w:rPr>
                <w:color w:val="auto"/>
                <w:kern w:val="24"/>
                <w:sz w:val="24"/>
                <w:highlight w:val="none"/>
              </w:rPr>
              <w:t>各环保设施组成及投资估算详见表</w:t>
            </w:r>
            <w:r>
              <w:rPr>
                <w:rFonts w:hint="eastAsia"/>
                <w:color w:val="auto"/>
                <w:kern w:val="24"/>
                <w:sz w:val="24"/>
                <w:highlight w:val="none"/>
              </w:rPr>
              <w:t>2</w:t>
            </w:r>
            <w:r>
              <w:rPr>
                <w:color w:val="auto"/>
                <w:kern w:val="24"/>
                <w:sz w:val="24"/>
                <w:highlight w:val="none"/>
              </w:rPr>
              <w:t>-</w:t>
            </w:r>
            <w:r>
              <w:rPr>
                <w:rFonts w:hint="eastAsia"/>
                <w:color w:val="auto"/>
                <w:kern w:val="24"/>
                <w:sz w:val="24"/>
                <w:highlight w:val="none"/>
                <w:lang w:val="en-US" w:eastAsia="zh-CN"/>
              </w:rPr>
              <w:t>7</w:t>
            </w:r>
            <w:r>
              <w:rPr>
                <w:color w:val="auto"/>
                <w:kern w:val="24"/>
                <w:sz w:val="24"/>
                <w:highlight w:val="none"/>
              </w:rPr>
              <w:t>。</w:t>
            </w:r>
          </w:p>
          <w:p w14:paraId="08BC37B3">
            <w:pPr>
              <w:adjustRightInd w:val="0"/>
              <w:snapToGrid w:val="0"/>
              <w:spacing w:line="360" w:lineRule="auto"/>
              <w:jc w:val="center"/>
              <w:rPr>
                <w:b/>
                <w:color w:val="auto"/>
                <w:kern w:val="24"/>
                <w:sz w:val="24"/>
                <w:highlight w:val="none"/>
                <w:lang w:val="zh-CN"/>
              </w:rPr>
            </w:pPr>
            <w:r>
              <w:rPr>
                <w:rFonts w:hint="eastAsia"/>
                <w:b/>
                <w:color w:val="auto"/>
                <w:kern w:val="24"/>
                <w:sz w:val="24"/>
                <w:highlight w:val="none"/>
                <w:lang w:val="zh-CN"/>
              </w:rPr>
              <w:t>表2-</w:t>
            </w:r>
            <w:r>
              <w:rPr>
                <w:rFonts w:hint="eastAsia"/>
                <w:b/>
                <w:color w:val="auto"/>
                <w:kern w:val="24"/>
                <w:sz w:val="24"/>
                <w:highlight w:val="none"/>
                <w:lang w:val="en-US" w:eastAsia="zh-CN"/>
              </w:rPr>
              <w:t>7</w:t>
            </w:r>
            <w:r>
              <w:rPr>
                <w:rFonts w:hint="eastAsia"/>
                <w:b/>
                <w:color w:val="auto"/>
                <w:kern w:val="24"/>
                <w:sz w:val="24"/>
                <w:highlight w:val="none"/>
                <w:lang w:val="zh-CN"/>
              </w:rPr>
              <w:t xml:space="preserve">  项目环保投资估算表</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
              <w:gridCol w:w="768"/>
              <w:gridCol w:w="1687"/>
              <w:gridCol w:w="2904"/>
              <w:gridCol w:w="740"/>
              <w:gridCol w:w="1344"/>
            </w:tblGrid>
            <w:tr w14:paraId="7B83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000" w:type="pct"/>
                  <w:gridSpan w:val="3"/>
                  <w:vAlign w:val="center"/>
                </w:tcPr>
                <w:p w14:paraId="62E4033E">
                  <w:pPr>
                    <w:autoSpaceDE w:val="0"/>
                    <w:autoSpaceDN w:val="0"/>
                    <w:jc w:val="center"/>
                    <w:rPr>
                      <w:b/>
                      <w:bCs/>
                      <w:color w:val="auto"/>
                      <w:szCs w:val="21"/>
                      <w:highlight w:val="none"/>
                    </w:rPr>
                  </w:pPr>
                  <w:bookmarkStart w:id="7" w:name="_Toc299498044"/>
                  <w:r>
                    <w:rPr>
                      <w:b/>
                      <w:bCs/>
                      <w:color w:val="auto"/>
                      <w:szCs w:val="21"/>
                      <w:highlight w:val="none"/>
                    </w:rPr>
                    <w:t>项目</w:t>
                  </w:r>
                  <w:bookmarkEnd w:id="7"/>
                </w:p>
              </w:tc>
              <w:tc>
                <w:tcPr>
                  <w:tcW w:w="1746" w:type="pct"/>
                  <w:vAlign w:val="center"/>
                </w:tcPr>
                <w:p w14:paraId="36580773">
                  <w:pPr>
                    <w:autoSpaceDE w:val="0"/>
                    <w:autoSpaceDN w:val="0"/>
                    <w:jc w:val="center"/>
                    <w:rPr>
                      <w:b/>
                      <w:bCs/>
                      <w:color w:val="auto"/>
                      <w:szCs w:val="21"/>
                      <w:highlight w:val="none"/>
                    </w:rPr>
                  </w:pPr>
                  <w:r>
                    <w:rPr>
                      <w:b/>
                      <w:bCs/>
                      <w:color w:val="auto"/>
                      <w:szCs w:val="21"/>
                      <w:highlight w:val="none"/>
                    </w:rPr>
                    <w:t>环保设施</w:t>
                  </w:r>
                </w:p>
              </w:tc>
              <w:tc>
                <w:tcPr>
                  <w:tcW w:w="444" w:type="pct"/>
                  <w:vAlign w:val="center"/>
                </w:tcPr>
                <w:p w14:paraId="4F8FA59B">
                  <w:pPr>
                    <w:autoSpaceDE w:val="0"/>
                    <w:autoSpaceDN w:val="0"/>
                    <w:jc w:val="center"/>
                    <w:rPr>
                      <w:b/>
                      <w:bCs/>
                      <w:color w:val="auto"/>
                      <w:szCs w:val="21"/>
                      <w:highlight w:val="none"/>
                    </w:rPr>
                  </w:pPr>
                  <w:bookmarkStart w:id="8" w:name="_Toc299498045"/>
                  <w:r>
                    <w:rPr>
                      <w:b/>
                      <w:bCs/>
                      <w:color w:val="auto"/>
                      <w:szCs w:val="21"/>
                      <w:highlight w:val="none"/>
                    </w:rPr>
                    <w:t>数量</w:t>
                  </w:r>
                  <w:bookmarkEnd w:id="8"/>
                </w:p>
              </w:tc>
              <w:tc>
                <w:tcPr>
                  <w:tcW w:w="808" w:type="pct"/>
                  <w:vAlign w:val="center"/>
                </w:tcPr>
                <w:p w14:paraId="728FF10B">
                  <w:pPr>
                    <w:autoSpaceDE w:val="0"/>
                    <w:autoSpaceDN w:val="0"/>
                    <w:jc w:val="center"/>
                    <w:rPr>
                      <w:b/>
                      <w:bCs/>
                      <w:color w:val="auto"/>
                      <w:szCs w:val="21"/>
                      <w:highlight w:val="none"/>
                    </w:rPr>
                  </w:pPr>
                  <w:bookmarkStart w:id="9" w:name="_Toc299498046"/>
                  <w:r>
                    <w:rPr>
                      <w:b/>
                      <w:bCs/>
                      <w:color w:val="auto"/>
                      <w:szCs w:val="21"/>
                      <w:highlight w:val="none"/>
                    </w:rPr>
                    <w:t>投资（万元）</w:t>
                  </w:r>
                  <w:bookmarkEnd w:id="9"/>
                </w:p>
              </w:tc>
            </w:tr>
            <w:tr w14:paraId="16AB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24" w:type="pct"/>
                  <w:vMerge w:val="restart"/>
                  <w:vAlign w:val="center"/>
                </w:tcPr>
                <w:p w14:paraId="1497A1DA">
                  <w:pPr>
                    <w:autoSpaceDE w:val="0"/>
                    <w:autoSpaceDN w:val="0"/>
                    <w:jc w:val="center"/>
                    <w:rPr>
                      <w:color w:val="auto"/>
                      <w:szCs w:val="21"/>
                      <w:highlight w:val="none"/>
                    </w:rPr>
                  </w:pPr>
                  <w:bookmarkStart w:id="10" w:name="_Toc299498075"/>
                  <w:bookmarkStart w:id="11" w:name="_Hlk232927954"/>
                  <w:r>
                    <w:rPr>
                      <w:rFonts w:hint="default"/>
                      <w:color w:val="auto"/>
                      <w:szCs w:val="21"/>
                      <w:highlight w:val="none"/>
                    </w:rPr>
                    <w:t>施工期</w:t>
                  </w:r>
                </w:p>
              </w:tc>
              <w:tc>
                <w:tcPr>
                  <w:tcW w:w="1476" w:type="pct"/>
                  <w:gridSpan w:val="2"/>
                  <w:vAlign w:val="center"/>
                </w:tcPr>
                <w:p w14:paraId="6CF3CAE1">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color w:val="auto"/>
                      <w:szCs w:val="21"/>
                      <w:highlight w:val="none"/>
                    </w:rPr>
                    <w:t>大气防治措施</w:t>
                  </w:r>
                </w:p>
              </w:tc>
              <w:tc>
                <w:tcPr>
                  <w:tcW w:w="1746" w:type="pct"/>
                  <w:vAlign w:val="center"/>
                </w:tcPr>
                <w:p w14:paraId="66A000D8">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施工材料覆盖、洒水降尘设施</w:t>
                  </w:r>
                </w:p>
              </w:tc>
              <w:tc>
                <w:tcPr>
                  <w:tcW w:w="444" w:type="pct"/>
                  <w:vAlign w:val="center"/>
                </w:tcPr>
                <w:p w14:paraId="10273897">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color w:val="auto"/>
                      <w:szCs w:val="21"/>
                      <w:highlight w:val="none"/>
                    </w:rPr>
                    <w:t>/</w:t>
                  </w:r>
                </w:p>
              </w:tc>
              <w:tc>
                <w:tcPr>
                  <w:tcW w:w="808" w:type="pct"/>
                  <w:vAlign w:val="center"/>
                </w:tcPr>
                <w:p w14:paraId="29DAE612">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0.5</w:t>
                  </w:r>
                </w:p>
              </w:tc>
            </w:tr>
            <w:tr w14:paraId="118C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24" w:type="pct"/>
                  <w:vMerge w:val="continue"/>
                  <w:vAlign w:val="center"/>
                </w:tcPr>
                <w:p w14:paraId="648018C7">
                  <w:pPr>
                    <w:autoSpaceDE w:val="0"/>
                    <w:autoSpaceDN w:val="0"/>
                    <w:jc w:val="center"/>
                    <w:rPr>
                      <w:color w:val="auto"/>
                      <w:szCs w:val="21"/>
                      <w:highlight w:val="none"/>
                    </w:rPr>
                  </w:pPr>
                </w:p>
              </w:tc>
              <w:tc>
                <w:tcPr>
                  <w:tcW w:w="1476" w:type="pct"/>
                  <w:gridSpan w:val="2"/>
                  <w:vAlign w:val="center"/>
                </w:tcPr>
                <w:p w14:paraId="25A9D678">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color w:val="auto"/>
                      <w:szCs w:val="21"/>
                      <w:highlight w:val="none"/>
                    </w:rPr>
                    <w:t>噪声防治措施</w:t>
                  </w:r>
                </w:p>
              </w:tc>
              <w:tc>
                <w:tcPr>
                  <w:tcW w:w="1746" w:type="pct"/>
                  <w:vAlign w:val="center"/>
                </w:tcPr>
                <w:p w14:paraId="2274062A">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Calibri" w:cs="Times New Roman"/>
                      <w:color w:val="auto"/>
                      <w:kern w:val="2"/>
                      <w:sz w:val="21"/>
                      <w:szCs w:val="21"/>
                      <w:highlight w:val="none"/>
                      <w:lang w:val="en-US" w:eastAsia="zh-CN" w:bidi="ar-SA"/>
                    </w:rPr>
                  </w:pPr>
                  <w:r>
                    <w:rPr>
                      <w:rFonts w:hint="default"/>
                      <w:color w:val="auto"/>
                      <w:szCs w:val="21"/>
                      <w:highlight w:val="none"/>
                    </w:rPr>
                    <w:t>选用低噪设备、减振垫、设禁鸣及减速标志牌、合理施工等</w:t>
                  </w:r>
                </w:p>
              </w:tc>
              <w:tc>
                <w:tcPr>
                  <w:tcW w:w="444" w:type="pct"/>
                  <w:vAlign w:val="center"/>
                </w:tcPr>
                <w:p w14:paraId="1C6C05CE">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color w:val="auto"/>
                      <w:szCs w:val="21"/>
                      <w:highlight w:val="none"/>
                    </w:rPr>
                    <w:t>/</w:t>
                  </w:r>
                </w:p>
              </w:tc>
              <w:tc>
                <w:tcPr>
                  <w:tcW w:w="808" w:type="pct"/>
                  <w:vAlign w:val="center"/>
                </w:tcPr>
                <w:p w14:paraId="2E19E50C">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0.5</w:t>
                  </w:r>
                </w:p>
              </w:tc>
            </w:tr>
            <w:tr w14:paraId="4682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24" w:type="pct"/>
                  <w:vMerge w:val="continue"/>
                  <w:vAlign w:val="center"/>
                </w:tcPr>
                <w:p w14:paraId="7B4E8DA9">
                  <w:pPr>
                    <w:autoSpaceDE w:val="0"/>
                    <w:autoSpaceDN w:val="0"/>
                    <w:jc w:val="center"/>
                    <w:rPr>
                      <w:color w:val="auto"/>
                      <w:szCs w:val="21"/>
                      <w:highlight w:val="none"/>
                    </w:rPr>
                  </w:pPr>
                </w:p>
              </w:tc>
              <w:tc>
                <w:tcPr>
                  <w:tcW w:w="1476" w:type="pct"/>
                  <w:gridSpan w:val="2"/>
                  <w:vAlign w:val="center"/>
                </w:tcPr>
                <w:p w14:paraId="16DE252A">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color w:val="auto"/>
                      <w:szCs w:val="21"/>
                      <w:highlight w:val="none"/>
                    </w:rPr>
                    <w:t>固废防治措施</w:t>
                  </w:r>
                </w:p>
              </w:tc>
              <w:tc>
                <w:tcPr>
                  <w:tcW w:w="1746" w:type="pct"/>
                  <w:vAlign w:val="center"/>
                </w:tcPr>
                <w:p w14:paraId="3CC45AF7">
                  <w:pPr>
                    <w:keepNext w:val="0"/>
                    <w:keepLines w:val="0"/>
                    <w:suppressLineNumbers w:val="0"/>
                    <w:autoSpaceDE w:val="0"/>
                    <w:autoSpaceDN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default"/>
                      <w:color w:val="auto"/>
                      <w:szCs w:val="21"/>
                      <w:highlight w:val="none"/>
                    </w:rPr>
                    <w:t>施工建筑垃圾</w:t>
                  </w:r>
                  <w:r>
                    <w:rPr>
                      <w:rFonts w:hint="eastAsia"/>
                      <w:color w:val="auto"/>
                      <w:szCs w:val="21"/>
                      <w:highlight w:val="none"/>
                      <w:lang w:val="en-US" w:eastAsia="zh-CN"/>
                    </w:rPr>
                    <w:t>及时清运至指定位置；</w:t>
                  </w:r>
                  <w:r>
                    <w:rPr>
                      <w:rFonts w:hint="default"/>
                      <w:color w:val="auto"/>
                      <w:szCs w:val="21"/>
                      <w:highlight w:val="none"/>
                    </w:rPr>
                    <w:t>生活垃圾及时清运</w:t>
                  </w:r>
                  <w:r>
                    <w:rPr>
                      <w:rFonts w:hint="eastAsia"/>
                      <w:color w:val="auto"/>
                      <w:szCs w:val="21"/>
                      <w:highlight w:val="none"/>
                      <w:lang w:eastAsia="zh-CN"/>
                    </w:rPr>
                    <w:t>。</w:t>
                  </w:r>
                </w:p>
              </w:tc>
              <w:tc>
                <w:tcPr>
                  <w:tcW w:w="444" w:type="pct"/>
                  <w:vAlign w:val="center"/>
                </w:tcPr>
                <w:p w14:paraId="1F24FEBF">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color w:val="auto"/>
                      <w:szCs w:val="21"/>
                      <w:highlight w:val="none"/>
                    </w:rPr>
                    <w:t>/</w:t>
                  </w:r>
                </w:p>
              </w:tc>
              <w:tc>
                <w:tcPr>
                  <w:tcW w:w="808" w:type="pct"/>
                  <w:vAlign w:val="center"/>
                </w:tcPr>
                <w:p w14:paraId="656B46C4">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0.5</w:t>
                  </w:r>
                </w:p>
              </w:tc>
            </w:tr>
            <w:bookmarkEnd w:id="10"/>
            <w:tr w14:paraId="2C5C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24" w:type="pct"/>
                  <w:vMerge w:val="restart"/>
                  <w:vAlign w:val="center"/>
                </w:tcPr>
                <w:p w14:paraId="10DDBBB7">
                  <w:pPr>
                    <w:autoSpaceDE w:val="0"/>
                    <w:autoSpaceDN w:val="0"/>
                    <w:jc w:val="center"/>
                    <w:rPr>
                      <w:color w:val="auto"/>
                      <w:szCs w:val="21"/>
                      <w:highlight w:val="none"/>
                    </w:rPr>
                  </w:pPr>
                  <w:r>
                    <w:rPr>
                      <w:color w:val="auto"/>
                      <w:szCs w:val="21"/>
                      <w:highlight w:val="none"/>
                    </w:rPr>
                    <w:t>营运期</w:t>
                  </w:r>
                </w:p>
              </w:tc>
              <w:tc>
                <w:tcPr>
                  <w:tcW w:w="462" w:type="pct"/>
                  <w:vMerge w:val="restart"/>
                  <w:vAlign w:val="center"/>
                </w:tcPr>
                <w:p w14:paraId="4580E223">
                  <w:pPr>
                    <w:autoSpaceDE w:val="0"/>
                    <w:autoSpaceDN w:val="0"/>
                    <w:jc w:val="center"/>
                    <w:rPr>
                      <w:rFonts w:hint="default" w:eastAsia="宋体"/>
                      <w:color w:val="auto"/>
                      <w:szCs w:val="21"/>
                      <w:highlight w:val="none"/>
                      <w:lang w:val="en-US" w:eastAsia="zh-CN"/>
                    </w:rPr>
                  </w:pPr>
                  <w:r>
                    <w:rPr>
                      <w:rFonts w:hint="eastAsia"/>
                      <w:color w:val="auto"/>
                      <w:szCs w:val="21"/>
                      <w:highlight w:val="none"/>
                      <w:lang w:val="en-US" w:eastAsia="zh-CN"/>
                    </w:rPr>
                    <w:t>废气处理</w:t>
                  </w:r>
                </w:p>
              </w:tc>
              <w:tc>
                <w:tcPr>
                  <w:tcW w:w="1013" w:type="pct"/>
                  <w:vAlign w:val="center"/>
                </w:tcPr>
                <w:p w14:paraId="71F090B9">
                  <w:pPr>
                    <w:autoSpaceDE w:val="0"/>
                    <w:autoSpaceDN w:val="0"/>
                    <w:jc w:val="center"/>
                    <w:rPr>
                      <w:rFonts w:hint="default" w:eastAsia="宋体"/>
                      <w:color w:val="auto"/>
                      <w:szCs w:val="21"/>
                      <w:highlight w:val="none"/>
                      <w:lang w:val="en-US" w:eastAsia="zh-CN"/>
                    </w:rPr>
                  </w:pPr>
                  <w:r>
                    <w:rPr>
                      <w:rFonts w:hint="eastAsia"/>
                      <w:color w:val="auto"/>
                      <w:szCs w:val="21"/>
                      <w:highlight w:val="none"/>
                      <w:lang w:val="en-US" w:eastAsia="zh-CN"/>
                    </w:rPr>
                    <w:t>塑料废气（以非甲烷总烃计）</w:t>
                  </w:r>
                </w:p>
              </w:tc>
              <w:tc>
                <w:tcPr>
                  <w:tcW w:w="1746" w:type="pct"/>
                  <w:vAlign w:val="center"/>
                </w:tcPr>
                <w:p w14:paraId="6D238E98">
                  <w:pPr>
                    <w:pStyle w:val="79"/>
                    <w:jc w:val="center"/>
                    <w:rPr>
                      <w:rFonts w:hint="default" w:eastAsia="宋体"/>
                      <w:color w:val="auto"/>
                      <w:szCs w:val="21"/>
                      <w:highlight w:val="none"/>
                      <w:lang w:val="en-US" w:eastAsia="zh-CN"/>
                    </w:rPr>
                  </w:pPr>
                  <w:r>
                    <w:rPr>
                      <w:rFonts w:hint="eastAsia" w:cs="Times New Roman"/>
                      <w:color w:val="auto"/>
                      <w:sz w:val="21"/>
                      <w:szCs w:val="21"/>
                      <w:highlight w:val="none"/>
                      <w:lang w:val="en-US" w:eastAsia="zh-CN"/>
                    </w:rPr>
                    <w:t>塑料</w:t>
                  </w:r>
                  <w:r>
                    <w:rPr>
                      <w:rFonts w:hint="default" w:ascii="Times New Roman" w:hAnsi="Times New Roman" w:eastAsia="宋体" w:cs="Times New Roman"/>
                      <w:color w:val="auto"/>
                      <w:sz w:val="21"/>
                      <w:szCs w:val="21"/>
                      <w:highlight w:val="none"/>
                      <w:lang w:val="en-US" w:eastAsia="zh-CN"/>
                    </w:rPr>
                    <w:t>废气产污节点主要为模具成型、超声波焊接工序，共设置</w:t>
                  </w: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套包围型集气罩（含软帘），对各产污点位实行</w:t>
                  </w:r>
                  <w:r>
                    <w:rPr>
                      <w:rFonts w:hint="eastAsia" w:cs="Times New Roman"/>
                      <w:color w:val="auto"/>
                      <w:sz w:val="21"/>
                      <w:szCs w:val="21"/>
                      <w:highlight w:val="none"/>
                      <w:lang w:val="en-US" w:eastAsia="zh-CN"/>
                    </w:rPr>
                    <w:t>废气</w:t>
                  </w:r>
                  <w:r>
                    <w:rPr>
                      <w:rFonts w:hint="default" w:ascii="Times New Roman" w:hAnsi="Times New Roman" w:eastAsia="宋体" w:cs="Times New Roman"/>
                      <w:color w:val="auto"/>
                      <w:sz w:val="21"/>
                      <w:szCs w:val="21"/>
                      <w:highlight w:val="none"/>
                      <w:lang w:val="en-US" w:eastAsia="zh-CN"/>
                    </w:rPr>
                    <w:t>收集</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收集后的废气经管道汇总进入1套废气处理设施（活性炭吸附浓缩+CO处理工艺）（TA001）进行处理，处理后通过1根</w:t>
                  </w:r>
                  <w:r>
                    <w:rPr>
                      <w:rFonts w:hint="eastAsia"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lang w:val="en-US" w:eastAsia="zh-CN"/>
                    </w:rPr>
                    <w:t>m高排气筒排放（DA001）。</w:t>
                  </w:r>
                </w:p>
              </w:tc>
              <w:tc>
                <w:tcPr>
                  <w:tcW w:w="444" w:type="pct"/>
                  <w:vAlign w:val="center"/>
                </w:tcPr>
                <w:p w14:paraId="36CD4E37">
                  <w:pPr>
                    <w:autoSpaceDE w:val="0"/>
                    <w:autoSpaceDN w:val="0"/>
                    <w:jc w:val="center"/>
                    <w:rPr>
                      <w:rFonts w:hint="default" w:eastAsia="宋体"/>
                      <w:color w:val="auto"/>
                      <w:szCs w:val="21"/>
                      <w:highlight w:val="none"/>
                      <w:lang w:val="en-US" w:eastAsia="zh-CN"/>
                    </w:rPr>
                  </w:pPr>
                  <w:r>
                    <w:rPr>
                      <w:rFonts w:hint="eastAsia"/>
                      <w:color w:val="auto"/>
                      <w:szCs w:val="21"/>
                      <w:highlight w:val="none"/>
                      <w:lang w:val="en-US" w:eastAsia="zh-CN"/>
                    </w:rPr>
                    <w:t>1套</w:t>
                  </w:r>
                </w:p>
              </w:tc>
              <w:tc>
                <w:tcPr>
                  <w:tcW w:w="808" w:type="pct"/>
                  <w:vAlign w:val="center"/>
                </w:tcPr>
                <w:p w14:paraId="11679E9E">
                  <w:pPr>
                    <w:autoSpaceDE w:val="0"/>
                    <w:autoSpaceDN w:val="0"/>
                    <w:jc w:val="center"/>
                    <w:rPr>
                      <w:rFonts w:hint="default" w:eastAsia="宋体"/>
                      <w:color w:val="auto"/>
                      <w:szCs w:val="21"/>
                      <w:highlight w:val="none"/>
                      <w:lang w:val="en-US" w:eastAsia="zh-CN"/>
                    </w:rPr>
                  </w:pPr>
                  <w:r>
                    <w:rPr>
                      <w:rFonts w:hint="eastAsia"/>
                      <w:color w:val="auto"/>
                      <w:szCs w:val="21"/>
                      <w:highlight w:val="none"/>
                      <w:lang w:val="en-US" w:eastAsia="zh-CN"/>
                    </w:rPr>
                    <w:t>23</w:t>
                  </w:r>
                </w:p>
              </w:tc>
            </w:tr>
            <w:tr w14:paraId="5E238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24" w:type="pct"/>
                  <w:vMerge w:val="continue"/>
                  <w:vAlign w:val="center"/>
                </w:tcPr>
                <w:p w14:paraId="45AFF0E1">
                  <w:pPr>
                    <w:autoSpaceDE w:val="0"/>
                    <w:autoSpaceDN w:val="0"/>
                    <w:jc w:val="center"/>
                    <w:rPr>
                      <w:color w:val="auto"/>
                      <w:szCs w:val="21"/>
                      <w:highlight w:val="none"/>
                    </w:rPr>
                  </w:pPr>
                </w:p>
              </w:tc>
              <w:tc>
                <w:tcPr>
                  <w:tcW w:w="462" w:type="pct"/>
                  <w:vMerge w:val="continue"/>
                  <w:vAlign w:val="center"/>
                </w:tcPr>
                <w:p w14:paraId="549831CB">
                  <w:pPr>
                    <w:autoSpaceDE w:val="0"/>
                    <w:autoSpaceDN w:val="0"/>
                    <w:jc w:val="center"/>
                    <w:rPr>
                      <w:rFonts w:hint="eastAsia"/>
                      <w:color w:val="auto"/>
                      <w:szCs w:val="21"/>
                      <w:highlight w:val="none"/>
                      <w:lang w:val="en-US" w:eastAsia="zh-CN"/>
                    </w:rPr>
                  </w:pPr>
                </w:p>
              </w:tc>
              <w:tc>
                <w:tcPr>
                  <w:tcW w:w="1013" w:type="pct"/>
                  <w:vAlign w:val="center"/>
                </w:tcPr>
                <w:p w14:paraId="64CE636A">
                  <w:pPr>
                    <w:autoSpaceDE w:val="0"/>
                    <w:autoSpaceDN w:val="0"/>
                    <w:jc w:val="center"/>
                    <w:rPr>
                      <w:rFonts w:hint="default"/>
                      <w:color w:val="auto"/>
                      <w:szCs w:val="21"/>
                      <w:highlight w:val="none"/>
                      <w:lang w:val="en-US" w:eastAsia="zh-CN"/>
                    </w:rPr>
                  </w:pPr>
                  <w:r>
                    <w:rPr>
                      <w:rFonts w:hint="eastAsia"/>
                      <w:color w:val="auto"/>
                      <w:szCs w:val="21"/>
                      <w:highlight w:val="none"/>
                      <w:lang w:val="en-US" w:eastAsia="zh-CN"/>
                    </w:rPr>
                    <w:t>印刷废气（以非甲烷总烃计）</w:t>
                  </w:r>
                </w:p>
              </w:tc>
              <w:tc>
                <w:tcPr>
                  <w:tcW w:w="1746" w:type="pct"/>
                  <w:vAlign w:val="center"/>
                </w:tcPr>
                <w:p w14:paraId="560CBB26">
                  <w:pPr>
                    <w:pStyle w:val="79"/>
                    <w:jc w:val="center"/>
                    <w:rPr>
                      <w:rFonts w:hint="eastAsia"/>
                      <w:color w:val="auto"/>
                      <w:szCs w:val="21"/>
                      <w:highlight w:val="none"/>
                      <w:lang w:val="en-US" w:eastAsia="zh-CN"/>
                    </w:rPr>
                  </w:pPr>
                  <w:r>
                    <w:rPr>
                      <w:rFonts w:hint="eastAsia" w:cs="Times New Roman"/>
                      <w:color w:val="auto"/>
                      <w:sz w:val="21"/>
                      <w:szCs w:val="21"/>
                      <w:highlight w:val="none"/>
                      <w:lang w:val="en-US" w:eastAsia="zh-CN"/>
                    </w:rPr>
                    <w:t>印刷</w:t>
                  </w:r>
                  <w:r>
                    <w:rPr>
                      <w:rFonts w:hint="default" w:ascii="Times New Roman" w:hAnsi="Times New Roman" w:eastAsia="宋体" w:cs="Times New Roman"/>
                      <w:color w:val="auto"/>
                      <w:sz w:val="21"/>
                      <w:szCs w:val="21"/>
                      <w:highlight w:val="none"/>
                      <w:lang w:val="en-US" w:eastAsia="zh-CN"/>
                    </w:rPr>
                    <w:t>产污节点为柔板水墨印刷，设置</w:t>
                  </w:r>
                  <w:r>
                    <w:rPr>
                      <w:rFonts w:hint="eastAsia"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套包围型集气罩（含软帘），对产污点位实行废气收集，收集后的废气经管道汇总进入1套废气处理设施（</w:t>
                  </w:r>
                  <w:r>
                    <w:rPr>
                      <w:rFonts w:hint="eastAsia" w:cs="Times New Roman"/>
                      <w:color w:val="auto"/>
                      <w:sz w:val="21"/>
                      <w:szCs w:val="21"/>
                      <w:highlight w:val="none"/>
                      <w:lang w:val="en-US" w:eastAsia="zh-CN"/>
                    </w:rPr>
                    <w:t>二级</w:t>
                  </w:r>
                  <w:r>
                    <w:rPr>
                      <w:rFonts w:hint="default" w:ascii="Times New Roman" w:hAnsi="Times New Roman" w:eastAsia="宋体" w:cs="Times New Roman"/>
                      <w:color w:val="auto"/>
                      <w:sz w:val="21"/>
                      <w:szCs w:val="21"/>
                      <w:highlight w:val="none"/>
                      <w:lang w:val="en-US" w:eastAsia="zh-CN"/>
                    </w:rPr>
                    <w:t>活性炭吸附）（TA00</w:t>
                  </w:r>
                  <w:r>
                    <w:rPr>
                      <w:rFonts w:hint="eastAsia"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）进行处理，处理后通过1根20m高排气筒排放（DA00</w:t>
                  </w:r>
                  <w:r>
                    <w:rPr>
                      <w:rFonts w:hint="eastAsia"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w:t>
                  </w:r>
                </w:p>
              </w:tc>
              <w:tc>
                <w:tcPr>
                  <w:tcW w:w="444" w:type="pct"/>
                  <w:vAlign w:val="center"/>
                </w:tcPr>
                <w:p w14:paraId="40463A7B">
                  <w:pPr>
                    <w:autoSpaceDE w:val="0"/>
                    <w:autoSpaceDN w:val="0"/>
                    <w:jc w:val="center"/>
                    <w:rPr>
                      <w:rFonts w:hint="default"/>
                      <w:color w:val="auto"/>
                      <w:szCs w:val="21"/>
                      <w:highlight w:val="none"/>
                      <w:lang w:val="en-US" w:eastAsia="zh-CN"/>
                    </w:rPr>
                  </w:pPr>
                  <w:r>
                    <w:rPr>
                      <w:rFonts w:hint="eastAsia"/>
                      <w:color w:val="auto"/>
                      <w:szCs w:val="21"/>
                      <w:highlight w:val="none"/>
                      <w:lang w:val="en-US" w:eastAsia="zh-CN"/>
                    </w:rPr>
                    <w:t>1套</w:t>
                  </w:r>
                </w:p>
              </w:tc>
              <w:tc>
                <w:tcPr>
                  <w:tcW w:w="808" w:type="pct"/>
                  <w:vAlign w:val="center"/>
                </w:tcPr>
                <w:p w14:paraId="7BDB0C26">
                  <w:pPr>
                    <w:autoSpaceDE w:val="0"/>
                    <w:autoSpaceDN w:val="0"/>
                    <w:jc w:val="center"/>
                    <w:rPr>
                      <w:rFonts w:hint="default"/>
                      <w:color w:val="auto"/>
                      <w:szCs w:val="21"/>
                      <w:highlight w:val="none"/>
                      <w:lang w:val="en-US" w:eastAsia="zh-CN"/>
                    </w:rPr>
                  </w:pPr>
                  <w:r>
                    <w:rPr>
                      <w:rFonts w:hint="eastAsia"/>
                      <w:color w:val="auto"/>
                      <w:szCs w:val="21"/>
                      <w:highlight w:val="none"/>
                      <w:lang w:val="en-US" w:eastAsia="zh-CN"/>
                    </w:rPr>
                    <w:t>10</w:t>
                  </w:r>
                </w:p>
              </w:tc>
            </w:tr>
            <w:tr w14:paraId="00817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24" w:type="pct"/>
                  <w:vMerge w:val="continue"/>
                  <w:vAlign w:val="center"/>
                </w:tcPr>
                <w:p w14:paraId="21527A58">
                  <w:pPr>
                    <w:autoSpaceDE w:val="0"/>
                    <w:autoSpaceDN w:val="0"/>
                    <w:jc w:val="center"/>
                    <w:rPr>
                      <w:color w:val="auto"/>
                      <w:szCs w:val="21"/>
                      <w:highlight w:val="none"/>
                    </w:rPr>
                  </w:pPr>
                </w:p>
              </w:tc>
              <w:tc>
                <w:tcPr>
                  <w:tcW w:w="1476" w:type="pct"/>
                  <w:gridSpan w:val="2"/>
                  <w:vAlign w:val="center"/>
                </w:tcPr>
                <w:p w14:paraId="35765304">
                  <w:pPr>
                    <w:autoSpaceDE w:val="0"/>
                    <w:autoSpaceDN w:val="0"/>
                    <w:jc w:val="center"/>
                    <w:rPr>
                      <w:color w:val="auto"/>
                      <w:szCs w:val="21"/>
                      <w:highlight w:val="none"/>
                    </w:rPr>
                  </w:pPr>
                  <w:r>
                    <w:rPr>
                      <w:color w:val="auto"/>
                      <w:szCs w:val="21"/>
                      <w:highlight w:val="none"/>
                    </w:rPr>
                    <w:t>噪声防治措施</w:t>
                  </w:r>
                </w:p>
              </w:tc>
              <w:tc>
                <w:tcPr>
                  <w:tcW w:w="1746" w:type="pct"/>
                  <w:vAlign w:val="center"/>
                </w:tcPr>
                <w:p w14:paraId="3A536055">
                  <w:pPr>
                    <w:autoSpaceDE w:val="0"/>
                    <w:autoSpaceDN w:val="0"/>
                    <w:jc w:val="center"/>
                    <w:rPr>
                      <w:color w:val="auto"/>
                      <w:szCs w:val="21"/>
                      <w:highlight w:val="none"/>
                    </w:rPr>
                  </w:pPr>
                  <w:r>
                    <w:rPr>
                      <w:rFonts w:hint="eastAsia"/>
                      <w:color w:val="auto"/>
                      <w:szCs w:val="21"/>
                      <w:highlight w:val="none"/>
                    </w:rPr>
                    <w:t>厂房隔声，基础减振，产生气流噪声的噪声源加装消声器</w:t>
                  </w:r>
                </w:p>
              </w:tc>
              <w:tc>
                <w:tcPr>
                  <w:tcW w:w="444" w:type="pct"/>
                  <w:vAlign w:val="center"/>
                </w:tcPr>
                <w:p w14:paraId="1F960D55">
                  <w:pPr>
                    <w:autoSpaceDE w:val="0"/>
                    <w:autoSpaceDN w:val="0"/>
                    <w:jc w:val="center"/>
                    <w:rPr>
                      <w:rFonts w:eastAsia="Calibri"/>
                      <w:color w:val="auto"/>
                      <w:szCs w:val="21"/>
                      <w:highlight w:val="none"/>
                    </w:rPr>
                  </w:pPr>
                  <w:r>
                    <w:rPr>
                      <w:color w:val="auto"/>
                      <w:szCs w:val="21"/>
                      <w:highlight w:val="none"/>
                    </w:rPr>
                    <w:t>/</w:t>
                  </w:r>
                </w:p>
              </w:tc>
              <w:tc>
                <w:tcPr>
                  <w:tcW w:w="808" w:type="pct"/>
                  <w:vAlign w:val="center"/>
                </w:tcPr>
                <w:p w14:paraId="2DCD0F39">
                  <w:pPr>
                    <w:autoSpaceDE w:val="0"/>
                    <w:autoSpaceDN w:val="0"/>
                    <w:jc w:val="center"/>
                    <w:rPr>
                      <w:rFonts w:hint="default" w:eastAsia="宋体"/>
                      <w:color w:val="auto"/>
                      <w:szCs w:val="21"/>
                      <w:highlight w:val="none"/>
                      <w:lang w:val="en-US" w:eastAsia="zh-CN"/>
                    </w:rPr>
                  </w:pPr>
                  <w:r>
                    <w:rPr>
                      <w:rFonts w:hint="eastAsia"/>
                      <w:color w:val="auto"/>
                      <w:szCs w:val="21"/>
                      <w:highlight w:val="none"/>
                      <w:lang w:val="en-US" w:eastAsia="zh-CN"/>
                    </w:rPr>
                    <w:t>1</w:t>
                  </w:r>
                </w:p>
              </w:tc>
            </w:tr>
            <w:tr w14:paraId="1CAF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24" w:type="pct"/>
                  <w:vMerge w:val="continue"/>
                  <w:vAlign w:val="center"/>
                </w:tcPr>
                <w:p w14:paraId="225675DC">
                  <w:pPr>
                    <w:autoSpaceDE w:val="0"/>
                    <w:autoSpaceDN w:val="0"/>
                    <w:jc w:val="center"/>
                    <w:rPr>
                      <w:color w:val="auto"/>
                      <w:szCs w:val="21"/>
                      <w:highlight w:val="none"/>
                    </w:rPr>
                  </w:pPr>
                </w:p>
              </w:tc>
              <w:tc>
                <w:tcPr>
                  <w:tcW w:w="462" w:type="pct"/>
                  <w:vMerge w:val="restart"/>
                  <w:vAlign w:val="center"/>
                </w:tcPr>
                <w:p w14:paraId="07D4CB1F">
                  <w:pPr>
                    <w:autoSpaceDE w:val="0"/>
                    <w:autoSpaceDN w:val="0"/>
                    <w:jc w:val="center"/>
                    <w:rPr>
                      <w:color w:val="auto"/>
                      <w:szCs w:val="21"/>
                      <w:highlight w:val="none"/>
                    </w:rPr>
                  </w:pPr>
                  <w:r>
                    <w:rPr>
                      <w:rFonts w:hint="eastAsia"/>
                      <w:color w:val="auto"/>
                      <w:szCs w:val="21"/>
                      <w:highlight w:val="none"/>
                    </w:rPr>
                    <w:t>固废</w:t>
                  </w:r>
                </w:p>
              </w:tc>
              <w:tc>
                <w:tcPr>
                  <w:tcW w:w="1013" w:type="pct"/>
                  <w:vAlign w:val="center"/>
                </w:tcPr>
                <w:p w14:paraId="574701B2">
                  <w:pPr>
                    <w:autoSpaceDE w:val="0"/>
                    <w:autoSpaceDN w:val="0"/>
                    <w:jc w:val="center"/>
                    <w:rPr>
                      <w:rFonts w:hint="default" w:eastAsia="宋体"/>
                      <w:color w:val="auto"/>
                      <w:szCs w:val="21"/>
                      <w:highlight w:val="none"/>
                      <w:lang w:val="en-US" w:eastAsia="zh-CN"/>
                    </w:rPr>
                  </w:pPr>
                  <w:r>
                    <w:rPr>
                      <w:rFonts w:hint="eastAsia"/>
                      <w:color w:val="auto"/>
                      <w:szCs w:val="21"/>
                      <w:highlight w:val="none"/>
                      <w:lang w:val="en-US" w:eastAsia="zh-CN"/>
                    </w:rPr>
                    <w:t>生活垃圾</w:t>
                  </w:r>
                </w:p>
              </w:tc>
              <w:tc>
                <w:tcPr>
                  <w:tcW w:w="1746" w:type="pct"/>
                  <w:vAlign w:val="center"/>
                </w:tcPr>
                <w:p w14:paraId="3E4F6E2C">
                  <w:pPr>
                    <w:autoSpaceDE w:val="0"/>
                    <w:autoSpaceDN w:val="0"/>
                    <w:jc w:val="center"/>
                    <w:rPr>
                      <w:rFonts w:hint="default" w:eastAsia="宋体"/>
                      <w:color w:val="auto"/>
                      <w:szCs w:val="21"/>
                      <w:highlight w:val="none"/>
                      <w:lang w:val="en-US" w:eastAsia="zh-CN"/>
                    </w:rPr>
                  </w:pPr>
                  <w:r>
                    <w:rPr>
                      <w:rFonts w:hint="default" w:eastAsia="宋体"/>
                      <w:color w:val="auto"/>
                      <w:szCs w:val="21"/>
                      <w:highlight w:val="none"/>
                      <w:lang w:val="en-US" w:eastAsia="zh-CN"/>
                    </w:rPr>
                    <w:t>垃圾箱</w:t>
                  </w:r>
                </w:p>
              </w:tc>
              <w:tc>
                <w:tcPr>
                  <w:tcW w:w="444" w:type="pct"/>
                  <w:vAlign w:val="center"/>
                </w:tcPr>
                <w:p w14:paraId="63B33123">
                  <w:pPr>
                    <w:autoSpaceDE w:val="0"/>
                    <w:autoSpaceDN w:val="0"/>
                    <w:jc w:val="center"/>
                    <w:rPr>
                      <w:rFonts w:hint="eastAsia" w:eastAsia="宋体"/>
                      <w:color w:val="auto"/>
                      <w:szCs w:val="21"/>
                      <w:highlight w:val="none"/>
                      <w:lang w:val="en-US" w:eastAsia="zh-CN"/>
                    </w:rPr>
                  </w:pPr>
                  <w:r>
                    <w:rPr>
                      <w:color w:val="auto"/>
                      <w:szCs w:val="21"/>
                      <w:highlight w:val="none"/>
                    </w:rPr>
                    <w:t>1</w:t>
                  </w:r>
                  <w:r>
                    <w:rPr>
                      <w:rFonts w:hint="eastAsia"/>
                      <w:color w:val="auto"/>
                      <w:szCs w:val="21"/>
                      <w:highlight w:val="none"/>
                      <w:lang w:val="en-US" w:eastAsia="zh-CN"/>
                    </w:rPr>
                    <w:t>个</w:t>
                  </w:r>
                </w:p>
              </w:tc>
              <w:tc>
                <w:tcPr>
                  <w:tcW w:w="808" w:type="pct"/>
                  <w:vAlign w:val="center"/>
                </w:tcPr>
                <w:p w14:paraId="1F42863E">
                  <w:pPr>
                    <w:autoSpaceDE w:val="0"/>
                    <w:autoSpaceDN w:val="0"/>
                    <w:jc w:val="center"/>
                    <w:rPr>
                      <w:rFonts w:hint="default" w:eastAsia="宋体"/>
                      <w:color w:val="auto"/>
                      <w:szCs w:val="21"/>
                      <w:highlight w:val="none"/>
                      <w:lang w:val="en-US" w:eastAsia="zh-CN"/>
                    </w:rPr>
                  </w:pPr>
                  <w:r>
                    <w:rPr>
                      <w:rFonts w:hint="eastAsia"/>
                      <w:color w:val="auto"/>
                      <w:szCs w:val="21"/>
                      <w:highlight w:val="none"/>
                      <w:lang w:val="en-US" w:eastAsia="zh-CN"/>
                    </w:rPr>
                    <w:t>0.1</w:t>
                  </w:r>
                </w:p>
              </w:tc>
            </w:tr>
            <w:tr w14:paraId="1DC8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24" w:type="pct"/>
                  <w:vMerge w:val="continue"/>
                  <w:vAlign w:val="center"/>
                </w:tcPr>
                <w:p w14:paraId="3C25C020">
                  <w:pPr>
                    <w:autoSpaceDE w:val="0"/>
                    <w:autoSpaceDN w:val="0"/>
                    <w:jc w:val="center"/>
                    <w:rPr>
                      <w:color w:val="auto"/>
                      <w:szCs w:val="21"/>
                      <w:highlight w:val="none"/>
                    </w:rPr>
                  </w:pPr>
                  <w:bookmarkStart w:id="12" w:name="_Toc299498102"/>
                </w:p>
              </w:tc>
              <w:tc>
                <w:tcPr>
                  <w:tcW w:w="462" w:type="pct"/>
                  <w:vMerge w:val="continue"/>
                  <w:vAlign w:val="center"/>
                </w:tcPr>
                <w:p w14:paraId="28813543">
                  <w:pPr>
                    <w:autoSpaceDE w:val="0"/>
                    <w:autoSpaceDN w:val="0"/>
                    <w:jc w:val="center"/>
                    <w:rPr>
                      <w:rFonts w:hint="eastAsia"/>
                      <w:color w:val="auto"/>
                      <w:szCs w:val="21"/>
                      <w:highlight w:val="none"/>
                    </w:rPr>
                  </w:pPr>
                </w:p>
              </w:tc>
              <w:tc>
                <w:tcPr>
                  <w:tcW w:w="1013" w:type="pct"/>
                  <w:vAlign w:val="center"/>
                </w:tcPr>
                <w:p w14:paraId="44835AAE">
                  <w:pPr>
                    <w:autoSpaceDE w:val="0"/>
                    <w:autoSpaceDN w:val="0"/>
                    <w:jc w:val="center"/>
                    <w:rPr>
                      <w:rFonts w:hint="default" w:eastAsia="宋体"/>
                      <w:color w:val="auto"/>
                      <w:szCs w:val="21"/>
                      <w:highlight w:val="none"/>
                      <w:lang w:val="en-US" w:eastAsia="zh-CN"/>
                    </w:rPr>
                  </w:pPr>
                  <w:r>
                    <w:rPr>
                      <w:rFonts w:hint="eastAsia"/>
                      <w:color w:val="auto"/>
                      <w:szCs w:val="21"/>
                      <w:highlight w:val="none"/>
                      <w:lang w:val="en-US" w:eastAsia="zh-CN"/>
                    </w:rPr>
                    <w:t>一般固废暂存间</w:t>
                  </w:r>
                </w:p>
              </w:tc>
              <w:tc>
                <w:tcPr>
                  <w:tcW w:w="1746" w:type="pct"/>
                  <w:vAlign w:val="center"/>
                </w:tcPr>
                <w:p w14:paraId="187F5ABE">
                  <w:pPr>
                    <w:autoSpaceDE w:val="0"/>
                    <w:autoSpaceDN w:val="0"/>
                    <w:jc w:val="center"/>
                    <w:rPr>
                      <w:rFonts w:hint="default"/>
                      <w:color w:val="auto"/>
                      <w:szCs w:val="21"/>
                      <w:highlight w:val="none"/>
                      <w:lang w:val="en-US" w:eastAsia="zh-CN"/>
                    </w:rPr>
                  </w:pPr>
                  <w:r>
                    <w:rPr>
                      <w:rFonts w:hint="eastAsia"/>
                      <w:color w:val="auto"/>
                      <w:szCs w:val="21"/>
                      <w:highlight w:val="none"/>
                      <w:lang w:val="en-US" w:eastAsia="zh-CN"/>
                    </w:rPr>
                    <w:t>建筑面积10㎡，满足一般防渗系数要求</w:t>
                  </w:r>
                </w:p>
              </w:tc>
              <w:tc>
                <w:tcPr>
                  <w:tcW w:w="444" w:type="pct"/>
                  <w:vAlign w:val="center"/>
                </w:tcPr>
                <w:p w14:paraId="010C5C6F">
                  <w:pPr>
                    <w:autoSpaceDE w:val="0"/>
                    <w:autoSpaceDN w:val="0"/>
                    <w:jc w:val="center"/>
                    <w:rPr>
                      <w:rFonts w:hint="default" w:eastAsia="宋体"/>
                      <w:color w:val="auto"/>
                      <w:szCs w:val="21"/>
                      <w:highlight w:val="none"/>
                      <w:lang w:val="en-US" w:eastAsia="zh-CN"/>
                    </w:rPr>
                  </w:pPr>
                  <w:r>
                    <w:rPr>
                      <w:rFonts w:hint="eastAsia"/>
                      <w:color w:val="auto"/>
                      <w:szCs w:val="21"/>
                      <w:highlight w:val="none"/>
                      <w:lang w:val="en-US" w:eastAsia="zh-CN"/>
                    </w:rPr>
                    <w:t>1间</w:t>
                  </w:r>
                </w:p>
              </w:tc>
              <w:tc>
                <w:tcPr>
                  <w:tcW w:w="808" w:type="pct"/>
                  <w:vAlign w:val="center"/>
                </w:tcPr>
                <w:p w14:paraId="0585CCE0">
                  <w:pPr>
                    <w:autoSpaceDE w:val="0"/>
                    <w:autoSpaceDN w:val="0"/>
                    <w:jc w:val="center"/>
                    <w:rPr>
                      <w:rFonts w:hint="default"/>
                      <w:color w:val="auto"/>
                      <w:szCs w:val="21"/>
                      <w:highlight w:val="none"/>
                      <w:lang w:val="en-US" w:eastAsia="zh-CN"/>
                    </w:rPr>
                  </w:pPr>
                  <w:r>
                    <w:rPr>
                      <w:rFonts w:hint="eastAsia"/>
                      <w:color w:val="auto"/>
                      <w:szCs w:val="21"/>
                      <w:highlight w:val="none"/>
                      <w:lang w:val="en-US" w:eastAsia="zh-CN"/>
                    </w:rPr>
                    <w:t>0.3</w:t>
                  </w:r>
                </w:p>
              </w:tc>
            </w:tr>
            <w:tr w14:paraId="22F8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24" w:type="pct"/>
                  <w:vMerge w:val="continue"/>
                  <w:vAlign w:val="center"/>
                </w:tcPr>
                <w:p w14:paraId="277A23F1">
                  <w:pPr>
                    <w:autoSpaceDE w:val="0"/>
                    <w:autoSpaceDN w:val="0"/>
                    <w:jc w:val="center"/>
                    <w:rPr>
                      <w:color w:val="auto"/>
                      <w:szCs w:val="21"/>
                      <w:highlight w:val="none"/>
                    </w:rPr>
                  </w:pPr>
                </w:p>
              </w:tc>
              <w:tc>
                <w:tcPr>
                  <w:tcW w:w="462" w:type="pct"/>
                  <w:vMerge w:val="continue"/>
                  <w:vAlign w:val="center"/>
                </w:tcPr>
                <w:p w14:paraId="4427FB53">
                  <w:pPr>
                    <w:autoSpaceDE w:val="0"/>
                    <w:autoSpaceDN w:val="0"/>
                    <w:jc w:val="center"/>
                    <w:rPr>
                      <w:rFonts w:hint="eastAsia"/>
                      <w:color w:val="auto"/>
                      <w:szCs w:val="21"/>
                      <w:highlight w:val="none"/>
                    </w:rPr>
                  </w:pPr>
                </w:p>
              </w:tc>
              <w:tc>
                <w:tcPr>
                  <w:tcW w:w="1013" w:type="pct"/>
                  <w:vAlign w:val="center"/>
                </w:tcPr>
                <w:p w14:paraId="549899B7">
                  <w:pPr>
                    <w:autoSpaceDE w:val="0"/>
                    <w:autoSpaceDN w:val="0"/>
                    <w:jc w:val="center"/>
                    <w:rPr>
                      <w:rFonts w:hint="default"/>
                      <w:color w:val="auto"/>
                      <w:szCs w:val="21"/>
                      <w:highlight w:val="none"/>
                      <w:lang w:val="en-US" w:eastAsia="zh-CN"/>
                    </w:rPr>
                  </w:pPr>
                  <w:r>
                    <w:rPr>
                      <w:rFonts w:hint="eastAsia"/>
                      <w:color w:val="auto"/>
                      <w:szCs w:val="21"/>
                      <w:highlight w:val="none"/>
                      <w:lang w:val="en-US" w:eastAsia="zh-CN"/>
                    </w:rPr>
                    <w:t>危险废物贮存间</w:t>
                  </w:r>
                </w:p>
              </w:tc>
              <w:tc>
                <w:tcPr>
                  <w:tcW w:w="1746" w:type="pct"/>
                  <w:vAlign w:val="center"/>
                </w:tcPr>
                <w:p w14:paraId="32BFC2EB">
                  <w:pPr>
                    <w:autoSpaceDE w:val="0"/>
                    <w:autoSpaceDN w:val="0"/>
                    <w:jc w:val="center"/>
                    <w:rPr>
                      <w:rFonts w:hint="default"/>
                      <w:color w:val="auto"/>
                      <w:szCs w:val="21"/>
                      <w:highlight w:val="none"/>
                      <w:lang w:val="en-US" w:eastAsia="zh-CN"/>
                    </w:rPr>
                  </w:pPr>
                  <w:r>
                    <w:rPr>
                      <w:rFonts w:hint="eastAsia"/>
                      <w:color w:val="auto"/>
                      <w:szCs w:val="21"/>
                      <w:highlight w:val="none"/>
                      <w:lang w:val="en-US" w:eastAsia="zh-CN"/>
                    </w:rPr>
                    <w:t>危险废物贮存点，建筑面积10㎡，满足重点防渗系数要求</w:t>
                  </w:r>
                </w:p>
              </w:tc>
              <w:tc>
                <w:tcPr>
                  <w:tcW w:w="444" w:type="pct"/>
                  <w:vAlign w:val="center"/>
                </w:tcPr>
                <w:p w14:paraId="3E4EA91D">
                  <w:pPr>
                    <w:autoSpaceDE w:val="0"/>
                    <w:autoSpaceDN w:val="0"/>
                    <w:jc w:val="center"/>
                    <w:rPr>
                      <w:rFonts w:hint="default" w:eastAsia="宋体"/>
                      <w:color w:val="auto"/>
                      <w:szCs w:val="21"/>
                      <w:highlight w:val="none"/>
                      <w:lang w:val="en-US" w:eastAsia="zh-CN"/>
                    </w:rPr>
                  </w:pPr>
                  <w:r>
                    <w:rPr>
                      <w:rFonts w:hint="eastAsia"/>
                      <w:color w:val="auto"/>
                      <w:szCs w:val="21"/>
                      <w:highlight w:val="none"/>
                      <w:lang w:val="en-US" w:eastAsia="zh-CN"/>
                    </w:rPr>
                    <w:t>1间</w:t>
                  </w:r>
                </w:p>
              </w:tc>
              <w:tc>
                <w:tcPr>
                  <w:tcW w:w="808" w:type="pct"/>
                  <w:vAlign w:val="center"/>
                </w:tcPr>
                <w:p w14:paraId="24EE2198">
                  <w:pPr>
                    <w:autoSpaceDE w:val="0"/>
                    <w:autoSpaceDN w:val="0"/>
                    <w:jc w:val="center"/>
                    <w:rPr>
                      <w:rFonts w:hint="default"/>
                      <w:color w:val="auto"/>
                      <w:szCs w:val="21"/>
                      <w:highlight w:val="none"/>
                      <w:lang w:val="en-US" w:eastAsia="zh-CN"/>
                    </w:rPr>
                  </w:pPr>
                  <w:r>
                    <w:rPr>
                      <w:rFonts w:hint="eastAsia"/>
                      <w:color w:val="auto"/>
                      <w:szCs w:val="21"/>
                      <w:highlight w:val="none"/>
                      <w:lang w:val="en-US" w:eastAsia="zh-CN"/>
                    </w:rPr>
                    <w:t>0.5</w:t>
                  </w:r>
                </w:p>
              </w:tc>
            </w:tr>
            <w:tr w14:paraId="771C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24" w:type="pct"/>
                  <w:vMerge w:val="continue"/>
                  <w:vAlign w:val="center"/>
                </w:tcPr>
                <w:p w14:paraId="06256251">
                  <w:pPr>
                    <w:autoSpaceDE w:val="0"/>
                    <w:autoSpaceDN w:val="0"/>
                    <w:jc w:val="center"/>
                    <w:rPr>
                      <w:rFonts w:hint="eastAsia" w:eastAsia="宋体"/>
                      <w:color w:val="auto"/>
                      <w:szCs w:val="21"/>
                      <w:highlight w:val="none"/>
                      <w:lang w:val="en-US" w:eastAsia="zh-CN"/>
                    </w:rPr>
                  </w:pPr>
                </w:p>
              </w:tc>
              <w:tc>
                <w:tcPr>
                  <w:tcW w:w="1476" w:type="pct"/>
                  <w:gridSpan w:val="2"/>
                  <w:vAlign w:val="center"/>
                </w:tcPr>
                <w:p w14:paraId="2C0B89E5">
                  <w:pPr>
                    <w:autoSpaceDE w:val="0"/>
                    <w:autoSpaceDN w:val="0"/>
                    <w:jc w:val="center"/>
                    <w:rPr>
                      <w:rFonts w:hint="eastAsia"/>
                      <w:color w:val="auto"/>
                      <w:szCs w:val="21"/>
                      <w:highlight w:val="none"/>
                      <w:lang w:val="en-US" w:eastAsia="zh-CN"/>
                    </w:rPr>
                  </w:pPr>
                  <w:r>
                    <w:rPr>
                      <w:rFonts w:hint="eastAsia"/>
                      <w:color w:val="auto"/>
                      <w:szCs w:val="21"/>
                      <w:highlight w:val="none"/>
                      <w:lang w:val="en-US" w:eastAsia="zh-CN"/>
                    </w:rPr>
                    <w:t>其他</w:t>
                  </w:r>
                </w:p>
              </w:tc>
              <w:tc>
                <w:tcPr>
                  <w:tcW w:w="1746" w:type="pct"/>
                  <w:vAlign w:val="center"/>
                </w:tcPr>
                <w:p w14:paraId="75F77B5F">
                  <w:pPr>
                    <w:autoSpaceDE w:val="0"/>
                    <w:autoSpaceDN w:val="0"/>
                    <w:jc w:val="center"/>
                    <w:rPr>
                      <w:rFonts w:hint="eastAsia"/>
                      <w:color w:val="auto"/>
                      <w:szCs w:val="21"/>
                      <w:highlight w:val="none"/>
                      <w:lang w:val="en-US" w:eastAsia="zh-CN"/>
                    </w:rPr>
                  </w:pPr>
                  <w:r>
                    <w:rPr>
                      <w:rFonts w:hint="eastAsia"/>
                      <w:color w:val="auto"/>
                      <w:szCs w:val="21"/>
                      <w:highlight w:val="none"/>
                      <w:lang w:val="en-US" w:eastAsia="zh-CN"/>
                    </w:rPr>
                    <w:t>环境管理、环境监测、环保设施运行维护</w:t>
                  </w:r>
                </w:p>
              </w:tc>
              <w:tc>
                <w:tcPr>
                  <w:tcW w:w="444" w:type="pct"/>
                  <w:vAlign w:val="center"/>
                </w:tcPr>
                <w:p w14:paraId="51DE567F">
                  <w:pPr>
                    <w:autoSpaceDE w:val="0"/>
                    <w:autoSpaceDN w:val="0"/>
                    <w:jc w:val="center"/>
                    <w:rPr>
                      <w:rFonts w:hint="eastAsia" w:eastAsia="宋体"/>
                      <w:color w:val="auto"/>
                      <w:szCs w:val="21"/>
                      <w:highlight w:val="none"/>
                      <w:lang w:val="en-US" w:eastAsia="zh-CN"/>
                    </w:rPr>
                  </w:pPr>
                  <w:r>
                    <w:rPr>
                      <w:rFonts w:hint="eastAsia"/>
                      <w:color w:val="auto"/>
                      <w:szCs w:val="21"/>
                      <w:highlight w:val="none"/>
                      <w:lang w:val="en-US" w:eastAsia="zh-CN"/>
                    </w:rPr>
                    <w:t>每年</w:t>
                  </w:r>
                </w:p>
              </w:tc>
              <w:tc>
                <w:tcPr>
                  <w:tcW w:w="808" w:type="pct"/>
                  <w:vAlign w:val="center"/>
                </w:tcPr>
                <w:p w14:paraId="0E9CA185">
                  <w:pPr>
                    <w:autoSpaceDE w:val="0"/>
                    <w:autoSpaceDN w:val="0"/>
                    <w:jc w:val="center"/>
                    <w:rPr>
                      <w:rFonts w:hint="default"/>
                      <w:color w:val="auto"/>
                      <w:szCs w:val="21"/>
                      <w:highlight w:val="none"/>
                      <w:lang w:val="en-US" w:eastAsia="zh-CN"/>
                    </w:rPr>
                  </w:pPr>
                  <w:r>
                    <w:rPr>
                      <w:rFonts w:hint="eastAsia"/>
                      <w:color w:val="auto"/>
                      <w:szCs w:val="21"/>
                      <w:highlight w:val="none"/>
                      <w:lang w:val="en-US" w:eastAsia="zh-CN"/>
                    </w:rPr>
                    <w:t>5</w:t>
                  </w:r>
                </w:p>
              </w:tc>
            </w:tr>
            <w:tr w14:paraId="109BD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191" w:type="pct"/>
                  <w:gridSpan w:val="5"/>
                  <w:vAlign w:val="center"/>
                </w:tcPr>
                <w:p w14:paraId="52A08104">
                  <w:pPr>
                    <w:autoSpaceDE w:val="0"/>
                    <w:autoSpaceDN w:val="0"/>
                    <w:jc w:val="center"/>
                    <w:rPr>
                      <w:b/>
                      <w:color w:val="auto"/>
                      <w:szCs w:val="21"/>
                      <w:highlight w:val="none"/>
                    </w:rPr>
                  </w:pPr>
                  <w:r>
                    <w:rPr>
                      <w:b/>
                      <w:color w:val="auto"/>
                      <w:szCs w:val="21"/>
                      <w:highlight w:val="none"/>
                    </w:rPr>
                    <w:t>合计</w:t>
                  </w:r>
                  <w:bookmarkEnd w:id="12"/>
                </w:p>
              </w:tc>
              <w:tc>
                <w:tcPr>
                  <w:tcW w:w="808" w:type="pct"/>
                  <w:vAlign w:val="center"/>
                </w:tcPr>
                <w:p w14:paraId="03FC919E">
                  <w:pPr>
                    <w:autoSpaceDE w:val="0"/>
                    <w:autoSpaceDN w:val="0"/>
                    <w:jc w:val="center"/>
                    <w:rPr>
                      <w:rFonts w:hint="default" w:eastAsiaTheme="minorEastAsia"/>
                      <w:color w:val="auto"/>
                      <w:szCs w:val="21"/>
                      <w:highlight w:val="none"/>
                      <w:lang w:val="en-US" w:eastAsia="zh-CN"/>
                    </w:rPr>
                  </w:pPr>
                  <w:r>
                    <w:rPr>
                      <w:rFonts w:hint="eastAsia" w:eastAsiaTheme="minorEastAsia"/>
                      <w:color w:val="auto"/>
                      <w:szCs w:val="21"/>
                      <w:highlight w:val="none"/>
                      <w:lang w:val="en-US" w:eastAsia="zh-CN"/>
                    </w:rPr>
                    <w:t>41.4</w:t>
                  </w:r>
                </w:p>
              </w:tc>
            </w:tr>
            <w:bookmarkEnd w:id="11"/>
          </w:tbl>
          <w:p w14:paraId="2370B1B0">
            <w:pPr>
              <w:pStyle w:val="54"/>
              <w:spacing w:line="360" w:lineRule="auto"/>
              <w:jc w:val="left"/>
              <w:rPr>
                <w:bCs/>
                <w:color w:val="auto"/>
                <w:szCs w:val="21"/>
                <w:highlight w:val="none"/>
              </w:rPr>
            </w:pPr>
          </w:p>
        </w:tc>
      </w:tr>
      <w:tr w14:paraId="13572A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0" w:type="pct"/>
            <w:vAlign w:val="center"/>
          </w:tcPr>
          <w:p w14:paraId="503DA886">
            <w:pPr>
              <w:pStyle w:val="21"/>
              <w:adjustRightInd w:val="0"/>
              <w:snapToGrid w:val="0"/>
              <w:spacing w:before="0" w:beforeAutospacing="0" w:after="0" w:afterAutospacing="0"/>
              <w:jc w:val="center"/>
              <w:rPr>
                <w:rFonts w:ascii="Times New Roman" w:hAnsi="Times New Roman"/>
                <w:color w:val="auto"/>
                <w:szCs w:val="24"/>
                <w:highlight w:val="none"/>
              </w:rPr>
            </w:pPr>
            <w:r>
              <w:rPr>
                <w:rFonts w:ascii="Times New Roman"/>
                <w:color w:val="auto"/>
                <w:szCs w:val="24"/>
                <w:highlight w:val="none"/>
              </w:rPr>
              <w:t>工艺流程和产排污环节</w:t>
            </w:r>
          </w:p>
        </w:tc>
        <w:tc>
          <w:tcPr>
            <w:tcW w:w="4689" w:type="pct"/>
          </w:tcPr>
          <w:p w14:paraId="44B9BAA1">
            <w:pPr>
              <w:pStyle w:val="7"/>
              <w:tabs>
                <w:tab w:val="left" w:pos="420"/>
              </w:tabs>
              <w:spacing w:line="360" w:lineRule="auto"/>
              <w:ind w:firstLine="482" w:firstLineChars="200"/>
              <w:rPr>
                <w:bCs/>
                <w:color w:val="auto"/>
                <w:sz w:val="24"/>
                <w:highlight w:val="none"/>
              </w:rPr>
            </w:pPr>
            <w:r>
              <w:rPr>
                <w:rFonts w:hint="eastAsia"/>
                <w:b/>
                <w:color w:val="auto"/>
                <w:sz w:val="24"/>
                <w:highlight w:val="none"/>
              </w:rPr>
              <w:t>一、</w:t>
            </w:r>
            <w:r>
              <w:rPr>
                <w:b/>
                <w:color w:val="auto"/>
                <w:sz w:val="24"/>
                <w:highlight w:val="none"/>
              </w:rPr>
              <w:t>项目施工工艺流程</w:t>
            </w:r>
          </w:p>
          <w:p w14:paraId="690B47CF">
            <w:pPr>
              <w:adjustRightInd w:val="0"/>
              <w:snapToGrid w:val="0"/>
              <w:spacing w:line="360" w:lineRule="auto"/>
              <w:ind w:firstLine="482" w:firstLineChars="200"/>
              <w:rPr>
                <w:b/>
                <w:bCs/>
                <w:color w:val="auto"/>
                <w:sz w:val="24"/>
                <w:highlight w:val="none"/>
              </w:rPr>
            </w:pPr>
            <w:r>
              <w:rPr>
                <w:rFonts w:hint="eastAsia"/>
                <w:b/>
                <w:bCs/>
                <w:color w:val="auto"/>
                <w:sz w:val="24"/>
                <w:highlight w:val="none"/>
              </w:rPr>
              <w:t>1、项目施工内容及工艺流程</w:t>
            </w:r>
          </w:p>
          <w:p w14:paraId="54B2100B">
            <w:pPr>
              <w:adjustRightInd w:val="0"/>
              <w:snapToGrid w:val="0"/>
              <w:spacing w:line="360" w:lineRule="auto"/>
              <w:ind w:firstLine="480" w:firstLineChars="200"/>
              <w:rPr>
                <w:rFonts w:hint="eastAsia"/>
                <w:color w:val="auto"/>
                <w:sz w:val="24"/>
                <w:highlight w:val="none"/>
              </w:rPr>
            </w:pPr>
            <w:r>
              <w:rPr>
                <w:rFonts w:hint="eastAsia"/>
                <w:color w:val="auto"/>
                <w:sz w:val="24"/>
                <w:highlight w:val="none"/>
                <w:lang w:val="en-US" w:eastAsia="zh-CN"/>
              </w:rPr>
              <w:t>项目租用云南三缘电缆有限公司</w:t>
            </w:r>
            <w:r>
              <w:rPr>
                <w:rFonts w:hint="eastAsia"/>
                <w:color w:val="auto"/>
                <w:sz w:val="24"/>
                <w:highlight w:val="none"/>
              </w:rPr>
              <w:t>标准厂房，基础设施建设已完成，不涉及土建，施工期</w:t>
            </w:r>
            <w:r>
              <w:rPr>
                <w:rFonts w:hint="eastAsia"/>
                <w:color w:val="auto"/>
                <w:sz w:val="24"/>
                <w:highlight w:val="none"/>
                <w:lang w:val="en-US" w:eastAsia="zh-CN"/>
              </w:rPr>
              <w:t>仅</w:t>
            </w:r>
            <w:r>
              <w:rPr>
                <w:rFonts w:hint="eastAsia"/>
                <w:color w:val="auto"/>
                <w:sz w:val="24"/>
                <w:highlight w:val="none"/>
              </w:rPr>
              <w:t>对厂房进行适应性改造、设备安装等。</w:t>
            </w:r>
          </w:p>
          <w:p w14:paraId="03291C0B">
            <w:pPr>
              <w:adjustRightInd w:val="0"/>
              <w:snapToGrid w:val="0"/>
              <w:spacing w:line="360" w:lineRule="auto"/>
              <w:ind w:firstLine="480" w:firstLineChars="200"/>
              <w:rPr>
                <w:rFonts w:hint="eastAsia"/>
                <w:color w:val="auto"/>
                <w:sz w:val="24"/>
                <w:highlight w:val="none"/>
              </w:rPr>
            </w:pPr>
            <w:r>
              <w:rPr>
                <w:rFonts w:hint="eastAsia"/>
                <w:color w:val="auto"/>
                <w:sz w:val="24"/>
                <w:highlight w:val="none"/>
              </w:rPr>
              <w:t>本项目施工期的工艺流程及</w:t>
            </w:r>
            <w:r>
              <w:rPr>
                <w:rFonts w:hint="eastAsia"/>
                <w:color w:val="auto"/>
                <w:sz w:val="24"/>
                <w:highlight w:val="none"/>
                <w:lang w:val="en-US" w:eastAsia="zh-CN"/>
              </w:rPr>
              <w:t>产污</w:t>
            </w:r>
            <w:r>
              <w:rPr>
                <w:rFonts w:hint="eastAsia"/>
                <w:color w:val="auto"/>
                <w:sz w:val="24"/>
                <w:highlight w:val="none"/>
              </w:rPr>
              <w:t>情况详见下图</w:t>
            </w:r>
            <w:r>
              <w:rPr>
                <w:rFonts w:hint="eastAsia"/>
                <w:color w:val="auto"/>
                <w:sz w:val="24"/>
                <w:highlight w:val="none"/>
                <w:lang w:val="en-US" w:eastAsia="zh-CN"/>
              </w:rPr>
              <w:t>2-2</w:t>
            </w:r>
            <w:r>
              <w:rPr>
                <w:rFonts w:hint="eastAsia"/>
                <w:color w:val="auto"/>
                <w:sz w:val="24"/>
                <w:highlight w:val="none"/>
              </w:rPr>
              <w:t>。</w:t>
            </w:r>
          </w:p>
          <w:p w14:paraId="7C0C8080">
            <w:pPr>
              <w:adjustRightInd w:val="0"/>
              <w:snapToGrid w:val="0"/>
              <w:spacing w:line="360" w:lineRule="auto"/>
              <w:jc w:val="center"/>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4504055" cy="2626360"/>
                  <wp:effectExtent l="0" t="0" r="0" b="0"/>
                  <wp:docPr id="24" name="ECB019B1-382A-4266-B25C-5B523AA43C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ECB019B1-382A-4266-B25C-5B523AA43C14-2"/>
                          <pic:cNvPicPr>
                            <a:picLocks noChangeAspect="1"/>
                          </pic:cNvPicPr>
                        </pic:nvPicPr>
                        <pic:blipFill>
                          <a:blip r:embed="rId8"/>
                          <a:stretch>
                            <a:fillRect/>
                          </a:stretch>
                        </pic:blipFill>
                        <pic:spPr>
                          <a:xfrm>
                            <a:off x="0" y="0"/>
                            <a:ext cx="4504055" cy="2626360"/>
                          </a:xfrm>
                          <a:prstGeom prst="rect">
                            <a:avLst/>
                          </a:prstGeom>
                        </pic:spPr>
                      </pic:pic>
                    </a:graphicData>
                  </a:graphic>
                </wp:inline>
              </w:drawing>
            </w:r>
          </w:p>
          <w:p w14:paraId="60D40295">
            <w:pPr>
              <w:adjustRightInd w:val="0"/>
              <w:snapToGrid w:val="0"/>
              <w:spacing w:line="360" w:lineRule="auto"/>
              <w:jc w:val="center"/>
              <w:rPr>
                <w:b/>
                <w:bCs/>
                <w:color w:val="auto"/>
                <w:highlight w:val="none"/>
              </w:rPr>
            </w:pPr>
            <w:r>
              <w:rPr>
                <w:b/>
                <w:bCs/>
                <w:color w:val="auto"/>
                <w:highlight w:val="none"/>
              </w:rPr>
              <w:t>图</w:t>
            </w:r>
            <w:r>
              <w:rPr>
                <w:rFonts w:hint="eastAsia"/>
                <w:b/>
                <w:bCs/>
                <w:color w:val="auto"/>
                <w:highlight w:val="none"/>
              </w:rPr>
              <w:t>2</w:t>
            </w:r>
            <w:r>
              <w:rPr>
                <w:b/>
                <w:bCs/>
                <w:color w:val="auto"/>
                <w:highlight w:val="none"/>
              </w:rPr>
              <w:t>-</w:t>
            </w:r>
            <w:r>
              <w:rPr>
                <w:rFonts w:hint="eastAsia"/>
                <w:b/>
                <w:bCs/>
                <w:color w:val="auto"/>
                <w:highlight w:val="none"/>
                <w:lang w:val="en-US" w:eastAsia="zh-CN"/>
              </w:rPr>
              <w:t>2</w:t>
            </w:r>
            <w:r>
              <w:rPr>
                <w:b/>
                <w:bCs/>
                <w:color w:val="auto"/>
                <w:highlight w:val="none"/>
              </w:rPr>
              <w:t xml:space="preserve">  施工期工艺流程及产污节点示意图</w:t>
            </w:r>
          </w:p>
          <w:p w14:paraId="0F1F3AB6">
            <w:pPr>
              <w:adjustRightInd w:val="0"/>
              <w:snapToGrid w:val="0"/>
              <w:spacing w:line="360" w:lineRule="auto"/>
              <w:ind w:firstLine="482" w:firstLineChars="200"/>
              <w:rPr>
                <w:rFonts w:hint="eastAsia" w:ascii="Times New Roman" w:hAnsi="Times New Roman" w:cs="Times New Roman"/>
                <w:b/>
                <w:bCs/>
                <w:color w:val="auto"/>
                <w:kern w:val="24"/>
                <w:sz w:val="24"/>
                <w:highlight w:val="none"/>
              </w:rPr>
            </w:pPr>
            <w:r>
              <w:rPr>
                <w:rFonts w:hint="eastAsia" w:ascii="Times New Roman" w:hAnsi="Times New Roman" w:cs="Times New Roman"/>
                <w:b/>
                <w:bCs/>
                <w:color w:val="auto"/>
                <w:kern w:val="24"/>
                <w:sz w:val="24"/>
                <w:highlight w:val="none"/>
              </w:rPr>
              <w:t>工艺流程简述：</w:t>
            </w:r>
          </w:p>
          <w:p w14:paraId="22F19E71">
            <w:pPr>
              <w:adjustRightInd w:val="0"/>
              <w:snapToGrid w:val="0"/>
              <w:spacing w:line="360" w:lineRule="auto"/>
              <w:ind w:firstLine="480" w:firstLineChars="200"/>
              <w:rPr>
                <w:rFonts w:hint="eastAsia" w:cs="Times New Roman"/>
                <w:color w:val="auto"/>
                <w:kern w:val="24"/>
                <w:sz w:val="24"/>
                <w:highlight w:val="none"/>
                <w:lang w:val="en-US" w:eastAsia="zh-CN"/>
              </w:rPr>
            </w:pPr>
            <w:r>
              <w:rPr>
                <w:rFonts w:hint="eastAsia" w:ascii="Times New Roman" w:hAnsi="Times New Roman" w:cs="Times New Roman"/>
                <w:color w:val="auto"/>
                <w:kern w:val="24"/>
                <w:sz w:val="24"/>
                <w:highlight w:val="none"/>
              </w:rPr>
              <w:t>（1）厂房改造</w:t>
            </w:r>
            <w:r>
              <w:rPr>
                <w:rFonts w:hint="eastAsia" w:cs="Times New Roman"/>
                <w:color w:val="auto"/>
                <w:kern w:val="24"/>
                <w:sz w:val="24"/>
                <w:highlight w:val="none"/>
                <w:lang w:val="en-US" w:eastAsia="zh-CN"/>
              </w:rPr>
              <w:t>:</w:t>
            </w:r>
          </w:p>
          <w:p w14:paraId="17492968">
            <w:pPr>
              <w:adjustRightInd w:val="0"/>
              <w:snapToGrid w:val="0"/>
              <w:spacing w:line="360" w:lineRule="auto"/>
              <w:ind w:firstLine="480" w:firstLineChars="200"/>
              <w:rPr>
                <w:rFonts w:hint="eastAsia" w:ascii="Times New Roman" w:hAnsi="Times New Roman" w:cs="Times New Roman"/>
                <w:color w:val="auto"/>
                <w:kern w:val="24"/>
                <w:sz w:val="24"/>
                <w:highlight w:val="none"/>
              </w:rPr>
            </w:pPr>
            <w:r>
              <w:rPr>
                <w:rFonts w:hint="eastAsia" w:ascii="Times New Roman" w:hAnsi="Times New Roman" w:cs="Times New Roman"/>
                <w:color w:val="auto"/>
                <w:kern w:val="24"/>
                <w:sz w:val="24"/>
                <w:highlight w:val="none"/>
              </w:rPr>
              <w:t>本项目对现有厂房进行</w:t>
            </w:r>
            <w:r>
              <w:rPr>
                <w:rFonts w:hint="eastAsia" w:ascii="Times New Roman" w:hAnsi="Times New Roman" w:cs="Times New Roman"/>
                <w:color w:val="auto"/>
                <w:kern w:val="24"/>
                <w:sz w:val="24"/>
                <w:highlight w:val="none"/>
                <w:lang w:val="en-US" w:eastAsia="zh-CN"/>
              </w:rPr>
              <w:t>改造</w:t>
            </w:r>
            <w:r>
              <w:rPr>
                <w:rFonts w:hint="eastAsia" w:ascii="Times New Roman" w:hAnsi="Times New Roman" w:cs="Times New Roman"/>
                <w:color w:val="auto"/>
                <w:kern w:val="24"/>
                <w:sz w:val="24"/>
                <w:highlight w:val="none"/>
              </w:rPr>
              <w:t>（车间布局、地面防渗等），该阶段产生的污染物主要为废气、废水、噪声、固废。</w:t>
            </w:r>
          </w:p>
          <w:p w14:paraId="0B73CA36">
            <w:pPr>
              <w:adjustRightInd w:val="0"/>
              <w:snapToGrid w:val="0"/>
              <w:spacing w:line="360" w:lineRule="auto"/>
              <w:ind w:firstLine="480" w:firstLineChars="200"/>
              <w:rPr>
                <w:rFonts w:hint="eastAsia" w:ascii="Times New Roman" w:hAnsi="Times New Roman" w:cs="Times New Roman"/>
                <w:color w:val="auto"/>
                <w:kern w:val="24"/>
                <w:sz w:val="24"/>
                <w:highlight w:val="none"/>
              </w:rPr>
            </w:pPr>
            <w:r>
              <w:rPr>
                <w:rFonts w:hint="eastAsia" w:ascii="Times New Roman" w:hAnsi="Times New Roman" w:cs="Times New Roman"/>
                <w:color w:val="auto"/>
                <w:kern w:val="24"/>
                <w:sz w:val="24"/>
                <w:highlight w:val="none"/>
              </w:rPr>
              <w:t>（2）设备安装</w:t>
            </w:r>
          </w:p>
          <w:p w14:paraId="229E5917">
            <w:pPr>
              <w:adjustRightInd w:val="0"/>
              <w:snapToGrid w:val="0"/>
              <w:spacing w:line="360" w:lineRule="auto"/>
              <w:ind w:firstLine="480" w:firstLineChars="200"/>
              <w:rPr>
                <w:rFonts w:ascii="Times New Roman" w:hAnsi="Times New Roman" w:cs="Times New Roman"/>
                <w:color w:val="auto"/>
                <w:kern w:val="24"/>
                <w:sz w:val="24"/>
                <w:highlight w:val="none"/>
              </w:rPr>
            </w:pPr>
            <w:r>
              <w:rPr>
                <w:rFonts w:hint="eastAsia" w:ascii="Times New Roman" w:hAnsi="Times New Roman" w:cs="Times New Roman"/>
                <w:color w:val="auto"/>
                <w:kern w:val="24"/>
                <w:sz w:val="24"/>
                <w:highlight w:val="none"/>
              </w:rPr>
              <w:t>项目厂房改造完成后进行设备安装调试后投入使用，该阶段产生的污染物主要为噪声、废气、固废。</w:t>
            </w:r>
          </w:p>
          <w:p w14:paraId="6249C1D6">
            <w:pPr>
              <w:adjustRightInd w:val="0"/>
              <w:snapToGrid w:val="0"/>
              <w:spacing w:line="360" w:lineRule="auto"/>
              <w:ind w:firstLine="482" w:firstLineChars="200"/>
              <w:rPr>
                <w:b/>
                <w:color w:val="auto"/>
                <w:kern w:val="24"/>
                <w:sz w:val="24"/>
                <w:highlight w:val="none"/>
              </w:rPr>
            </w:pPr>
            <w:r>
              <w:rPr>
                <w:rFonts w:hint="eastAsia"/>
                <w:b/>
                <w:color w:val="auto"/>
                <w:kern w:val="24"/>
                <w:sz w:val="24"/>
                <w:highlight w:val="none"/>
              </w:rPr>
              <w:t>2、产污环节简述</w:t>
            </w:r>
          </w:p>
          <w:p w14:paraId="457025E5">
            <w:pPr>
              <w:adjustRightInd w:val="0"/>
              <w:snapToGrid w:val="0"/>
              <w:spacing w:line="360" w:lineRule="auto"/>
              <w:ind w:firstLine="480" w:firstLineChars="200"/>
              <w:rPr>
                <w:color w:val="auto"/>
                <w:kern w:val="24"/>
                <w:sz w:val="24"/>
                <w:highlight w:val="none"/>
              </w:rPr>
            </w:pPr>
            <w:r>
              <w:rPr>
                <w:color w:val="auto"/>
                <w:kern w:val="24"/>
                <w:sz w:val="24"/>
                <w:highlight w:val="none"/>
              </w:rPr>
              <w:t>（1）废气</w:t>
            </w:r>
          </w:p>
          <w:p w14:paraId="2BCE9800">
            <w:pPr>
              <w:adjustRightInd w:val="0"/>
              <w:snapToGrid w:val="0"/>
              <w:spacing w:line="360" w:lineRule="auto"/>
              <w:ind w:firstLine="480" w:firstLineChars="200"/>
              <w:rPr>
                <w:rFonts w:hint="eastAsia"/>
                <w:color w:val="auto"/>
                <w:kern w:val="24"/>
                <w:sz w:val="24"/>
                <w:highlight w:val="none"/>
              </w:rPr>
            </w:pPr>
            <w:r>
              <w:rPr>
                <w:rFonts w:hint="eastAsia"/>
                <w:color w:val="auto"/>
                <w:kern w:val="24"/>
                <w:sz w:val="24"/>
                <w:highlight w:val="none"/>
              </w:rPr>
              <w:t>本项目施工废气主要来源于运输车辆及其它燃油机械施工时产生的尾气，燃油废气主要含烯烃类有机物、一氧化碳、二氧化硫、氮氧化物等污染物质。该类废气以无组织间歇方式排放，且排放点不固定。施工期的废气为无组织间断排放，排放量不大，较难估算。</w:t>
            </w:r>
          </w:p>
          <w:p w14:paraId="195E8081">
            <w:pPr>
              <w:adjustRightInd w:val="0"/>
              <w:snapToGrid w:val="0"/>
              <w:spacing w:line="360" w:lineRule="auto"/>
              <w:ind w:firstLine="480" w:firstLineChars="200"/>
              <w:rPr>
                <w:color w:val="auto"/>
                <w:kern w:val="24"/>
                <w:sz w:val="24"/>
                <w:highlight w:val="none"/>
              </w:rPr>
            </w:pPr>
            <w:r>
              <w:rPr>
                <w:color w:val="auto"/>
                <w:kern w:val="24"/>
                <w:sz w:val="24"/>
                <w:highlight w:val="none"/>
              </w:rPr>
              <w:t>（2）废水</w:t>
            </w:r>
          </w:p>
          <w:p w14:paraId="6B1E7228">
            <w:pPr>
              <w:adjustRightInd w:val="0"/>
              <w:snapToGrid w:val="0"/>
              <w:spacing w:line="360" w:lineRule="auto"/>
              <w:ind w:firstLine="480" w:firstLineChars="200"/>
              <w:rPr>
                <w:color w:val="auto"/>
                <w:kern w:val="24"/>
                <w:sz w:val="24"/>
                <w:highlight w:val="none"/>
              </w:rPr>
            </w:pPr>
            <w:r>
              <w:rPr>
                <w:rFonts w:hint="eastAsia"/>
                <w:color w:val="auto"/>
                <w:kern w:val="24"/>
                <w:sz w:val="24"/>
                <w:highlight w:val="none"/>
              </w:rPr>
              <w:t>项目施工期废水主要为施工人员生活污水。本项目施工期间不设置施工营地，施工人员约10人，均不在项目区内食宿，</w:t>
            </w:r>
            <w:r>
              <w:rPr>
                <w:rFonts w:hint="eastAsia"/>
                <w:color w:val="auto"/>
                <w:kern w:val="24"/>
                <w:sz w:val="24"/>
                <w:highlight w:val="none"/>
                <w:lang w:val="en-US" w:eastAsia="zh-CN"/>
              </w:rPr>
              <w:t>废水主要为</w:t>
            </w:r>
            <w:r>
              <w:rPr>
                <w:rFonts w:hint="eastAsia"/>
                <w:color w:val="auto"/>
                <w:kern w:val="24"/>
                <w:sz w:val="24"/>
                <w:highlight w:val="none"/>
              </w:rPr>
              <w:t>生活污水</w:t>
            </w:r>
            <w:r>
              <w:rPr>
                <w:rFonts w:hint="eastAsia"/>
                <w:color w:val="auto"/>
                <w:kern w:val="24"/>
                <w:sz w:val="24"/>
                <w:highlight w:val="none"/>
                <w:lang w:eastAsia="zh-CN"/>
              </w:rPr>
              <w:t>，</w:t>
            </w:r>
            <w:r>
              <w:rPr>
                <w:rFonts w:hint="eastAsia"/>
                <w:color w:val="auto"/>
                <w:kern w:val="24"/>
                <w:sz w:val="24"/>
                <w:highlight w:val="none"/>
              </w:rPr>
              <w:t>依托云南三缘电缆有限公司化粪池（10m³）处理</w:t>
            </w:r>
            <w:r>
              <w:rPr>
                <w:color w:val="auto"/>
                <w:kern w:val="24"/>
                <w:sz w:val="24"/>
                <w:highlight w:val="none"/>
              </w:rPr>
              <w:t>。</w:t>
            </w:r>
          </w:p>
          <w:p w14:paraId="3347E9EC">
            <w:pPr>
              <w:adjustRightInd w:val="0"/>
              <w:snapToGrid w:val="0"/>
              <w:spacing w:line="360" w:lineRule="auto"/>
              <w:ind w:firstLine="480" w:firstLineChars="200"/>
              <w:rPr>
                <w:rFonts w:ascii="Times New Roman" w:hAnsi="Times New Roman" w:cs="Times New Roman"/>
                <w:color w:val="auto"/>
                <w:kern w:val="24"/>
                <w:sz w:val="24"/>
                <w:highlight w:val="none"/>
              </w:rPr>
            </w:pPr>
            <w:r>
              <w:rPr>
                <w:rFonts w:ascii="Times New Roman" w:hAnsi="Times New Roman" w:cs="Times New Roman"/>
                <w:color w:val="auto"/>
                <w:kern w:val="24"/>
                <w:sz w:val="24"/>
                <w:highlight w:val="none"/>
              </w:rPr>
              <w:t>（3）噪声</w:t>
            </w:r>
          </w:p>
          <w:p w14:paraId="577AD6B3">
            <w:pPr>
              <w:adjustRightInd w:val="0"/>
              <w:snapToGrid w:val="0"/>
              <w:spacing w:line="360" w:lineRule="auto"/>
              <w:ind w:firstLine="480" w:firstLineChars="200"/>
              <w:rPr>
                <w:rFonts w:hint="default" w:ascii="Times New Roman" w:hAnsi="Times New Roman" w:cs="Times New Roman"/>
                <w:color w:val="auto"/>
                <w:kern w:val="24"/>
                <w:sz w:val="24"/>
                <w:highlight w:val="none"/>
              </w:rPr>
            </w:pPr>
            <w:r>
              <w:rPr>
                <w:rFonts w:hint="default" w:ascii="Times New Roman" w:hAnsi="Times New Roman" w:cs="Times New Roman"/>
                <w:color w:val="auto"/>
                <w:kern w:val="24"/>
                <w:sz w:val="24"/>
                <w:highlight w:val="none"/>
              </w:rPr>
              <w:t>施工期噪声主要来源于施工过程中机械设备的运行。在不同施工阶段作业噪声限值由于施工机械的数量、构成动作等的随机性，导致了噪声产生的随机性和无规律性，为间歇排放；车辆运输中产生的噪声则与物流量有关，更具有不规律性，属于无组织、不连续排放。施工期间的噪声对施工地点周围及运输途中所经村民居住区会有不同程度的影响。</w:t>
            </w:r>
          </w:p>
          <w:p w14:paraId="7707B6A4">
            <w:pPr>
              <w:adjustRightInd w:val="0"/>
              <w:snapToGrid w:val="0"/>
              <w:spacing w:line="360" w:lineRule="auto"/>
              <w:ind w:firstLine="480" w:firstLineChars="200"/>
              <w:rPr>
                <w:rFonts w:hint="eastAsia"/>
                <w:color w:val="auto"/>
                <w:kern w:val="24"/>
                <w:sz w:val="24"/>
                <w:highlight w:val="none"/>
                <w:lang w:eastAsia="zh-CN"/>
              </w:rPr>
            </w:pPr>
            <w:r>
              <w:rPr>
                <w:color w:val="auto"/>
                <w:kern w:val="24"/>
                <w:sz w:val="24"/>
                <w:highlight w:val="none"/>
              </w:rPr>
              <w:t>（4）固体废物</w:t>
            </w:r>
          </w:p>
          <w:p w14:paraId="12C2589D">
            <w:pPr>
              <w:adjustRightInd w:val="0"/>
              <w:snapToGrid w:val="0"/>
              <w:spacing w:line="360" w:lineRule="auto"/>
              <w:ind w:firstLine="480" w:firstLineChars="200"/>
              <w:rPr>
                <w:rFonts w:hint="eastAsia"/>
                <w:color w:val="auto"/>
                <w:kern w:val="24"/>
                <w:sz w:val="24"/>
                <w:highlight w:val="none"/>
              </w:rPr>
            </w:pPr>
            <w:r>
              <w:rPr>
                <w:rFonts w:hint="eastAsia"/>
                <w:color w:val="auto"/>
                <w:kern w:val="24"/>
                <w:sz w:val="24"/>
                <w:highlight w:val="none"/>
              </w:rPr>
              <w:t>项目施工期固体废物主要为废弃包装材料及施工人员生活垃圾。</w:t>
            </w:r>
          </w:p>
          <w:p w14:paraId="62F66DFE">
            <w:pPr>
              <w:adjustRightInd w:val="0"/>
              <w:snapToGrid w:val="0"/>
              <w:spacing w:line="360" w:lineRule="auto"/>
              <w:ind w:firstLine="480" w:firstLineChars="200"/>
              <w:rPr>
                <w:rFonts w:hint="eastAsia"/>
                <w:color w:val="auto"/>
                <w:kern w:val="24"/>
                <w:sz w:val="24"/>
                <w:highlight w:val="none"/>
              </w:rPr>
            </w:pPr>
            <w:r>
              <w:rPr>
                <w:rFonts w:hint="eastAsia"/>
                <w:color w:val="auto"/>
                <w:kern w:val="24"/>
                <w:sz w:val="24"/>
                <w:highlight w:val="none"/>
              </w:rPr>
              <w:t>①废弃包装材料</w:t>
            </w:r>
            <w:r>
              <w:rPr>
                <w:rFonts w:hint="eastAsia"/>
                <w:color w:val="auto"/>
                <w:kern w:val="24"/>
                <w:sz w:val="24"/>
                <w:highlight w:val="none"/>
                <w:lang w:eastAsia="zh-CN"/>
              </w:rPr>
              <w:t>：</w:t>
            </w:r>
            <w:r>
              <w:rPr>
                <w:rFonts w:hint="eastAsia"/>
                <w:color w:val="auto"/>
                <w:kern w:val="24"/>
                <w:sz w:val="24"/>
                <w:highlight w:val="none"/>
              </w:rPr>
              <w:t>本项目主要进行设备安装即可投入使用，施工过程中产生的废弃包装材料，能回收利用的集中收集，卖给废品，不能回收利用的集中收集委托园区环卫部门清运处理。</w:t>
            </w:r>
          </w:p>
          <w:p w14:paraId="21595AB6">
            <w:pPr>
              <w:adjustRightInd w:val="0"/>
              <w:snapToGrid w:val="0"/>
              <w:spacing w:line="360" w:lineRule="auto"/>
              <w:ind w:firstLine="480" w:firstLineChars="200"/>
              <w:rPr>
                <w:rFonts w:hint="eastAsia"/>
                <w:color w:val="auto"/>
                <w:kern w:val="24"/>
                <w:sz w:val="24"/>
                <w:highlight w:val="none"/>
                <w:lang w:eastAsia="zh-CN"/>
              </w:rPr>
            </w:pPr>
            <w:r>
              <w:rPr>
                <w:rFonts w:hint="eastAsia"/>
                <w:color w:val="auto"/>
                <w:kern w:val="24"/>
                <w:sz w:val="24"/>
                <w:highlight w:val="none"/>
              </w:rPr>
              <w:t>②生活垃圾</w:t>
            </w:r>
            <w:r>
              <w:rPr>
                <w:rFonts w:hint="eastAsia"/>
                <w:color w:val="auto"/>
                <w:kern w:val="24"/>
                <w:sz w:val="24"/>
                <w:highlight w:val="none"/>
                <w:lang w:eastAsia="zh-CN"/>
              </w:rPr>
              <w:t>：</w:t>
            </w:r>
            <w:r>
              <w:rPr>
                <w:rFonts w:hint="eastAsia"/>
                <w:color w:val="auto"/>
                <w:kern w:val="24"/>
                <w:sz w:val="24"/>
                <w:highlight w:val="none"/>
              </w:rPr>
              <w:t>项目施工期生活垃圾产生量按0.2kg/人.d计，本项目高峰期施工人员约10人，施工期生活垃圾产生量为2kg/d，集中收集委托园区环卫部门清运处理。</w:t>
            </w:r>
          </w:p>
        </w:tc>
      </w:tr>
      <w:tr w14:paraId="08B6A8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0" w:type="pct"/>
            <w:vAlign w:val="center"/>
          </w:tcPr>
          <w:p w14:paraId="12DF8D68">
            <w:pPr>
              <w:pStyle w:val="21"/>
              <w:adjustRightInd w:val="0"/>
              <w:snapToGrid w:val="0"/>
              <w:spacing w:before="0" w:beforeAutospacing="0" w:after="0" w:afterAutospacing="0"/>
              <w:jc w:val="center"/>
              <w:rPr>
                <w:rFonts w:ascii="Times New Roman" w:hAnsi="Times New Roman"/>
                <w:color w:val="auto"/>
                <w:szCs w:val="24"/>
                <w:highlight w:val="none"/>
              </w:rPr>
            </w:pPr>
            <w:r>
              <w:rPr>
                <w:rFonts w:ascii="Times New Roman"/>
                <w:color w:val="auto"/>
                <w:szCs w:val="24"/>
                <w:highlight w:val="none"/>
              </w:rPr>
              <w:t>工艺流程和产排污环节</w:t>
            </w:r>
          </w:p>
        </w:tc>
        <w:tc>
          <w:tcPr>
            <w:tcW w:w="4689" w:type="pct"/>
          </w:tcPr>
          <w:p w14:paraId="688EF804">
            <w:pPr>
              <w:spacing w:line="360" w:lineRule="auto"/>
              <w:ind w:firstLine="482" w:firstLineChars="200"/>
              <w:rPr>
                <w:b/>
                <w:bCs/>
                <w:color w:val="auto"/>
                <w:sz w:val="24"/>
                <w:highlight w:val="none"/>
                <w:lang w:val="zh-CN"/>
              </w:rPr>
            </w:pPr>
            <w:r>
              <w:rPr>
                <w:rFonts w:hint="eastAsia"/>
                <w:b/>
                <w:bCs/>
                <w:color w:val="auto"/>
                <w:sz w:val="24"/>
                <w:highlight w:val="none"/>
                <w:lang w:val="zh-CN"/>
              </w:rPr>
              <w:t>二、</w:t>
            </w:r>
            <w:r>
              <w:rPr>
                <w:b/>
                <w:color w:val="auto"/>
                <w:sz w:val="24"/>
                <w:highlight w:val="none"/>
              </w:rPr>
              <w:t>运营期</w:t>
            </w:r>
          </w:p>
          <w:p w14:paraId="0554778D">
            <w:pPr>
              <w:autoSpaceDE w:val="0"/>
              <w:autoSpaceDN w:val="0"/>
              <w:adjustRightInd w:val="0"/>
              <w:spacing w:line="360" w:lineRule="auto"/>
              <w:ind w:firstLine="482" w:firstLineChars="200"/>
              <w:jc w:val="left"/>
              <w:rPr>
                <w:rFonts w:hint="eastAsia"/>
                <w:b/>
                <w:color w:val="auto"/>
                <w:kern w:val="24"/>
                <w:sz w:val="24"/>
                <w:highlight w:val="none"/>
              </w:rPr>
            </w:pPr>
            <w:r>
              <w:rPr>
                <w:b/>
                <w:bCs/>
                <w:color w:val="auto"/>
                <w:sz w:val="24"/>
                <w:highlight w:val="none"/>
              </w:rPr>
              <w:t>1、</w:t>
            </w:r>
            <w:r>
              <w:rPr>
                <w:rFonts w:hint="eastAsia"/>
                <w:b/>
                <w:color w:val="auto"/>
                <w:kern w:val="24"/>
                <w:sz w:val="24"/>
                <w:highlight w:val="none"/>
              </w:rPr>
              <w:t>工艺流程及产污节点</w:t>
            </w:r>
          </w:p>
          <w:p w14:paraId="6536F07F">
            <w:pPr>
              <w:autoSpaceDE w:val="0"/>
              <w:autoSpaceDN w:val="0"/>
              <w:adjustRightInd w:val="0"/>
              <w:spacing w:line="360" w:lineRule="auto"/>
              <w:ind w:firstLine="480" w:firstLineChars="200"/>
              <w:jc w:val="left"/>
              <w:rPr>
                <w:color w:val="auto"/>
                <w:sz w:val="24"/>
                <w:highlight w:val="none"/>
              </w:rPr>
            </w:pPr>
            <w:r>
              <w:rPr>
                <w:rFonts w:hint="eastAsia" w:ascii="宋体" w:hAnsi="宋体" w:cs="宋体"/>
                <w:color w:val="auto"/>
                <w:sz w:val="24"/>
                <w:highlight w:val="none"/>
              </w:rPr>
              <w:t>项目购置安装五条新型材料环保石塑箱生产线，建成后形成年产49500吨新型材料环保石塑箱品的生产规模</w:t>
            </w:r>
            <w:r>
              <w:rPr>
                <w:rFonts w:hint="eastAsia" w:ascii="宋体" w:hAnsi="宋体" w:cs="宋体"/>
                <w:color w:val="auto"/>
                <w:sz w:val="24"/>
                <w:highlight w:val="none"/>
                <w:lang w:eastAsia="zh-CN"/>
              </w:rPr>
              <w:t>。</w:t>
            </w:r>
            <w:r>
              <w:rPr>
                <w:rFonts w:hint="eastAsia" w:ascii="宋体" w:hAnsi="宋体" w:cs="宋体"/>
                <w:color w:val="auto"/>
                <w:sz w:val="24"/>
                <w:highlight w:val="none"/>
              </w:rPr>
              <w:t>项目运行工艺流程及产污节点见</w:t>
            </w:r>
            <w:r>
              <w:rPr>
                <w:color w:val="auto"/>
                <w:sz w:val="24"/>
                <w:highlight w:val="none"/>
              </w:rPr>
              <w:t>图2-</w:t>
            </w:r>
            <w:r>
              <w:rPr>
                <w:rFonts w:hint="eastAsia"/>
                <w:color w:val="auto"/>
                <w:sz w:val="24"/>
                <w:highlight w:val="none"/>
              </w:rPr>
              <w:t>4</w:t>
            </w:r>
            <w:r>
              <w:rPr>
                <w:color w:val="auto"/>
                <w:sz w:val="24"/>
                <w:highlight w:val="none"/>
              </w:rPr>
              <w:t>。</w:t>
            </w:r>
          </w:p>
          <w:p w14:paraId="3F1C31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b/>
                <w:bCs/>
                <w:color w:val="auto"/>
                <w:kern w:val="24"/>
                <w:sz w:val="24"/>
                <w:highlight w:val="none"/>
                <w:lang w:eastAsia="zh-CN"/>
              </w:rPr>
            </w:pPr>
            <w:r>
              <w:rPr>
                <w:rFonts w:hint="eastAsia" w:eastAsia="宋体"/>
                <w:b/>
                <w:bCs/>
                <w:color w:val="auto"/>
                <w:kern w:val="24"/>
                <w:sz w:val="24"/>
                <w:highlight w:val="none"/>
                <w:lang w:eastAsia="zh-CN"/>
              </w:rPr>
              <w:drawing>
                <wp:inline distT="0" distB="0" distL="114300" distR="114300">
                  <wp:extent cx="5022215" cy="6092825"/>
                  <wp:effectExtent l="0" t="0" r="6985" b="3175"/>
                  <wp:docPr id="2" name="图片 2" descr="D:/ZZY/1、项目资料/3、建设项目环境影响评价/6、玉溪市新型材料环保石塑箱项目/2、项目资料/作图资料/绘图1.jpg绘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ZZY/1、项目资料/3、建设项目环境影响评价/6、玉溪市新型材料环保石塑箱项目/2、项目资料/作图资料/绘图1.jpg绘图1"/>
                          <pic:cNvPicPr>
                            <a:picLocks noChangeAspect="1"/>
                          </pic:cNvPicPr>
                        </pic:nvPicPr>
                        <pic:blipFill>
                          <a:blip r:embed="rId9"/>
                          <a:srcRect t="329" b="329"/>
                          <a:stretch>
                            <a:fillRect/>
                          </a:stretch>
                        </pic:blipFill>
                        <pic:spPr>
                          <a:xfrm>
                            <a:off x="0" y="0"/>
                            <a:ext cx="5022215" cy="6092825"/>
                          </a:xfrm>
                          <a:prstGeom prst="rect">
                            <a:avLst/>
                          </a:prstGeom>
                        </pic:spPr>
                      </pic:pic>
                    </a:graphicData>
                  </a:graphic>
                </wp:inline>
              </w:drawing>
            </w:r>
          </w:p>
          <w:p w14:paraId="1E5FB826">
            <w:pPr>
              <w:adjustRightInd w:val="0"/>
              <w:snapToGrid w:val="0"/>
              <w:spacing w:line="360" w:lineRule="auto"/>
              <w:ind w:firstLine="482" w:firstLineChars="200"/>
              <w:jc w:val="center"/>
              <w:rPr>
                <w:rFonts w:hint="eastAsia"/>
                <w:b/>
                <w:bCs/>
                <w:color w:val="auto"/>
                <w:kern w:val="24"/>
                <w:sz w:val="24"/>
                <w:highlight w:val="none"/>
              </w:rPr>
            </w:pPr>
            <w:r>
              <w:rPr>
                <w:rFonts w:hint="eastAsia"/>
                <w:b/>
                <w:bCs/>
                <w:color w:val="auto"/>
                <w:kern w:val="24"/>
                <w:sz w:val="24"/>
                <w:highlight w:val="none"/>
              </w:rPr>
              <w:t>图2-3  项目运营期工艺流程及产污节点图</w:t>
            </w:r>
          </w:p>
          <w:p w14:paraId="2B7F214A">
            <w:pPr>
              <w:adjustRightInd w:val="0"/>
              <w:snapToGrid w:val="0"/>
              <w:spacing w:line="360" w:lineRule="auto"/>
              <w:ind w:firstLine="482" w:firstLineChars="200"/>
              <w:rPr>
                <w:rFonts w:hint="eastAsia"/>
                <w:b/>
                <w:bCs/>
                <w:color w:val="auto"/>
                <w:kern w:val="24"/>
                <w:sz w:val="24"/>
                <w:highlight w:val="none"/>
              </w:rPr>
            </w:pPr>
            <w:r>
              <w:rPr>
                <w:rFonts w:hint="eastAsia"/>
                <w:b/>
                <w:bCs/>
                <w:color w:val="auto"/>
                <w:kern w:val="24"/>
                <w:sz w:val="24"/>
                <w:highlight w:val="none"/>
              </w:rPr>
              <w:t>工艺流程简介：</w:t>
            </w:r>
          </w:p>
          <w:p w14:paraId="4FA5F7FE">
            <w:pPr>
              <w:numPr>
                <w:ilvl w:val="0"/>
                <w:numId w:val="0"/>
              </w:numPr>
              <w:adjustRightInd w:val="0"/>
              <w:snapToGrid w:val="0"/>
              <w:spacing w:line="360" w:lineRule="auto"/>
              <w:ind w:firstLine="480" w:firstLineChars="200"/>
              <w:rPr>
                <w:rFonts w:hint="default" w:ascii="Times New Roman" w:hAnsi="Times New Roman" w:eastAsia="宋体" w:cs="Times New Roman"/>
                <w:color w:val="auto"/>
                <w:kern w:val="24"/>
                <w:sz w:val="24"/>
                <w:szCs w:val="24"/>
                <w:highlight w:val="none"/>
                <w:lang w:val="en-US" w:eastAsia="zh-CN" w:bidi="ar-SA"/>
              </w:rPr>
            </w:pPr>
            <w:r>
              <w:rPr>
                <w:rFonts w:hint="eastAsia" w:ascii="Times New Roman" w:hAnsi="Times New Roman" w:eastAsia="宋体" w:cs="Times New Roman"/>
                <w:color w:val="auto"/>
                <w:kern w:val="24"/>
                <w:sz w:val="24"/>
                <w:szCs w:val="24"/>
                <w:highlight w:val="none"/>
                <w:lang w:val="en-US" w:eastAsia="zh-CN" w:bidi="ar-SA"/>
              </w:rPr>
              <w:t>（1）拌料、上料：按照产品配方比例将聚丙烯、聚乙烯、填充母料、色母料、消泡母料、改性料按一定比例倒入拌料料机中并混合搅拌。进料过程为整包投料，将料包运至投料斗上方，人工对齐投料口方向割口，下放料包，使其完全罩住投料口，利用料包重量自然下料，后经螺旋杆转入搅拌机中，混合搅拌过程完全密闭，无粉尘产生。充分混合的物料通过</w:t>
            </w:r>
            <w:r>
              <w:rPr>
                <w:rFonts w:hint="eastAsia" w:cs="Times New Roman"/>
                <w:color w:val="auto"/>
                <w:kern w:val="24"/>
                <w:sz w:val="24"/>
                <w:szCs w:val="24"/>
                <w:highlight w:val="none"/>
                <w:lang w:val="en-US" w:eastAsia="zh-CN" w:bidi="ar-SA"/>
              </w:rPr>
              <w:t>密闭</w:t>
            </w:r>
            <w:r>
              <w:rPr>
                <w:rFonts w:hint="eastAsia" w:ascii="Times New Roman" w:hAnsi="Times New Roman" w:eastAsia="宋体" w:cs="Times New Roman"/>
                <w:color w:val="auto"/>
                <w:kern w:val="24"/>
                <w:sz w:val="24"/>
                <w:szCs w:val="24"/>
                <w:highlight w:val="none"/>
                <w:lang w:val="en-US" w:eastAsia="zh-CN" w:bidi="ar-SA"/>
              </w:rPr>
              <w:t>管道进入真空上料机的储料仓，通过负压将储料仓内的物料吸入挤出机料斗，上料工序处于常温、密闭状态之下，无废气产生。</w:t>
            </w:r>
            <w:r>
              <w:rPr>
                <w:rFonts w:hint="default" w:ascii="Times New Roman" w:hAnsi="Times New Roman" w:eastAsia="宋体" w:cs="Times New Roman"/>
                <w:color w:val="auto"/>
                <w:kern w:val="24"/>
                <w:sz w:val="24"/>
                <w:szCs w:val="24"/>
                <w:highlight w:val="none"/>
                <w:lang w:val="en-US" w:eastAsia="zh-CN" w:bidi="ar-SA"/>
              </w:rPr>
              <w:t>该生产过程中会产生S1废包装袋、</w:t>
            </w:r>
            <w:r>
              <w:rPr>
                <w:rFonts w:hint="eastAsia" w:cs="Times New Roman"/>
                <w:color w:val="auto"/>
                <w:kern w:val="24"/>
                <w:sz w:val="24"/>
                <w:szCs w:val="24"/>
                <w:highlight w:val="none"/>
                <w:lang w:val="en-US" w:eastAsia="zh-CN" w:bidi="ar-SA"/>
              </w:rPr>
              <w:t>N1</w:t>
            </w:r>
            <w:r>
              <w:rPr>
                <w:rFonts w:hint="default" w:ascii="Times New Roman" w:hAnsi="Times New Roman" w:eastAsia="宋体" w:cs="Times New Roman"/>
                <w:color w:val="auto"/>
                <w:kern w:val="24"/>
                <w:sz w:val="24"/>
                <w:szCs w:val="24"/>
                <w:highlight w:val="none"/>
                <w:lang w:val="en-US" w:eastAsia="zh-CN" w:bidi="ar-SA"/>
              </w:rPr>
              <w:t>设备噪声。</w:t>
            </w:r>
          </w:p>
          <w:p w14:paraId="135CE365">
            <w:pPr>
              <w:numPr>
                <w:ilvl w:val="0"/>
                <w:numId w:val="0"/>
              </w:numPr>
              <w:adjustRightInd w:val="0"/>
              <w:snapToGrid w:val="0"/>
              <w:spacing w:line="360" w:lineRule="auto"/>
              <w:ind w:firstLine="480" w:firstLineChars="200"/>
              <w:rPr>
                <w:rFonts w:hint="default" w:ascii="Times New Roman" w:hAnsi="Times New Roman" w:eastAsia="宋体" w:cs="Times New Roman"/>
                <w:color w:val="auto"/>
                <w:kern w:val="24"/>
                <w:sz w:val="24"/>
                <w:szCs w:val="24"/>
                <w:highlight w:val="none"/>
                <w:lang w:val="en-US" w:eastAsia="zh-CN" w:bidi="ar-SA"/>
              </w:rPr>
            </w:pPr>
            <w:r>
              <w:rPr>
                <w:rFonts w:hint="eastAsia" w:ascii="Times New Roman" w:hAnsi="Times New Roman" w:eastAsia="宋体" w:cs="Times New Roman"/>
                <w:color w:val="auto"/>
                <w:kern w:val="24"/>
                <w:sz w:val="24"/>
                <w:szCs w:val="24"/>
                <w:highlight w:val="none"/>
                <w:lang w:val="en-US" w:eastAsia="zh-CN" w:bidi="ar-SA"/>
              </w:rPr>
              <w:t>（2）挤出：混合搅拌后的原辅料经上料机注入挤出机后开始加热熔融，供热方式为电加热，通过电对螺杆分区逐级加热（一区：160℃~210℃、二区：170℃~210℃、三区</w:t>
            </w:r>
            <w:r>
              <w:rPr>
                <w:rFonts w:hint="eastAsia" w:cs="Times New Roman"/>
                <w:color w:val="auto"/>
                <w:kern w:val="24"/>
                <w:sz w:val="24"/>
                <w:szCs w:val="24"/>
                <w:highlight w:val="none"/>
                <w:lang w:val="en-US" w:eastAsia="zh-CN" w:bidi="ar-SA"/>
              </w:rPr>
              <w:t>至七区</w:t>
            </w:r>
            <w:r>
              <w:rPr>
                <w:rFonts w:hint="eastAsia" w:ascii="Times New Roman" w:hAnsi="Times New Roman" w:eastAsia="宋体" w:cs="Times New Roman"/>
                <w:color w:val="auto"/>
                <w:kern w:val="24"/>
                <w:sz w:val="24"/>
                <w:szCs w:val="24"/>
                <w:highlight w:val="none"/>
                <w:lang w:val="en-US" w:eastAsia="zh-CN" w:bidi="ar-SA"/>
              </w:rPr>
              <w:t>：180℃~2</w:t>
            </w:r>
            <w:r>
              <w:rPr>
                <w:rFonts w:hint="eastAsia" w:cs="Times New Roman"/>
                <w:color w:val="auto"/>
                <w:kern w:val="24"/>
                <w:sz w:val="24"/>
                <w:szCs w:val="24"/>
                <w:highlight w:val="none"/>
                <w:lang w:val="en-US" w:eastAsia="zh-CN" w:bidi="ar-SA"/>
              </w:rPr>
              <w:t>3</w:t>
            </w:r>
            <w:r>
              <w:rPr>
                <w:rFonts w:hint="eastAsia" w:ascii="Times New Roman" w:hAnsi="Times New Roman" w:eastAsia="宋体" w:cs="Times New Roman"/>
                <w:color w:val="auto"/>
                <w:kern w:val="24"/>
                <w:sz w:val="24"/>
                <w:szCs w:val="24"/>
                <w:highlight w:val="none"/>
                <w:lang w:val="en-US" w:eastAsia="zh-CN" w:bidi="ar-SA"/>
              </w:rPr>
              <w:t>0℃）</w:t>
            </w:r>
            <w:r>
              <w:rPr>
                <w:rFonts w:hint="eastAsia" w:cs="Times New Roman"/>
                <w:color w:val="auto"/>
                <w:kern w:val="24"/>
                <w:sz w:val="24"/>
                <w:szCs w:val="24"/>
                <w:highlight w:val="none"/>
                <w:lang w:val="en-US" w:eastAsia="zh-CN" w:bidi="ar-SA"/>
              </w:rPr>
              <w:t>，</w:t>
            </w:r>
            <w:r>
              <w:rPr>
                <w:rFonts w:hint="eastAsia" w:ascii="Times New Roman" w:hAnsi="Times New Roman" w:eastAsia="宋体" w:cs="Times New Roman"/>
                <w:color w:val="auto"/>
                <w:kern w:val="24"/>
                <w:sz w:val="24"/>
                <w:szCs w:val="24"/>
                <w:highlight w:val="none"/>
                <w:lang w:val="en-US" w:eastAsia="zh-CN" w:bidi="ar-SA"/>
              </w:rPr>
              <w:t>使塑料颗粒</w:t>
            </w:r>
            <w:r>
              <w:rPr>
                <w:rFonts w:hint="eastAsia" w:cs="Times New Roman"/>
                <w:color w:val="auto"/>
                <w:kern w:val="24"/>
                <w:sz w:val="24"/>
                <w:szCs w:val="24"/>
                <w:highlight w:val="none"/>
                <w:lang w:val="en-US" w:eastAsia="zh-CN" w:bidi="ar-SA"/>
              </w:rPr>
              <w:t>受热</w:t>
            </w:r>
            <w:r>
              <w:rPr>
                <w:rFonts w:hint="eastAsia" w:ascii="Times New Roman" w:hAnsi="Times New Roman" w:eastAsia="宋体" w:cs="Times New Roman"/>
                <w:color w:val="auto"/>
                <w:kern w:val="24"/>
                <w:sz w:val="24"/>
                <w:szCs w:val="24"/>
                <w:highlight w:val="none"/>
                <w:lang w:val="en-US" w:eastAsia="zh-CN" w:bidi="ar-SA"/>
              </w:rPr>
              <w:t>呈熔融状态，形成无气泡、无颗粒的熔体。借助螺杆的推力将熔体推送进入机头，熔体通过机头流道初步整形，为进入换网装置做准备。</w:t>
            </w:r>
            <w:r>
              <w:rPr>
                <w:rFonts w:hint="eastAsia" w:cs="Times New Roman"/>
                <w:color w:val="auto"/>
                <w:kern w:val="24"/>
                <w:sz w:val="24"/>
                <w:szCs w:val="24"/>
                <w:highlight w:val="none"/>
                <w:lang w:val="en-US" w:eastAsia="zh-CN" w:bidi="ar-SA"/>
              </w:rPr>
              <w:t>挤出</w:t>
            </w:r>
            <w:r>
              <w:rPr>
                <w:rFonts w:hint="eastAsia" w:ascii="Times New Roman" w:hAnsi="Times New Roman" w:eastAsia="宋体" w:cs="Times New Roman"/>
                <w:color w:val="auto"/>
                <w:kern w:val="24"/>
                <w:sz w:val="24"/>
                <w:szCs w:val="24"/>
                <w:highlight w:val="none"/>
                <w:lang w:val="en-US" w:eastAsia="zh-CN" w:bidi="ar-SA"/>
              </w:rPr>
              <w:t>生产过程全部在</w:t>
            </w:r>
            <w:r>
              <w:rPr>
                <w:rFonts w:hint="eastAsia" w:cs="Times New Roman"/>
                <w:color w:val="auto"/>
                <w:kern w:val="24"/>
                <w:sz w:val="24"/>
                <w:szCs w:val="24"/>
                <w:highlight w:val="none"/>
                <w:lang w:val="en-US" w:eastAsia="zh-CN" w:bidi="ar-SA"/>
              </w:rPr>
              <w:t>生产</w:t>
            </w:r>
            <w:r>
              <w:rPr>
                <w:rFonts w:hint="eastAsia" w:ascii="Times New Roman" w:hAnsi="Times New Roman" w:eastAsia="宋体" w:cs="Times New Roman"/>
                <w:color w:val="auto"/>
                <w:kern w:val="24"/>
                <w:sz w:val="24"/>
                <w:szCs w:val="24"/>
                <w:highlight w:val="none"/>
                <w:lang w:val="en-US" w:eastAsia="zh-CN" w:bidi="ar-SA"/>
              </w:rPr>
              <w:t>设备密闭腔体内部完成，挥发性有机废气（以非甲烷总烃计）与产品到下一工序模具成型中与模具成型废气一起挥发出来。</w:t>
            </w:r>
            <w:r>
              <w:rPr>
                <w:rFonts w:hint="default" w:ascii="Times New Roman" w:hAnsi="Times New Roman" w:eastAsia="宋体" w:cs="Times New Roman"/>
                <w:color w:val="auto"/>
                <w:kern w:val="24"/>
                <w:sz w:val="24"/>
                <w:szCs w:val="24"/>
                <w:highlight w:val="none"/>
                <w:lang w:val="en-US" w:eastAsia="zh-CN" w:bidi="ar-SA"/>
              </w:rPr>
              <w:t>该生产过程中会产生</w:t>
            </w:r>
            <w:r>
              <w:rPr>
                <w:rFonts w:hint="eastAsia" w:cs="Times New Roman"/>
                <w:color w:val="auto"/>
                <w:kern w:val="24"/>
                <w:sz w:val="24"/>
                <w:szCs w:val="24"/>
                <w:highlight w:val="none"/>
                <w:lang w:val="en-US" w:eastAsia="zh-CN" w:bidi="ar-SA"/>
              </w:rPr>
              <w:t>N1</w:t>
            </w:r>
            <w:r>
              <w:rPr>
                <w:rFonts w:hint="default" w:ascii="Times New Roman" w:hAnsi="Times New Roman" w:eastAsia="宋体" w:cs="Times New Roman"/>
                <w:color w:val="auto"/>
                <w:kern w:val="24"/>
                <w:sz w:val="24"/>
                <w:szCs w:val="24"/>
                <w:highlight w:val="none"/>
                <w:lang w:val="en-US" w:eastAsia="zh-CN" w:bidi="ar-SA"/>
              </w:rPr>
              <w:t>设备噪声</w:t>
            </w:r>
            <w:r>
              <w:rPr>
                <w:rFonts w:hint="eastAsia" w:cs="Times New Roman"/>
                <w:color w:val="auto"/>
                <w:kern w:val="24"/>
                <w:sz w:val="24"/>
                <w:szCs w:val="24"/>
                <w:highlight w:val="none"/>
                <w:lang w:val="en-US" w:eastAsia="zh-CN" w:bidi="ar-SA"/>
              </w:rPr>
              <w:t>。</w:t>
            </w:r>
          </w:p>
          <w:p w14:paraId="10E7A67A">
            <w:pPr>
              <w:numPr>
                <w:ilvl w:val="0"/>
                <w:numId w:val="0"/>
              </w:numPr>
              <w:adjustRightInd w:val="0"/>
              <w:snapToGrid w:val="0"/>
              <w:spacing w:line="360" w:lineRule="auto"/>
              <w:ind w:firstLine="480" w:firstLineChars="200"/>
              <w:rPr>
                <w:rFonts w:hint="eastAsia" w:ascii="Times New Roman" w:hAnsi="Times New Roman" w:eastAsia="宋体" w:cs="Times New Roman"/>
                <w:color w:val="auto"/>
                <w:kern w:val="24"/>
                <w:sz w:val="24"/>
                <w:szCs w:val="24"/>
                <w:highlight w:val="none"/>
                <w:lang w:val="en-US" w:eastAsia="zh-CN" w:bidi="ar-SA"/>
              </w:rPr>
            </w:pPr>
            <w:r>
              <w:rPr>
                <w:rFonts w:hint="eastAsia" w:ascii="Times New Roman" w:hAnsi="Times New Roman" w:eastAsia="宋体" w:cs="Times New Roman"/>
                <w:color w:val="auto"/>
                <w:kern w:val="24"/>
                <w:sz w:val="24"/>
                <w:szCs w:val="24"/>
                <w:highlight w:val="none"/>
                <w:lang w:val="en-US" w:eastAsia="zh-CN" w:bidi="ar-SA"/>
              </w:rPr>
              <w:t>（</w:t>
            </w:r>
            <w:r>
              <w:rPr>
                <w:rFonts w:hint="eastAsia" w:cs="Times New Roman"/>
                <w:color w:val="auto"/>
                <w:kern w:val="24"/>
                <w:sz w:val="24"/>
                <w:szCs w:val="24"/>
                <w:highlight w:val="none"/>
                <w:lang w:val="en-US" w:eastAsia="zh-CN" w:bidi="ar-SA"/>
              </w:rPr>
              <w:t>3）</w:t>
            </w:r>
            <w:r>
              <w:rPr>
                <w:rFonts w:hint="eastAsia" w:ascii="Times New Roman" w:hAnsi="Times New Roman" w:eastAsia="宋体" w:cs="Times New Roman"/>
                <w:color w:val="auto"/>
                <w:kern w:val="24"/>
                <w:sz w:val="24"/>
                <w:szCs w:val="24"/>
                <w:highlight w:val="none"/>
                <w:lang w:val="en-US" w:eastAsia="zh-CN" w:bidi="ar-SA"/>
              </w:rPr>
              <w:t>换网：熔融状态的</w:t>
            </w:r>
            <w:r>
              <w:rPr>
                <w:rFonts w:hint="eastAsia" w:cs="Times New Roman"/>
                <w:color w:val="auto"/>
                <w:kern w:val="24"/>
                <w:sz w:val="24"/>
                <w:szCs w:val="24"/>
                <w:highlight w:val="none"/>
                <w:lang w:val="en-US" w:eastAsia="zh-CN" w:bidi="ar-SA"/>
              </w:rPr>
              <w:t>熔体</w:t>
            </w:r>
            <w:r>
              <w:rPr>
                <w:rFonts w:hint="eastAsia" w:ascii="Times New Roman" w:hAnsi="Times New Roman" w:eastAsia="宋体" w:cs="Times New Roman"/>
                <w:color w:val="auto"/>
                <w:kern w:val="24"/>
                <w:sz w:val="24"/>
                <w:szCs w:val="24"/>
                <w:highlight w:val="none"/>
                <w:lang w:val="en-US" w:eastAsia="zh-CN" w:bidi="ar-SA"/>
              </w:rPr>
              <w:t>在螺杆推送至模头前，需经过</w:t>
            </w:r>
            <w:r>
              <w:rPr>
                <w:rFonts w:hint="eastAsia" w:cs="Times New Roman"/>
                <w:color w:val="auto"/>
                <w:kern w:val="24"/>
                <w:sz w:val="24"/>
                <w:szCs w:val="24"/>
                <w:highlight w:val="none"/>
                <w:lang w:val="en-US" w:eastAsia="zh-CN" w:bidi="ar-SA"/>
              </w:rPr>
              <w:t>液压快速</w:t>
            </w:r>
            <w:r>
              <w:rPr>
                <w:rFonts w:hint="eastAsia" w:ascii="Times New Roman" w:hAnsi="Times New Roman" w:eastAsia="宋体" w:cs="Times New Roman"/>
                <w:color w:val="auto"/>
                <w:kern w:val="24"/>
                <w:sz w:val="24"/>
                <w:szCs w:val="24"/>
                <w:highlight w:val="none"/>
                <w:lang w:val="en-US" w:eastAsia="zh-CN" w:bidi="ar-SA"/>
              </w:rPr>
              <w:t>换网装置（180℃~240℃）。该装置内装有过滤网，可过滤掉熔融料中可能存在的杂质，保证进入模具的熔体纯净度。此生产过程全部在设备密闭腔体内部完成，无挥发性有机废气（</w:t>
            </w:r>
            <w:r>
              <w:rPr>
                <w:rFonts w:hint="eastAsia" w:cs="Times New Roman"/>
                <w:color w:val="auto"/>
                <w:kern w:val="24"/>
                <w:sz w:val="24"/>
                <w:szCs w:val="24"/>
                <w:highlight w:val="none"/>
                <w:lang w:val="en-US" w:eastAsia="zh-CN" w:bidi="ar-SA"/>
              </w:rPr>
              <w:t>以</w:t>
            </w:r>
            <w:r>
              <w:rPr>
                <w:rFonts w:hint="eastAsia" w:ascii="Times New Roman" w:hAnsi="Times New Roman" w:eastAsia="宋体" w:cs="Times New Roman"/>
                <w:color w:val="auto"/>
                <w:kern w:val="24"/>
                <w:sz w:val="24"/>
                <w:szCs w:val="24"/>
                <w:highlight w:val="none"/>
                <w:lang w:val="en-US" w:eastAsia="zh-CN" w:bidi="ar-SA"/>
              </w:rPr>
              <w:t>非甲烷总烃</w:t>
            </w:r>
            <w:r>
              <w:rPr>
                <w:rFonts w:hint="eastAsia" w:cs="Times New Roman"/>
                <w:color w:val="auto"/>
                <w:kern w:val="24"/>
                <w:sz w:val="24"/>
                <w:szCs w:val="24"/>
                <w:highlight w:val="none"/>
                <w:lang w:val="en-US" w:eastAsia="zh-CN" w:bidi="ar-SA"/>
              </w:rPr>
              <w:t>计</w:t>
            </w:r>
            <w:r>
              <w:rPr>
                <w:rFonts w:hint="eastAsia" w:ascii="Times New Roman" w:hAnsi="Times New Roman" w:eastAsia="宋体" w:cs="Times New Roman"/>
                <w:color w:val="auto"/>
                <w:kern w:val="24"/>
                <w:sz w:val="24"/>
                <w:szCs w:val="24"/>
                <w:highlight w:val="none"/>
                <w:lang w:val="en-US" w:eastAsia="zh-CN" w:bidi="ar-SA"/>
              </w:rPr>
              <w:t>）产生。该生产过程中会产生</w:t>
            </w:r>
            <w:r>
              <w:rPr>
                <w:rFonts w:hint="eastAsia" w:cs="Times New Roman"/>
                <w:color w:val="auto"/>
                <w:kern w:val="24"/>
                <w:sz w:val="24"/>
                <w:szCs w:val="24"/>
                <w:highlight w:val="none"/>
                <w:lang w:val="en-US" w:eastAsia="zh-CN" w:bidi="ar-SA"/>
              </w:rPr>
              <w:t>N1</w:t>
            </w:r>
            <w:r>
              <w:rPr>
                <w:rFonts w:hint="eastAsia" w:ascii="Times New Roman" w:hAnsi="Times New Roman" w:eastAsia="宋体" w:cs="Times New Roman"/>
                <w:color w:val="auto"/>
                <w:kern w:val="24"/>
                <w:sz w:val="24"/>
                <w:szCs w:val="24"/>
                <w:highlight w:val="none"/>
                <w:lang w:val="en-US" w:eastAsia="zh-CN" w:bidi="ar-SA"/>
              </w:rPr>
              <w:t>设备噪声。</w:t>
            </w:r>
          </w:p>
          <w:p w14:paraId="4E5B9DB1">
            <w:pPr>
              <w:numPr>
                <w:ilvl w:val="0"/>
                <w:numId w:val="0"/>
              </w:numPr>
              <w:adjustRightInd w:val="0"/>
              <w:snapToGrid w:val="0"/>
              <w:spacing w:line="360" w:lineRule="auto"/>
              <w:ind w:firstLine="480" w:firstLineChars="200"/>
              <w:rPr>
                <w:rFonts w:hint="eastAsia" w:eastAsia="宋体"/>
                <w:color w:val="auto"/>
                <w:kern w:val="24"/>
                <w:sz w:val="24"/>
                <w:highlight w:val="none"/>
                <w:lang w:eastAsia="zh-CN"/>
              </w:rPr>
            </w:pPr>
            <w:r>
              <w:rPr>
                <w:rFonts w:hint="eastAsia" w:ascii="Times New Roman" w:hAnsi="Times New Roman" w:eastAsia="宋体" w:cs="Times New Roman"/>
                <w:color w:val="auto"/>
                <w:kern w:val="24"/>
                <w:sz w:val="24"/>
                <w:szCs w:val="24"/>
                <w:highlight w:val="none"/>
                <w:lang w:val="en-US" w:eastAsia="zh-CN" w:bidi="ar-SA"/>
              </w:rPr>
              <w:t>（</w:t>
            </w:r>
            <w:r>
              <w:rPr>
                <w:rFonts w:hint="eastAsia" w:cs="Times New Roman"/>
                <w:color w:val="auto"/>
                <w:kern w:val="24"/>
                <w:sz w:val="24"/>
                <w:szCs w:val="24"/>
                <w:highlight w:val="none"/>
                <w:lang w:val="en-US" w:eastAsia="zh-CN" w:bidi="ar-SA"/>
              </w:rPr>
              <w:t>4</w:t>
            </w:r>
            <w:r>
              <w:rPr>
                <w:rFonts w:hint="eastAsia" w:ascii="Times New Roman" w:hAnsi="Times New Roman" w:eastAsia="宋体" w:cs="Times New Roman"/>
                <w:color w:val="auto"/>
                <w:kern w:val="24"/>
                <w:sz w:val="24"/>
                <w:szCs w:val="24"/>
                <w:highlight w:val="none"/>
                <w:lang w:val="en-US" w:eastAsia="zh-CN" w:bidi="ar-SA"/>
              </w:rPr>
              <w:t>）</w:t>
            </w:r>
            <w:r>
              <w:rPr>
                <w:rFonts w:hint="eastAsia"/>
                <w:color w:val="auto"/>
                <w:kern w:val="24"/>
                <w:sz w:val="24"/>
                <w:highlight w:val="none"/>
              </w:rPr>
              <w:t>模具</w:t>
            </w:r>
            <w:r>
              <w:rPr>
                <w:rFonts w:hint="eastAsia"/>
                <w:color w:val="auto"/>
                <w:kern w:val="24"/>
                <w:sz w:val="24"/>
                <w:highlight w:val="none"/>
                <w:lang w:val="en-US" w:eastAsia="zh-CN"/>
              </w:rPr>
              <w:t>成型</w:t>
            </w:r>
            <w:r>
              <w:rPr>
                <w:rFonts w:hint="eastAsia"/>
                <w:color w:val="auto"/>
                <w:kern w:val="24"/>
                <w:sz w:val="24"/>
                <w:highlight w:val="none"/>
              </w:rPr>
              <w:t>：经换网过滤后的熔体进入模具，熔体从模唇挤出，形成具有中空截面的板坯。模具内部设有流道，引导熔融料均匀分布至整个型腔，模具温度控制在180</w:t>
            </w:r>
            <w:r>
              <w:rPr>
                <w:rFonts w:hint="eastAsia"/>
                <w:color w:val="auto"/>
                <w:kern w:val="24"/>
                <w:sz w:val="24"/>
                <w:highlight w:val="none"/>
                <w:lang w:val="en-US" w:eastAsia="zh-CN"/>
              </w:rPr>
              <w:t>℃~23</w:t>
            </w:r>
            <w:r>
              <w:rPr>
                <w:rFonts w:hint="eastAsia"/>
                <w:color w:val="auto"/>
                <w:kern w:val="24"/>
                <w:sz w:val="24"/>
                <w:highlight w:val="none"/>
              </w:rPr>
              <w:t>0℃，确保熔体流动性稳定，模唇间隙可通过螺栓微调，控制板材厚度，使熔体在型腔中开始形成与模具匹配的形状</w:t>
            </w:r>
            <w:r>
              <w:rPr>
                <w:rFonts w:hint="eastAsia"/>
                <w:color w:val="auto"/>
                <w:kern w:val="24"/>
                <w:sz w:val="24"/>
                <w:highlight w:val="none"/>
                <w:lang w:eastAsia="zh-CN"/>
              </w:rPr>
              <w:t>。此工序仍处于高温状态，树脂熔体持续微量挥发有机废气。</w:t>
            </w:r>
            <w:r>
              <w:rPr>
                <w:rFonts w:hint="eastAsia"/>
                <w:color w:val="auto"/>
                <w:kern w:val="24"/>
                <w:sz w:val="24"/>
                <w:highlight w:val="none"/>
                <w:lang w:val="en-US" w:eastAsia="zh-CN"/>
              </w:rPr>
              <w:t>该</w:t>
            </w:r>
            <w:r>
              <w:rPr>
                <w:rFonts w:hint="eastAsia"/>
                <w:color w:val="auto"/>
                <w:kern w:val="24"/>
                <w:sz w:val="24"/>
                <w:highlight w:val="none"/>
              </w:rPr>
              <w:t>生产过程</w:t>
            </w:r>
            <w:r>
              <w:rPr>
                <w:rFonts w:hint="eastAsia"/>
                <w:color w:val="auto"/>
                <w:kern w:val="24"/>
                <w:sz w:val="24"/>
                <w:highlight w:val="none"/>
                <w:lang w:val="en-US" w:eastAsia="zh-CN"/>
              </w:rPr>
              <w:t>会产生G1模具成型废气</w:t>
            </w:r>
            <w:r>
              <w:rPr>
                <w:rFonts w:hint="eastAsia"/>
                <w:color w:val="auto"/>
                <w:kern w:val="24"/>
                <w:sz w:val="24"/>
                <w:highlight w:val="none"/>
              </w:rPr>
              <w:t>（</w:t>
            </w:r>
            <w:r>
              <w:rPr>
                <w:rFonts w:hint="eastAsia"/>
                <w:color w:val="auto"/>
                <w:kern w:val="24"/>
                <w:sz w:val="24"/>
                <w:highlight w:val="none"/>
                <w:lang w:val="en-US" w:eastAsia="zh-CN"/>
              </w:rPr>
              <w:t>以</w:t>
            </w:r>
            <w:r>
              <w:rPr>
                <w:rFonts w:hint="eastAsia"/>
                <w:color w:val="auto"/>
                <w:kern w:val="24"/>
                <w:sz w:val="24"/>
                <w:highlight w:val="none"/>
              </w:rPr>
              <w:t>非甲烷总烃</w:t>
            </w:r>
            <w:r>
              <w:rPr>
                <w:rFonts w:hint="eastAsia"/>
                <w:color w:val="auto"/>
                <w:kern w:val="24"/>
                <w:sz w:val="24"/>
                <w:highlight w:val="none"/>
                <w:lang w:val="en-US" w:eastAsia="zh-CN"/>
              </w:rPr>
              <w:t>计</w:t>
            </w:r>
            <w:r>
              <w:rPr>
                <w:rFonts w:hint="eastAsia"/>
                <w:color w:val="auto"/>
                <w:kern w:val="24"/>
                <w:sz w:val="24"/>
                <w:highlight w:val="none"/>
              </w:rPr>
              <w:t>）</w:t>
            </w:r>
            <w:r>
              <w:rPr>
                <w:rFonts w:hint="eastAsia"/>
                <w:color w:val="auto"/>
                <w:kern w:val="24"/>
                <w:sz w:val="24"/>
                <w:highlight w:val="none"/>
                <w:lang w:eastAsia="zh-CN"/>
              </w:rPr>
              <w:t>、</w:t>
            </w:r>
            <w:r>
              <w:rPr>
                <w:rFonts w:hint="eastAsia"/>
                <w:color w:val="auto"/>
                <w:kern w:val="24"/>
                <w:sz w:val="24"/>
                <w:highlight w:val="none"/>
                <w:lang w:val="en-US" w:eastAsia="zh-CN"/>
              </w:rPr>
              <w:t>N1</w:t>
            </w:r>
            <w:r>
              <w:rPr>
                <w:rFonts w:hint="eastAsia"/>
                <w:color w:val="auto"/>
                <w:kern w:val="24"/>
                <w:sz w:val="24"/>
                <w:highlight w:val="none"/>
                <w:lang w:eastAsia="zh-CN"/>
              </w:rPr>
              <w:t>设备噪声。</w:t>
            </w:r>
          </w:p>
          <w:p w14:paraId="73C96C4B">
            <w:pPr>
              <w:numPr>
                <w:ilvl w:val="0"/>
                <w:numId w:val="0"/>
              </w:numPr>
              <w:adjustRightInd w:val="0"/>
              <w:snapToGrid w:val="0"/>
              <w:spacing w:line="360" w:lineRule="auto"/>
              <w:ind w:firstLine="480" w:firstLineChars="200"/>
              <w:rPr>
                <w:rFonts w:hint="eastAsia"/>
                <w:color w:val="auto"/>
                <w:kern w:val="24"/>
                <w:sz w:val="24"/>
                <w:highlight w:val="none"/>
                <w:lang w:val="en-US" w:eastAsia="zh-CN"/>
              </w:rPr>
            </w:pPr>
            <w:r>
              <w:rPr>
                <w:rFonts w:hint="eastAsia" w:ascii="Times New Roman" w:hAnsi="Times New Roman" w:eastAsia="宋体" w:cs="Times New Roman"/>
                <w:color w:val="auto"/>
                <w:kern w:val="24"/>
                <w:sz w:val="24"/>
                <w:szCs w:val="24"/>
                <w:highlight w:val="none"/>
                <w:lang w:val="en-US" w:eastAsia="zh-CN" w:bidi="ar-SA"/>
              </w:rPr>
              <w:t>（</w:t>
            </w:r>
            <w:r>
              <w:rPr>
                <w:rFonts w:hint="eastAsia" w:cs="Times New Roman"/>
                <w:color w:val="auto"/>
                <w:kern w:val="24"/>
                <w:sz w:val="24"/>
                <w:szCs w:val="24"/>
                <w:highlight w:val="none"/>
                <w:lang w:val="en-US" w:eastAsia="zh-CN" w:bidi="ar-SA"/>
              </w:rPr>
              <w:t>5</w:t>
            </w:r>
            <w:r>
              <w:rPr>
                <w:rFonts w:hint="eastAsia" w:ascii="Times New Roman" w:hAnsi="Times New Roman" w:eastAsia="宋体" w:cs="Times New Roman"/>
                <w:color w:val="auto"/>
                <w:kern w:val="24"/>
                <w:sz w:val="24"/>
                <w:szCs w:val="24"/>
                <w:highlight w:val="none"/>
                <w:lang w:val="en-US" w:eastAsia="zh-CN" w:bidi="ar-SA"/>
              </w:rPr>
              <w:t>）</w:t>
            </w:r>
            <w:r>
              <w:rPr>
                <w:rFonts w:hint="eastAsia" w:cs="Times New Roman"/>
                <w:color w:val="auto"/>
                <w:kern w:val="24"/>
                <w:sz w:val="24"/>
                <w:szCs w:val="24"/>
                <w:highlight w:val="none"/>
                <w:lang w:val="en-US" w:eastAsia="zh-CN" w:bidi="ar-SA"/>
              </w:rPr>
              <w:t>真空</w:t>
            </w:r>
            <w:r>
              <w:rPr>
                <w:rFonts w:hint="eastAsia"/>
                <w:color w:val="auto"/>
                <w:kern w:val="24"/>
                <w:sz w:val="24"/>
                <w:highlight w:val="none"/>
              </w:rPr>
              <w:t>定型：从模具中挤出的</w:t>
            </w:r>
            <w:r>
              <w:rPr>
                <w:rFonts w:hint="eastAsia"/>
                <w:color w:val="auto"/>
                <w:kern w:val="24"/>
                <w:sz w:val="24"/>
                <w:highlight w:val="none"/>
                <w:lang w:val="en-US" w:eastAsia="zh-CN"/>
              </w:rPr>
              <w:t>高温</w:t>
            </w:r>
            <w:r>
              <w:rPr>
                <w:rFonts w:hint="eastAsia"/>
                <w:color w:val="auto"/>
                <w:kern w:val="24"/>
                <w:sz w:val="24"/>
                <w:highlight w:val="none"/>
              </w:rPr>
              <w:t>胚料进入真空定型台，采用真空吸附+设备冷却水间接冷却双重工艺，使胚料进一步冷却固化，精确固定板材的尺寸和表面平整度。定型过程中</w:t>
            </w:r>
            <w:r>
              <w:rPr>
                <w:rFonts w:hint="eastAsia"/>
                <w:color w:val="auto"/>
                <w:kern w:val="24"/>
                <w:sz w:val="24"/>
                <w:highlight w:val="none"/>
                <w:lang w:val="en-US" w:eastAsia="zh-CN"/>
              </w:rPr>
              <w:t>设备冷却用水为间接冷却，循环使用，不外排。</w:t>
            </w:r>
            <w:r>
              <w:rPr>
                <w:rFonts w:hint="eastAsia"/>
                <w:color w:val="auto"/>
                <w:kern w:val="24"/>
                <w:sz w:val="24"/>
                <w:highlight w:val="none"/>
              </w:rPr>
              <w:t>冷却速度需与挤出速度匹配，避免板材因收缩不均产生翘曲。</w:t>
            </w:r>
            <w:r>
              <w:rPr>
                <w:rFonts w:hint="eastAsia"/>
                <w:color w:val="auto"/>
                <w:kern w:val="24"/>
                <w:sz w:val="24"/>
                <w:highlight w:val="none"/>
                <w:lang w:val="en-US" w:eastAsia="zh-CN"/>
              </w:rPr>
              <w:t>该</w:t>
            </w:r>
            <w:r>
              <w:rPr>
                <w:rFonts w:hint="eastAsia"/>
                <w:color w:val="auto"/>
                <w:kern w:val="24"/>
                <w:sz w:val="24"/>
                <w:highlight w:val="none"/>
              </w:rPr>
              <w:t>生产过程</w:t>
            </w:r>
            <w:r>
              <w:rPr>
                <w:rFonts w:hint="eastAsia"/>
                <w:color w:val="auto"/>
                <w:kern w:val="24"/>
                <w:sz w:val="24"/>
                <w:highlight w:val="none"/>
                <w:lang w:val="en-US" w:eastAsia="zh-CN"/>
              </w:rPr>
              <w:t>会产生N1设备噪声。</w:t>
            </w:r>
          </w:p>
          <w:p w14:paraId="653847F7">
            <w:pPr>
              <w:numPr>
                <w:ilvl w:val="0"/>
                <w:numId w:val="0"/>
              </w:numPr>
              <w:adjustRightInd w:val="0"/>
              <w:snapToGrid w:val="0"/>
              <w:spacing w:line="360" w:lineRule="auto"/>
              <w:ind w:firstLine="480" w:firstLineChars="200"/>
              <w:rPr>
                <w:rFonts w:hint="eastAsia"/>
                <w:color w:val="auto"/>
                <w:kern w:val="24"/>
                <w:sz w:val="24"/>
                <w:highlight w:val="none"/>
              </w:rPr>
            </w:pPr>
            <w:r>
              <w:rPr>
                <w:rFonts w:hint="eastAsia" w:ascii="Times New Roman" w:hAnsi="Times New Roman" w:eastAsia="宋体" w:cs="Times New Roman"/>
                <w:color w:val="auto"/>
                <w:kern w:val="24"/>
                <w:sz w:val="24"/>
                <w:szCs w:val="24"/>
                <w:highlight w:val="none"/>
                <w:lang w:val="en-US" w:eastAsia="zh-CN" w:bidi="ar-SA"/>
              </w:rPr>
              <w:t>（</w:t>
            </w:r>
            <w:r>
              <w:rPr>
                <w:rFonts w:hint="eastAsia" w:cs="Times New Roman"/>
                <w:color w:val="auto"/>
                <w:kern w:val="24"/>
                <w:sz w:val="24"/>
                <w:szCs w:val="24"/>
                <w:highlight w:val="none"/>
                <w:lang w:val="en-US" w:eastAsia="zh-CN" w:bidi="ar-SA"/>
              </w:rPr>
              <w:t>6</w:t>
            </w:r>
            <w:r>
              <w:rPr>
                <w:rFonts w:hint="eastAsia" w:ascii="Times New Roman" w:hAnsi="Times New Roman" w:eastAsia="宋体" w:cs="Times New Roman"/>
                <w:color w:val="auto"/>
                <w:kern w:val="24"/>
                <w:sz w:val="24"/>
                <w:szCs w:val="24"/>
                <w:highlight w:val="none"/>
                <w:lang w:val="en-US" w:eastAsia="zh-CN" w:bidi="ar-SA"/>
              </w:rPr>
              <w:t>）</w:t>
            </w:r>
            <w:r>
              <w:rPr>
                <w:rFonts w:hint="eastAsia"/>
                <w:color w:val="auto"/>
                <w:kern w:val="24"/>
                <w:sz w:val="24"/>
                <w:highlight w:val="none"/>
              </w:rPr>
              <w:t>一次牵引：经模具定型后的半成品通过牵引机进行匀速牵引，通过牵引的张力进一步稳定尺寸，将初步定型的</w:t>
            </w:r>
            <w:r>
              <w:rPr>
                <w:rFonts w:hint="eastAsia"/>
                <w:color w:val="auto"/>
                <w:kern w:val="24"/>
                <w:sz w:val="24"/>
                <w:highlight w:val="none"/>
                <w:lang w:val="en-US" w:eastAsia="zh-CN"/>
              </w:rPr>
              <w:t>半成品</w:t>
            </w:r>
            <w:r>
              <w:rPr>
                <w:rFonts w:hint="eastAsia"/>
                <w:color w:val="auto"/>
                <w:kern w:val="24"/>
                <w:sz w:val="24"/>
                <w:highlight w:val="none"/>
              </w:rPr>
              <w:t>输送至下一工序。该生产过程会产生</w:t>
            </w:r>
            <w:r>
              <w:rPr>
                <w:rFonts w:hint="eastAsia"/>
                <w:color w:val="auto"/>
                <w:kern w:val="24"/>
                <w:sz w:val="24"/>
                <w:highlight w:val="none"/>
                <w:lang w:val="en-US" w:eastAsia="zh-CN"/>
              </w:rPr>
              <w:t>N1</w:t>
            </w:r>
            <w:r>
              <w:rPr>
                <w:rFonts w:hint="eastAsia"/>
                <w:color w:val="auto"/>
                <w:kern w:val="24"/>
                <w:sz w:val="24"/>
                <w:highlight w:val="none"/>
              </w:rPr>
              <w:t>设备噪声。</w:t>
            </w:r>
          </w:p>
          <w:p w14:paraId="3EC6E707">
            <w:pPr>
              <w:numPr>
                <w:ilvl w:val="0"/>
                <w:numId w:val="0"/>
              </w:numPr>
              <w:adjustRightInd w:val="0"/>
              <w:snapToGrid w:val="0"/>
              <w:spacing w:line="360" w:lineRule="auto"/>
              <w:ind w:firstLine="480" w:firstLineChars="200"/>
              <w:rPr>
                <w:rFonts w:hint="eastAsia" w:eastAsia="宋体"/>
                <w:color w:val="auto"/>
                <w:kern w:val="24"/>
                <w:sz w:val="24"/>
                <w:highlight w:val="none"/>
                <w:lang w:eastAsia="zh-CN"/>
              </w:rPr>
            </w:pPr>
            <w:r>
              <w:rPr>
                <w:rFonts w:hint="eastAsia" w:ascii="Times New Roman" w:hAnsi="Times New Roman" w:eastAsia="宋体" w:cs="Times New Roman"/>
                <w:color w:val="auto"/>
                <w:kern w:val="24"/>
                <w:sz w:val="24"/>
                <w:szCs w:val="24"/>
                <w:highlight w:val="none"/>
                <w:lang w:val="en-US" w:eastAsia="zh-CN" w:bidi="ar-SA"/>
              </w:rPr>
              <w:t>（</w:t>
            </w:r>
            <w:r>
              <w:rPr>
                <w:rFonts w:hint="eastAsia" w:cs="Times New Roman"/>
                <w:color w:val="auto"/>
                <w:kern w:val="24"/>
                <w:sz w:val="24"/>
                <w:szCs w:val="24"/>
                <w:highlight w:val="none"/>
                <w:lang w:val="en-US" w:eastAsia="zh-CN" w:bidi="ar-SA"/>
              </w:rPr>
              <w:t>7</w:t>
            </w:r>
            <w:r>
              <w:rPr>
                <w:rFonts w:hint="eastAsia" w:ascii="Times New Roman" w:hAnsi="Times New Roman" w:eastAsia="宋体" w:cs="Times New Roman"/>
                <w:color w:val="auto"/>
                <w:kern w:val="24"/>
                <w:sz w:val="24"/>
                <w:szCs w:val="24"/>
                <w:highlight w:val="none"/>
                <w:lang w:val="en-US" w:eastAsia="zh-CN" w:bidi="ar-SA"/>
              </w:rPr>
              <w:t>）</w:t>
            </w:r>
            <w:r>
              <w:rPr>
                <w:rFonts w:hint="eastAsia"/>
                <w:color w:val="auto"/>
                <w:kern w:val="24"/>
                <w:sz w:val="24"/>
                <w:highlight w:val="none"/>
              </w:rPr>
              <w:t>热处理烘道：半成品进入连续式热处理烘道，通过</w:t>
            </w:r>
            <w:r>
              <w:rPr>
                <w:rFonts w:hint="eastAsia"/>
                <w:color w:val="auto"/>
                <w:kern w:val="24"/>
                <w:sz w:val="24"/>
                <w:highlight w:val="none"/>
                <w:lang w:val="en-US" w:eastAsia="zh-CN"/>
              </w:rPr>
              <w:t>电加热产生</w:t>
            </w:r>
            <w:r>
              <w:rPr>
                <w:rFonts w:hint="eastAsia"/>
                <w:color w:val="auto"/>
                <w:kern w:val="24"/>
                <w:sz w:val="24"/>
                <w:highlight w:val="none"/>
              </w:rPr>
              <w:t>热风</w:t>
            </w:r>
            <w:r>
              <w:rPr>
                <w:rFonts w:hint="eastAsia"/>
                <w:color w:val="auto"/>
                <w:kern w:val="24"/>
                <w:sz w:val="24"/>
                <w:highlight w:val="none"/>
                <w:lang w:eastAsia="zh-CN"/>
              </w:rPr>
              <w:t>（</w:t>
            </w:r>
            <w:r>
              <w:rPr>
                <w:rFonts w:hint="eastAsia"/>
                <w:color w:val="auto"/>
                <w:kern w:val="24"/>
                <w:sz w:val="24"/>
                <w:highlight w:val="none"/>
                <w:lang w:val="en-US" w:eastAsia="zh-CN"/>
              </w:rPr>
              <w:t>50℃~60℃</w:t>
            </w:r>
            <w:r>
              <w:rPr>
                <w:rFonts w:hint="eastAsia"/>
                <w:color w:val="auto"/>
                <w:kern w:val="24"/>
                <w:sz w:val="24"/>
                <w:highlight w:val="none"/>
                <w:lang w:eastAsia="zh-CN"/>
              </w:rPr>
              <w:t>）</w:t>
            </w:r>
            <w:r>
              <w:rPr>
                <w:rFonts w:hint="eastAsia"/>
                <w:color w:val="auto"/>
                <w:kern w:val="24"/>
                <w:sz w:val="24"/>
                <w:highlight w:val="none"/>
              </w:rPr>
              <w:t>循环对</w:t>
            </w:r>
            <w:r>
              <w:rPr>
                <w:rFonts w:hint="eastAsia"/>
                <w:color w:val="auto"/>
                <w:kern w:val="24"/>
                <w:sz w:val="24"/>
                <w:highlight w:val="none"/>
                <w:lang w:val="en-US" w:eastAsia="zh-CN"/>
              </w:rPr>
              <w:t>半成品</w:t>
            </w:r>
            <w:r>
              <w:rPr>
                <w:rFonts w:hint="eastAsia"/>
                <w:color w:val="auto"/>
                <w:kern w:val="24"/>
                <w:sz w:val="24"/>
                <w:highlight w:val="none"/>
              </w:rPr>
              <w:t>进行加热处理</w:t>
            </w:r>
            <w:r>
              <w:rPr>
                <w:rFonts w:hint="eastAsia"/>
                <w:color w:val="auto"/>
                <w:kern w:val="24"/>
                <w:sz w:val="24"/>
                <w:highlight w:val="none"/>
                <w:lang w:eastAsia="zh-CN"/>
              </w:rPr>
              <w:t>，</w:t>
            </w:r>
            <w:r>
              <w:rPr>
                <w:rFonts w:hint="eastAsia"/>
                <w:color w:val="auto"/>
                <w:kern w:val="24"/>
                <w:sz w:val="24"/>
                <w:highlight w:val="none"/>
                <w:lang w:val="en-US" w:eastAsia="zh-CN"/>
              </w:rPr>
              <w:t>进行二次定型</w:t>
            </w:r>
            <w:r>
              <w:rPr>
                <w:rFonts w:hint="eastAsia"/>
                <w:color w:val="auto"/>
                <w:kern w:val="24"/>
                <w:sz w:val="24"/>
                <w:highlight w:val="none"/>
              </w:rPr>
              <w:t>。此环节可消除模具定型过程中因快速冷却产生的内应力，避免后续加工或使用中出现翘曲、开裂</w:t>
            </w:r>
            <w:r>
              <w:rPr>
                <w:rFonts w:hint="eastAsia"/>
                <w:color w:val="auto"/>
                <w:kern w:val="24"/>
                <w:sz w:val="24"/>
                <w:highlight w:val="none"/>
                <w:lang w:eastAsia="zh-CN"/>
              </w:rPr>
              <w:t>，</w:t>
            </w:r>
            <w:r>
              <w:rPr>
                <w:rFonts w:hint="eastAsia"/>
                <w:color w:val="auto"/>
                <w:kern w:val="24"/>
                <w:sz w:val="24"/>
                <w:highlight w:val="none"/>
              </w:rPr>
              <w:t>同时促进</w:t>
            </w:r>
            <w:r>
              <w:rPr>
                <w:rFonts w:hint="eastAsia"/>
                <w:color w:val="auto"/>
                <w:kern w:val="24"/>
                <w:sz w:val="24"/>
                <w:highlight w:val="none"/>
                <w:lang w:val="en-US" w:eastAsia="zh-CN"/>
              </w:rPr>
              <w:t>半成品</w:t>
            </w:r>
            <w:r>
              <w:rPr>
                <w:rFonts w:hint="eastAsia"/>
                <w:color w:val="auto"/>
                <w:kern w:val="24"/>
                <w:sz w:val="24"/>
                <w:highlight w:val="none"/>
              </w:rPr>
              <w:t>内部组分进一步稳定，提升</w:t>
            </w:r>
            <w:r>
              <w:rPr>
                <w:rFonts w:hint="eastAsia"/>
                <w:color w:val="auto"/>
                <w:kern w:val="24"/>
                <w:sz w:val="24"/>
                <w:highlight w:val="none"/>
                <w:lang w:val="en-US" w:eastAsia="zh-CN"/>
              </w:rPr>
              <w:t>半成品</w:t>
            </w:r>
            <w:r>
              <w:rPr>
                <w:rFonts w:hint="eastAsia"/>
                <w:color w:val="auto"/>
                <w:kern w:val="24"/>
                <w:sz w:val="24"/>
                <w:highlight w:val="none"/>
              </w:rPr>
              <w:t>的结构整体性</w:t>
            </w:r>
            <w:r>
              <w:rPr>
                <w:rFonts w:hint="eastAsia"/>
                <w:color w:val="auto"/>
                <w:kern w:val="24"/>
                <w:sz w:val="24"/>
                <w:highlight w:val="none"/>
                <w:lang w:eastAsia="zh-CN"/>
              </w:rPr>
              <w:t>。该</w:t>
            </w:r>
            <w:r>
              <w:rPr>
                <w:rFonts w:hint="eastAsia"/>
                <w:color w:val="auto"/>
                <w:kern w:val="24"/>
                <w:sz w:val="24"/>
                <w:highlight w:val="none"/>
                <w:lang w:val="en-US" w:eastAsia="zh-CN"/>
              </w:rPr>
              <w:t>生产过程</w:t>
            </w:r>
            <w:r>
              <w:rPr>
                <w:rFonts w:hint="eastAsia"/>
                <w:color w:val="auto"/>
                <w:kern w:val="24"/>
                <w:sz w:val="24"/>
                <w:highlight w:val="none"/>
                <w:lang w:eastAsia="zh-CN"/>
              </w:rPr>
              <w:t>会产生</w:t>
            </w:r>
            <w:r>
              <w:rPr>
                <w:rFonts w:hint="eastAsia"/>
                <w:color w:val="auto"/>
                <w:kern w:val="24"/>
                <w:sz w:val="24"/>
                <w:highlight w:val="none"/>
                <w:lang w:val="en-US" w:eastAsia="zh-CN"/>
              </w:rPr>
              <w:t>N1设备噪声</w:t>
            </w:r>
            <w:r>
              <w:rPr>
                <w:rFonts w:hint="eastAsia"/>
                <w:color w:val="auto"/>
                <w:kern w:val="24"/>
                <w:sz w:val="24"/>
                <w:highlight w:val="none"/>
                <w:lang w:eastAsia="zh-CN"/>
              </w:rPr>
              <w:t>。</w:t>
            </w:r>
          </w:p>
          <w:p w14:paraId="2FEC4C5B">
            <w:pPr>
              <w:numPr>
                <w:ilvl w:val="0"/>
                <w:numId w:val="0"/>
              </w:numPr>
              <w:adjustRightInd w:val="0"/>
              <w:snapToGrid w:val="0"/>
              <w:spacing w:line="360" w:lineRule="auto"/>
              <w:ind w:firstLine="480" w:firstLineChars="200"/>
              <w:rPr>
                <w:rFonts w:hint="eastAsia"/>
                <w:color w:val="auto"/>
                <w:kern w:val="24"/>
                <w:sz w:val="24"/>
                <w:highlight w:val="none"/>
                <w:lang w:eastAsia="zh-CN"/>
              </w:rPr>
            </w:pPr>
            <w:r>
              <w:rPr>
                <w:rFonts w:hint="eastAsia" w:ascii="Times New Roman" w:hAnsi="Times New Roman" w:eastAsia="宋体" w:cs="Times New Roman"/>
                <w:color w:val="auto"/>
                <w:kern w:val="24"/>
                <w:sz w:val="24"/>
                <w:szCs w:val="24"/>
                <w:highlight w:val="none"/>
                <w:lang w:val="en-US" w:eastAsia="zh-CN" w:bidi="ar-SA"/>
              </w:rPr>
              <w:t>（</w:t>
            </w:r>
            <w:r>
              <w:rPr>
                <w:rFonts w:hint="eastAsia" w:cs="Times New Roman"/>
                <w:color w:val="auto"/>
                <w:kern w:val="24"/>
                <w:sz w:val="24"/>
                <w:szCs w:val="24"/>
                <w:highlight w:val="none"/>
                <w:lang w:val="en-US" w:eastAsia="zh-CN" w:bidi="ar-SA"/>
              </w:rPr>
              <w:t>8</w:t>
            </w:r>
            <w:r>
              <w:rPr>
                <w:rFonts w:hint="eastAsia" w:ascii="Times New Roman" w:hAnsi="Times New Roman" w:eastAsia="宋体" w:cs="Times New Roman"/>
                <w:color w:val="auto"/>
                <w:kern w:val="24"/>
                <w:sz w:val="24"/>
                <w:szCs w:val="24"/>
                <w:highlight w:val="none"/>
                <w:lang w:val="en-US" w:eastAsia="zh-CN" w:bidi="ar-SA"/>
              </w:rPr>
              <w:t>）</w:t>
            </w:r>
            <w:r>
              <w:rPr>
                <w:rFonts w:hint="eastAsia"/>
                <w:color w:val="auto"/>
                <w:kern w:val="24"/>
                <w:sz w:val="24"/>
                <w:highlight w:val="none"/>
              </w:rPr>
              <w:t>电晕：</w:t>
            </w:r>
            <w:r>
              <w:rPr>
                <w:rFonts w:hint="eastAsia"/>
                <w:color w:val="auto"/>
                <w:kern w:val="24"/>
                <w:sz w:val="24"/>
                <w:highlight w:val="none"/>
                <w:lang w:val="en-US" w:eastAsia="zh-CN"/>
              </w:rPr>
              <w:t>半成品</w:t>
            </w:r>
            <w:r>
              <w:rPr>
                <w:rFonts w:hint="eastAsia"/>
                <w:color w:val="auto"/>
                <w:kern w:val="24"/>
                <w:sz w:val="24"/>
                <w:highlight w:val="none"/>
              </w:rPr>
              <w:t>进入电晕处理机，利用电晕机进行电晕处理，电晕机产生的高频高压电流</w:t>
            </w:r>
            <w:r>
              <w:rPr>
                <w:rFonts w:hint="eastAsia"/>
                <w:color w:val="auto"/>
                <w:kern w:val="24"/>
                <w:sz w:val="24"/>
                <w:highlight w:val="none"/>
                <w:lang w:val="en-US" w:eastAsia="zh-CN"/>
              </w:rPr>
              <w:t>能够</w:t>
            </w:r>
            <w:r>
              <w:rPr>
                <w:rFonts w:hint="eastAsia"/>
                <w:color w:val="auto"/>
                <w:kern w:val="24"/>
                <w:sz w:val="24"/>
                <w:highlight w:val="none"/>
              </w:rPr>
              <w:t>提高材料表面附着力，粗化材料表面，提高材料表面张力</w:t>
            </w:r>
            <w:r>
              <w:rPr>
                <w:rFonts w:hint="eastAsia"/>
                <w:color w:val="auto"/>
                <w:kern w:val="24"/>
                <w:sz w:val="24"/>
                <w:highlight w:val="none"/>
                <w:lang w:eastAsia="zh-CN"/>
              </w:rPr>
              <w:t>，</w:t>
            </w:r>
            <w:r>
              <w:rPr>
                <w:rFonts w:hint="eastAsia"/>
                <w:color w:val="auto"/>
                <w:kern w:val="24"/>
                <w:sz w:val="24"/>
                <w:highlight w:val="none"/>
              </w:rPr>
              <w:t>处理过程中板材表面温度约60</w:t>
            </w:r>
            <w:r>
              <w:rPr>
                <w:rFonts w:hint="eastAsia"/>
                <w:color w:val="auto"/>
                <w:kern w:val="24"/>
                <w:sz w:val="24"/>
                <w:highlight w:val="none"/>
                <w:lang w:val="en-US" w:eastAsia="zh-CN"/>
              </w:rPr>
              <w:t>℃</w:t>
            </w:r>
            <w:r>
              <w:rPr>
                <w:rFonts w:hint="eastAsia"/>
                <w:color w:val="auto"/>
                <w:kern w:val="24"/>
                <w:sz w:val="24"/>
                <w:highlight w:val="none"/>
              </w:rPr>
              <w:t>～80℃</w:t>
            </w:r>
            <w:r>
              <w:rPr>
                <w:rFonts w:hint="eastAsia"/>
                <w:color w:val="auto"/>
                <w:kern w:val="24"/>
                <w:sz w:val="24"/>
                <w:highlight w:val="none"/>
                <w:lang w:eastAsia="zh-CN"/>
              </w:rPr>
              <w:t>。该生产过程会产生</w:t>
            </w:r>
            <w:r>
              <w:rPr>
                <w:rFonts w:hint="eastAsia"/>
                <w:color w:val="auto"/>
                <w:kern w:val="24"/>
                <w:sz w:val="24"/>
                <w:highlight w:val="none"/>
                <w:lang w:val="en-US" w:eastAsia="zh-CN"/>
              </w:rPr>
              <w:t>臭氧</w:t>
            </w:r>
            <w:r>
              <w:rPr>
                <w:rFonts w:hint="eastAsia"/>
                <w:color w:val="auto"/>
                <w:kern w:val="24"/>
                <w:sz w:val="24"/>
                <w:highlight w:val="none"/>
                <w:lang w:eastAsia="zh-CN"/>
              </w:rPr>
              <w:t>、</w:t>
            </w:r>
            <w:r>
              <w:rPr>
                <w:rFonts w:hint="eastAsia"/>
                <w:color w:val="auto"/>
                <w:kern w:val="24"/>
                <w:sz w:val="24"/>
                <w:highlight w:val="none"/>
                <w:lang w:val="en-US" w:eastAsia="zh-CN"/>
              </w:rPr>
              <w:t>N1</w:t>
            </w:r>
            <w:r>
              <w:rPr>
                <w:rFonts w:hint="eastAsia"/>
                <w:color w:val="auto"/>
                <w:kern w:val="24"/>
                <w:sz w:val="24"/>
                <w:highlight w:val="none"/>
                <w:lang w:eastAsia="zh-CN"/>
              </w:rPr>
              <w:t>设备噪声。</w:t>
            </w:r>
          </w:p>
          <w:p w14:paraId="162F6CFD">
            <w:pPr>
              <w:numPr>
                <w:ilvl w:val="0"/>
                <w:numId w:val="0"/>
              </w:numPr>
              <w:adjustRightInd w:val="0"/>
              <w:snapToGrid w:val="0"/>
              <w:spacing w:line="360" w:lineRule="auto"/>
              <w:ind w:firstLine="480" w:firstLineChars="200"/>
              <w:rPr>
                <w:rFonts w:hint="default" w:eastAsia="宋体"/>
                <w:color w:val="auto"/>
                <w:kern w:val="24"/>
                <w:sz w:val="24"/>
                <w:highlight w:val="none"/>
                <w:lang w:val="en-US" w:eastAsia="zh-CN"/>
              </w:rPr>
            </w:pPr>
            <w:r>
              <w:rPr>
                <w:rFonts w:hint="eastAsia" w:ascii="Times New Roman" w:hAnsi="Times New Roman" w:eastAsia="宋体" w:cs="Times New Roman"/>
                <w:color w:val="auto"/>
                <w:kern w:val="24"/>
                <w:sz w:val="24"/>
                <w:szCs w:val="24"/>
                <w:highlight w:val="none"/>
                <w:lang w:val="en-US" w:eastAsia="zh-CN" w:bidi="ar-SA"/>
              </w:rPr>
              <w:t>（</w:t>
            </w:r>
            <w:r>
              <w:rPr>
                <w:rFonts w:hint="eastAsia" w:cs="Times New Roman"/>
                <w:color w:val="auto"/>
                <w:kern w:val="24"/>
                <w:sz w:val="24"/>
                <w:szCs w:val="24"/>
                <w:highlight w:val="none"/>
                <w:lang w:val="en-US" w:eastAsia="zh-CN" w:bidi="ar-SA"/>
              </w:rPr>
              <w:t>9</w:t>
            </w:r>
            <w:r>
              <w:rPr>
                <w:rFonts w:hint="eastAsia" w:ascii="Times New Roman" w:hAnsi="Times New Roman" w:eastAsia="宋体" w:cs="Times New Roman"/>
                <w:color w:val="auto"/>
                <w:kern w:val="24"/>
                <w:sz w:val="24"/>
                <w:szCs w:val="24"/>
                <w:highlight w:val="none"/>
                <w:lang w:val="en-US" w:eastAsia="zh-CN" w:bidi="ar-SA"/>
              </w:rPr>
              <w:t>）</w:t>
            </w:r>
            <w:r>
              <w:rPr>
                <w:rFonts w:hint="eastAsia"/>
                <w:color w:val="auto"/>
                <w:kern w:val="24"/>
                <w:sz w:val="24"/>
                <w:highlight w:val="none"/>
              </w:rPr>
              <w:t>冷</w:t>
            </w:r>
            <w:r>
              <w:rPr>
                <w:rFonts w:hint="eastAsia"/>
                <w:color w:val="auto"/>
                <w:kern w:val="24"/>
                <w:sz w:val="24"/>
                <w:highlight w:val="none"/>
                <w:lang w:val="en-US" w:eastAsia="zh-CN"/>
              </w:rPr>
              <w:t>却</w:t>
            </w:r>
            <w:r>
              <w:rPr>
                <w:rFonts w:hint="eastAsia"/>
                <w:color w:val="auto"/>
                <w:kern w:val="24"/>
                <w:sz w:val="24"/>
                <w:highlight w:val="none"/>
              </w:rPr>
              <w:t>定型：</w:t>
            </w:r>
            <w:r>
              <w:rPr>
                <w:rFonts w:hint="eastAsia"/>
                <w:color w:val="auto"/>
                <w:kern w:val="24"/>
                <w:sz w:val="24"/>
                <w:highlight w:val="none"/>
                <w:lang w:val="en-US" w:eastAsia="zh-CN"/>
              </w:rPr>
              <w:t>半成品</w:t>
            </w:r>
            <w:r>
              <w:rPr>
                <w:rFonts w:hint="eastAsia"/>
                <w:color w:val="auto"/>
                <w:kern w:val="24"/>
                <w:sz w:val="24"/>
                <w:highlight w:val="none"/>
              </w:rPr>
              <w:t>进入冷定型装置，通过强冷风快速降低</w:t>
            </w:r>
            <w:r>
              <w:rPr>
                <w:rFonts w:hint="eastAsia"/>
                <w:color w:val="auto"/>
                <w:kern w:val="24"/>
                <w:sz w:val="24"/>
                <w:highlight w:val="none"/>
                <w:lang w:val="en-US" w:eastAsia="zh-CN"/>
              </w:rPr>
              <w:t>半成品</w:t>
            </w:r>
            <w:r>
              <w:rPr>
                <w:rFonts w:hint="eastAsia"/>
                <w:color w:val="auto"/>
                <w:kern w:val="24"/>
                <w:sz w:val="24"/>
                <w:highlight w:val="none"/>
              </w:rPr>
              <w:t>温度至常温，将热处理后的稳定形态固定下来，确保</w:t>
            </w:r>
            <w:r>
              <w:rPr>
                <w:rFonts w:hint="eastAsia"/>
                <w:color w:val="auto"/>
                <w:kern w:val="24"/>
                <w:sz w:val="24"/>
                <w:highlight w:val="none"/>
                <w:lang w:val="en-US" w:eastAsia="zh-CN"/>
              </w:rPr>
              <w:t>半成品</w:t>
            </w:r>
            <w:r>
              <w:rPr>
                <w:rFonts w:hint="eastAsia"/>
                <w:color w:val="auto"/>
                <w:kern w:val="24"/>
                <w:sz w:val="24"/>
                <w:highlight w:val="none"/>
              </w:rPr>
              <w:t>尺寸精度，同时通过冷却收缩进一步增强</w:t>
            </w:r>
            <w:r>
              <w:rPr>
                <w:rFonts w:hint="eastAsia"/>
                <w:color w:val="auto"/>
                <w:kern w:val="24"/>
                <w:sz w:val="24"/>
                <w:highlight w:val="none"/>
                <w:lang w:val="en-US" w:eastAsia="zh-CN"/>
              </w:rPr>
              <w:t>半成品</w:t>
            </w:r>
            <w:r>
              <w:rPr>
                <w:rFonts w:hint="eastAsia"/>
                <w:color w:val="auto"/>
                <w:kern w:val="24"/>
                <w:sz w:val="24"/>
                <w:highlight w:val="none"/>
              </w:rPr>
              <w:t>的机械强度。该</w:t>
            </w:r>
            <w:r>
              <w:rPr>
                <w:rFonts w:hint="eastAsia"/>
                <w:color w:val="auto"/>
                <w:kern w:val="24"/>
                <w:sz w:val="24"/>
                <w:highlight w:val="none"/>
                <w:lang w:val="en-US" w:eastAsia="zh-CN"/>
              </w:rPr>
              <w:t>生产</w:t>
            </w:r>
            <w:r>
              <w:rPr>
                <w:rFonts w:hint="eastAsia"/>
                <w:color w:val="auto"/>
                <w:kern w:val="24"/>
                <w:sz w:val="24"/>
                <w:highlight w:val="none"/>
              </w:rPr>
              <w:t>过程中会产生</w:t>
            </w:r>
            <w:r>
              <w:rPr>
                <w:rFonts w:hint="eastAsia"/>
                <w:color w:val="auto"/>
                <w:kern w:val="24"/>
                <w:sz w:val="24"/>
                <w:highlight w:val="none"/>
                <w:lang w:val="en-US" w:eastAsia="zh-CN"/>
              </w:rPr>
              <w:t>N1设备噪声。</w:t>
            </w:r>
          </w:p>
          <w:p w14:paraId="75A1EC55">
            <w:pPr>
              <w:numPr>
                <w:ilvl w:val="0"/>
                <w:numId w:val="0"/>
              </w:numPr>
              <w:adjustRightInd w:val="0"/>
              <w:snapToGrid w:val="0"/>
              <w:spacing w:line="360" w:lineRule="auto"/>
              <w:ind w:firstLine="480" w:firstLineChars="200"/>
              <w:rPr>
                <w:rFonts w:hint="default" w:eastAsia="宋体"/>
                <w:color w:val="auto"/>
                <w:kern w:val="24"/>
                <w:sz w:val="24"/>
                <w:highlight w:val="none"/>
                <w:lang w:val="en-US" w:eastAsia="zh-CN"/>
              </w:rPr>
            </w:pPr>
            <w:r>
              <w:rPr>
                <w:rFonts w:hint="eastAsia"/>
                <w:color w:val="auto"/>
                <w:kern w:val="24"/>
                <w:sz w:val="24"/>
                <w:highlight w:val="none"/>
              </w:rPr>
              <w:t>（1</w:t>
            </w:r>
            <w:r>
              <w:rPr>
                <w:rFonts w:hint="eastAsia"/>
                <w:color w:val="auto"/>
                <w:kern w:val="24"/>
                <w:sz w:val="24"/>
                <w:highlight w:val="none"/>
                <w:lang w:val="en-US" w:eastAsia="zh-CN"/>
              </w:rPr>
              <w:t>0</w:t>
            </w:r>
            <w:r>
              <w:rPr>
                <w:rFonts w:hint="eastAsia"/>
                <w:color w:val="auto"/>
                <w:kern w:val="24"/>
                <w:sz w:val="24"/>
                <w:highlight w:val="none"/>
              </w:rPr>
              <w:t>）二次牵引：冷定型后的</w:t>
            </w:r>
            <w:r>
              <w:rPr>
                <w:rFonts w:hint="eastAsia"/>
                <w:color w:val="auto"/>
                <w:kern w:val="24"/>
                <w:sz w:val="24"/>
                <w:highlight w:val="none"/>
                <w:lang w:val="en-US" w:eastAsia="zh-CN"/>
              </w:rPr>
              <w:t>半成品</w:t>
            </w:r>
            <w:r>
              <w:rPr>
                <w:rFonts w:hint="eastAsia"/>
                <w:color w:val="auto"/>
                <w:kern w:val="24"/>
                <w:sz w:val="24"/>
                <w:highlight w:val="none"/>
              </w:rPr>
              <w:t>通过二次牵引机进行再次牵引，牵引速度略高于一次牵引，通过适度的张力调整</w:t>
            </w:r>
            <w:r>
              <w:rPr>
                <w:rFonts w:hint="eastAsia"/>
                <w:color w:val="auto"/>
                <w:kern w:val="24"/>
                <w:sz w:val="24"/>
                <w:highlight w:val="none"/>
                <w:lang w:val="en-US" w:eastAsia="zh-CN"/>
              </w:rPr>
              <w:t>半成品</w:t>
            </w:r>
            <w:r>
              <w:rPr>
                <w:rFonts w:hint="eastAsia"/>
                <w:color w:val="auto"/>
                <w:kern w:val="24"/>
                <w:sz w:val="24"/>
                <w:highlight w:val="none"/>
              </w:rPr>
              <w:t>的整体平直度，修正可能因热处理或冷定型产生的微小形变，同时将</w:t>
            </w:r>
            <w:r>
              <w:rPr>
                <w:rFonts w:hint="eastAsia"/>
                <w:color w:val="auto"/>
                <w:kern w:val="24"/>
                <w:sz w:val="24"/>
                <w:highlight w:val="none"/>
                <w:lang w:val="en-US" w:eastAsia="zh-CN"/>
              </w:rPr>
              <w:t>半成品</w:t>
            </w:r>
            <w:r>
              <w:rPr>
                <w:rFonts w:hint="eastAsia"/>
                <w:color w:val="auto"/>
                <w:kern w:val="24"/>
                <w:sz w:val="24"/>
                <w:highlight w:val="none"/>
              </w:rPr>
              <w:t>稳定输送至</w:t>
            </w:r>
            <w:r>
              <w:rPr>
                <w:rFonts w:hint="eastAsia"/>
                <w:color w:val="auto"/>
                <w:kern w:val="24"/>
                <w:sz w:val="24"/>
                <w:highlight w:val="none"/>
                <w:lang w:val="en-US" w:eastAsia="zh-CN"/>
              </w:rPr>
              <w:t>裁剪</w:t>
            </w:r>
            <w:r>
              <w:rPr>
                <w:rFonts w:hint="eastAsia"/>
                <w:color w:val="auto"/>
                <w:kern w:val="24"/>
                <w:sz w:val="24"/>
                <w:highlight w:val="none"/>
              </w:rPr>
              <w:t>工序，确保后续裁断时</w:t>
            </w:r>
            <w:r>
              <w:rPr>
                <w:rFonts w:hint="eastAsia"/>
                <w:color w:val="auto"/>
                <w:kern w:val="24"/>
                <w:sz w:val="24"/>
                <w:highlight w:val="none"/>
                <w:lang w:val="en-US" w:eastAsia="zh-CN"/>
              </w:rPr>
              <w:t>半成品</w:t>
            </w:r>
            <w:r>
              <w:rPr>
                <w:rFonts w:hint="eastAsia"/>
                <w:color w:val="auto"/>
                <w:kern w:val="24"/>
                <w:sz w:val="24"/>
                <w:highlight w:val="none"/>
              </w:rPr>
              <w:t>的张力均匀，避免裁断尺寸偏差。该</w:t>
            </w:r>
            <w:r>
              <w:rPr>
                <w:rFonts w:hint="eastAsia"/>
                <w:color w:val="auto"/>
                <w:kern w:val="24"/>
                <w:sz w:val="24"/>
                <w:highlight w:val="none"/>
                <w:lang w:val="en-US" w:eastAsia="zh-CN"/>
              </w:rPr>
              <w:t>生产</w:t>
            </w:r>
            <w:r>
              <w:rPr>
                <w:rFonts w:hint="eastAsia"/>
                <w:color w:val="auto"/>
                <w:kern w:val="24"/>
                <w:sz w:val="24"/>
                <w:highlight w:val="none"/>
              </w:rPr>
              <w:t>过程中会产生</w:t>
            </w:r>
            <w:r>
              <w:rPr>
                <w:rFonts w:hint="eastAsia"/>
                <w:color w:val="auto"/>
                <w:kern w:val="24"/>
                <w:sz w:val="24"/>
                <w:highlight w:val="none"/>
                <w:lang w:val="en-US" w:eastAsia="zh-CN"/>
              </w:rPr>
              <w:t>N1设备噪声。</w:t>
            </w:r>
          </w:p>
          <w:p w14:paraId="488CB24E">
            <w:pPr>
              <w:adjustRightInd w:val="0"/>
              <w:snapToGrid w:val="0"/>
              <w:spacing w:line="360" w:lineRule="auto"/>
              <w:ind w:firstLine="480" w:firstLineChars="200"/>
              <w:rPr>
                <w:rFonts w:hint="eastAsia"/>
                <w:color w:val="auto"/>
                <w:kern w:val="24"/>
                <w:sz w:val="24"/>
                <w:highlight w:val="none"/>
                <w:lang w:val="en-US" w:eastAsia="zh-CN"/>
              </w:rPr>
            </w:pPr>
            <w:r>
              <w:rPr>
                <w:rFonts w:hint="eastAsia"/>
                <w:color w:val="auto"/>
                <w:kern w:val="24"/>
                <w:sz w:val="24"/>
                <w:highlight w:val="none"/>
              </w:rPr>
              <w:t>（1</w:t>
            </w:r>
            <w:r>
              <w:rPr>
                <w:rFonts w:hint="eastAsia"/>
                <w:color w:val="auto"/>
                <w:kern w:val="24"/>
                <w:sz w:val="24"/>
                <w:highlight w:val="none"/>
                <w:lang w:val="en-US" w:eastAsia="zh-CN"/>
              </w:rPr>
              <w:t>1</w:t>
            </w:r>
            <w:r>
              <w:rPr>
                <w:rFonts w:hint="eastAsia"/>
                <w:color w:val="auto"/>
                <w:kern w:val="24"/>
                <w:sz w:val="24"/>
                <w:highlight w:val="none"/>
              </w:rPr>
              <w:t>）</w:t>
            </w:r>
            <w:r>
              <w:rPr>
                <w:rFonts w:hint="eastAsia"/>
                <w:color w:val="auto"/>
                <w:kern w:val="24"/>
                <w:sz w:val="24"/>
                <w:highlight w:val="none"/>
                <w:lang w:val="en-US" w:eastAsia="zh-CN"/>
              </w:rPr>
              <w:t>裁剪</w:t>
            </w:r>
            <w:r>
              <w:rPr>
                <w:rFonts w:hint="eastAsia"/>
                <w:color w:val="auto"/>
                <w:kern w:val="24"/>
                <w:sz w:val="24"/>
                <w:highlight w:val="none"/>
              </w:rPr>
              <w:t>：经二次牵引的</w:t>
            </w:r>
            <w:r>
              <w:rPr>
                <w:rFonts w:hint="eastAsia"/>
                <w:color w:val="auto"/>
                <w:kern w:val="24"/>
                <w:sz w:val="24"/>
                <w:highlight w:val="none"/>
                <w:lang w:val="en-US" w:eastAsia="zh-CN"/>
              </w:rPr>
              <w:t>产品</w:t>
            </w:r>
            <w:r>
              <w:rPr>
                <w:rFonts w:hint="eastAsia"/>
                <w:color w:val="auto"/>
                <w:kern w:val="24"/>
                <w:sz w:val="24"/>
                <w:highlight w:val="none"/>
              </w:rPr>
              <w:t>达到设定长度后，</w:t>
            </w:r>
            <w:r>
              <w:rPr>
                <w:rFonts w:hint="eastAsia"/>
                <w:color w:val="auto"/>
                <w:kern w:val="24"/>
                <w:sz w:val="24"/>
                <w:highlight w:val="none"/>
                <w:lang w:val="en-US" w:eastAsia="zh-CN"/>
              </w:rPr>
              <w:t>剪切</w:t>
            </w:r>
            <w:r>
              <w:rPr>
                <w:rFonts w:hint="eastAsia"/>
                <w:color w:val="auto"/>
                <w:kern w:val="24"/>
                <w:sz w:val="24"/>
                <w:highlight w:val="none"/>
              </w:rPr>
              <w:t>机根据生产需求或客户定制尺寸</w:t>
            </w:r>
            <w:r>
              <w:rPr>
                <w:rFonts w:hint="eastAsia"/>
                <w:color w:val="auto"/>
                <w:kern w:val="24"/>
                <w:sz w:val="24"/>
                <w:highlight w:val="none"/>
                <w:lang w:eastAsia="zh-CN"/>
              </w:rPr>
              <w:t>，</w:t>
            </w:r>
            <w:r>
              <w:rPr>
                <w:rFonts w:hint="eastAsia"/>
                <w:color w:val="auto"/>
                <w:kern w:val="24"/>
                <w:sz w:val="24"/>
                <w:highlight w:val="none"/>
              </w:rPr>
              <w:t>对连续生产的</w:t>
            </w:r>
            <w:r>
              <w:rPr>
                <w:rFonts w:hint="eastAsia"/>
                <w:color w:val="auto"/>
                <w:kern w:val="24"/>
                <w:sz w:val="24"/>
                <w:highlight w:val="none"/>
                <w:lang w:val="en-US" w:eastAsia="zh-CN"/>
              </w:rPr>
              <w:t>产品</w:t>
            </w:r>
            <w:r>
              <w:rPr>
                <w:rFonts w:hint="eastAsia"/>
                <w:color w:val="auto"/>
                <w:kern w:val="24"/>
                <w:sz w:val="24"/>
                <w:highlight w:val="none"/>
              </w:rPr>
              <w:t>进行定长切割，得到单张的新型材料环保石塑箱成品基材。该</w:t>
            </w:r>
            <w:r>
              <w:rPr>
                <w:rFonts w:hint="eastAsia"/>
                <w:color w:val="auto"/>
                <w:kern w:val="24"/>
                <w:sz w:val="24"/>
                <w:highlight w:val="none"/>
                <w:lang w:val="en-US" w:eastAsia="zh-CN"/>
              </w:rPr>
              <w:t>生产</w:t>
            </w:r>
            <w:r>
              <w:rPr>
                <w:rFonts w:hint="eastAsia"/>
                <w:color w:val="auto"/>
                <w:kern w:val="24"/>
                <w:sz w:val="24"/>
                <w:highlight w:val="none"/>
              </w:rPr>
              <w:t>过程中会产生</w:t>
            </w:r>
            <w:r>
              <w:rPr>
                <w:rFonts w:hint="eastAsia"/>
                <w:color w:val="auto"/>
                <w:kern w:val="24"/>
                <w:sz w:val="24"/>
                <w:highlight w:val="none"/>
                <w:lang w:val="en-US" w:eastAsia="zh-CN"/>
              </w:rPr>
              <w:t>S2</w:t>
            </w:r>
            <w:r>
              <w:rPr>
                <w:rFonts w:hint="eastAsia"/>
                <w:color w:val="auto"/>
                <w:kern w:val="24"/>
                <w:sz w:val="24"/>
                <w:highlight w:val="none"/>
              </w:rPr>
              <w:t>边角料</w:t>
            </w:r>
            <w:r>
              <w:rPr>
                <w:rFonts w:hint="eastAsia"/>
                <w:color w:val="auto"/>
                <w:kern w:val="24"/>
                <w:sz w:val="24"/>
                <w:highlight w:val="none"/>
                <w:lang w:val="en-US" w:eastAsia="zh-CN"/>
              </w:rPr>
              <w:t>、N1设备噪声。</w:t>
            </w:r>
          </w:p>
          <w:p w14:paraId="760A1F69">
            <w:pPr>
              <w:numPr>
                <w:ilvl w:val="0"/>
                <w:numId w:val="0"/>
              </w:numPr>
              <w:adjustRightInd w:val="0"/>
              <w:snapToGrid w:val="0"/>
              <w:spacing w:line="360" w:lineRule="auto"/>
              <w:ind w:firstLine="480" w:firstLineChars="200"/>
              <w:rPr>
                <w:rFonts w:hint="default" w:ascii="Times New Roman" w:hAnsi="Times New Roman" w:eastAsia="宋体" w:cs="Times New Roman"/>
                <w:color w:val="auto"/>
                <w:kern w:val="24"/>
                <w:sz w:val="24"/>
                <w:szCs w:val="24"/>
                <w:highlight w:val="none"/>
                <w:lang w:val="en-US" w:eastAsia="zh-CN" w:bidi="ar-SA"/>
              </w:rPr>
            </w:pPr>
            <w:r>
              <w:rPr>
                <w:rFonts w:hint="eastAsia" w:cs="Times New Roman"/>
                <w:color w:val="auto"/>
                <w:kern w:val="24"/>
                <w:sz w:val="24"/>
                <w:szCs w:val="24"/>
                <w:highlight w:val="none"/>
                <w:lang w:val="en-US" w:eastAsia="zh-CN" w:bidi="ar-SA"/>
              </w:rPr>
              <w:t>（13）印刷：根据产品订单需求，将需要印刷的新型材料环保石塑箱成品基材进行图案印刷，无印刷需求的基材直接进入模切工序。项目印刷油墨采用低VOCS含量的水性油墨，柔板水墨印刷机每天工作4h，每个月停机一次，年工作时间为1160h。设备停机维护时，依靠自带刮板自动清理残留油墨，废油墨从专用出口流出，由空油墨桶承接收集，废油墨桶、废油墨分类存放至危废暂存间。全程采用机械自清方式，不使用清水清洗，无清洗废水产生。该生产过程中会产生G2印刷废气、S4废油墨桶、S5废油墨、N1设备噪声。</w:t>
            </w:r>
          </w:p>
          <w:p w14:paraId="68CC5FA3">
            <w:pPr>
              <w:numPr>
                <w:ilvl w:val="0"/>
                <w:numId w:val="0"/>
              </w:numPr>
              <w:adjustRightInd w:val="0"/>
              <w:snapToGrid w:val="0"/>
              <w:spacing w:line="360" w:lineRule="auto"/>
              <w:ind w:firstLine="480" w:firstLineChars="200"/>
              <w:rPr>
                <w:rFonts w:hint="default" w:ascii="Times New Roman" w:hAnsi="Times New Roman" w:eastAsia="宋体" w:cs="Times New Roman"/>
                <w:color w:val="auto"/>
                <w:kern w:val="24"/>
                <w:sz w:val="24"/>
                <w:szCs w:val="24"/>
                <w:highlight w:val="none"/>
                <w:lang w:val="en-US" w:eastAsia="zh-CN" w:bidi="ar-SA"/>
              </w:rPr>
            </w:pPr>
            <w:r>
              <w:rPr>
                <w:rFonts w:hint="eastAsia" w:ascii="Times New Roman" w:hAnsi="Times New Roman" w:eastAsia="宋体" w:cs="Times New Roman"/>
                <w:color w:val="auto"/>
                <w:kern w:val="24"/>
                <w:sz w:val="24"/>
                <w:szCs w:val="24"/>
                <w:highlight w:val="none"/>
                <w:lang w:val="en-US" w:eastAsia="zh-CN" w:bidi="ar-SA"/>
              </w:rPr>
              <w:t>（1</w:t>
            </w:r>
            <w:r>
              <w:rPr>
                <w:rFonts w:hint="eastAsia" w:cs="Times New Roman"/>
                <w:color w:val="auto"/>
                <w:kern w:val="24"/>
                <w:sz w:val="24"/>
                <w:szCs w:val="24"/>
                <w:highlight w:val="none"/>
                <w:lang w:val="en-US" w:eastAsia="zh-CN" w:bidi="ar-SA"/>
              </w:rPr>
              <w:t>4</w:t>
            </w:r>
            <w:r>
              <w:rPr>
                <w:rFonts w:hint="eastAsia" w:ascii="Times New Roman" w:hAnsi="Times New Roman" w:eastAsia="宋体" w:cs="Times New Roman"/>
                <w:color w:val="auto"/>
                <w:kern w:val="24"/>
                <w:sz w:val="24"/>
                <w:szCs w:val="24"/>
                <w:highlight w:val="none"/>
                <w:lang w:val="en-US" w:eastAsia="zh-CN" w:bidi="ar-SA"/>
              </w:rPr>
              <w:t>）模切：</w:t>
            </w:r>
            <w:r>
              <w:rPr>
                <w:rFonts w:hint="eastAsia" w:cs="Times New Roman"/>
                <w:color w:val="auto"/>
                <w:kern w:val="24"/>
                <w:sz w:val="24"/>
                <w:szCs w:val="24"/>
                <w:highlight w:val="none"/>
                <w:lang w:val="en-US" w:eastAsia="zh-CN" w:bidi="ar-SA"/>
              </w:rPr>
              <w:t>将</w:t>
            </w:r>
            <w:r>
              <w:rPr>
                <w:rFonts w:hint="eastAsia" w:ascii="Times New Roman" w:hAnsi="Times New Roman" w:eastAsia="宋体" w:cs="Times New Roman"/>
                <w:color w:val="auto"/>
                <w:kern w:val="24"/>
                <w:sz w:val="24"/>
                <w:szCs w:val="24"/>
                <w:highlight w:val="none"/>
                <w:lang w:val="en-US" w:eastAsia="zh-CN" w:bidi="ar-SA"/>
              </w:rPr>
              <w:t>新型材料环保石塑箱成品基材按照设计要求</w:t>
            </w:r>
            <w:r>
              <w:rPr>
                <w:rFonts w:hint="eastAsia" w:cs="Times New Roman"/>
                <w:color w:val="auto"/>
                <w:kern w:val="24"/>
                <w:sz w:val="24"/>
                <w:szCs w:val="24"/>
                <w:highlight w:val="none"/>
                <w:lang w:val="en-US" w:eastAsia="zh-CN" w:bidi="ar-SA"/>
              </w:rPr>
              <w:t>或客户需求</w:t>
            </w:r>
            <w:r>
              <w:rPr>
                <w:rFonts w:hint="eastAsia" w:ascii="Times New Roman" w:hAnsi="Times New Roman" w:eastAsia="宋体" w:cs="Times New Roman"/>
                <w:color w:val="auto"/>
                <w:kern w:val="24"/>
                <w:sz w:val="24"/>
                <w:szCs w:val="24"/>
                <w:highlight w:val="none"/>
                <w:lang w:val="en-US" w:eastAsia="zh-CN" w:bidi="ar-SA"/>
              </w:rPr>
              <w:t>进行模切，切成需要的尺寸规格。</w:t>
            </w:r>
            <w:r>
              <w:rPr>
                <w:rFonts w:hint="default" w:ascii="Times New Roman" w:hAnsi="Times New Roman" w:eastAsia="宋体" w:cs="Times New Roman"/>
                <w:color w:val="auto"/>
                <w:kern w:val="24"/>
                <w:sz w:val="24"/>
                <w:szCs w:val="24"/>
                <w:highlight w:val="none"/>
                <w:lang w:val="en-US" w:eastAsia="zh-CN" w:bidi="ar-SA"/>
              </w:rPr>
              <w:t>该生产过程会产生S2边角料</w:t>
            </w:r>
            <w:r>
              <w:rPr>
                <w:rFonts w:hint="eastAsia" w:cs="Times New Roman"/>
                <w:color w:val="auto"/>
                <w:kern w:val="24"/>
                <w:sz w:val="24"/>
                <w:szCs w:val="24"/>
                <w:highlight w:val="none"/>
                <w:lang w:val="en-US" w:eastAsia="zh-CN" w:bidi="ar-SA"/>
              </w:rPr>
              <w:t>、N1</w:t>
            </w:r>
            <w:r>
              <w:rPr>
                <w:rFonts w:hint="default" w:ascii="Times New Roman" w:hAnsi="Times New Roman" w:eastAsia="宋体" w:cs="Times New Roman"/>
                <w:color w:val="auto"/>
                <w:kern w:val="24"/>
                <w:sz w:val="24"/>
                <w:szCs w:val="24"/>
                <w:highlight w:val="none"/>
                <w:lang w:val="en-US" w:eastAsia="zh-CN" w:bidi="ar-SA"/>
              </w:rPr>
              <w:t>设备噪声。</w:t>
            </w:r>
          </w:p>
          <w:p w14:paraId="1CE85289">
            <w:pPr>
              <w:numPr>
                <w:ilvl w:val="0"/>
                <w:numId w:val="0"/>
              </w:numPr>
              <w:adjustRightInd w:val="0"/>
              <w:snapToGrid w:val="0"/>
              <w:spacing w:line="360" w:lineRule="auto"/>
              <w:ind w:firstLine="480" w:firstLineChars="200"/>
              <w:rPr>
                <w:rFonts w:hint="eastAsia" w:cs="Times New Roman"/>
                <w:color w:val="auto"/>
                <w:kern w:val="24"/>
                <w:sz w:val="24"/>
                <w:szCs w:val="24"/>
                <w:highlight w:val="none"/>
                <w:lang w:val="en-US" w:eastAsia="zh-CN" w:bidi="ar-SA"/>
              </w:rPr>
            </w:pPr>
            <w:r>
              <w:rPr>
                <w:rFonts w:hint="default" w:ascii="Times New Roman" w:hAnsi="Times New Roman" w:eastAsia="宋体" w:cs="Times New Roman"/>
                <w:color w:val="auto"/>
                <w:kern w:val="24"/>
                <w:sz w:val="24"/>
                <w:szCs w:val="24"/>
                <w:highlight w:val="none"/>
                <w:lang w:val="en-US" w:eastAsia="zh-CN" w:bidi="ar-SA"/>
              </w:rPr>
              <w:t>（15）</w:t>
            </w:r>
            <w:r>
              <w:rPr>
                <w:rFonts w:hint="eastAsia" w:cs="Times New Roman"/>
                <w:color w:val="auto"/>
                <w:kern w:val="24"/>
                <w:sz w:val="24"/>
                <w:szCs w:val="24"/>
                <w:highlight w:val="none"/>
                <w:lang w:val="en-US" w:eastAsia="zh-CN" w:bidi="ar-SA"/>
              </w:rPr>
              <w:t>钉箱/人工组装：根据客户要求，将部分产品利用钉箱机装订成箱或人工加装PVC边条、PVC弯角组装成箱，获得成品。该生产过程中会产生N1设备噪声。</w:t>
            </w:r>
          </w:p>
          <w:p w14:paraId="69880AF2">
            <w:pPr>
              <w:numPr>
                <w:ilvl w:val="0"/>
                <w:numId w:val="0"/>
              </w:numPr>
              <w:adjustRightInd w:val="0"/>
              <w:snapToGrid w:val="0"/>
              <w:spacing w:line="360" w:lineRule="auto"/>
              <w:ind w:firstLine="480" w:firstLineChars="200"/>
              <w:rPr>
                <w:rFonts w:hint="default" w:ascii="Times New Roman" w:hAnsi="Times New Roman" w:eastAsia="宋体" w:cs="Times New Roman"/>
                <w:color w:val="auto"/>
                <w:kern w:val="24"/>
                <w:sz w:val="24"/>
                <w:szCs w:val="24"/>
                <w:highlight w:val="none"/>
                <w:lang w:val="en-US" w:eastAsia="zh-CN" w:bidi="ar-SA"/>
              </w:rPr>
            </w:pPr>
            <w:r>
              <w:rPr>
                <w:rFonts w:hint="eastAsia" w:cs="Times New Roman"/>
                <w:color w:val="auto"/>
                <w:kern w:val="24"/>
                <w:sz w:val="24"/>
                <w:szCs w:val="24"/>
                <w:highlight w:val="none"/>
                <w:lang w:val="en-US" w:eastAsia="zh-CN" w:bidi="ar-SA"/>
              </w:rPr>
              <w:t>（16）焊接：根据客户要求，部分产品不钉箱，直接通过超声波焊接机进行塑焊成型。</w:t>
            </w:r>
          </w:p>
          <w:p w14:paraId="0A329A26">
            <w:pPr>
              <w:numPr>
                <w:ilvl w:val="0"/>
                <w:numId w:val="0"/>
              </w:numPr>
              <w:adjustRightInd w:val="0"/>
              <w:snapToGrid w:val="0"/>
              <w:spacing w:line="360" w:lineRule="auto"/>
              <w:ind w:firstLine="480" w:firstLineChars="200"/>
              <w:rPr>
                <w:rFonts w:hint="eastAsia" w:ascii="Times New Roman" w:hAnsi="Times New Roman" w:eastAsia="宋体" w:cs="Times New Roman"/>
                <w:color w:val="auto"/>
                <w:kern w:val="24"/>
                <w:sz w:val="24"/>
                <w:szCs w:val="24"/>
                <w:highlight w:val="none"/>
                <w:lang w:val="en-US" w:eastAsia="zh-CN" w:bidi="ar-SA"/>
              </w:rPr>
            </w:pPr>
            <w:r>
              <w:rPr>
                <w:rFonts w:hint="eastAsia" w:ascii="Times New Roman" w:hAnsi="Times New Roman" w:eastAsia="宋体" w:cs="Times New Roman"/>
                <w:color w:val="auto"/>
                <w:kern w:val="24"/>
                <w:sz w:val="24"/>
                <w:szCs w:val="24"/>
                <w:highlight w:val="none"/>
                <w:lang w:val="en-US" w:eastAsia="zh-CN" w:bidi="ar-SA"/>
              </w:rPr>
              <w:t>超声波焊接：是溶解热塑性塑料制品的高科技技术，各种热塑性胶件均可使用超声波熔接处理，不需加溶剂、粘接剂或其他辅助品。通过超声波设备把超声能量传送到焊区，由于焊区即两个焊接的交界面处声阻大，因此会产生局部高温。由于塑料导热性差，一时还不能及时散发，聚集在焊区，致使两个塑料的接触面迅速熔化，加上一定压力后，使其融合成一体。当超声波停止作用后，让压力持续几秒钟，使其凝固成型，这样就形成一个坚固的分子链，达到焊接的目的，焊接强度能接近于原材料强度。</w:t>
            </w:r>
            <w:r>
              <w:rPr>
                <w:rFonts w:hint="eastAsia" w:ascii="Times New Roman" w:hAnsi="Times New Roman" w:eastAsia="宋体" w:cs="Times New Roman"/>
                <w:color w:val="auto"/>
                <w:kern w:val="24"/>
                <w:sz w:val="24"/>
                <w:szCs w:val="24"/>
                <w:highlight w:val="none"/>
                <w:lang w:val="en-US" w:eastAsia="zh-CN" w:bidi="ar-SA"/>
              </w:rPr>
              <w:t>本项目配套的超声波焊接设备温度控制在</w:t>
            </w:r>
            <w:r>
              <w:rPr>
                <w:rFonts w:hint="eastAsia" w:cs="Times New Roman"/>
                <w:color w:val="auto"/>
                <w:kern w:val="24"/>
                <w:sz w:val="24"/>
                <w:szCs w:val="24"/>
                <w:highlight w:val="none"/>
                <w:lang w:val="en-US" w:eastAsia="zh-CN" w:bidi="ar-SA"/>
              </w:rPr>
              <w:t>65</w:t>
            </w:r>
            <w:r>
              <w:rPr>
                <w:rFonts w:hint="eastAsia" w:ascii="Times New Roman" w:hAnsi="Times New Roman" w:eastAsia="宋体" w:cs="Times New Roman"/>
                <w:color w:val="auto"/>
                <w:kern w:val="24"/>
                <w:sz w:val="24"/>
                <w:szCs w:val="24"/>
                <w:highlight w:val="none"/>
                <w:lang w:val="en-US" w:eastAsia="zh-CN" w:bidi="ar-SA"/>
              </w:rPr>
              <w:t>℃左右</w:t>
            </w:r>
            <w:r>
              <w:rPr>
                <w:rFonts w:hint="eastAsia" w:ascii="Times New Roman" w:hAnsi="Times New Roman" w:eastAsia="宋体" w:cs="Times New Roman"/>
                <w:color w:val="auto"/>
                <w:kern w:val="24"/>
                <w:sz w:val="24"/>
                <w:szCs w:val="24"/>
                <w:highlight w:val="none"/>
                <w:lang w:val="en-US" w:eastAsia="zh-CN" w:bidi="ar-SA"/>
              </w:rPr>
              <w:t>，</w:t>
            </w:r>
            <w:r>
              <w:rPr>
                <w:rFonts w:hint="eastAsia" w:cs="Times New Roman"/>
                <w:color w:val="auto"/>
                <w:kern w:val="24"/>
                <w:sz w:val="24"/>
                <w:szCs w:val="24"/>
                <w:highlight w:val="none"/>
                <w:lang w:val="en-US" w:eastAsia="zh-CN" w:bidi="ar-SA"/>
              </w:rPr>
              <w:t>原料</w:t>
            </w:r>
            <w:r>
              <w:rPr>
                <w:rFonts w:hint="eastAsia" w:ascii="Times New Roman" w:hAnsi="Times New Roman" w:eastAsia="宋体" w:cs="Times New Roman"/>
                <w:color w:val="auto"/>
                <w:kern w:val="24"/>
                <w:sz w:val="24"/>
                <w:szCs w:val="24"/>
                <w:highlight w:val="none"/>
                <w:lang w:val="en-US" w:eastAsia="zh-CN" w:bidi="ar-SA"/>
              </w:rPr>
              <w:t>主要成分为聚丙烯</w:t>
            </w:r>
            <w:r>
              <w:rPr>
                <w:rFonts w:hint="eastAsia" w:cs="Times New Roman"/>
                <w:color w:val="auto"/>
                <w:kern w:val="24"/>
                <w:sz w:val="24"/>
                <w:szCs w:val="24"/>
                <w:highlight w:val="none"/>
                <w:lang w:val="en-US" w:eastAsia="zh-CN" w:bidi="ar-SA"/>
              </w:rPr>
              <w:t>，</w:t>
            </w:r>
            <w:r>
              <w:rPr>
                <w:rFonts w:hint="eastAsia" w:ascii="Times New Roman" w:hAnsi="Times New Roman" w:eastAsia="宋体" w:cs="Times New Roman"/>
                <w:color w:val="auto"/>
                <w:kern w:val="24"/>
                <w:sz w:val="24"/>
                <w:szCs w:val="24"/>
                <w:highlight w:val="none"/>
                <w:lang w:val="en-US" w:eastAsia="zh-CN" w:bidi="ar-SA"/>
              </w:rPr>
              <w:t>化学成分基本不会分解，但原料中有少量未聚合的单体在高温下会有部分挥发出来，产生少量有机</w:t>
            </w:r>
            <w:r>
              <w:rPr>
                <w:rFonts w:hint="eastAsia" w:cs="Times New Roman"/>
                <w:color w:val="auto"/>
                <w:kern w:val="24"/>
                <w:sz w:val="24"/>
                <w:szCs w:val="24"/>
                <w:highlight w:val="none"/>
                <w:lang w:val="en-US" w:eastAsia="zh-CN" w:bidi="ar-SA"/>
              </w:rPr>
              <w:t>废气（以非甲烷总烃计）</w:t>
            </w:r>
            <w:r>
              <w:rPr>
                <w:rFonts w:hint="eastAsia" w:ascii="Times New Roman" w:hAnsi="Times New Roman" w:eastAsia="宋体" w:cs="Times New Roman"/>
                <w:color w:val="auto"/>
                <w:kern w:val="24"/>
                <w:sz w:val="24"/>
                <w:szCs w:val="24"/>
                <w:highlight w:val="none"/>
                <w:lang w:val="en-US" w:eastAsia="zh-CN" w:bidi="ar-SA"/>
              </w:rPr>
              <w:t>。该生产过程会产生G</w:t>
            </w:r>
            <w:r>
              <w:rPr>
                <w:rFonts w:hint="eastAsia" w:cs="Times New Roman"/>
                <w:color w:val="auto"/>
                <w:kern w:val="24"/>
                <w:sz w:val="24"/>
                <w:szCs w:val="24"/>
                <w:highlight w:val="none"/>
                <w:lang w:val="en-US" w:eastAsia="zh-CN" w:bidi="ar-SA"/>
              </w:rPr>
              <w:t>3焊接</w:t>
            </w:r>
            <w:r>
              <w:rPr>
                <w:rFonts w:hint="eastAsia" w:ascii="Times New Roman" w:hAnsi="Times New Roman" w:eastAsia="宋体" w:cs="Times New Roman"/>
                <w:color w:val="auto"/>
                <w:kern w:val="24"/>
                <w:sz w:val="24"/>
                <w:szCs w:val="24"/>
                <w:highlight w:val="none"/>
                <w:lang w:val="en-US" w:eastAsia="zh-CN" w:bidi="ar-SA"/>
              </w:rPr>
              <w:t>废气（</w:t>
            </w:r>
            <w:r>
              <w:rPr>
                <w:rFonts w:hint="eastAsia" w:cs="Times New Roman"/>
                <w:color w:val="auto"/>
                <w:kern w:val="24"/>
                <w:sz w:val="24"/>
                <w:szCs w:val="24"/>
                <w:highlight w:val="none"/>
                <w:lang w:val="en-US" w:eastAsia="zh-CN" w:bidi="ar-SA"/>
              </w:rPr>
              <w:t>以</w:t>
            </w:r>
            <w:r>
              <w:rPr>
                <w:rFonts w:hint="eastAsia" w:ascii="Times New Roman" w:hAnsi="Times New Roman" w:eastAsia="宋体" w:cs="Times New Roman"/>
                <w:color w:val="auto"/>
                <w:kern w:val="24"/>
                <w:sz w:val="24"/>
                <w:szCs w:val="24"/>
                <w:highlight w:val="none"/>
                <w:lang w:val="en-US" w:eastAsia="zh-CN" w:bidi="ar-SA"/>
              </w:rPr>
              <w:t>非甲烷总烃</w:t>
            </w:r>
            <w:r>
              <w:rPr>
                <w:rFonts w:hint="eastAsia" w:cs="Times New Roman"/>
                <w:color w:val="auto"/>
                <w:kern w:val="24"/>
                <w:sz w:val="24"/>
                <w:szCs w:val="24"/>
                <w:highlight w:val="none"/>
                <w:lang w:val="en-US" w:eastAsia="zh-CN" w:bidi="ar-SA"/>
              </w:rPr>
              <w:t>计</w:t>
            </w:r>
            <w:r>
              <w:rPr>
                <w:rFonts w:hint="eastAsia" w:ascii="Times New Roman" w:hAnsi="Times New Roman" w:eastAsia="宋体" w:cs="Times New Roman"/>
                <w:color w:val="auto"/>
                <w:kern w:val="24"/>
                <w:sz w:val="24"/>
                <w:szCs w:val="24"/>
                <w:highlight w:val="none"/>
                <w:lang w:val="en-US" w:eastAsia="zh-CN" w:bidi="ar-SA"/>
              </w:rPr>
              <w:t>）、N1设备噪声。</w:t>
            </w:r>
          </w:p>
          <w:p w14:paraId="33A103B6">
            <w:pPr>
              <w:numPr>
                <w:ilvl w:val="0"/>
                <w:numId w:val="0"/>
              </w:numPr>
              <w:adjustRightInd w:val="0"/>
              <w:snapToGrid w:val="0"/>
              <w:spacing w:line="360" w:lineRule="auto"/>
              <w:ind w:firstLine="480" w:firstLineChars="200"/>
              <w:rPr>
                <w:rFonts w:hint="eastAsia"/>
                <w:color w:val="auto"/>
                <w:kern w:val="24"/>
                <w:sz w:val="24"/>
                <w:highlight w:val="none"/>
                <w:lang w:val="en-US" w:eastAsia="zh-CN"/>
              </w:rPr>
            </w:pPr>
            <w:r>
              <w:rPr>
                <w:rFonts w:hint="eastAsia"/>
                <w:color w:val="auto"/>
                <w:kern w:val="24"/>
                <w:sz w:val="24"/>
                <w:highlight w:val="none"/>
                <w:lang w:val="en-US" w:eastAsia="zh-CN"/>
              </w:rPr>
              <w:t>（17）检验：利用钢卷尺等物理设备对新型材料环保石塑箱成品进行长度、密度等属性检验，根据客户需求直接将合格产品打包入库。该生产过程中会产生S3不合格产品。</w:t>
            </w:r>
          </w:p>
          <w:p w14:paraId="17550776">
            <w:pPr>
              <w:numPr>
                <w:ilvl w:val="0"/>
                <w:numId w:val="0"/>
              </w:numPr>
              <w:adjustRightInd w:val="0"/>
              <w:snapToGrid w:val="0"/>
              <w:spacing w:line="360" w:lineRule="auto"/>
              <w:ind w:firstLine="480" w:firstLineChars="200"/>
              <w:rPr>
                <w:rFonts w:hint="eastAsia"/>
                <w:color w:val="auto"/>
                <w:kern w:val="24"/>
                <w:sz w:val="24"/>
                <w:highlight w:val="none"/>
                <w:lang w:val="en-US" w:eastAsia="zh-CN"/>
              </w:rPr>
            </w:pPr>
            <w:r>
              <w:rPr>
                <w:rFonts w:hint="eastAsia" w:ascii="Times New Roman" w:hAnsi="Times New Roman" w:eastAsia="宋体" w:cs="Times New Roman"/>
                <w:color w:val="auto"/>
                <w:kern w:val="24"/>
                <w:sz w:val="24"/>
                <w:szCs w:val="24"/>
                <w:highlight w:val="none"/>
                <w:lang w:val="en-US" w:eastAsia="zh-CN" w:bidi="ar-SA"/>
              </w:rPr>
              <w:t>（18）</w:t>
            </w:r>
            <w:r>
              <w:rPr>
                <w:rFonts w:hint="eastAsia"/>
                <w:color w:val="auto"/>
                <w:kern w:val="24"/>
                <w:sz w:val="24"/>
                <w:highlight w:val="none"/>
                <w:lang w:val="en-US" w:eastAsia="zh-CN"/>
              </w:rPr>
              <w:t>边角料、不合格品破碎：裁剪、模切、检验过程中产生的S2边角料和S3不合格品进入密闭粉碎机，从板状破碎成直径约5~6毫米颗粒状后通过物料输送管道回用于上料工段，作为原辅料重新进行生产。该生产过程会产生N1设备噪声。</w:t>
            </w:r>
          </w:p>
          <w:p w14:paraId="73D1A0F6">
            <w:pPr>
              <w:adjustRightInd w:val="0"/>
              <w:snapToGrid w:val="0"/>
              <w:spacing w:line="360" w:lineRule="auto"/>
              <w:ind w:firstLine="482" w:firstLineChars="200"/>
              <w:rPr>
                <w:rFonts w:hint="eastAsia"/>
                <w:b/>
                <w:bCs/>
                <w:color w:val="auto"/>
                <w:kern w:val="24"/>
                <w:sz w:val="24"/>
                <w:highlight w:val="none"/>
                <w:lang w:val="en-US" w:eastAsia="zh-CN"/>
              </w:rPr>
            </w:pPr>
            <w:r>
              <w:rPr>
                <w:rFonts w:hint="eastAsia"/>
                <w:b/>
                <w:bCs/>
                <w:color w:val="auto"/>
                <w:kern w:val="24"/>
                <w:sz w:val="24"/>
                <w:highlight w:val="none"/>
                <w:lang w:val="en-US" w:eastAsia="zh-CN"/>
              </w:rPr>
              <w:t>2</w:t>
            </w:r>
            <w:r>
              <w:rPr>
                <w:rFonts w:hint="default"/>
                <w:b/>
                <w:bCs/>
                <w:color w:val="auto"/>
                <w:kern w:val="24"/>
                <w:sz w:val="24"/>
                <w:highlight w:val="none"/>
                <w:lang w:val="en-US" w:eastAsia="zh-CN"/>
              </w:rPr>
              <w:t>、产</w:t>
            </w:r>
            <w:r>
              <w:rPr>
                <w:rFonts w:hint="eastAsia"/>
                <w:b/>
                <w:bCs/>
                <w:color w:val="auto"/>
                <w:kern w:val="24"/>
                <w:sz w:val="24"/>
                <w:highlight w:val="none"/>
                <w:lang w:val="en-US" w:eastAsia="zh-CN"/>
              </w:rPr>
              <w:t>排</w:t>
            </w:r>
            <w:r>
              <w:rPr>
                <w:rFonts w:hint="default"/>
                <w:b/>
                <w:bCs/>
                <w:color w:val="auto"/>
                <w:kern w:val="24"/>
                <w:sz w:val="24"/>
                <w:highlight w:val="none"/>
                <w:lang w:val="en-US" w:eastAsia="zh-CN"/>
              </w:rPr>
              <w:t>污</w:t>
            </w:r>
            <w:r>
              <w:rPr>
                <w:rFonts w:hint="eastAsia"/>
                <w:b/>
                <w:bCs/>
                <w:color w:val="auto"/>
                <w:kern w:val="24"/>
                <w:sz w:val="24"/>
                <w:highlight w:val="none"/>
                <w:lang w:val="en-US" w:eastAsia="zh-CN"/>
              </w:rPr>
              <w:t>环节</w:t>
            </w:r>
          </w:p>
          <w:p w14:paraId="5154CF89">
            <w:pPr>
              <w:numPr>
                <w:ilvl w:val="0"/>
                <w:numId w:val="0"/>
              </w:numPr>
              <w:adjustRightInd w:val="0"/>
              <w:snapToGrid w:val="0"/>
              <w:spacing w:line="360" w:lineRule="auto"/>
              <w:ind w:firstLine="480" w:firstLineChars="200"/>
              <w:rPr>
                <w:rFonts w:hint="default"/>
                <w:color w:val="auto"/>
                <w:kern w:val="24"/>
                <w:sz w:val="24"/>
                <w:highlight w:val="none"/>
                <w:lang w:val="en-US" w:eastAsia="zh-CN"/>
              </w:rPr>
            </w:pPr>
            <w:r>
              <w:rPr>
                <w:rFonts w:hint="default"/>
                <w:color w:val="auto"/>
                <w:kern w:val="24"/>
                <w:sz w:val="24"/>
                <w:highlight w:val="none"/>
                <w:lang w:val="en-US" w:eastAsia="zh-CN"/>
              </w:rPr>
              <w:t>本项目产污情况详见下表。</w:t>
            </w:r>
          </w:p>
          <w:p w14:paraId="2BA66163">
            <w:pPr>
              <w:adjustRightInd w:val="0"/>
              <w:snapToGrid w:val="0"/>
              <w:spacing w:line="360" w:lineRule="auto"/>
              <w:jc w:val="center"/>
              <w:rPr>
                <w:b/>
                <w:bCs/>
                <w:color w:val="auto"/>
                <w:sz w:val="24"/>
                <w:highlight w:val="none"/>
              </w:rPr>
            </w:pPr>
            <w:r>
              <w:rPr>
                <w:b/>
                <w:bCs/>
                <w:color w:val="auto"/>
                <w:sz w:val="24"/>
                <w:highlight w:val="none"/>
              </w:rPr>
              <w:t>表</w:t>
            </w:r>
            <w:r>
              <w:rPr>
                <w:rFonts w:hint="eastAsia"/>
                <w:b/>
                <w:bCs/>
                <w:color w:val="auto"/>
                <w:sz w:val="24"/>
                <w:highlight w:val="none"/>
              </w:rPr>
              <w:t>2</w:t>
            </w:r>
            <w:r>
              <w:rPr>
                <w:b/>
                <w:bCs/>
                <w:color w:val="auto"/>
                <w:sz w:val="24"/>
                <w:highlight w:val="none"/>
              </w:rPr>
              <w:t>-</w:t>
            </w:r>
            <w:r>
              <w:rPr>
                <w:rFonts w:hint="eastAsia"/>
                <w:b/>
                <w:bCs/>
                <w:color w:val="auto"/>
                <w:sz w:val="24"/>
                <w:highlight w:val="none"/>
                <w:lang w:val="en-US" w:eastAsia="zh-CN"/>
              </w:rPr>
              <w:t>8</w:t>
            </w:r>
            <w:r>
              <w:rPr>
                <w:b/>
                <w:bCs/>
                <w:color w:val="auto"/>
                <w:sz w:val="24"/>
                <w:highlight w:val="none"/>
              </w:rPr>
              <w:t xml:space="preserve">  </w:t>
            </w:r>
            <w:r>
              <w:rPr>
                <w:rFonts w:hint="eastAsia"/>
                <w:b/>
                <w:bCs/>
                <w:color w:val="auto"/>
                <w:sz w:val="24"/>
                <w:highlight w:val="none"/>
              </w:rPr>
              <w:t>项目产污节点一览表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2"/>
              <w:gridCol w:w="1499"/>
              <w:gridCol w:w="1526"/>
              <w:gridCol w:w="1652"/>
              <w:gridCol w:w="2576"/>
            </w:tblGrid>
            <w:tr w14:paraId="7C64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pct"/>
                  <w:tcBorders>
                    <w:top w:val="single" w:color="auto" w:sz="4" w:space="0"/>
                    <w:left w:val="single" w:color="auto" w:sz="4" w:space="0"/>
                    <w:bottom w:val="single" w:color="auto" w:sz="4" w:space="0"/>
                    <w:right w:val="single" w:color="auto" w:sz="4" w:space="0"/>
                  </w:tcBorders>
                  <w:vAlign w:val="center"/>
                </w:tcPr>
                <w:p w14:paraId="387B0BD7">
                  <w:pPr>
                    <w:pStyle w:val="95"/>
                    <w:jc w:val="center"/>
                    <w:rPr>
                      <w:b/>
                      <w:bCs/>
                      <w:color w:val="auto"/>
                      <w:szCs w:val="21"/>
                      <w:highlight w:val="none"/>
                    </w:rPr>
                  </w:pPr>
                  <w:r>
                    <w:rPr>
                      <w:b/>
                      <w:bCs/>
                      <w:color w:val="auto"/>
                      <w:szCs w:val="21"/>
                      <w:highlight w:val="none"/>
                    </w:rPr>
                    <w:t>类别</w:t>
                  </w:r>
                </w:p>
              </w:tc>
              <w:tc>
                <w:tcPr>
                  <w:tcW w:w="901" w:type="pct"/>
                  <w:tcBorders>
                    <w:top w:val="single" w:color="auto" w:sz="4" w:space="0"/>
                    <w:left w:val="single" w:color="auto" w:sz="4" w:space="0"/>
                    <w:bottom w:val="single" w:color="auto" w:sz="4" w:space="0"/>
                    <w:right w:val="single" w:color="auto" w:sz="4" w:space="0"/>
                  </w:tcBorders>
                  <w:vAlign w:val="center"/>
                </w:tcPr>
                <w:p w14:paraId="04D08FC0">
                  <w:pPr>
                    <w:pStyle w:val="95"/>
                    <w:jc w:val="center"/>
                    <w:rPr>
                      <w:rFonts w:hint="eastAsia" w:eastAsia="宋体"/>
                      <w:b/>
                      <w:bCs/>
                      <w:color w:val="auto"/>
                      <w:szCs w:val="21"/>
                      <w:highlight w:val="none"/>
                      <w:lang w:val="en-US" w:eastAsia="zh-CN"/>
                    </w:rPr>
                  </w:pPr>
                  <w:r>
                    <w:rPr>
                      <w:b/>
                      <w:bCs/>
                      <w:color w:val="auto"/>
                      <w:szCs w:val="21"/>
                      <w:highlight w:val="none"/>
                    </w:rPr>
                    <w:t>污染</w:t>
                  </w:r>
                  <w:r>
                    <w:rPr>
                      <w:rFonts w:hint="eastAsia"/>
                      <w:b/>
                      <w:bCs/>
                      <w:color w:val="auto"/>
                      <w:szCs w:val="21"/>
                      <w:highlight w:val="none"/>
                      <w:lang w:val="en-US" w:eastAsia="zh-CN"/>
                    </w:rPr>
                    <w:t>源</w:t>
                  </w:r>
                </w:p>
              </w:tc>
              <w:tc>
                <w:tcPr>
                  <w:tcW w:w="917" w:type="pct"/>
                  <w:tcBorders>
                    <w:top w:val="single" w:color="auto" w:sz="4" w:space="0"/>
                    <w:left w:val="single" w:color="auto" w:sz="4" w:space="0"/>
                    <w:bottom w:val="single" w:color="auto" w:sz="4" w:space="0"/>
                    <w:right w:val="single" w:color="auto" w:sz="4" w:space="0"/>
                  </w:tcBorders>
                  <w:vAlign w:val="center"/>
                </w:tcPr>
                <w:p w14:paraId="64E78B8C">
                  <w:pPr>
                    <w:pStyle w:val="95"/>
                    <w:jc w:val="center"/>
                    <w:rPr>
                      <w:rFonts w:hint="default" w:eastAsia="宋体"/>
                      <w:b/>
                      <w:bCs/>
                      <w:color w:val="auto"/>
                      <w:szCs w:val="21"/>
                      <w:highlight w:val="none"/>
                      <w:lang w:val="en-US" w:eastAsia="zh-CN"/>
                    </w:rPr>
                  </w:pPr>
                  <w:r>
                    <w:rPr>
                      <w:rFonts w:hint="eastAsia"/>
                      <w:b/>
                      <w:bCs/>
                      <w:color w:val="auto"/>
                      <w:szCs w:val="21"/>
                      <w:highlight w:val="none"/>
                      <w:lang w:val="en-US" w:eastAsia="zh-CN"/>
                    </w:rPr>
                    <w:t>产污环节</w:t>
                  </w:r>
                </w:p>
              </w:tc>
              <w:tc>
                <w:tcPr>
                  <w:tcW w:w="993" w:type="pct"/>
                  <w:tcBorders>
                    <w:top w:val="single" w:color="auto" w:sz="4" w:space="0"/>
                    <w:left w:val="single" w:color="auto" w:sz="4" w:space="0"/>
                    <w:bottom w:val="single" w:color="auto" w:sz="4" w:space="0"/>
                    <w:right w:val="single" w:color="auto" w:sz="4" w:space="0"/>
                  </w:tcBorders>
                  <w:vAlign w:val="center"/>
                </w:tcPr>
                <w:p w14:paraId="3AAE5A05">
                  <w:pPr>
                    <w:pStyle w:val="95"/>
                    <w:jc w:val="center"/>
                    <w:rPr>
                      <w:b/>
                      <w:bCs/>
                      <w:color w:val="auto"/>
                      <w:szCs w:val="21"/>
                      <w:highlight w:val="none"/>
                    </w:rPr>
                  </w:pPr>
                  <w:r>
                    <w:rPr>
                      <w:b/>
                      <w:bCs/>
                      <w:color w:val="auto"/>
                      <w:szCs w:val="21"/>
                      <w:highlight w:val="none"/>
                    </w:rPr>
                    <w:t>污染物</w:t>
                  </w:r>
                </w:p>
              </w:tc>
              <w:tc>
                <w:tcPr>
                  <w:tcW w:w="1548" w:type="pct"/>
                  <w:tcBorders>
                    <w:top w:val="single" w:color="auto" w:sz="4" w:space="0"/>
                    <w:left w:val="single" w:color="auto" w:sz="4" w:space="0"/>
                    <w:bottom w:val="single" w:color="auto" w:sz="4" w:space="0"/>
                    <w:right w:val="single" w:color="auto" w:sz="4" w:space="0"/>
                  </w:tcBorders>
                  <w:vAlign w:val="center"/>
                </w:tcPr>
                <w:p w14:paraId="68718921">
                  <w:pPr>
                    <w:pStyle w:val="95"/>
                    <w:jc w:val="center"/>
                    <w:rPr>
                      <w:b/>
                      <w:bCs/>
                      <w:color w:val="auto"/>
                      <w:szCs w:val="21"/>
                      <w:highlight w:val="none"/>
                    </w:rPr>
                  </w:pPr>
                  <w:r>
                    <w:rPr>
                      <w:b/>
                      <w:bCs/>
                      <w:color w:val="auto"/>
                      <w:szCs w:val="21"/>
                      <w:highlight w:val="none"/>
                    </w:rPr>
                    <w:t>治理措施</w:t>
                  </w:r>
                </w:p>
              </w:tc>
            </w:tr>
            <w:tr w14:paraId="35009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pct"/>
                  <w:vMerge w:val="restart"/>
                  <w:tcBorders>
                    <w:top w:val="single" w:color="auto" w:sz="4" w:space="0"/>
                    <w:left w:val="single" w:color="auto" w:sz="4" w:space="0"/>
                    <w:right w:val="single" w:color="auto" w:sz="4" w:space="0"/>
                  </w:tcBorders>
                  <w:vAlign w:val="center"/>
                </w:tcPr>
                <w:p w14:paraId="71393BD6">
                  <w:pPr>
                    <w:pStyle w:val="95"/>
                    <w:jc w:val="center"/>
                    <w:rPr>
                      <w:b/>
                      <w:bCs/>
                      <w:color w:val="auto"/>
                      <w:szCs w:val="21"/>
                      <w:highlight w:val="none"/>
                    </w:rPr>
                  </w:pPr>
                  <w:r>
                    <w:rPr>
                      <w:b/>
                      <w:bCs/>
                      <w:color w:val="auto"/>
                      <w:szCs w:val="21"/>
                      <w:highlight w:val="none"/>
                    </w:rPr>
                    <w:t>废气</w:t>
                  </w:r>
                </w:p>
              </w:tc>
              <w:tc>
                <w:tcPr>
                  <w:tcW w:w="901" w:type="pct"/>
                  <w:tcBorders>
                    <w:top w:val="single" w:color="auto" w:sz="4" w:space="0"/>
                    <w:left w:val="single" w:color="auto" w:sz="4" w:space="0"/>
                    <w:right w:val="single" w:color="auto" w:sz="4" w:space="0"/>
                  </w:tcBorders>
                  <w:vAlign w:val="center"/>
                </w:tcPr>
                <w:p w14:paraId="47A00510">
                  <w:pPr>
                    <w:pStyle w:val="95"/>
                    <w:jc w:val="center"/>
                    <w:rPr>
                      <w:rFonts w:hint="default" w:eastAsia="宋体"/>
                      <w:color w:val="auto"/>
                      <w:szCs w:val="21"/>
                      <w:highlight w:val="none"/>
                      <w:lang w:val="en-US" w:eastAsia="zh-CN"/>
                    </w:rPr>
                  </w:pPr>
                  <w:r>
                    <w:rPr>
                      <w:rFonts w:hint="eastAsia"/>
                      <w:color w:val="auto"/>
                      <w:szCs w:val="21"/>
                      <w:highlight w:val="none"/>
                      <w:lang w:val="en-US" w:eastAsia="zh-CN"/>
                    </w:rPr>
                    <w:t>塑料废气</w:t>
                  </w:r>
                </w:p>
              </w:tc>
              <w:tc>
                <w:tcPr>
                  <w:tcW w:w="917" w:type="pct"/>
                  <w:tcBorders>
                    <w:top w:val="single" w:color="auto" w:sz="4" w:space="0"/>
                    <w:left w:val="single" w:color="auto" w:sz="4" w:space="0"/>
                    <w:right w:val="single" w:color="auto" w:sz="4" w:space="0"/>
                  </w:tcBorders>
                  <w:vAlign w:val="center"/>
                </w:tcPr>
                <w:p w14:paraId="0C34A520">
                  <w:pPr>
                    <w:pStyle w:val="95"/>
                    <w:jc w:val="center"/>
                    <w:rPr>
                      <w:rFonts w:hint="default" w:eastAsia="宋体"/>
                      <w:color w:val="auto"/>
                      <w:szCs w:val="21"/>
                      <w:highlight w:val="none"/>
                      <w:lang w:val="en-US" w:eastAsia="zh-CN"/>
                    </w:rPr>
                  </w:pPr>
                  <w:r>
                    <w:rPr>
                      <w:rFonts w:hint="eastAsia"/>
                      <w:color w:val="auto"/>
                      <w:szCs w:val="21"/>
                      <w:highlight w:val="none"/>
                      <w:lang w:val="en-US" w:eastAsia="zh-CN"/>
                    </w:rPr>
                    <w:t>模具成型、超声波焊接</w:t>
                  </w:r>
                </w:p>
              </w:tc>
              <w:tc>
                <w:tcPr>
                  <w:tcW w:w="993" w:type="pct"/>
                  <w:tcBorders>
                    <w:top w:val="single" w:color="auto" w:sz="4" w:space="0"/>
                    <w:left w:val="single" w:color="auto" w:sz="4" w:space="0"/>
                    <w:right w:val="single" w:color="auto" w:sz="4" w:space="0"/>
                  </w:tcBorders>
                  <w:shd w:val="clear" w:color="auto" w:fill="auto"/>
                  <w:vAlign w:val="center"/>
                </w:tcPr>
                <w:p w14:paraId="2310FEC7">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非甲烷总烃</w:t>
                  </w:r>
                  <w:r>
                    <w:rPr>
                      <w:rFonts w:hint="eastAsia"/>
                      <w:color w:val="auto"/>
                    </w:rPr>
                    <w:t>、臭气浓度</w:t>
                  </w:r>
                </w:p>
              </w:tc>
              <w:tc>
                <w:tcPr>
                  <w:tcW w:w="1548" w:type="pct"/>
                  <w:tcBorders>
                    <w:top w:val="single" w:color="auto" w:sz="4" w:space="0"/>
                    <w:left w:val="single" w:color="auto" w:sz="4" w:space="0"/>
                    <w:right w:val="single" w:color="auto" w:sz="4" w:space="0"/>
                  </w:tcBorders>
                  <w:vAlign w:val="center"/>
                </w:tcPr>
                <w:p w14:paraId="20C4F6C6">
                  <w:pPr>
                    <w:pStyle w:val="79"/>
                    <w:jc w:val="center"/>
                    <w:rPr>
                      <w:rFonts w:hint="eastAsia" w:eastAsia="宋体"/>
                      <w:color w:val="auto"/>
                      <w:szCs w:val="21"/>
                      <w:highlight w:val="none"/>
                      <w:lang w:eastAsia="zh-CN"/>
                    </w:rPr>
                  </w:pPr>
                  <w:r>
                    <w:rPr>
                      <w:rFonts w:hint="eastAsia" w:cs="Times New Roman"/>
                      <w:color w:val="auto"/>
                      <w:sz w:val="21"/>
                      <w:szCs w:val="21"/>
                      <w:highlight w:val="none"/>
                      <w:lang w:val="en-US" w:eastAsia="zh-CN"/>
                    </w:rPr>
                    <w:t>塑料</w:t>
                  </w:r>
                  <w:r>
                    <w:rPr>
                      <w:rFonts w:hint="default" w:ascii="Times New Roman" w:hAnsi="Times New Roman" w:eastAsia="宋体" w:cs="Times New Roman"/>
                      <w:color w:val="auto"/>
                      <w:sz w:val="21"/>
                      <w:szCs w:val="21"/>
                      <w:highlight w:val="none"/>
                      <w:lang w:val="en-US" w:eastAsia="zh-CN"/>
                    </w:rPr>
                    <w:t>废气产污节点主要为模具成型、超声波焊接工序，共设置</w:t>
                  </w: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套包围型集气罩（含软帘），对各产污点位实行</w:t>
                  </w:r>
                  <w:r>
                    <w:rPr>
                      <w:rFonts w:hint="eastAsia" w:cs="Times New Roman"/>
                      <w:color w:val="auto"/>
                      <w:sz w:val="21"/>
                      <w:szCs w:val="21"/>
                      <w:highlight w:val="none"/>
                      <w:lang w:val="en-US" w:eastAsia="zh-CN"/>
                    </w:rPr>
                    <w:t>废气</w:t>
                  </w:r>
                  <w:r>
                    <w:rPr>
                      <w:rFonts w:hint="default" w:ascii="Times New Roman" w:hAnsi="Times New Roman" w:eastAsia="宋体" w:cs="Times New Roman"/>
                      <w:color w:val="auto"/>
                      <w:sz w:val="21"/>
                      <w:szCs w:val="21"/>
                      <w:highlight w:val="none"/>
                      <w:lang w:val="en-US" w:eastAsia="zh-CN"/>
                    </w:rPr>
                    <w:t>收集。收集后的废气经管道汇总进入1套废气处理设施（活性炭吸附浓缩+CO处理工艺）（TA001）进行处理，处理后通过1根</w:t>
                  </w:r>
                  <w:r>
                    <w:rPr>
                      <w:rFonts w:hint="eastAsia"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lang w:val="en-US" w:eastAsia="zh-CN"/>
                    </w:rPr>
                    <w:t>m高排气筒排放（DA001）。</w:t>
                  </w:r>
                </w:p>
              </w:tc>
            </w:tr>
            <w:tr w14:paraId="2D74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pct"/>
                  <w:vMerge w:val="continue"/>
                  <w:tcBorders>
                    <w:left w:val="single" w:color="auto" w:sz="4" w:space="0"/>
                    <w:right w:val="single" w:color="auto" w:sz="4" w:space="0"/>
                  </w:tcBorders>
                  <w:vAlign w:val="center"/>
                </w:tcPr>
                <w:p w14:paraId="409189A7">
                  <w:pPr>
                    <w:pStyle w:val="95"/>
                    <w:jc w:val="center"/>
                    <w:rPr>
                      <w:color w:val="auto"/>
                      <w:highlight w:val="none"/>
                    </w:rPr>
                  </w:pPr>
                </w:p>
              </w:tc>
              <w:tc>
                <w:tcPr>
                  <w:tcW w:w="901" w:type="pct"/>
                  <w:tcBorders>
                    <w:left w:val="single" w:color="auto" w:sz="4" w:space="0"/>
                    <w:right w:val="single" w:color="auto" w:sz="4" w:space="0"/>
                  </w:tcBorders>
                  <w:vAlign w:val="center"/>
                </w:tcPr>
                <w:p w14:paraId="6219543A">
                  <w:pPr>
                    <w:pStyle w:val="95"/>
                    <w:jc w:val="center"/>
                    <w:rPr>
                      <w:rFonts w:hint="default" w:eastAsia="宋体"/>
                      <w:color w:val="auto"/>
                      <w:szCs w:val="21"/>
                      <w:highlight w:val="none"/>
                      <w:lang w:val="en-US" w:eastAsia="zh-CN"/>
                    </w:rPr>
                  </w:pPr>
                  <w:r>
                    <w:rPr>
                      <w:rFonts w:hint="eastAsia"/>
                      <w:color w:val="auto"/>
                      <w:szCs w:val="21"/>
                      <w:highlight w:val="none"/>
                      <w:lang w:val="en-US" w:eastAsia="zh-CN"/>
                    </w:rPr>
                    <w:t>印刷废气</w:t>
                  </w:r>
                </w:p>
              </w:tc>
              <w:tc>
                <w:tcPr>
                  <w:tcW w:w="917" w:type="pct"/>
                  <w:tcBorders>
                    <w:top w:val="single" w:color="auto" w:sz="4" w:space="0"/>
                    <w:left w:val="single" w:color="auto" w:sz="4" w:space="0"/>
                    <w:right w:val="single" w:color="auto" w:sz="4" w:space="0"/>
                  </w:tcBorders>
                  <w:shd w:val="clear" w:color="auto" w:fill="auto"/>
                  <w:vAlign w:val="center"/>
                </w:tcPr>
                <w:p w14:paraId="54841B3A">
                  <w:pPr>
                    <w:pStyle w:val="95"/>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柔板水墨印刷</w:t>
                  </w:r>
                </w:p>
              </w:tc>
              <w:tc>
                <w:tcPr>
                  <w:tcW w:w="993" w:type="pct"/>
                  <w:tcBorders>
                    <w:top w:val="single" w:color="auto" w:sz="4" w:space="0"/>
                    <w:left w:val="single" w:color="auto" w:sz="4" w:space="0"/>
                    <w:right w:val="single" w:color="auto" w:sz="4" w:space="0"/>
                  </w:tcBorders>
                  <w:shd w:val="clear" w:color="auto" w:fill="auto"/>
                  <w:vAlign w:val="center"/>
                </w:tcPr>
                <w:p w14:paraId="29A31CEE">
                  <w:pPr>
                    <w:adjustRightInd w:val="0"/>
                    <w:snapToGrid w:val="0"/>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非甲烷总烃</w:t>
                  </w:r>
                  <w:r>
                    <w:rPr>
                      <w:rFonts w:hint="eastAsia"/>
                      <w:color w:val="auto"/>
                    </w:rPr>
                    <w:t>、臭气浓度</w:t>
                  </w:r>
                </w:p>
              </w:tc>
              <w:tc>
                <w:tcPr>
                  <w:tcW w:w="1548" w:type="pct"/>
                  <w:tcBorders>
                    <w:left w:val="single" w:color="auto" w:sz="4" w:space="0"/>
                    <w:right w:val="single" w:color="auto" w:sz="4" w:space="0"/>
                  </w:tcBorders>
                  <w:vAlign w:val="center"/>
                </w:tcPr>
                <w:p w14:paraId="6FAC3744">
                  <w:pPr>
                    <w:pStyle w:val="79"/>
                    <w:jc w:val="center"/>
                    <w:rPr>
                      <w:color w:val="auto"/>
                      <w:szCs w:val="21"/>
                      <w:highlight w:val="none"/>
                    </w:rPr>
                  </w:pPr>
                  <w:r>
                    <w:rPr>
                      <w:rFonts w:hint="eastAsia" w:cs="Times New Roman"/>
                      <w:color w:val="auto"/>
                      <w:sz w:val="21"/>
                      <w:szCs w:val="21"/>
                      <w:highlight w:val="none"/>
                      <w:lang w:val="en-US" w:eastAsia="zh-CN"/>
                    </w:rPr>
                    <w:t>印刷</w:t>
                  </w:r>
                  <w:r>
                    <w:rPr>
                      <w:rFonts w:hint="default" w:ascii="Times New Roman" w:hAnsi="Times New Roman" w:eastAsia="宋体" w:cs="Times New Roman"/>
                      <w:color w:val="auto"/>
                      <w:sz w:val="21"/>
                      <w:szCs w:val="21"/>
                      <w:highlight w:val="none"/>
                      <w:lang w:val="en-US" w:eastAsia="zh-CN"/>
                    </w:rPr>
                    <w:t>产污节点为柔板水墨印刷，设置</w:t>
                  </w:r>
                  <w:r>
                    <w:rPr>
                      <w:rFonts w:hint="eastAsia"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套包围型集气罩（含软帘），对产污点位实行废气收集。收集后的废气经管道汇总进入1套废气处理设施（</w:t>
                  </w:r>
                  <w:r>
                    <w:rPr>
                      <w:rFonts w:hint="eastAsia" w:cs="Times New Roman"/>
                      <w:color w:val="auto"/>
                      <w:sz w:val="21"/>
                      <w:szCs w:val="21"/>
                      <w:highlight w:val="none"/>
                      <w:lang w:val="en-US" w:eastAsia="zh-CN"/>
                    </w:rPr>
                    <w:t>二级</w:t>
                  </w:r>
                  <w:r>
                    <w:rPr>
                      <w:rFonts w:hint="default" w:ascii="Times New Roman" w:hAnsi="Times New Roman" w:eastAsia="宋体" w:cs="Times New Roman"/>
                      <w:color w:val="auto"/>
                      <w:sz w:val="21"/>
                      <w:szCs w:val="21"/>
                      <w:highlight w:val="none"/>
                      <w:lang w:val="en-US" w:eastAsia="zh-CN"/>
                    </w:rPr>
                    <w:t>活性炭吸附）（TA00</w:t>
                  </w:r>
                  <w:r>
                    <w:rPr>
                      <w:rFonts w:hint="eastAsia"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）进行处理，处理后通过1根20m高排气筒排放（DA00</w:t>
                  </w:r>
                  <w:r>
                    <w:rPr>
                      <w:rFonts w:hint="eastAsia"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w:t>
                  </w:r>
                </w:p>
              </w:tc>
            </w:tr>
            <w:tr w14:paraId="4C09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pct"/>
                  <w:vMerge w:val="continue"/>
                  <w:tcBorders>
                    <w:left w:val="single" w:color="auto" w:sz="4" w:space="0"/>
                    <w:right w:val="single" w:color="auto" w:sz="4" w:space="0"/>
                  </w:tcBorders>
                  <w:vAlign w:val="center"/>
                </w:tcPr>
                <w:p w14:paraId="2F519166">
                  <w:pPr>
                    <w:pStyle w:val="95"/>
                    <w:jc w:val="center"/>
                    <w:rPr>
                      <w:color w:val="auto"/>
                      <w:highlight w:val="none"/>
                    </w:rPr>
                  </w:pPr>
                </w:p>
              </w:tc>
              <w:tc>
                <w:tcPr>
                  <w:tcW w:w="901" w:type="pct"/>
                  <w:tcBorders>
                    <w:left w:val="single" w:color="auto" w:sz="4" w:space="0"/>
                    <w:right w:val="single" w:color="auto" w:sz="4" w:space="0"/>
                  </w:tcBorders>
                  <w:vAlign w:val="center"/>
                </w:tcPr>
                <w:p w14:paraId="68FBF449">
                  <w:pPr>
                    <w:pStyle w:val="95"/>
                    <w:jc w:val="center"/>
                    <w:rPr>
                      <w:rFonts w:hint="default" w:eastAsia="宋体"/>
                      <w:color w:val="auto"/>
                      <w:szCs w:val="21"/>
                      <w:highlight w:val="none"/>
                      <w:lang w:val="en-US" w:eastAsia="zh-CN"/>
                    </w:rPr>
                  </w:pPr>
                  <w:r>
                    <w:rPr>
                      <w:rFonts w:hint="default" w:eastAsia="宋体"/>
                      <w:color w:val="auto"/>
                      <w:szCs w:val="21"/>
                      <w:highlight w:val="none"/>
                      <w:lang w:val="en-US" w:eastAsia="zh-CN"/>
                    </w:rPr>
                    <w:t>破碎粉尘</w:t>
                  </w:r>
                </w:p>
              </w:tc>
              <w:tc>
                <w:tcPr>
                  <w:tcW w:w="917" w:type="pct"/>
                  <w:tcBorders>
                    <w:top w:val="single" w:color="auto" w:sz="4" w:space="0"/>
                    <w:left w:val="single" w:color="auto" w:sz="4" w:space="0"/>
                    <w:right w:val="single" w:color="auto" w:sz="4" w:space="0"/>
                  </w:tcBorders>
                  <w:vAlign w:val="center"/>
                </w:tcPr>
                <w:p w14:paraId="633DE2F2">
                  <w:pPr>
                    <w:pStyle w:val="95"/>
                    <w:jc w:val="center"/>
                    <w:rPr>
                      <w:rFonts w:hint="default" w:eastAsia="宋体"/>
                      <w:color w:val="auto"/>
                      <w:szCs w:val="21"/>
                      <w:highlight w:val="none"/>
                      <w:lang w:val="en-US" w:eastAsia="zh-CN"/>
                    </w:rPr>
                  </w:pPr>
                  <w:r>
                    <w:rPr>
                      <w:rFonts w:hint="eastAsia"/>
                      <w:color w:val="auto"/>
                      <w:szCs w:val="21"/>
                      <w:highlight w:val="none"/>
                      <w:lang w:val="en-US" w:eastAsia="zh-CN"/>
                    </w:rPr>
                    <w:t>边角料、不合格产品破碎</w:t>
                  </w:r>
                </w:p>
              </w:tc>
              <w:tc>
                <w:tcPr>
                  <w:tcW w:w="993" w:type="pct"/>
                  <w:tcBorders>
                    <w:top w:val="single" w:color="auto" w:sz="4" w:space="0"/>
                    <w:left w:val="single" w:color="auto" w:sz="4" w:space="0"/>
                    <w:right w:val="single" w:color="auto" w:sz="4" w:space="0"/>
                  </w:tcBorders>
                  <w:vAlign w:val="center"/>
                </w:tcPr>
                <w:p w14:paraId="09141402">
                  <w:pPr>
                    <w:pStyle w:val="95"/>
                    <w:jc w:val="center"/>
                    <w:rPr>
                      <w:rFonts w:hint="default" w:eastAsia="宋体"/>
                      <w:color w:val="auto"/>
                      <w:szCs w:val="21"/>
                      <w:highlight w:val="none"/>
                      <w:lang w:val="en-US" w:eastAsia="zh-CN"/>
                    </w:rPr>
                  </w:pPr>
                  <w:r>
                    <w:rPr>
                      <w:rFonts w:hint="eastAsia"/>
                      <w:color w:val="auto"/>
                      <w:szCs w:val="21"/>
                      <w:highlight w:val="none"/>
                      <w:lang w:val="en-US" w:eastAsia="zh-CN"/>
                    </w:rPr>
                    <w:t>颗粒物</w:t>
                  </w:r>
                </w:p>
              </w:tc>
              <w:tc>
                <w:tcPr>
                  <w:tcW w:w="1548" w:type="pct"/>
                  <w:tcBorders>
                    <w:left w:val="single" w:color="auto" w:sz="4" w:space="0"/>
                    <w:right w:val="single" w:color="auto" w:sz="4" w:space="0"/>
                  </w:tcBorders>
                  <w:vAlign w:val="center"/>
                </w:tcPr>
                <w:p w14:paraId="0479E665">
                  <w:pPr>
                    <w:pStyle w:val="95"/>
                    <w:jc w:val="center"/>
                    <w:rPr>
                      <w:rFonts w:hint="default" w:eastAsia="宋体"/>
                      <w:color w:val="auto"/>
                      <w:szCs w:val="21"/>
                      <w:highlight w:val="none"/>
                      <w:lang w:val="en-US" w:eastAsia="zh-CN"/>
                    </w:rPr>
                  </w:pPr>
                  <w:r>
                    <w:rPr>
                      <w:rFonts w:hint="eastAsia"/>
                      <w:color w:val="auto"/>
                      <w:szCs w:val="21"/>
                      <w:highlight w:val="none"/>
                    </w:rPr>
                    <w:t>通风无组织排放</w:t>
                  </w:r>
                  <w:r>
                    <w:rPr>
                      <w:rFonts w:hint="eastAsia"/>
                      <w:color w:val="auto"/>
                      <w:szCs w:val="21"/>
                      <w:highlight w:val="none"/>
                      <w:lang w:eastAsia="zh-CN"/>
                    </w:rPr>
                    <w:t>，</w:t>
                  </w:r>
                  <w:r>
                    <w:rPr>
                      <w:rFonts w:hint="eastAsia"/>
                      <w:color w:val="auto"/>
                      <w:szCs w:val="21"/>
                      <w:highlight w:val="none"/>
                      <w:lang w:val="en-US" w:eastAsia="zh-CN"/>
                    </w:rPr>
                    <w:t>颗粒物自然沉降</w:t>
                  </w:r>
                </w:p>
              </w:tc>
            </w:tr>
            <w:tr w14:paraId="4EE5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pct"/>
                  <w:tcBorders>
                    <w:left w:val="single" w:color="auto" w:sz="4" w:space="0"/>
                    <w:right w:val="single" w:color="auto" w:sz="4" w:space="0"/>
                  </w:tcBorders>
                  <w:vAlign w:val="center"/>
                </w:tcPr>
                <w:p w14:paraId="7B83C013">
                  <w:pPr>
                    <w:widowControl/>
                    <w:jc w:val="center"/>
                    <w:rPr>
                      <w:b/>
                      <w:bCs/>
                      <w:color w:val="auto"/>
                      <w:szCs w:val="21"/>
                      <w:highlight w:val="none"/>
                    </w:rPr>
                  </w:pPr>
                  <w:r>
                    <w:rPr>
                      <w:b/>
                      <w:bCs/>
                      <w:color w:val="auto"/>
                      <w:szCs w:val="21"/>
                      <w:highlight w:val="none"/>
                    </w:rPr>
                    <w:t>废水</w:t>
                  </w:r>
                </w:p>
              </w:tc>
              <w:tc>
                <w:tcPr>
                  <w:tcW w:w="901" w:type="pct"/>
                  <w:tcBorders>
                    <w:top w:val="single" w:color="auto" w:sz="4" w:space="0"/>
                    <w:left w:val="single" w:color="auto" w:sz="4" w:space="0"/>
                    <w:right w:val="single" w:color="auto" w:sz="4" w:space="0"/>
                  </w:tcBorders>
                  <w:vAlign w:val="center"/>
                </w:tcPr>
                <w:p w14:paraId="10551FC2">
                  <w:pPr>
                    <w:pStyle w:val="95"/>
                    <w:jc w:val="center"/>
                    <w:rPr>
                      <w:rFonts w:hint="default" w:eastAsia="宋体"/>
                      <w:color w:val="auto"/>
                      <w:szCs w:val="21"/>
                      <w:highlight w:val="none"/>
                      <w:lang w:val="en-US" w:eastAsia="zh-CN"/>
                    </w:rPr>
                  </w:pPr>
                  <w:r>
                    <w:rPr>
                      <w:rFonts w:hint="eastAsia"/>
                      <w:color w:val="auto"/>
                      <w:szCs w:val="21"/>
                      <w:highlight w:val="none"/>
                      <w:lang w:val="en-US" w:eastAsia="zh-CN"/>
                    </w:rPr>
                    <w:t>办公、生活</w:t>
                  </w:r>
                </w:p>
              </w:tc>
              <w:tc>
                <w:tcPr>
                  <w:tcW w:w="917" w:type="pct"/>
                  <w:tcBorders>
                    <w:top w:val="single" w:color="auto" w:sz="4" w:space="0"/>
                    <w:left w:val="single" w:color="auto" w:sz="4" w:space="0"/>
                    <w:right w:val="single" w:color="auto" w:sz="4" w:space="0"/>
                  </w:tcBorders>
                  <w:vAlign w:val="center"/>
                </w:tcPr>
                <w:p w14:paraId="791BCCFF">
                  <w:pPr>
                    <w:pStyle w:val="95"/>
                    <w:jc w:val="center"/>
                    <w:rPr>
                      <w:rFonts w:hint="default" w:eastAsia="宋体"/>
                      <w:color w:val="auto"/>
                      <w:szCs w:val="21"/>
                      <w:highlight w:val="none"/>
                      <w:lang w:val="en-US" w:eastAsia="zh-CN"/>
                    </w:rPr>
                  </w:pPr>
                  <w:r>
                    <w:rPr>
                      <w:rFonts w:hint="eastAsia"/>
                      <w:color w:val="auto"/>
                      <w:szCs w:val="21"/>
                      <w:highlight w:val="none"/>
                      <w:lang w:val="en-US" w:eastAsia="zh-CN"/>
                    </w:rPr>
                    <w:t>生活污水</w:t>
                  </w:r>
                </w:p>
              </w:tc>
              <w:tc>
                <w:tcPr>
                  <w:tcW w:w="993" w:type="pct"/>
                  <w:tcBorders>
                    <w:left w:val="single" w:color="auto" w:sz="4" w:space="0"/>
                    <w:right w:val="single" w:color="auto" w:sz="4" w:space="0"/>
                  </w:tcBorders>
                  <w:vAlign w:val="center"/>
                </w:tcPr>
                <w:p w14:paraId="423BFABD">
                  <w:pPr>
                    <w:pStyle w:val="95"/>
                    <w:jc w:val="center"/>
                    <w:rPr>
                      <w:color w:val="auto"/>
                      <w:szCs w:val="21"/>
                      <w:highlight w:val="none"/>
                    </w:rPr>
                  </w:pPr>
                  <w:r>
                    <w:rPr>
                      <w:rFonts w:hint="eastAsia"/>
                      <w:color w:val="auto"/>
                      <w:szCs w:val="21"/>
                      <w:highlight w:val="none"/>
                    </w:rPr>
                    <w:t>CODcr、BOD</w:t>
                  </w:r>
                  <w:r>
                    <w:rPr>
                      <w:rFonts w:hint="eastAsia"/>
                      <w:color w:val="auto"/>
                      <w:szCs w:val="21"/>
                      <w:highlight w:val="none"/>
                      <w:vertAlign w:val="subscript"/>
                    </w:rPr>
                    <w:t>5</w:t>
                  </w:r>
                  <w:r>
                    <w:rPr>
                      <w:rFonts w:hint="eastAsia"/>
                      <w:color w:val="auto"/>
                      <w:szCs w:val="21"/>
                      <w:highlight w:val="none"/>
                    </w:rPr>
                    <w:t>、NH</w:t>
                  </w:r>
                  <w:r>
                    <w:rPr>
                      <w:rFonts w:hint="eastAsia"/>
                      <w:color w:val="auto"/>
                      <w:szCs w:val="21"/>
                      <w:highlight w:val="none"/>
                      <w:vertAlign w:val="subscript"/>
                    </w:rPr>
                    <w:t>3</w:t>
                  </w:r>
                  <w:r>
                    <w:rPr>
                      <w:rFonts w:hint="eastAsia"/>
                      <w:color w:val="auto"/>
                      <w:szCs w:val="21"/>
                      <w:highlight w:val="none"/>
                    </w:rPr>
                    <w:t>-N、SS、TP</w:t>
                  </w:r>
                </w:p>
              </w:tc>
              <w:tc>
                <w:tcPr>
                  <w:tcW w:w="1548" w:type="pct"/>
                  <w:tcBorders>
                    <w:left w:val="single" w:color="auto" w:sz="4" w:space="0"/>
                    <w:right w:val="single" w:color="auto" w:sz="4" w:space="0"/>
                  </w:tcBorders>
                  <w:vAlign w:val="center"/>
                </w:tcPr>
                <w:p w14:paraId="70CB835B">
                  <w:pPr>
                    <w:widowControl/>
                    <w:jc w:val="center"/>
                    <w:rPr>
                      <w:color w:val="auto"/>
                      <w:szCs w:val="21"/>
                      <w:highlight w:val="none"/>
                    </w:rPr>
                  </w:pPr>
                  <w:r>
                    <w:rPr>
                      <w:rFonts w:hint="eastAsia"/>
                      <w:color w:val="auto"/>
                      <w:szCs w:val="21"/>
                      <w:highlight w:val="none"/>
                    </w:rPr>
                    <w:t>依托云南三缘电缆有限公司化粪池（10m³）处理后通过槽车或罐车运送至玉溪市第</w:t>
                  </w:r>
                  <w:r>
                    <w:rPr>
                      <w:rFonts w:hint="eastAsia"/>
                      <w:color w:val="auto"/>
                      <w:szCs w:val="21"/>
                      <w:highlight w:val="none"/>
                      <w:lang w:val="en-US" w:eastAsia="zh-CN"/>
                    </w:rPr>
                    <w:t>二</w:t>
                  </w:r>
                  <w:r>
                    <w:rPr>
                      <w:rFonts w:hint="eastAsia"/>
                      <w:color w:val="auto"/>
                      <w:szCs w:val="21"/>
                      <w:highlight w:val="none"/>
                    </w:rPr>
                    <w:t>污水处理厂处置</w:t>
                  </w:r>
                </w:p>
              </w:tc>
            </w:tr>
            <w:tr w14:paraId="7785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pct"/>
                  <w:vMerge w:val="restart"/>
                  <w:tcBorders>
                    <w:left w:val="single" w:color="auto" w:sz="4" w:space="0"/>
                    <w:right w:val="single" w:color="auto" w:sz="4" w:space="0"/>
                  </w:tcBorders>
                  <w:vAlign w:val="center"/>
                </w:tcPr>
                <w:p w14:paraId="32049373">
                  <w:pPr>
                    <w:widowControl/>
                    <w:jc w:val="center"/>
                    <w:rPr>
                      <w:b/>
                      <w:bCs/>
                      <w:color w:val="auto"/>
                      <w:szCs w:val="21"/>
                      <w:highlight w:val="none"/>
                    </w:rPr>
                  </w:pPr>
                  <w:r>
                    <w:rPr>
                      <w:b/>
                      <w:bCs/>
                      <w:color w:val="auto"/>
                      <w:szCs w:val="21"/>
                      <w:highlight w:val="none"/>
                    </w:rPr>
                    <w:t>固体废物</w:t>
                  </w:r>
                </w:p>
              </w:tc>
              <w:tc>
                <w:tcPr>
                  <w:tcW w:w="901" w:type="pct"/>
                  <w:vMerge w:val="restart"/>
                  <w:tcBorders>
                    <w:top w:val="single" w:color="auto" w:sz="4" w:space="0"/>
                    <w:left w:val="single" w:color="auto" w:sz="4" w:space="0"/>
                    <w:right w:val="single" w:color="auto" w:sz="4" w:space="0"/>
                  </w:tcBorders>
                  <w:vAlign w:val="center"/>
                </w:tcPr>
                <w:p w14:paraId="1800119E">
                  <w:pPr>
                    <w:pStyle w:val="95"/>
                    <w:jc w:val="center"/>
                    <w:rPr>
                      <w:rFonts w:hint="eastAsia" w:eastAsia="宋体"/>
                      <w:color w:val="auto"/>
                      <w:szCs w:val="21"/>
                      <w:highlight w:val="none"/>
                      <w:lang w:val="en-US" w:eastAsia="zh-CN"/>
                    </w:rPr>
                  </w:pPr>
                  <w:r>
                    <w:rPr>
                      <w:rFonts w:hint="eastAsia"/>
                      <w:color w:val="auto"/>
                      <w:szCs w:val="21"/>
                      <w:highlight w:val="none"/>
                      <w:lang w:val="en-US" w:eastAsia="zh-CN"/>
                    </w:rPr>
                    <w:t>生产</w:t>
                  </w:r>
                </w:p>
              </w:tc>
              <w:tc>
                <w:tcPr>
                  <w:tcW w:w="917" w:type="pct"/>
                  <w:tcBorders>
                    <w:top w:val="single" w:color="auto" w:sz="4" w:space="0"/>
                    <w:left w:val="single" w:color="auto" w:sz="4" w:space="0"/>
                    <w:right w:val="single" w:color="auto" w:sz="4" w:space="0"/>
                  </w:tcBorders>
                  <w:vAlign w:val="center"/>
                </w:tcPr>
                <w:p w14:paraId="58B65A74">
                  <w:pPr>
                    <w:pStyle w:val="95"/>
                    <w:jc w:val="center"/>
                    <w:rPr>
                      <w:color w:val="auto"/>
                      <w:szCs w:val="21"/>
                      <w:highlight w:val="none"/>
                    </w:rPr>
                  </w:pPr>
                  <w:r>
                    <w:rPr>
                      <w:color w:val="auto"/>
                      <w:szCs w:val="21"/>
                      <w:highlight w:val="none"/>
                    </w:rPr>
                    <w:t>一般固废</w:t>
                  </w:r>
                </w:p>
              </w:tc>
              <w:tc>
                <w:tcPr>
                  <w:tcW w:w="993" w:type="pct"/>
                  <w:tcBorders>
                    <w:top w:val="single" w:color="auto" w:sz="4" w:space="0"/>
                    <w:left w:val="single" w:color="auto" w:sz="4" w:space="0"/>
                    <w:right w:val="single" w:color="auto" w:sz="4" w:space="0"/>
                  </w:tcBorders>
                  <w:vAlign w:val="center"/>
                </w:tcPr>
                <w:p w14:paraId="6D152F7C">
                  <w:pPr>
                    <w:pStyle w:val="95"/>
                    <w:jc w:val="center"/>
                    <w:rPr>
                      <w:rFonts w:hint="default" w:eastAsia="宋体"/>
                      <w:color w:val="auto"/>
                      <w:szCs w:val="21"/>
                      <w:highlight w:val="none"/>
                      <w:lang w:val="en-US" w:eastAsia="zh-CN"/>
                    </w:rPr>
                  </w:pPr>
                  <w:r>
                    <w:rPr>
                      <w:rFonts w:hint="eastAsia"/>
                      <w:color w:val="auto"/>
                      <w:szCs w:val="21"/>
                      <w:highlight w:val="none"/>
                      <w:lang w:val="en-US" w:eastAsia="zh-CN"/>
                    </w:rPr>
                    <w:t>废包装袋</w:t>
                  </w:r>
                </w:p>
              </w:tc>
              <w:tc>
                <w:tcPr>
                  <w:tcW w:w="1548" w:type="pct"/>
                  <w:tcBorders>
                    <w:top w:val="single" w:color="auto" w:sz="4" w:space="0"/>
                    <w:left w:val="single" w:color="auto" w:sz="4" w:space="0"/>
                    <w:right w:val="single" w:color="auto" w:sz="4" w:space="0"/>
                  </w:tcBorders>
                  <w:vAlign w:val="center"/>
                </w:tcPr>
                <w:p w14:paraId="14F05A58">
                  <w:pPr>
                    <w:pStyle w:val="95"/>
                    <w:jc w:val="center"/>
                    <w:rPr>
                      <w:rFonts w:hint="default" w:eastAsia="宋体"/>
                      <w:color w:val="auto"/>
                      <w:szCs w:val="21"/>
                      <w:highlight w:val="none"/>
                      <w:lang w:val="en-US" w:eastAsia="zh-CN"/>
                    </w:rPr>
                  </w:pPr>
                  <w:r>
                    <w:rPr>
                      <w:rFonts w:hint="eastAsia"/>
                      <w:color w:val="auto"/>
                      <w:szCs w:val="21"/>
                      <w:highlight w:val="none"/>
                      <w:lang w:val="en-US" w:eastAsia="zh-CN"/>
                    </w:rPr>
                    <w:t>外售综合利用</w:t>
                  </w:r>
                </w:p>
              </w:tc>
            </w:tr>
            <w:tr w14:paraId="0F7F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pct"/>
                  <w:vMerge w:val="continue"/>
                  <w:tcBorders>
                    <w:left w:val="single" w:color="auto" w:sz="4" w:space="0"/>
                    <w:right w:val="single" w:color="auto" w:sz="4" w:space="0"/>
                  </w:tcBorders>
                  <w:vAlign w:val="center"/>
                </w:tcPr>
                <w:p w14:paraId="5ADD8F76">
                  <w:pPr>
                    <w:pStyle w:val="95"/>
                    <w:jc w:val="center"/>
                    <w:rPr>
                      <w:b/>
                      <w:bCs/>
                      <w:color w:val="auto"/>
                      <w:szCs w:val="21"/>
                      <w:highlight w:val="none"/>
                    </w:rPr>
                  </w:pPr>
                </w:p>
              </w:tc>
              <w:tc>
                <w:tcPr>
                  <w:tcW w:w="901" w:type="pct"/>
                  <w:vMerge w:val="continue"/>
                  <w:tcBorders>
                    <w:left w:val="single" w:color="auto" w:sz="4" w:space="0"/>
                    <w:right w:val="single" w:color="auto" w:sz="4" w:space="0"/>
                  </w:tcBorders>
                  <w:vAlign w:val="center"/>
                </w:tcPr>
                <w:p w14:paraId="123791A2">
                  <w:pPr>
                    <w:pStyle w:val="95"/>
                    <w:jc w:val="center"/>
                    <w:rPr>
                      <w:color w:val="auto"/>
                      <w:szCs w:val="21"/>
                      <w:highlight w:val="none"/>
                    </w:rPr>
                  </w:pPr>
                </w:p>
              </w:tc>
              <w:tc>
                <w:tcPr>
                  <w:tcW w:w="917" w:type="pct"/>
                  <w:tcBorders>
                    <w:top w:val="single" w:color="auto" w:sz="4" w:space="0"/>
                    <w:left w:val="single" w:color="auto" w:sz="4" w:space="0"/>
                    <w:right w:val="single" w:color="auto" w:sz="4" w:space="0"/>
                  </w:tcBorders>
                  <w:vAlign w:val="center"/>
                </w:tcPr>
                <w:p w14:paraId="2D9FBF48">
                  <w:pPr>
                    <w:pStyle w:val="95"/>
                    <w:jc w:val="center"/>
                    <w:rPr>
                      <w:color w:val="auto"/>
                      <w:szCs w:val="21"/>
                      <w:highlight w:val="none"/>
                    </w:rPr>
                  </w:pPr>
                  <w:r>
                    <w:rPr>
                      <w:color w:val="auto"/>
                      <w:szCs w:val="21"/>
                      <w:highlight w:val="none"/>
                    </w:rPr>
                    <w:t>一般固废</w:t>
                  </w:r>
                </w:p>
              </w:tc>
              <w:tc>
                <w:tcPr>
                  <w:tcW w:w="993" w:type="pct"/>
                  <w:tcBorders>
                    <w:top w:val="single" w:color="auto" w:sz="4" w:space="0"/>
                    <w:left w:val="single" w:color="auto" w:sz="4" w:space="0"/>
                    <w:bottom w:val="single" w:color="auto" w:sz="4" w:space="0"/>
                    <w:right w:val="single" w:color="auto" w:sz="4" w:space="0"/>
                  </w:tcBorders>
                  <w:vAlign w:val="center"/>
                </w:tcPr>
                <w:p w14:paraId="585C542D">
                  <w:pPr>
                    <w:pStyle w:val="95"/>
                    <w:jc w:val="center"/>
                    <w:rPr>
                      <w:rFonts w:hint="eastAsia" w:eastAsia="宋体"/>
                      <w:color w:val="auto"/>
                      <w:szCs w:val="21"/>
                      <w:highlight w:val="none"/>
                      <w:lang w:val="en-US" w:eastAsia="zh-CN"/>
                    </w:rPr>
                  </w:pPr>
                  <w:r>
                    <w:rPr>
                      <w:rFonts w:hint="eastAsia"/>
                      <w:color w:val="auto"/>
                      <w:szCs w:val="21"/>
                      <w:highlight w:val="none"/>
                      <w:lang w:val="en-US" w:eastAsia="zh-CN"/>
                    </w:rPr>
                    <w:t>边角料</w:t>
                  </w:r>
                </w:p>
              </w:tc>
              <w:tc>
                <w:tcPr>
                  <w:tcW w:w="1548" w:type="pct"/>
                  <w:vMerge w:val="restart"/>
                  <w:tcBorders>
                    <w:top w:val="single" w:color="auto" w:sz="4" w:space="0"/>
                    <w:left w:val="single" w:color="auto" w:sz="4" w:space="0"/>
                    <w:right w:val="single" w:color="auto" w:sz="4" w:space="0"/>
                  </w:tcBorders>
                  <w:vAlign w:val="center"/>
                </w:tcPr>
                <w:p w14:paraId="1912901C">
                  <w:pPr>
                    <w:pStyle w:val="95"/>
                    <w:jc w:val="center"/>
                    <w:rPr>
                      <w:rFonts w:hint="eastAsia" w:eastAsia="宋体"/>
                      <w:color w:val="auto"/>
                      <w:szCs w:val="21"/>
                      <w:highlight w:val="none"/>
                      <w:lang w:eastAsia="zh-CN"/>
                    </w:rPr>
                  </w:pPr>
                  <w:r>
                    <w:rPr>
                      <w:rFonts w:hint="eastAsia"/>
                      <w:color w:val="auto"/>
                      <w:szCs w:val="21"/>
                      <w:highlight w:val="none"/>
                      <w:lang w:val="en-US" w:eastAsia="zh-CN"/>
                    </w:rPr>
                    <w:t>收集后暂存于一般固废暂存间，定期</w:t>
                  </w:r>
                  <w:r>
                    <w:rPr>
                      <w:rFonts w:hint="eastAsia"/>
                      <w:color w:val="auto"/>
                      <w:szCs w:val="21"/>
                      <w:highlight w:val="none"/>
                    </w:rPr>
                    <w:t>进入粉碎机，破碎成颗粒状后回用于上料工段，重新</w:t>
                  </w:r>
                  <w:r>
                    <w:rPr>
                      <w:rFonts w:hint="eastAsia"/>
                      <w:color w:val="auto"/>
                      <w:szCs w:val="21"/>
                      <w:highlight w:val="none"/>
                      <w:lang w:val="en-US" w:eastAsia="zh-CN"/>
                    </w:rPr>
                    <w:t>用于</w:t>
                  </w:r>
                  <w:r>
                    <w:rPr>
                      <w:rFonts w:hint="eastAsia"/>
                      <w:color w:val="auto"/>
                      <w:szCs w:val="21"/>
                      <w:highlight w:val="none"/>
                    </w:rPr>
                    <w:t>生产</w:t>
                  </w:r>
                  <w:r>
                    <w:rPr>
                      <w:rFonts w:hint="eastAsia"/>
                      <w:color w:val="auto"/>
                      <w:szCs w:val="21"/>
                      <w:highlight w:val="none"/>
                      <w:lang w:eastAsia="zh-CN"/>
                    </w:rPr>
                    <w:t>。</w:t>
                  </w:r>
                </w:p>
              </w:tc>
            </w:tr>
            <w:tr w14:paraId="43D2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pct"/>
                  <w:vMerge w:val="continue"/>
                  <w:tcBorders>
                    <w:left w:val="single" w:color="auto" w:sz="4" w:space="0"/>
                    <w:right w:val="single" w:color="auto" w:sz="4" w:space="0"/>
                  </w:tcBorders>
                  <w:vAlign w:val="center"/>
                </w:tcPr>
                <w:p w14:paraId="74A4306D">
                  <w:pPr>
                    <w:pStyle w:val="95"/>
                    <w:jc w:val="center"/>
                    <w:rPr>
                      <w:b/>
                      <w:bCs/>
                      <w:color w:val="auto"/>
                      <w:szCs w:val="21"/>
                      <w:highlight w:val="none"/>
                    </w:rPr>
                  </w:pPr>
                </w:p>
              </w:tc>
              <w:tc>
                <w:tcPr>
                  <w:tcW w:w="901" w:type="pct"/>
                  <w:vMerge w:val="continue"/>
                  <w:tcBorders>
                    <w:left w:val="single" w:color="auto" w:sz="4" w:space="0"/>
                    <w:bottom w:val="single" w:color="auto" w:sz="4" w:space="0"/>
                    <w:right w:val="single" w:color="auto" w:sz="4" w:space="0"/>
                  </w:tcBorders>
                  <w:vAlign w:val="center"/>
                </w:tcPr>
                <w:p w14:paraId="3CF5B38B">
                  <w:pPr>
                    <w:pStyle w:val="95"/>
                    <w:jc w:val="center"/>
                    <w:rPr>
                      <w:rFonts w:hint="default" w:eastAsia="宋体"/>
                      <w:color w:val="auto"/>
                      <w:szCs w:val="21"/>
                      <w:highlight w:val="none"/>
                      <w:lang w:val="en-US" w:eastAsia="zh-CN"/>
                    </w:rPr>
                  </w:pPr>
                </w:p>
              </w:tc>
              <w:tc>
                <w:tcPr>
                  <w:tcW w:w="917" w:type="pct"/>
                  <w:tcBorders>
                    <w:top w:val="single" w:color="auto" w:sz="4" w:space="0"/>
                    <w:left w:val="single" w:color="auto" w:sz="4" w:space="0"/>
                    <w:right w:val="single" w:color="auto" w:sz="4" w:space="0"/>
                  </w:tcBorders>
                  <w:shd w:val="clear" w:color="auto" w:fill="auto"/>
                  <w:vAlign w:val="center"/>
                </w:tcPr>
                <w:p w14:paraId="664DBF8E">
                  <w:pPr>
                    <w:pStyle w:val="95"/>
                    <w:jc w:val="center"/>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一般固废</w:t>
                  </w:r>
                </w:p>
              </w:tc>
              <w:tc>
                <w:tcPr>
                  <w:tcW w:w="993" w:type="pct"/>
                  <w:tcBorders>
                    <w:top w:val="single" w:color="auto" w:sz="4" w:space="0"/>
                    <w:left w:val="single" w:color="auto" w:sz="4" w:space="0"/>
                    <w:bottom w:val="single" w:color="auto" w:sz="4" w:space="0"/>
                    <w:right w:val="single" w:color="auto" w:sz="4" w:space="0"/>
                  </w:tcBorders>
                  <w:vAlign w:val="center"/>
                </w:tcPr>
                <w:p w14:paraId="6D37859B">
                  <w:pPr>
                    <w:pStyle w:val="95"/>
                    <w:jc w:val="center"/>
                    <w:rPr>
                      <w:rFonts w:hint="default" w:eastAsia="宋体"/>
                      <w:color w:val="auto"/>
                      <w:szCs w:val="21"/>
                      <w:highlight w:val="none"/>
                      <w:lang w:val="en-US" w:eastAsia="zh-CN"/>
                    </w:rPr>
                  </w:pPr>
                  <w:r>
                    <w:rPr>
                      <w:rFonts w:hint="eastAsia"/>
                      <w:color w:val="auto"/>
                      <w:szCs w:val="21"/>
                      <w:highlight w:val="none"/>
                      <w:lang w:val="en-US" w:eastAsia="zh-CN"/>
                    </w:rPr>
                    <w:t>不合格产品</w:t>
                  </w:r>
                </w:p>
              </w:tc>
              <w:tc>
                <w:tcPr>
                  <w:tcW w:w="1548" w:type="pct"/>
                  <w:vMerge w:val="continue"/>
                  <w:tcBorders>
                    <w:left w:val="single" w:color="auto" w:sz="4" w:space="0"/>
                    <w:right w:val="single" w:color="auto" w:sz="4" w:space="0"/>
                  </w:tcBorders>
                  <w:vAlign w:val="center"/>
                </w:tcPr>
                <w:p w14:paraId="509A2021">
                  <w:pPr>
                    <w:pStyle w:val="95"/>
                    <w:jc w:val="center"/>
                    <w:rPr>
                      <w:rFonts w:hint="eastAsia"/>
                      <w:color w:val="auto"/>
                      <w:szCs w:val="21"/>
                      <w:highlight w:val="none"/>
                    </w:rPr>
                  </w:pPr>
                </w:p>
              </w:tc>
            </w:tr>
            <w:tr w14:paraId="027C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pct"/>
                  <w:vMerge w:val="continue"/>
                  <w:tcBorders>
                    <w:left w:val="single" w:color="auto" w:sz="4" w:space="0"/>
                    <w:right w:val="single" w:color="auto" w:sz="4" w:space="0"/>
                  </w:tcBorders>
                  <w:vAlign w:val="center"/>
                </w:tcPr>
                <w:p w14:paraId="7D886D75">
                  <w:pPr>
                    <w:pStyle w:val="95"/>
                    <w:jc w:val="center"/>
                    <w:rPr>
                      <w:b/>
                      <w:bCs/>
                      <w:color w:val="auto"/>
                      <w:szCs w:val="21"/>
                      <w:highlight w:val="none"/>
                    </w:rPr>
                  </w:pPr>
                </w:p>
              </w:tc>
              <w:tc>
                <w:tcPr>
                  <w:tcW w:w="901" w:type="pct"/>
                  <w:vMerge w:val="restart"/>
                  <w:tcBorders>
                    <w:left w:val="single" w:color="auto" w:sz="4" w:space="0"/>
                    <w:right w:val="single" w:color="auto" w:sz="4" w:space="0"/>
                  </w:tcBorders>
                  <w:shd w:val="clear" w:color="auto" w:fill="auto"/>
                  <w:vAlign w:val="center"/>
                </w:tcPr>
                <w:p w14:paraId="55BC667E">
                  <w:pPr>
                    <w:pStyle w:val="95"/>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废气处理</w:t>
                  </w:r>
                </w:p>
              </w:tc>
              <w:tc>
                <w:tcPr>
                  <w:tcW w:w="917" w:type="pct"/>
                  <w:vMerge w:val="restart"/>
                  <w:tcBorders>
                    <w:top w:val="single" w:color="auto" w:sz="4" w:space="0"/>
                    <w:left w:val="single" w:color="auto" w:sz="4" w:space="0"/>
                    <w:right w:val="single" w:color="auto" w:sz="4" w:space="0"/>
                  </w:tcBorders>
                  <w:shd w:val="clear" w:color="auto" w:fill="auto"/>
                  <w:vAlign w:val="center"/>
                </w:tcPr>
                <w:p w14:paraId="4E187684">
                  <w:pPr>
                    <w:pStyle w:val="95"/>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危险废物</w:t>
                  </w:r>
                </w:p>
              </w:tc>
              <w:tc>
                <w:tcPr>
                  <w:tcW w:w="993" w:type="pct"/>
                  <w:tcBorders>
                    <w:top w:val="single" w:color="auto" w:sz="4" w:space="0"/>
                    <w:left w:val="single" w:color="auto" w:sz="4" w:space="0"/>
                    <w:bottom w:val="single" w:color="auto" w:sz="4" w:space="0"/>
                    <w:right w:val="single" w:color="auto" w:sz="4" w:space="0"/>
                  </w:tcBorders>
                  <w:shd w:val="clear" w:color="auto" w:fill="auto"/>
                  <w:vAlign w:val="center"/>
                </w:tcPr>
                <w:p w14:paraId="757D26B7">
                  <w:pPr>
                    <w:pStyle w:val="95"/>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废活性炭</w:t>
                  </w:r>
                </w:p>
              </w:tc>
              <w:tc>
                <w:tcPr>
                  <w:tcW w:w="1548" w:type="pct"/>
                  <w:vMerge w:val="restart"/>
                  <w:tcBorders>
                    <w:top w:val="single" w:color="auto" w:sz="4" w:space="0"/>
                    <w:left w:val="single" w:color="auto" w:sz="4" w:space="0"/>
                    <w:right w:val="single" w:color="auto" w:sz="4" w:space="0"/>
                  </w:tcBorders>
                  <w:vAlign w:val="center"/>
                </w:tcPr>
                <w:p w14:paraId="0EA11FE5">
                  <w:pPr>
                    <w:pStyle w:val="95"/>
                    <w:jc w:val="center"/>
                    <w:rPr>
                      <w:rFonts w:hint="default" w:eastAsia="宋体"/>
                      <w:color w:val="auto"/>
                      <w:szCs w:val="21"/>
                      <w:highlight w:val="none"/>
                      <w:lang w:val="en-US" w:eastAsia="zh-CN"/>
                    </w:rPr>
                  </w:pPr>
                  <w:r>
                    <w:rPr>
                      <w:rFonts w:hint="eastAsia"/>
                      <w:color w:val="auto"/>
                      <w:szCs w:val="21"/>
                      <w:highlight w:val="none"/>
                      <w:lang w:val="en-US" w:eastAsia="zh-CN"/>
                    </w:rPr>
                    <w:t>分类收集后暂存于危险废物暂存间，委托有资质单位处置。</w:t>
                  </w:r>
                </w:p>
              </w:tc>
            </w:tr>
            <w:tr w14:paraId="381D2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pct"/>
                  <w:vMerge w:val="continue"/>
                  <w:tcBorders>
                    <w:left w:val="single" w:color="auto" w:sz="4" w:space="0"/>
                    <w:right w:val="single" w:color="auto" w:sz="4" w:space="0"/>
                  </w:tcBorders>
                  <w:vAlign w:val="center"/>
                </w:tcPr>
                <w:p w14:paraId="06C3D7ED">
                  <w:pPr>
                    <w:pStyle w:val="95"/>
                    <w:jc w:val="center"/>
                    <w:rPr>
                      <w:b/>
                      <w:bCs/>
                      <w:color w:val="auto"/>
                      <w:szCs w:val="21"/>
                      <w:highlight w:val="none"/>
                    </w:rPr>
                  </w:pPr>
                </w:p>
              </w:tc>
              <w:tc>
                <w:tcPr>
                  <w:tcW w:w="901" w:type="pct"/>
                  <w:vMerge w:val="continue"/>
                  <w:tcBorders>
                    <w:left w:val="single" w:color="auto" w:sz="4" w:space="0"/>
                    <w:bottom w:val="single" w:color="auto" w:sz="4" w:space="0"/>
                    <w:right w:val="single" w:color="auto" w:sz="4" w:space="0"/>
                  </w:tcBorders>
                  <w:shd w:val="clear" w:color="auto" w:fill="auto"/>
                  <w:vAlign w:val="center"/>
                </w:tcPr>
                <w:p w14:paraId="164BF497">
                  <w:pPr>
                    <w:pStyle w:val="95"/>
                    <w:jc w:val="center"/>
                    <w:rPr>
                      <w:rFonts w:hint="eastAsia"/>
                      <w:color w:val="auto"/>
                      <w:szCs w:val="21"/>
                      <w:highlight w:val="none"/>
                      <w:lang w:val="en-US" w:eastAsia="zh-CN"/>
                    </w:rPr>
                  </w:pPr>
                </w:p>
              </w:tc>
              <w:tc>
                <w:tcPr>
                  <w:tcW w:w="917" w:type="pct"/>
                  <w:vMerge w:val="continue"/>
                  <w:tcBorders>
                    <w:left w:val="single" w:color="auto" w:sz="4" w:space="0"/>
                    <w:right w:val="single" w:color="auto" w:sz="4" w:space="0"/>
                  </w:tcBorders>
                  <w:shd w:val="clear" w:color="auto" w:fill="auto"/>
                  <w:vAlign w:val="center"/>
                </w:tcPr>
                <w:p w14:paraId="323F8F4B">
                  <w:pPr>
                    <w:pStyle w:val="95"/>
                    <w:jc w:val="center"/>
                    <w:rPr>
                      <w:rFonts w:hint="eastAsia"/>
                      <w:color w:val="auto"/>
                      <w:szCs w:val="21"/>
                      <w:highlight w:val="none"/>
                      <w:lang w:val="en-US" w:eastAsia="zh-CN"/>
                    </w:rPr>
                  </w:pPr>
                </w:p>
              </w:tc>
              <w:tc>
                <w:tcPr>
                  <w:tcW w:w="993" w:type="pct"/>
                  <w:tcBorders>
                    <w:top w:val="single" w:color="auto" w:sz="4" w:space="0"/>
                    <w:left w:val="single" w:color="auto" w:sz="4" w:space="0"/>
                    <w:bottom w:val="single" w:color="auto" w:sz="4" w:space="0"/>
                    <w:right w:val="single" w:color="auto" w:sz="4" w:space="0"/>
                  </w:tcBorders>
                  <w:shd w:val="clear" w:color="auto" w:fill="auto"/>
                  <w:vAlign w:val="center"/>
                </w:tcPr>
                <w:p w14:paraId="190D3833">
                  <w:pPr>
                    <w:pStyle w:val="95"/>
                    <w:jc w:val="center"/>
                    <w:rPr>
                      <w:rFonts w:hint="default"/>
                      <w:color w:val="auto"/>
                      <w:szCs w:val="21"/>
                      <w:highlight w:val="none"/>
                      <w:lang w:val="en-US" w:eastAsia="zh-CN"/>
                    </w:rPr>
                  </w:pPr>
                  <w:r>
                    <w:rPr>
                      <w:rFonts w:hint="eastAsia"/>
                      <w:color w:val="auto"/>
                      <w:szCs w:val="21"/>
                      <w:highlight w:val="none"/>
                      <w:lang w:val="en-US" w:eastAsia="zh-CN"/>
                    </w:rPr>
                    <w:t>废催化剂</w:t>
                  </w:r>
                </w:p>
              </w:tc>
              <w:tc>
                <w:tcPr>
                  <w:tcW w:w="1548" w:type="pct"/>
                  <w:vMerge w:val="continue"/>
                  <w:tcBorders>
                    <w:left w:val="single" w:color="auto" w:sz="4" w:space="0"/>
                    <w:right w:val="single" w:color="auto" w:sz="4" w:space="0"/>
                  </w:tcBorders>
                  <w:vAlign w:val="center"/>
                </w:tcPr>
                <w:p w14:paraId="6ECAE682">
                  <w:pPr>
                    <w:pStyle w:val="95"/>
                    <w:jc w:val="center"/>
                    <w:rPr>
                      <w:rFonts w:hint="eastAsia"/>
                      <w:color w:val="auto"/>
                      <w:szCs w:val="21"/>
                      <w:highlight w:val="none"/>
                    </w:rPr>
                  </w:pPr>
                </w:p>
              </w:tc>
            </w:tr>
            <w:tr w14:paraId="7AE01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pct"/>
                  <w:vMerge w:val="continue"/>
                  <w:tcBorders>
                    <w:left w:val="single" w:color="auto" w:sz="4" w:space="0"/>
                    <w:right w:val="single" w:color="auto" w:sz="4" w:space="0"/>
                  </w:tcBorders>
                  <w:vAlign w:val="center"/>
                </w:tcPr>
                <w:p w14:paraId="16DAF7FC">
                  <w:pPr>
                    <w:pStyle w:val="95"/>
                    <w:jc w:val="center"/>
                    <w:rPr>
                      <w:b/>
                      <w:bCs/>
                      <w:color w:val="auto"/>
                      <w:szCs w:val="21"/>
                      <w:highlight w:val="none"/>
                    </w:rPr>
                  </w:pPr>
                </w:p>
              </w:tc>
              <w:tc>
                <w:tcPr>
                  <w:tcW w:w="901" w:type="pct"/>
                  <w:vMerge w:val="restart"/>
                  <w:tcBorders>
                    <w:left w:val="single" w:color="auto" w:sz="4" w:space="0"/>
                    <w:right w:val="single" w:color="auto" w:sz="4" w:space="0"/>
                  </w:tcBorders>
                  <w:shd w:val="clear" w:color="auto" w:fill="auto"/>
                  <w:vAlign w:val="center"/>
                </w:tcPr>
                <w:p w14:paraId="07D700C2">
                  <w:pPr>
                    <w:pStyle w:val="95"/>
                    <w:jc w:val="center"/>
                    <w:rPr>
                      <w:rFonts w:hint="default"/>
                      <w:color w:val="auto"/>
                      <w:szCs w:val="21"/>
                      <w:highlight w:val="none"/>
                      <w:lang w:val="en-US" w:eastAsia="zh-CN"/>
                    </w:rPr>
                  </w:pPr>
                  <w:r>
                    <w:rPr>
                      <w:rFonts w:hint="eastAsia"/>
                      <w:color w:val="auto"/>
                      <w:szCs w:val="21"/>
                      <w:highlight w:val="none"/>
                      <w:lang w:val="en-US" w:eastAsia="zh-CN"/>
                    </w:rPr>
                    <w:t>印刷机自清洁</w:t>
                  </w:r>
                </w:p>
              </w:tc>
              <w:tc>
                <w:tcPr>
                  <w:tcW w:w="917" w:type="pct"/>
                  <w:vMerge w:val="restart"/>
                  <w:tcBorders>
                    <w:top w:val="single" w:color="auto" w:sz="4" w:space="0"/>
                    <w:left w:val="single" w:color="auto" w:sz="4" w:space="0"/>
                    <w:right w:val="single" w:color="auto" w:sz="4" w:space="0"/>
                  </w:tcBorders>
                  <w:shd w:val="clear" w:color="auto" w:fill="auto"/>
                  <w:vAlign w:val="center"/>
                </w:tcPr>
                <w:p w14:paraId="114211C2">
                  <w:pPr>
                    <w:pStyle w:val="95"/>
                    <w:jc w:val="center"/>
                    <w:rPr>
                      <w:rFonts w:hint="eastAsia"/>
                      <w:color w:val="auto"/>
                      <w:szCs w:val="21"/>
                      <w:highlight w:val="none"/>
                      <w:lang w:val="en-US" w:eastAsia="zh-CN"/>
                    </w:rPr>
                  </w:pPr>
                  <w:r>
                    <w:rPr>
                      <w:rFonts w:hint="eastAsia"/>
                      <w:color w:val="auto"/>
                      <w:szCs w:val="21"/>
                      <w:highlight w:val="none"/>
                      <w:lang w:val="en-US" w:eastAsia="zh-CN"/>
                    </w:rPr>
                    <w:t>危险废物</w:t>
                  </w:r>
                </w:p>
              </w:tc>
              <w:tc>
                <w:tcPr>
                  <w:tcW w:w="993" w:type="pct"/>
                  <w:tcBorders>
                    <w:top w:val="single" w:color="auto" w:sz="4" w:space="0"/>
                    <w:left w:val="single" w:color="auto" w:sz="4" w:space="0"/>
                    <w:bottom w:val="single" w:color="auto" w:sz="4" w:space="0"/>
                    <w:right w:val="single" w:color="auto" w:sz="4" w:space="0"/>
                  </w:tcBorders>
                  <w:shd w:val="clear" w:color="auto" w:fill="auto"/>
                  <w:vAlign w:val="center"/>
                </w:tcPr>
                <w:p w14:paraId="3B1B0AFD">
                  <w:pPr>
                    <w:pStyle w:val="95"/>
                    <w:jc w:val="center"/>
                    <w:rPr>
                      <w:rFonts w:hint="default" w:eastAsia="宋体"/>
                      <w:color w:val="auto"/>
                      <w:szCs w:val="21"/>
                      <w:highlight w:val="none"/>
                      <w:lang w:val="en-US" w:eastAsia="zh-CN"/>
                    </w:rPr>
                  </w:pPr>
                  <w:r>
                    <w:rPr>
                      <w:rFonts w:hint="eastAsia"/>
                      <w:color w:val="auto"/>
                      <w:szCs w:val="21"/>
                      <w:highlight w:val="none"/>
                      <w:lang w:val="en-US" w:eastAsia="zh-CN"/>
                    </w:rPr>
                    <w:t>废油墨</w:t>
                  </w:r>
                </w:p>
              </w:tc>
              <w:tc>
                <w:tcPr>
                  <w:tcW w:w="1548" w:type="pct"/>
                  <w:vMerge w:val="continue"/>
                  <w:tcBorders>
                    <w:left w:val="single" w:color="auto" w:sz="4" w:space="0"/>
                    <w:right w:val="single" w:color="auto" w:sz="4" w:space="0"/>
                  </w:tcBorders>
                  <w:vAlign w:val="center"/>
                </w:tcPr>
                <w:p w14:paraId="4D7559CD">
                  <w:pPr>
                    <w:pStyle w:val="95"/>
                    <w:jc w:val="center"/>
                    <w:rPr>
                      <w:rFonts w:hint="eastAsia"/>
                      <w:color w:val="auto"/>
                      <w:szCs w:val="21"/>
                      <w:highlight w:val="none"/>
                    </w:rPr>
                  </w:pPr>
                </w:p>
              </w:tc>
            </w:tr>
            <w:tr w14:paraId="7B7D5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pct"/>
                  <w:vMerge w:val="continue"/>
                  <w:tcBorders>
                    <w:left w:val="single" w:color="auto" w:sz="4" w:space="0"/>
                    <w:right w:val="single" w:color="auto" w:sz="4" w:space="0"/>
                  </w:tcBorders>
                  <w:vAlign w:val="center"/>
                </w:tcPr>
                <w:p w14:paraId="251BE3BC">
                  <w:pPr>
                    <w:pStyle w:val="95"/>
                    <w:jc w:val="center"/>
                    <w:rPr>
                      <w:b/>
                      <w:bCs/>
                      <w:color w:val="auto"/>
                      <w:szCs w:val="21"/>
                      <w:highlight w:val="none"/>
                    </w:rPr>
                  </w:pPr>
                </w:p>
              </w:tc>
              <w:tc>
                <w:tcPr>
                  <w:tcW w:w="901" w:type="pct"/>
                  <w:vMerge w:val="continue"/>
                  <w:tcBorders>
                    <w:left w:val="single" w:color="auto" w:sz="4" w:space="0"/>
                    <w:bottom w:val="single" w:color="auto" w:sz="4" w:space="0"/>
                    <w:right w:val="single" w:color="auto" w:sz="4" w:space="0"/>
                  </w:tcBorders>
                  <w:shd w:val="clear" w:color="auto" w:fill="auto"/>
                  <w:vAlign w:val="center"/>
                </w:tcPr>
                <w:p w14:paraId="76F37583">
                  <w:pPr>
                    <w:pStyle w:val="95"/>
                    <w:jc w:val="center"/>
                    <w:rPr>
                      <w:rFonts w:hint="eastAsia"/>
                      <w:color w:val="auto"/>
                      <w:szCs w:val="21"/>
                      <w:highlight w:val="none"/>
                      <w:lang w:val="en-US" w:eastAsia="zh-CN"/>
                    </w:rPr>
                  </w:pPr>
                </w:p>
              </w:tc>
              <w:tc>
                <w:tcPr>
                  <w:tcW w:w="917" w:type="pct"/>
                  <w:vMerge w:val="continue"/>
                  <w:tcBorders>
                    <w:left w:val="single" w:color="auto" w:sz="4" w:space="0"/>
                    <w:right w:val="single" w:color="auto" w:sz="4" w:space="0"/>
                  </w:tcBorders>
                  <w:shd w:val="clear" w:color="auto" w:fill="auto"/>
                  <w:vAlign w:val="center"/>
                </w:tcPr>
                <w:p w14:paraId="00AEBDFC">
                  <w:pPr>
                    <w:pStyle w:val="95"/>
                    <w:jc w:val="center"/>
                    <w:rPr>
                      <w:rFonts w:hint="eastAsia"/>
                      <w:color w:val="auto"/>
                      <w:szCs w:val="21"/>
                      <w:highlight w:val="none"/>
                      <w:lang w:val="en-US" w:eastAsia="zh-CN"/>
                    </w:rPr>
                  </w:pPr>
                </w:p>
              </w:tc>
              <w:tc>
                <w:tcPr>
                  <w:tcW w:w="993" w:type="pct"/>
                  <w:tcBorders>
                    <w:top w:val="single" w:color="auto" w:sz="4" w:space="0"/>
                    <w:left w:val="single" w:color="auto" w:sz="4" w:space="0"/>
                    <w:bottom w:val="single" w:color="auto" w:sz="4" w:space="0"/>
                    <w:right w:val="single" w:color="auto" w:sz="4" w:space="0"/>
                  </w:tcBorders>
                  <w:shd w:val="clear" w:color="auto" w:fill="auto"/>
                  <w:vAlign w:val="center"/>
                </w:tcPr>
                <w:p w14:paraId="256AFBE2">
                  <w:pPr>
                    <w:pStyle w:val="95"/>
                    <w:jc w:val="center"/>
                    <w:rPr>
                      <w:rFonts w:hint="default"/>
                      <w:color w:val="auto"/>
                      <w:szCs w:val="21"/>
                      <w:highlight w:val="none"/>
                      <w:lang w:val="en-US" w:eastAsia="zh-CN"/>
                    </w:rPr>
                  </w:pPr>
                  <w:r>
                    <w:rPr>
                      <w:rFonts w:hint="eastAsia"/>
                      <w:color w:val="auto"/>
                      <w:szCs w:val="21"/>
                      <w:highlight w:val="none"/>
                      <w:lang w:val="en-US" w:eastAsia="zh-CN"/>
                    </w:rPr>
                    <w:t>废油墨桶</w:t>
                  </w:r>
                </w:p>
              </w:tc>
              <w:tc>
                <w:tcPr>
                  <w:tcW w:w="1548" w:type="pct"/>
                  <w:vMerge w:val="continue"/>
                  <w:tcBorders>
                    <w:left w:val="single" w:color="auto" w:sz="4" w:space="0"/>
                    <w:right w:val="single" w:color="auto" w:sz="4" w:space="0"/>
                  </w:tcBorders>
                  <w:vAlign w:val="center"/>
                </w:tcPr>
                <w:p w14:paraId="1372E395">
                  <w:pPr>
                    <w:pStyle w:val="95"/>
                    <w:jc w:val="center"/>
                    <w:rPr>
                      <w:rFonts w:hint="eastAsia"/>
                      <w:color w:val="auto"/>
                      <w:szCs w:val="21"/>
                      <w:highlight w:val="none"/>
                    </w:rPr>
                  </w:pPr>
                </w:p>
              </w:tc>
            </w:tr>
            <w:tr w14:paraId="0DCA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pct"/>
                  <w:vMerge w:val="continue"/>
                  <w:tcBorders>
                    <w:left w:val="single" w:color="auto" w:sz="4" w:space="0"/>
                    <w:right w:val="single" w:color="auto" w:sz="4" w:space="0"/>
                  </w:tcBorders>
                  <w:vAlign w:val="center"/>
                </w:tcPr>
                <w:p w14:paraId="0D92294E">
                  <w:pPr>
                    <w:pStyle w:val="95"/>
                    <w:jc w:val="center"/>
                    <w:rPr>
                      <w:b/>
                      <w:bCs/>
                      <w:color w:val="auto"/>
                      <w:szCs w:val="21"/>
                      <w:highlight w:val="none"/>
                    </w:rPr>
                  </w:pPr>
                </w:p>
              </w:tc>
              <w:tc>
                <w:tcPr>
                  <w:tcW w:w="901" w:type="pct"/>
                  <w:tcBorders>
                    <w:left w:val="single" w:color="auto" w:sz="4" w:space="0"/>
                    <w:bottom w:val="single" w:color="auto" w:sz="4" w:space="0"/>
                    <w:right w:val="single" w:color="auto" w:sz="4" w:space="0"/>
                  </w:tcBorders>
                  <w:vAlign w:val="center"/>
                </w:tcPr>
                <w:p w14:paraId="2CCDDEBF">
                  <w:pPr>
                    <w:pStyle w:val="95"/>
                    <w:jc w:val="center"/>
                    <w:rPr>
                      <w:color w:val="auto"/>
                      <w:szCs w:val="21"/>
                      <w:highlight w:val="none"/>
                    </w:rPr>
                  </w:pPr>
                  <w:r>
                    <w:rPr>
                      <w:rFonts w:hint="eastAsia"/>
                      <w:color w:val="auto"/>
                      <w:szCs w:val="21"/>
                      <w:highlight w:val="none"/>
                    </w:rPr>
                    <w:t>设备维修保养</w:t>
                  </w:r>
                </w:p>
              </w:tc>
              <w:tc>
                <w:tcPr>
                  <w:tcW w:w="917" w:type="pct"/>
                  <w:tcBorders>
                    <w:top w:val="single" w:color="auto" w:sz="4" w:space="0"/>
                    <w:left w:val="single" w:color="auto" w:sz="4" w:space="0"/>
                    <w:right w:val="single" w:color="auto" w:sz="4" w:space="0"/>
                  </w:tcBorders>
                  <w:vAlign w:val="center"/>
                </w:tcPr>
                <w:p w14:paraId="2FB83ACD">
                  <w:pPr>
                    <w:pStyle w:val="95"/>
                    <w:jc w:val="center"/>
                    <w:rPr>
                      <w:color w:val="auto"/>
                      <w:szCs w:val="21"/>
                      <w:highlight w:val="none"/>
                    </w:rPr>
                  </w:pPr>
                  <w:r>
                    <w:rPr>
                      <w:rFonts w:hint="eastAsia"/>
                      <w:color w:val="auto"/>
                      <w:szCs w:val="21"/>
                      <w:highlight w:val="none"/>
                    </w:rPr>
                    <w:t>危险废物</w:t>
                  </w:r>
                </w:p>
              </w:tc>
              <w:tc>
                <w:tcPr>
                  <w:tcW w:w="993" w:type="pct"/>
                  <w:tcBorders>
                    <w:top w:val="single" w:color="auto" w:sz="4" w:space="0"/>
                    <w:left w:val="single" w:color="auto" w:sz="4" w:space="0"/>
                    <w:bottom w:val="single" w:color="auto" w:sz="4" w:space="0"/>
                    <w:right w:val="single" w:color="auto" w:sz="4" w:space="0"/>
                  </w:tcBorders>
                  <w:vAlign w:val="center"/>
                </w:tcPr>
                <w:p w14:paraId="4BA7F8EF">
                  <w:pPr>
                    <w:pStyle w:val="95"/>
                    <w:jc w:val="center"/>
                    <w:rPr>
                      <w:color w:val="auto"/>
                      <w:szCs w:val="21"/>
                      <w:highlight w:val="none"/>
                    </w:rPr>
                  </w:pPr>
                  <w:r>
                    <w:rPr>
                      <w:rFonts w:hint="eastAsia"/>
                      <w:color w:val="auto"/>
                      <w:szCs w:val="21"/>
                      <w:highlight w:val="none"/>
                    </w:rPr>
                    <w:t>废机油及废机油桶</w:t>
                  </w:r>
                </w:p>
              </w:tc>
              <w:tc>
                <w:tcPr>
                  <w:tcW w:w="1548" w:type="pct"/>
                  <w:vMerge w:val="continue"/>
                  <w:tcBorders>
                    <w:left w:val="single" w:color="auto" w:sz="4" w:space="0"/>
                    <w:right w:val="single" w:color="auto" w:sz="4" w:space="0"/>
                  </w:tcBorders>
                  <w:vAlign w:val="center"/>
                </w:tcPr>
                <w:p w14:paraId="620C20F1">
                  <w:pPr>
                    <w:pStyle w:val="95"/>
                    <w:jc w:val="center"/>
                    <w:rPr>
                      <w:rFonts w:hint="default" w:eastAsia="宋体"/>
                      <w:color w:val="auto"/>
                      <w:szCs w:val="21"/>
                      <w:highlight w:val="none"/>
                      <w:lang w:val="en-US" w:eastAsia="zh-CN"/>
                    </w:rPr>
                  </w:pPr>
                </w:p>
              </w:tc>
            </w:tr>
            <w:tr w14:paraId="2B56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pct"/>
                  <w:vMerge w:val="continue"/>
                  <w:tcBorders>
                    <w:left w:val="single" w:color="auto" w:sz="4" w:space="0"/>
                    <w:right w:val="single" w:color="auto" w:sz="4" w:space="0"/>
                  </w:tcBorders>
                  <w:vAlign w:val="center"/>
                </w:tcPr>
                <w:p w14:paraId="0ECEE6DC">
                  <w:pPr>
                    <w:pStyle w:val="95"/>
                    <w:jc w:val="center"/>
                    <w:rPr>
                      <w:b/>
                      <w:bCs/>
                      <w:color w:val="auto"/>
                      <w:szCs w:val="21"/>
                      <w:highlight w:val="none"/>
                    </w:rPr>
                  </w:pPr>
                </w:p>
              </w:tc>
              <w:tc>
                <w:tcPr>
                  <w:tcW w:w="901" w:type="pct"/>
                  <w:tcBorders>
                    <w:left w:val="single" w:color="auto" w:sz="4" w:space="0"/>
                    <w:right w:val="single" w:color="auto" w:sz="4" w:space="0"/>
                  </w:tcBorders>
                  <w:vAlign w:val="center"/>
                </w:tcPr>
                <w:p w14:paraId="2C288479">
                  <w:pPr>
                    <w:pStyle w:val="95"/>
                    <w:jc w:val="center"/>
                    <w:rPr>
                      <w:rFonts w:hint="default" w:eastAsia="宋体"/>
                      <w:color w:val="auto"/>
                      <w:szCs w:val="21"/>
                      <w:highlight w:val="none"/>
                      <w:lang w:val="en-US" w:eastAsia="zh-CN"/>
                    </w:rPr>
                  </w:pPr>
                  <w:r>
                    <w:rPr>
                      <w:rFonts w:hint="eastAsia"/>
                      <w:color w:val="auto"/>
                      <w:szCs w:val="21"/>
                      <w:highlight w:val="none"/>
                      <w:lang w:val="en-US" w:eastAsia="zh-CN"/>
                    </w:rPr>
                    <w:t>办公、生活</w:t>
                  </w:r>
                </w:p>
              </w:tc>
              <w:tc>
                <w:tcPr>
                  <w:tcW w:w="917" w:type="pct"/>
                  <w:tcBorders>
                    <w:left w:val="single" w:color="auto" w:sz="4" w:space="0"/>
                    <w:right w:val="single" w:color="auto" w:sz="4" w:space="0"/>
                  </w:tcBorders>
                  <w:vAlign w:val="center"/>
                </w:tcPr>
                <w:p w14:paraId="401CCCE5">
                  <w:pPr>
                    <w:pStyle w:val="95"/>
                    <w:jc w:val="center"/>
                    <w:rPr>
                      <w:rFonts w:hint="eastAsia" w:eastAsia="宋体"/>
                      <w:color w:val="auto"/>
                      <w:szCs w:val="21"/>
                      <w:highlight w:val="none"/>
                      <w:lang w:val="en-US" w:eastAsia="zh-CN"/>
                    </w:rPr>
                  </w:pPr>
                  <w:r>
                    <w:rPr>
                      <w:rFonts w:hint="eastAsia"/>
                      <w:color w:val="auto"/>
                      <w:szCs w:val="21"/>
                      <w:highlight w:val="none"/>
                      <w:lang w:val="en-US" w:eastAsia="zh-CN"/>
                    </w:rPr>
                    <w:t>其他</w:t>
                  </w:r>
                </w:p>
              </w:tc>
              <w:tc>
                <w:tcPr>
                  <w:tcW w:w="993" w:type="pct"/>
                  <w:tcBorders>
                    <w:left w:val="single" w:color="auto" w:sz="4" w:space="0"/>
                    <w:right w:val="single" w:color="auto" w:sz="4" w:space="0"/>
                  </w:tcBorders>
                  <w:shd w:val="clear" w:color="auto" w:fill="auto"/>
                  <w:vAlign w:val="center"/>
                </w:tcPr>
                <w:p w14:paraId="418176F3">
                  <w:pPr>
                    <w:pStyle w:val="95"/>
                    <w:jc w:val="center"/>
                    <w:rPr>
                      <w:rFonts w:ascii="Times New Roman" w:hAnsi="Times New Roman" w:eastAsia="宋体" w:cs="Times New Roman"/>
                      <w:color w:val="auto"/>
                      <w:kern w:val="2"/>
                      <w:sz w:val="21"/>
                      <w:szCs w:val="21"/>
                      <w:highlight w:val="none"/>
                      <w:lang w:val="en-US" w:eastAsia="zh-CN" w:bidi="ar-SA"/>
                    </w:rPr>
                  </w:pPr>
                  <w:r>
                    <w:rPr>
                      <w:color w:val="auto"/>
                      <w:szCs w:val="21"/>
                      <w:highlight w:val="none"/>
                    </w:rPr>
                    <w:t>生活垃圾</w:t>
                  </w:r>
                </w:p>
              </w:tc>
              <w:tc>
                <w:tcPr>
                  <w:tcW w:w="1548" w:type="pct"/>
                  <w:tcBorders>
                    <w:left w:val="single" w:color="auto" w:sz="4" w:space="0"/>
                    <w:right w:val="single" w:color="auto" w:sz="4" w:space="0"/>
                  </w:tcBorders>
                  <w:vAlign w:val="center"/>
                </w:tcPr>
                <w:p w14:paraId="23F0A52F">
                  <w:pPr>
                    <w:pStyle w:val="95"/>
                    <w:jc w:val="center"/>
                    <w:rPr>
                      <w:color w:val="auto"/>
                      <w:szCs w:val="21"/>
                      <w:highlight w:val="none"/>
                    </w:rPr>
                  </w:pPr>
                  <w:r>
                    <w:rPr>
                      <w:rFonts w:hint="eastAsia"/>
                      <w:color w:val="auto"/>
                      <w:szCs w:val="21"/>
                      <w:highlight w:val="none"/>
                      <w:lang w:val="en-US" w:eastAsia="zh-CN"/>
                    </w:rPr>
                    <w:t>统一收集，</w:t>
                  </w:r>
                  <w:r>
                    <w:rPr>
                      <w:color w:val="auto"/>
                      <w:szCs w:val="21"/>
                      <w:highlight w:val="none"/>
                    </w:rPr>
                    <w:t>交由</w:t>
                  </w:r>
                  <w:r>
                    <w:rPr>
                      <w:rFonts w:hint="eastAsia"/>
                      <w:color w:val="auto"/>
                      <w:szCs w:val="21"/>
                      <w:highlight w:val="none"/>
                    </w:rPr>
                    <w:t>园区</w:t>
                  </w:r>
                  <w:r>
                    <w:rPr>
                      <w:color w:val="auto"/>
                      <w:szCs w:val="21"/>
                      <w:highlight w:val="none"/>
                    </w:rPr>
                    <w:t>环卫部门统一处置</w:t>
                  </w:r>
                </w:p>
              </w:tc>
            </w:tr>
            <w:tr w14:paraId="5BC0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pct"/>
                  <w:vMerge w:val="continue"/>
                  <w:tcBorders>
                    <w:left w:val="single" w:color="auto" w:sz="4" w:space="0"/>
                    <w:right w:val="single" w:color="auto" w:sz="4" w:space="0"/>
                  </w:tcBorders>
                  <w:vAlign w:val="center"/>
                </w:tcPr>
                <w:p w14:paraId="2C86CEB5">
                  <w:pPr>
                    <w:pStyle w:val="95"/>
                    <w:jc w:val="center"/>
                    <w:rPr>
                      <w:b/>
                      <w:bCs/>
                      <w:color w:val="auto"/>
                      <w:szCs w:val="21"/>
                      <w:highlight w:val="none"/>
                    </w:rPr>
                  </w:pPr>
                </w:p>
              </w:tc>
              <w:tc>
                <w:tcPr>
                  <w:tcW w:w="901" w:type="pct"/>
                  <w:tcBorders>
                    <w:left w:val="single" w:color="auto" w:sz="4" w:space="0"/>
                    <w:right w:val="single" w:color="auto" w:sz="4" w:space="0"/>
                  </w:tcBorders>
                  <w:vAlign w:val="center"/>
                </w:tcPr>
                <w:p w14:paraId="06370580">
                  <w:pPr>
                    <w:pStyle w:val="95"/>
                    <w:jc w:val="center"/>
                    <w:rPr>
                      <w:color w:val="auto"/>
                      <w:szCs w:val="21"/>
                      <w:highlight w:val="none"/>
                    </w:rPr>
                  </w:pPr>
                  <w:r>
                    <w:rPr>
                      <w:rFonts w:hint="eastAsia"/>
                      <w:color w:val="auto"/>
                      <w:szCs w:val="21"/>
                      <w:highlight w:val="none"/>
                    </w:rPr>
                    <w:t>办公、生活</w:t>
                  </w:r>
                </w:p>
              </w:tc>
              <w:tc>
                <w:tcPr>
                  <w:tcW w:w="917" w:type="pct"/>
                  <w:tcBorders>
                    <w:left w:val="single" w:color="auto" w:sz="4" w:space="0"/>
                    <w:right w:val="single" w:color="auto" w:sz="4" w:space="0"/>
                  </w:tcBorders>
                  <w:vAlign w:val="center"/>
                </w:tcPr>
                <w:p w14:paraId="39B0599B">
                  <w:pPr>
                    <w:pStyle w:val="95"/>
                    <w:jc w:val="center"/>
                    <w:rPr>
                      <w:rFonts w:hint="eastAsia" w:eastAsia="宋体"/>
                      <w:color w:val="auto"/>
                      <w:szCs w:val="21"/>
                      <w:highlight w:val="none"/>
                      <w:lang w:val="en-US" w:eastAsia="zh-CN"/>
                    </w:rPr>
                  </w:pPr>
                  <w:r>
                    <w:rPr>
                      <w:rFonts w:hint="eastAsia"/>
                      <w:color w:val="auto"/>
                      <w:szCs w:val="21"/>
                      <w:highlight w:val="none"/>
                      <w:lang w:val="en-US" w:eastAsia="zh-CN"/>
                    </w:rPr>
                    <w:t>其他</w:t>
                  </w:r>
                </w:p>
              </w:tc>
              <w:tc>
                <w:tcPr>
                  <w:tcW w:w="993" w:type="pct"/>
                  <w:tcBorders>
                    <w:left w:val="single" w:color="auto" w:sz="4" w:space="0"/>
                    <w:right w:val="single" w:color="auto" w:sz="4" w:space="0"/>
                  </w:tcBorders>
                  <w:shd w:val="clear" w:color="auto" w:fill="auto"/>
                  <w:vAlign w:val="center"/>
                </w:tcPr>
                <w:p w14:paraId="18107C12">
                  <w:pPr>
                    <w:pStyle w:val="95"/>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化粪池污泥</w:t>
                  </w:r>
                </w:p>
              </w:tc>
              <w:tc>
                <w:tcPr>
                  <w:tcW w:w="1548" w:type="pct"/>
                  <w:tcBorders>
                    <w:left w:val="single" w:color="auto" w:sz="4" w:space="0"/>
                    <w:right w:val="single" w:color="auto" w:sz="4" w:space="0"/>
                  </w:tcBorders>
                  <w:vAlign w:val="center"/>
                </w:tcPr>
                <w:p w14:paraId="3D115C0A">
                  <w:pPr>
                    <w:pStyle w:val="95"/>
                    <w:jc w:val="center"/>
                    <w:rPr>
                      <w:rFonts w:hint="default" w:eastAsia="宋体"/>
                      <w:color w:val="auto"/>
                      <w:szCs w:val="21"/>
                      <w:highlight w:val="none"/>
                      <w:lang w:val="en-US" w:eastAsia="zh-CN"/>
                    </w:rPr>
                  </w:pPr>
                  <w:r>
                    <w:rPr>
                      <w:rFonts w:hint="eastAsia"/>
                      <w:color w:val="auto"/>
                      <w:szCs w:val="21"/>
                      <w:highlight w:val="none"/>
                      <w:lang w:val="en-US" w:eastAsia="zh-CN"/>
                    </w:rPr>
                    <w:t>委托环卫部门定期清运，统一处置</w:t>
                  </w:r>
                </w:p>
              </w:tc>
            </w:tr>
            <w:tr w14:paraId="294C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8" w:type="pct"/>
                  <w:tcBorders>
                    <w:left w:val="single" w:color="auto" w:sz="4" w:space="0"/>
                    <w:right w:val="single" w:color="auto" w:sz="4" w:space="0"/>
                  </w:tcBorders>
                  <w:vAlign w:val="center"/>
                </w:tcPr>
                <w:p w14:paraId="0F65C9AA">
                  <w:pPr>
                    <w:pStyle w:val="95"/>
                    <w:jc w:val="center"/>
                    <w:rPr>
                      <w:rFonts w:hint="eastAsia" w:eastAsia="宋体"/>
                      <w:b/>
                      <w:bCs/>
                      <w:color w:val="auto"/>
                      <w:szCs w:val="21"/>
                      <w:highlight w:val="none"/>
                      <w:lang w:val="en-US" w:eastAsia="zh-CN"/>
                    </w:rPr>
                  </w:pPr>
                  <w:r>
                    <w:rPr>
                      <w:rFonts w:hint="eastAsia"/>
                      <w:b/>
                      <w:bCs/>
                      <w:color w:val="auto"/>
                      <w:szCs w:val="21"/>
                      <w:highlight w:val="none"/>
                      <w:lang w:val="en-US" w:eastAsia="zh-CN"/>
                    </w:rPr>
                    <w:t>噪声</w:t>
                  </w:r>
                </w:p>
              </w:tc>
              <w:tc>
                <w:tcPr>
                  <w:tcW w:w="901" w:type="pct"/>
                  <w:tcBorders>
                    <w:left w:val="single" w:color="auto" w:sz="4" w:space="0"/>
                    <w:right w:val="single" w:color="auto" w:sz="4" w:space="0"/>
                  </w:tcBorders>
                  <w:vAlign w:val="center"/>
                </w:tcPr>
                <w:p w14:paraId="790573C0">
                  <w:pPr>
                    <w:pStyle w:val="95"/>
                    <w:jc w:val="center"/>
                    <w:rPr>
                      <w:rFonts w:hint="eastAsia" w:eastAsia="宋体"/>
                      <w:color w:val="auto"/>
                      <w:szCs w:val="21"/>
                      <w:highlight w:val="none"/>
                      <w:lang w:val="en-US" w:eastAsia="zh-CN"/>
                    </w:rPr>
                  </w:pPr>
                  <w:r>
                    <w:rPr>
                      <w:rFonts w:hint="eastAsia"/>
                      <w:color w:val="auto"/>
                      <w:szCs w:val="21"/>
                      <w:highlight w:val="none"/>
                      <w:lang w:val="en-US" w:eastAsia="zh-CN"/>
                    </w:rPr>
                    <w:t>生产</w:t>
                  </w:r>
                </w:p>
              </w:tc>
              <w:tc>
                <w:tcPr>
                  <w:tcW w:w="917" w:type="pct"/>
                  <w:tcBorders>
                    <w:left w:val="single" w:color="auto" w:sz="4" w:space="0"/>
                    <w:right w:val="single" w:color="auto" w:sz="4" w:space="0"/>
                  </w:tcBorders>
                  <w:vAlign w:val="center"/>
                </w:tcPr>
                <w:p w14:paraId="03B47174">
                  <w:pPr>
                    <w:pStyle w:val="95"/>
                    <w:jc w:val="center"/>
                    <w:rPr>
                      <w:rFonts w:hint="default"/>
                      <w:color w:val="auto"/>
                      <w:szCs w:val="21"/>
                      <w:highlight w:val="none"/>
                      <w:lang w:val="en-US" w:eastAsia="zh-CN"/>
                    </w:rPr>
                  </w:pPr>
                  <w:r>
                    <w:rPr>
                      <w:rFonts w:hint="eastAsia"/>
                      <w:color w:val="auto"/>
                      <w:szCs w:val="21"/>
                      <w:highlight w:val="none"/>
                      <w:lang w:val="en-US" w:eastAsia="zh-CN"/>
                    </w:rPr>
                    <w:t>设备噪声</w:t>
                  </w:r>
                </w:p>
              </w:tc>
              <w:tc>
                <w:tcPr>
                  <w:tcW w:w="993" w:type="pct"/>
                  <w:tcBorders>
                    <w:left w:val="single" w:color="auto" w:sz="4" w:space="0"/>
                    <w:right w:val="single" w:color="auto" w:sz="4" w:space="0"/>
                  </w:tcBorders>
                  <w:shd w:val="clear" w:color="auto" w:fill="auto"/>
                  <w:vAlign w:val="center"/>
                </w:tcPr>
                <w:p w14:paraId="2E8BE044">
                  <w:pPr>
                    <w:pStyle w:val="95"/>
                    <w:jc w:val="center"/>
                    <w:rPr>
                      <w:rFonts w:hint="default" w:eastAsia="宋体"/>
                      <w:color w:val="auto"/>
                      <w:szCs w:val="21"/>
                      <w:highlight w:val="none"/>
                      <w:lang w:val="en-US" w:eastAsia="zh-CN"/>
                    </w:rPr>
                  </w:pPr>
                  <w:r>
                    <w:rPr>
                      <w:rFonts w:hint="eastAsia"/>
                      <w:color w:val="auto"/>
                      <w:szCs w:val="21"/>
                      <w:highlight w:val="none"/>
                      <w:lang w:val="en-US" w:eastAsia="zh-CN"/>
                    </w:rPr>
                    <w:t>设备噪声</w:t>
                  </w:r>
                </w:p>
              </w:tc>
              <w:tc>
                <w:tcPr>
                  <w:tcW w:w="1548" w:type="pct"/>
                  <w:tcBorders>
                    <w:left w:val="single" w:color="auto" w:sz="4" w:space="0"/>
                    <w:right w:val="single" w:color="auto" w:sz="4" w:space="0"/>
                  </w:tcBorders>
                  <w:vAlign w:val="center"/>
                </w:tcPr>
                <w:p w14:paraId="187965A8">
                  <w:pPr>
                    <w:pStyle w:val="95"/>
                    <w:jc w:val="center"/>
                    <w:rPr>
                      <w:rFonts w:hint="eastAsia"/>
                      <w:color w:val="auto"/>
                      <w:szCs w:val="21"/>
                      <w:highlight w:val="none"/>
                      <w:lang w:val="en-US" w:eastAsia="zh-CN"/>
                    </w:rPr>
                  </w:pPr>
                  <w:r>
                    <w:rPr>
                      <w:rFonts w:hint="eastAsia"/>
                      <w:color w:val="auto"/>
                      <w:szCs w:val="21"/>
                      <w:highlight w:val="none"/>
                      <w:lang w:val="en-US" w:eastAsia="zh-CN"/>
                    </w:rPr>
                    <w:t>厂房隔声，基础减振，产生气流噪声的噪声源加装消声器</w:t>
                  </w:r>
                </w:p>
              </w:tc>
            </w:tr>
          </w:tbl>
          <w:p w14:paraId="408A9F14">
            <w:pPr>
              <w:adjustRightInd w:val="0"/>
              <w:snapToGrid w:val="0"/>
              <w:spacing w:line="360" w:lineRule="auto"/>
              <w:rPr>
                <w:bCs/>
                <w:color w:val="auto"/>
                <w:sz w:val="24"/>
                <w:highlight w:val="none"/>
              </w:rPr>
            </w:pPr>
          </w:p>
        </w:tc>
      </w:tr>
      <w:tr w14:paraId="4D954C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0" w:type="pct"/>
            <w:vAlign w:val="center"/>
          </w:tcPr>
          <w:p w14:paraId="0A1DF170">
            <w:pPr>
              <w:pStyle w:val="21"/>
              <w:adjustRightInd w:val="0"/>
              <w:snapToGrid w:val="0"/>
              <w:spacing w:before="0" w:beforeAutospacing="0" w:after="0" w:afterAutospacing="0"/>
              <w:jc w:val="center"/>
              <w:rPr>
                <w:rFonts w:ascii="Times New Roman" w:hAnsi="Times New Roman"/>
                <w:color w:val="auto"/>
                <w:szCs w:val="24"/>
                <w:highlight w:val="none"/>
              </w:rPr>
            </w:pPr>
            <w:r>
              <w:rPr>
                <w:rFonts w:ascii="Times New Roman"/>
                <w:bCs/>
                <w:color w:val="auto"/>
                <w:kern w:val="2"/>
                <w:szCs w:val="24"/>
                <w:highlight w:val="none"/>
              </w:rPr>
              <w:t>与项目有关的原有环境污染问题</w:t>
            </w:r>
          </w:p>
        </w:tc>
        <w:tc>
          <w:tcPr>
            <w:tcW w:w="4689" w:type="pct"/>
          </w:tcPr>
          <w:p w14:paraId="3FE16192">
            <w:pPr>
              <w:spacing w:line="360" w:lineRule="auto"/>
              <w:ind w:firstLine="480" w:firstLineChars="200"/>
              <w:rPr>
                <w:rFonts w:hint="default"/>
                <w:color w:val="auto"/>
                <w:sz w:val="24"/>
                <w:highlight w:val="none"/>
                <w:lang w:val="en-US" w:eastAsia="zh-CN"/>
              </w:rPr>
            </w:pPr>
            <w:r>
              <w:rPr>
                <w:rFonts w:hint="default"/>
                <w:color w:val="auto"/>
                <w:sz w:val="24"/>
                <w:highlight w:val="none"/>
                <w:lang w:val="en-US" w:eastAsia="zh-CN"/>
              </w:rPr>
              <w:t>本项目为新建项目，租赁云南三缘电缆有限公司闲置厂房进行生产建设，根据现场勘查</w:t>
            </w:r>
            <w:r>
              <w:rPr>
                <w:rFonts w:hint="eastAsia"/>
                <w:color w:val="auto"/>
                <w:sz w:val="24"/>
                <w:highlight w:val="none"/>
                <w:lang w:val="en-US" w:eastAsia="zh-CN"/>
              </w:rPr>
              <w:t>情况</w:t>
            </w:r>
            <w:r>
              <w:rPr>
                <w:rFonts w:hint="default"/>
                <w:color w:val="auto"/>
                <w:sz w:val="24"/>
                <w:highlight w:val="none"/>
                <w:lang w:val="en-US" w:eastAsia="zh-CN"/>
              </w:rPr>
              <w:t>，本项目尚未开工建设，不存在与本项目有关的原有污染情况及主要环境问题。</w:t>
            </w:r>
          </w:p>
          <w:p w14:paraId="013C36EA">
            <w:pPr>
              <w:spacing w:line="360" w:lineRule="auto"/>
              <w:ind w:firstLine="480" w:firstLineChars="200"/>
              <w:rPr>
                <w:rFonts w:hint="default"/>
                <w:color w:val="auto"/>
                <w:sz w:val="24"/>
                <w:highlight w:val="none"/>
                <w:lang w:val="en-US" w:eastAsia="zh-CN"/>
              </w:rPr>
            </w:pPr>
          </w:p>
          <w:p w14:paraId="3EA18175">
            <w:pPr>
              <w:spacing w:line="360" w:lineRule="auto"/>
              <w:ind w:firstLine="480" w:firstLineChars="200"/>
              <w:rPr>
                <w:rFonts w:hint="default"/>
                <w:color w:val="auto"/>
                <w:sz w:val="24"/>
                <w:highlight w:val="none"/>
                <w:lang w:val="en-US" w:eastAsia="zh-CN"/>
              </w:rPr>
            </w:pPr>
          </w:p>
          <w:p w14:paraId="4E306A90">
            <w:pPr>
              <w:spacing w:line="360" w:lineRule="auto"/>
              <w:ind w:firstLine="480" w:firstLineChars="200"/>
              <w:rPr>
                <w:rFonts w:hint="default"/>
                <w:color w:val="auto"/>
                <w:sz w:val="24"/>
                <w:highlight w:val="none"/>
                <w:lang w:val="en-US" w:eastAsia="zh-CN"/>
              </w:rPr>
            </w:pPr>
          </w:p>
          <w:p w14:paraId="2CBCF04C">
            <w:pPr>
              <w:spacing w:line="360" w:lineRule="auto"/>
              <w:ind w:firstLine="480" w:firstLineChars="200"/>
              <w:rPr>
                <w:rFonts w:hint="default"/>
                <w:color w:val="auto"/>
                <w:sz w:val="24"/>
                <w:highlight w:val="none"/>
                <w:lang w:val="en-US" w:eastAsia="zh-CN"/>
              </w:rPr>
            </w:pPr>
          </w:p>
          <w:p w14:paraId="0A5CB05F">
            <w:pPr>
              <w:spacing w:line="360" w:lineRule="auto"/>
              <w:ind w:firstLine="480" w:firstLineChars="200"/>
              <w:rPr>
                <w:rFonts w:hint="default"/>
                <w:color w:val="auto"/>
                <w:sz w:val="24"/>
                <w:highlight w:val="none"/>
                <w:lang w:val="en-US" w:eastAsia="zh-CN"/>
              </w:rPr>
            </w:pPr>
          </w:p>
          <w:p w14:paraId="4020C0E5">
            <w:pPr>
              <w:spacing w:line="360" w:lineRule="auto"/>
              <w:ind w:firstLine="480" w:firstLineChars="200"/>
              <w:rPr>
                <w:rFonts w:hint="default"/>
                <w:color w:val="auto"/>
                <w:sz w:val="24"/>
                <w:highlight w:val="none"/>
                <w:lang w:val="en-US" w:eastAsia="zh-CN"/>
              </w:rPr>
            </w:pPr>
          </w:p>
          <w:p w14:paraId="1B212BE6">
            <w:pPr>
              <w:spacing w:line="360" w:lineRule="auto"/>
              <w:ind w:firstLine="480" w:firstLineChars="200"/>
              <w:rPr>
                <w:rFonts w:hint="default"/>
                <w:color w:val="auto"/>
                <w:sz w:val="24"/>
                <w:highlight w:val="none"/>
                <w:lang w:val="en-US" w:eastAsia="zh-CN"/>
              </w:rPr>
            </w:pPr>
          </w:p>
          <w:p w14:paraId="6D703AD6">
            <w:pPr>
              <w:spacing w:line="360" w:lineRule="auto"/>
              <w:ind w:firstLine="480" w:firstLineChars="200"/>
              <w:rPr>
                <w:rFonts w:hint="default"/>
                <w:color w:val="auto"/>
                <w:sz w:val="24"/>
                <w:highlight w:val="none"/>
                <w:lang w:val="en-US" w:eastAsia="zh-CN"/>
              </w:rPr>
            </w:pPr>
          </w:p>
          <w:p w14:paraId="01ADDDE2">
            <w:pPr>
              <w:spacing w:line="360" w:lineRule="auto"/>
              <w:ind w:firstLine="480" w:firstLineChars="200"/>
              <w:rPr>
                <w:rFonts w:hint="default"/>
                <w:color w:val="auto"/>
                <w:sz w:val="24"/>
                <w:highlight w:val="none"/>
                <w:lang w:val="en-US" w:eastAsia="zh-CN"/>
              </w:rPr>
            </w:pPr>
          </w:p>
          <w:p w14:paraId="7CABE51B">
            <w:pPr>
              <w:spacing w:line="360" w:lineRule="auto"/>
              <w:ind w:firstLine="480" w:firstLineChars="200"/>
              <w:rPr>
                <w:rFonts w:hint="default"/>
                <w:color w:val="auto"/>
                <w:sz w:val="24"/>
                <w:highlight w:val="none"/>
                <w:lang w:val="en-US" w:eastAsia="zh-CN"/>
              </w:rPr>
            </w:pPr>
          </w:p>
          <w:p w14:paraId="5A84F05A">
            <w:pPr>
              <w:spacing w:line="360" w:lineRule="auto"/>
              <w:ind w:firstLine="480" w:firstLineChars="200"/>
              <w:rPr>
                <w:rFonts w:hint="default"/>
                <w:color w:val="auto"/>
                <w:sz w:val="24"/>
                <w:highlight w:val="none"/>
                <w:lang w:val="en-US" w:eastAsia="zh-CN"/>
              </w:rPr>
            </w:pPr>
          </w:p>
          <w:p w14:paraId="582AD91B">
            <w:pPr>
              <w:spacing w:line="360" w:lineRule="auto"/>
              <w:ind w:firstLine="480" w:firstLineChars="200"/>
              <w:rPr>
                <w:rFonts w:hint="default"/>
                <w:color w:val="auto"/>
                <w:sz w:val="24"/>
                <w:highlight w:val="none"/>
                <w:lang w:val="en-US" w:eastAsia="zh-CN"/>
              </w:rPr>
            </w:pPr>
          </w:p>
          <w:p w14:paraId="3CD3FD45">
            <w:pPr>
              <w:spacing w:line="360" w:lineRule="auto"/>
              <w:ind w:firstLine="480" w:firstLineChars="200"/>
              <w:rPr>
                <w:rFonts w:hint="default"/>
                <w:color w:val="auto"/>
                <w:sz w:val="24"/>
                <w:highlight w:val="none"/>
                <w:lang w:val="en-US" w:eastAsia="zh-CN"/>
              </w:rPr>
            </w:pPr>
          </w:p>
          <w:p w14:paraId="4C4E29C2">
            <w:pPr>
              <w:spacing w:line="360" w:lineRule="auto"/>
              <w:ind w:firstLine="480" w:firstLineChars="200"/>
              <w:rPr>
                <w:rFonts w:hint="default"/>
                <w:color w:val="auto"/>
                <w:sz w:val="24"/>
                <w:highlight w:val="none"/>
                <w:lang w:val="en-US" w:eastAsia="zh-CN"/>
              </w:rPr>
            </w:pPr>
          </w:p>
          <w:p w14:paraId="62BC6C64">
            <w:pPr>
              <w:spacing w:line="360" w:lineRule="auto"/>
              <w:ind w:firstLine="480" w:firstLineChars="200"/>
              <w:rPr>
                <w:rFonts w:hint="default"/>
                <w:color w:val="auto"/>
                <w:sz w:val="24"/>
                <w:highlight w:val="none"/>
                <w:lang w:val="en-US" w:eastAsia="zh-CN"/>
              </w:rPr>
            </w:pPr>
          </w:p>
          <w:p w14:paraId="2AFACE42">
            <w:pPr>
              <w:spacing w:line="360" w:lineRule="auto"/>
              <w:ind w:firstLine="480" w:firstLineChars="200"/>
              <w:rPr>
                <w:rFonts w:hint="default"/>
                <w:color w:val="auto"/>
                <w:sz w:val="24"/>
                <w:highlight w:val="none"/>
                <w:lang w:val="en-US" w:eastAsia="zh-CN"/>
              </w:rPr>
            </w:pPr>
          </w:p>
          <w:p w14:paraId="229FD5A3">
            <w:pPr>
              <w:spacing w:line="360" w:lineRule="auto"/>
              <w:ind w:firstLine="480" w:firstLineChars="200"/>
              <w:rPr>
                <w:rFonts w:hint="default"/>
                <w:color w:val="auto"/>
                <w:sz w:val="24"/>
                <w:highlight w:val="none"/>
                <w:lang w:val="en-US" w:eastAsia="zh-CN"/>
              </w:rPr>
            </w:pPr>
          </w:p>
          <w:p w14:paraId="00DADA18">
            <w:pPr>
              <w:spacing w:line="360" w:lineRule="auto"/>
              <w:ind w:firstLine="480" w:firstLineChars="200"/>
              <w:rPr>
                <w:rFonts w:hint="default"/>
                <w:color w:val="auto"/>
                <w:sz w:val="24"/>
                <w:highlight w:val="none"/>
                <w:lang w:val="en-US" w:eastAsia="zh-CN"/>
              </w:rPr>
            </w:pPr>
          </w:p>
          <w:p w14:paraId="12880EBA">
            <w:pPr>
              <w:spacing w:line="360" w:lineRule="auto"/>
              <w:ind w:firstLine="480" w:firstLineChars="200"/>
              <w:rPr>
                <w:rFonts w:hint="default"/>
                <w:color w:val="auto"/>
                <w:sz w:val="24"/>
                <w:highlight w:val="none"/>
                <w:lang w:val="en-US" w:eastAsia="zh-CN"/>
              </w:rPr>
            </w:pPr>
          </w:p>
          <w:p w14:paraId="6F6425B8">
            <w:pPr>
              <w:spacing w:line="360" w:lineRule="auto"/>
              <w:ind w:firstLine="480" w:firstLineChars="200"/>
              <w:rPr>
                <w:rFonts w:hint="default"/>
                <w:color w:val="auto"/>
                <w:sz w:val="24"/>
                <w:highlight w:val="none"/>
                <w:lang w:val="en-US" w:eastAsia="zh-CN"/>
              </w:rPr>
            </w:pPr>
          </w:p>
          <w:p w14:paraId="35722BD4">
            <w:pPr>
              <w:spacing w:line="360" w:lineRule="auto"/>
              <w:ind w:firstLine="480" w:firstLineChars="200"/>
              <w:rPr>
                <w:rFonts w:hint="default"/>
                <w:color w:val="auto"/>
                <w:sz w:val="24"/>
                <w:highlight w:val="none"/>
                <w:lang w:val="en-US" w:eastAsia="zh-CN"/>
              </w:rPr>
            </w:pPr>
          </w:p>
          <w:p w14:paraId="21DE7727">
            <w:pPr>
              <w:spacing w:line="360" w:lineRule="auto"/>
              <w:ind w:firstLine="480" w:firstLineChars="200"/>
              <w:rPr>
                <w:rFonts w:hint="default"/>
                <w:color w:val="auto"/>
                <w:sz w:val="24"/>
                <w:highlight w:val="none"/>
                <w:lang w:val="en-US" w:eastAsia="zh-CN"/>
              </w:rPr>
            </w:pPr>
          </w:p>
          <w:p w14:paraId="019629F0">
            <w:pPr>
              <w:spacing w:line="360" w:lineRule="auto"/>
              <w:ind w:firstLine="480" w:firstLineChars="200"/>
              <w:rPr>
                <w:rFonts w:hint="default"/>
                <w:color w:val="auto"/>
                <w:sz w:val="24"/>
                <w:highlight w:val="none"/>
                <w:lang w:val="en-US" w:eastAsia="zh-CN"/>
              </w:rPr>
            </w:pPr>
          </w:p>
          <w:p w14:paraId="0FEBAF4A">
            <w:pPr>
              <w:spacing w:line="360" w:lineRule="auto"/>
              <w:ind w:firstLine="480" w:firstLineChars="200"/>
              <w:rPr>
                <w:rFonts w:hint="default"/>
                <w:color w:val="auto"/>
                <w:sz w:val="24"/>
                <w:highlight w:val="none"/>
                <w:lang w:val="en-US" w:eastAsia="zh-CN"/>
              </w:rPr>
            </w:pPr>
          </w:p>
          <w:p w14:paraId="7D64D0C8">
            <w:pPr>
              <w:spacing w:line="360" w:lineRule="auto"/>
              <w:ind w:firstLine="480" w:firstLineChars="200"/>
              <w:rPr>
                <w:rFonts w:hint="default"/>
                <w:color w:val="auto"/>
                <w:sz w:val="24"/>
                <w:highlight w:val="none"/>
                <w:lang w:val="en-US" w:eastAsia="zh-CN"/>
              </w:rPr>
            </w:pPr>
          </w:p>
          <w:p w14:paraId="12E5A0D1">
            <w:pPr>
              <w:spacing w:line="360" w:lineRule="auto"/>
              <w:ind w:firstLine="480" w:firstLineChars="200"/>
              <w:rPr>
                <w:rFonts w:hint="default"/>
                <w:color w:val="auto"/>
                <w:sz w:val="24"/>
                <w:highlight w:val="none"/>
                <w:lang w:val="en-US" w:eastAsia="zh-CN"/>
              </w:rPr>
            </w:pPr>
          </w:p>
          <w:p w14:paraId="109981BB">
            <w:pPr>
              <w:spacing w:line="360" w:lineRule="auto"/>
              <w:ind w:firstLine="480" w:firstLineChars="200"/>
              <w:rPr>
                <w:rFonts w:hint="default"/>
                <w:color w:val="auto"/>
                <w:sz w:val="24"/>
                <w:highlight w:val="none"/>
                <w:lang w:val="en-US" w:eastAsia="zh-CN"/>
              </w:rPr>
            </w:pPr>
          </w:p>
          <w:p w14:paraId="5F409757">
            <w:pPr>
              <w:rPr>
                <w:rFonts w:hint="eastAsia"/>
                <w:color w:val="auto"/>
                <w:lang w:eastAsia="zh-CN"/>
              </w:rPr>
            </w:pPr>
          </w:p>
        </w:tc>
      </w:tr>
    </w:tbl>
    <w:p w14:paraId="0C8E1DA5">
      <w:pPr>
        <w:pStyle w:val="21"/>
        <w:jc w:val="both"/>
        <w:rPr>
          <w:rFonts w:ascii="Times New Roman" w:hAnsi="Times New Roman" w:eastAsia="黑体"/>
          <w:snapToGrid w:val="0"/>
          <w:color w:val="auto"/>
          <w:sz w:val="36"/>
          <w:szCs w:val="36"/>
          <w:highlight w:val="none"/>
        </w:rPr>
        <w:sectPr>
          <w:pgSz w:w="11906" w:h="16838"/>
          <w:pgMar w:top="1701" w:right="1531" w:bottom="1701" w:left="1531" w:header="851" w:footer="851" w:gutter="0"/>
          <w:cols w:space="720" w:num="1"/>
          <w:docGrid w:linePitch="312" w:charSpace="0"/>
        </w:sectPr>
      </w:pPr>
    </w:p>
    <w:p w14:paraId="68BF69CC">
      <w:pPr>
        <w:pStyle w:val="21"/>
        <w:jc w:val="center"/>
        <w:outlineLvl w:val="0"/>
        <w:rPr>
          <w:rFonts w:ascii="Times New Roman" w:hAnsi="Times New Roman" w:eastAsia="黑体"/>
          <w:snapToGrid w:val="0"/>
          <w:color w:val="auto"/>
          <w:sz w:val="30"/>
          <w:szCs w:val="30"/>
          <w:highlight w:val="none"/>
        </w:rPr>
      </w:pPr>
      <w:bookmarkStart w:id="13" w:name="_Toc7342"/>
      <w:r>
        <w:rPr>
          <w:rFonts w:ascii="Times New Roman" w:hAnsi="黑体" w:eastAsia="黑体"/>
          <w:snapToGrid w:val="0"/>
          <w:color w:val="auto"/>
          <w:sz w:val="30"/>
          <w:szCs w:val="30"/>
          <w:highlight w:val="none"/>
        </w:rPr>
        <w:t>三、区域环境质量现状、环境保护目标及评价标准</w:t>
      </w:r>
      <w:bookmarkEnd w:id="13"/>
    </w:p>
    <w:tbl>
      <w:tblPr>
        <w:tblStyle w:val="25"/>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605"/>
      </w:tblGrid>
      <w:tr w14:paraId="2449C4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251" w:type="pct"/>
            <w:vAlign w:val="center"/>
          </w:tcPr>
          <w:p w14:paraId="5B9A88D0">
            <w:pPr>
              <w:adjustRightInd w:val="0"/>
              <w:snapToGrid w:val="0"/>
              <w:jc w:val="center"/>
              <w:rPr>
                <w:color w:val="auto"/>
                <w:kern w:val="0"/>
                <w:sz w:val="24"/>
                <w:highlight w:val="none"/>
              </w:rPr>
            </w:pPr>
            <w:r>
              <w:rPr>
                <w:color w:val="auto"/>
                <w:kern w:val="0"/>
                <w:sz w:val="24"/>
                <w:highlight w:val="none"/>
              </w:rPr>
              <w:t>区域环境质量现状</w:t>
            </w:r>
          </w:p>
        </w:tc>
        <w:tc>
          <w:tcPr>
            <w:tcW w:w="4748" w:type="pct"/>
          </w:tcPr>
          <w:p w14:paraId="7CD72A33">
            <w:pPr>
              <w:spacing w:line="360" w:lineRule="auto"/>
              <w:ind w:firstLine="482" w:firstLineChars="200"/>
              <w:contextualSpacing/>
              <w:outlineLvl w:val="2"/>
              <w:rPr>
                <w:b/>
                <w:color w:val="auto"/>
                <w:sz w:val="24"/>
                <w:highlight w:val="none"/>
              </w:rPr>
            </w:pPr>
            <w:bookmarkStart w:id="14" w:name="_Toc531017790"/>
            <w:r>
              <w:rPr>
                <w:b/>
                <w:bCs/>
                <w:color w:val="auto"/>
                <w:sz w:val="24"/>
                <w:highlight w:val="none"/>
              </w:rPr>
              <w:t>一、</w:t>
            </w:r>
            <w:r>
              <w:rPr>
                <w:b/>
                <w:color w:val="auto"/>
                <w:sz w:val="24"/>
                <w:highlight w:val="none"/>
              </w:rPr>
              <w:t>环境空气</w:t>
            </w:r>
            <w:bookmarkEnd w:id="14"/>
          </w:p>
          <w:p w14:paraId="370D3AE3">
            <w:pPr>
              <w:spacing w:line="360" w:lineRule="auto"/>
              <w:ind w:firstLine="480"/>
              <w:rPr>
                <w:color w:val="auto"/>
                <w:sz w:val="24"/>
                <w:highlight w:val="none"/>
              </w:rPr>
            </w:pPr>
            <w:bookmarkStart w:id="15" w:name="_Toc12118053"/>
            <w:bookmarkStart w:id="16" w:name="_Toc531017791"/>
            <w:r>
              <w:rPr>
                <w:color w:val="auto"/>
                <w:sz w:val="24"/>
                <w:highlight w:val="none"/>
              </w:rPr>
              <w:t>1、环境空气质量标准</w:t>
            </w:r>
          </w:p>
          <w:p w14:paraId="546E3BF7">
            <w:pPr>
              <w:adjustRightInd w:val="0"/>
              <w:snapToGrid w:val="0"/>
              <w:spacing w:line="360" w:lineRule="auto"/>
              <w:ind w:firstLine="480" w:firstLineChars="200"/>
              <w:rPr>
                <w:rFonts w:hint="default" w:ascii="Times New Roman" w:hAnsi="Times New Roman" w:eastAsia="宋体" w:cs="Times New Roman"/>
                <w:color w:val="auto"/>
                <w:sz w:val="24"/>
                <w:highlight w:val="none"/>
                <w:shd w:val="clear" w:color="auto" w:fill="FFFFFF"/>
              </w:rPr>
            </w:pPr>
            <w:r>
              <w:rPr>
                <w:rFonts w:hint="default" w:ascii="Times New Roman" w:hAnsi="Times New Roman" w:eastAsia="宋体" w:cs="Times New Roman"/>
                <w:color w:val="auto"/>
                <w:sz w:val="24"/>
                <w:highlight w:val="none"/>
                <w:shd w:val="clear" w:color="auto" w:fill="FFFFFF"/>
              </w:rPr>
              <w:t>项目所在区域为环境空气功能区划中的二类区，项目所在区域为环境空气功能区划中的二类区，执行《环境空气质量标准》（GB 3095-2026）过渡阶段浓度限值的二级标准。非甲烷总烃参照执行《大气污染物综合排放标准详解》。</w:t>
            </w:r>
          </w:p>
          <w:p w14:paraId="739E4C44">
            <w:pPr>
              <w:adjustRightInd w:val="0"/>
              <w:snapToGrid w:val="0"/>
              <w:spacing w:line="360" w:lineRule="auto"/>
              <w:ind w:firstLine="480" w:firstLineChars="200"/>
              <w:rPr>
                <w:rFonts w:hint="default" w:ascii="Times New Roman" w:hAnsi="Times New Roman" w:eastAsia="宋体" w:cs="Times New Roman"/>
                <w:color w:val="auto"/>
                <w:sz w:val="24"/>
                <w:highlight w:val="none"/>
                <w:shd w:val="clear" w:color="auto" w:fill="FFFFFF"/>
              </w:rPr>
            </w:pPr>
            <w:r>
              <w:rPr>
                <w:rFonts w:hint="default" w:ascii="Times New Roman" w:hAnsi="Times New Roman" w:eastAsia="宋体" w:cs="Times New Roman"/>
                <w:color w:val="auto"/>
                <w:sz w:val="24"/>
                <w:highlight w:val="none"/>
                <w:shd w:val="clear" w:color="auto" w:fill="FFFFFF"/>
              </w:rPr>
              <w:t>标准值见表3-1。</w:t>
            </w:r>
          </w:p>
          <w:p w14:paraId="1AE0B142">
            <w:pPr>
              <w:adjustRightInd w:val="0"/>
              <w:snapToGrid w:val="0"/>
              <w:spacing w:line="360" w:lineRule="auto"/>
              <w:ind w:firstLine="482"/>
              <w:jc w:val="center"/>
              <w:rPr>
                <w:rFonts w:hint="default" w:ascii="Times New Roman" w:hAnsi="Times New Roman" w:eastAsia="宋体" w:cs="Times New Roman"/>
                <w:b/>
                <w:color w:val="auto"/>
                <w:kern w:val="24"/>
                <w:sz w:val="24"/>
                <w:highlight w:val="none"/>
              </w:rPr>
            </w:pPr>
            <w:r>
              <w:rPr>
                <w:rFonts w:hint="default" w:ascii="Times New Roman" w:hAnsi="Times New Roman" w:eastAsia="宋体" w:cs="Times New Roman"/>
                <w:b/>
                <w:color w:val="auto"/>
                <w:kern w:val="24"/>
                <w:sz w:val="24"/>
                <w:highlight w:val="none"/>
              </w:rPr>
              <w:t>表3-1  环境空气质量标准</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6"/>
              <w:gridCol w:w="1342"/>
              <w:gridCol w:w="2002"/>
              <w:gridCol w:w="878"/>
              <w:gridCol w:w="2168"/>
            </w:tblGrid>
            <w:tr w14:paraId="0A84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Merge w:val="restart"/>
                  <w:vAlign w:val="center"/>
                </w:tcPr>
                <w:p w14:paraId="0E9371C3">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
                      <w:color w:val="auto"/>
                      <w:sz w:val="21"/>
                      <w:szCs w:val="21"/>
                    </w:rPr>
                    <w:t>污染物项目</w:t>
                  </w:r>
                </w:p>
              </w:tc>
              <w:tc>
                <w:tcPr>
                  <w:tcW w:w="801" w:type="pct"/>
                  <w:vMerge w:val="restart"/>
                  <w:vAlign w:val="center"/>
                </w:tcPr>
                <w:p w14:paraId="49800887">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
                      <w:color w:val="auto"/>
                      <w:sz w:val="21"/>
                      <w:szCs w:val="21"/>
                    </w:rPr>
                    <w:t>平均时间</w:t>
                  </w:r>
                </w:p>
              </w:tc>
              <w:tc>
                <w:tcPr>
                  <w:tcW w:w="1195" w:type="pct"/>
                  <w:vAlign w:val="center"/>
                </w:tcPr>
                <w:p w14:paraId="4FD3EFD8">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
                      <w:color w:val="auto"/>
                      <w:sz w:val="21"/>
                      <w:szCs w:val="21"/>
                    </w:rPr>
                    <w:t>过渡阶段浓度限值</w:t>
                  </w:r>
                </w:p>
              </w:tc>
              <w:tc>
                <w:tcPr>
                  <w:tcW w:w="524" w:type="pct"/>
                  <w:vMerge w:val="restart"/>
                  <w:vAlign w:val="center"/>
                </w:tcPr>
                <w:p w14:paraId="10A51248">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
                      <w:color w:val="auto"/>
                      <w:sz w:val="21"/>
                      <w:szCs w:val="21"/>
                    </w:rPr>
                    <w:t>单位</w:t>
                  </w:r>
                </w:p>
              </w:tc>
              <w:tc>
                <w:tcPr>
                  <w:tcW w:w="1292" w:type="pct"/>
                  <w:vMerge w:val="restart"/>
                  <w:vAlign w:val="center"/>
                </w:tcPr>
                <w:p w14:paraId="6D289045">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eastAsia" w:ascii="Times New Roman" w:hAnsi="Times New Roman" w:eastAsia="宋体" w:cs="Times New Roman"/>
                      <w:b/>
                      <w:color w:val="auto"/>
                      <w:sz w:val="21"/>
                      <w:szCs w:val="21"/>
                      <w:lang w:val="en-US" w:eastAsia="zh-CN"/>
                    </w:rPr>
                  </w:pPr>
                  <w:r>
                    <w:rPr>
                      <w:rFonts w:hint="eastAsia" w:ascii="Times New Roman" w:hAnsi="Times New Roman" w:eastAsia="宋体" w:cs="Times New Roman"/>
                      <w:b/>
                      <w:color w:val="auto"/>
                      <w:sz w:val="21"/>
                      <w:szCs w:val="21"/>
                      <w:lang w:val="en-US" w:eastAsia="zh-CN"/>
                    </w:rPr>
                    <w:t>备注</w:t>
                  </w:r>
                </w:p>
              </w:tc>
            </w:tr>
            <w:tr w14:paraId="6EB5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Merge w:val="continue"/>
                  <w:vAlign w:val="center"/>
                </w:tcPr>
                <w:p w14:paraId="4B4938BC">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801" w:type="pct"/>
                  <w:vMerge w:val="continue"/>
                  <w:vAlign w:val="center"/>
                </w:tcPr>
                <w:p w14:paraId="53124F00">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1195" w:type="pct"/>
                  <w:vAlign w:val="center"/>
                </w:tcPr>
                <w:p w14:paraId="006D9084">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
                      <w:color w:val="auto"/>
                      <w:sz w:val="21"/>
                      <w:szCs w:val="21"/>
                    </w:rPr>
                    <w:t>二级标准</w:t>
                  </w:r>
                </w:p>
              </w:tc>
              <w:tc>
                <w:tcPr>
                  <w:tcW w:w="524" w:type="pct"/>
                  <w:vMerge w:val="continue"/>
                  <w:vAlign w:val="center"/>
                </w:tcPr>
                <w:p w14:paraId="4E078EFA">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1292" w:type="pct"/>
                  <w:vMerge w:val="continue"/>
                  <w:vAlign w:val="center"/>
                </w:tcPr>
                <w:p w14:paraId="2CBBE8FD">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r>
            <w:tr w14:paraId="0EB7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Merge w:val="restart"/>
                  <w:vAlign w:val="center"/>
                </w:tcPr>
                <w:p w14:paraId="3929593C">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color w:val="auto"/>
                      <w:sz w:val="21"/>
                      <w:szCs w:val="21"/>
                    </w:rPr>
                    <w:t>二氧化硫（SO</w:t>
                  </w:r>
                  <w:r>
                    <w:rPr>
                      <w:rFonts w:hint="default" w:ascii="Times New Roman" w:hAnsi="Times New Roman" w:eastAsia="宋体" w:cs="Times New Roman"/>
                      <w:color w:val="auto"/>
                      <w:sz w:val="21"/>
                      <w:szCs w:val="21"/>
                      <w:vertAlign w:val="subscript"/>
                    </w:rPr>
                    <w:t>2</w:t>
                  </w:r>
                  <w:r>
                    <w:rPr>
                      <w:rFonts w:hint="default" w:ascii="Times New Roman" w:hAnsi="Times New Roman" w:eastAsia="宋体" w:cs="Times New Roman"/>
                      <w:color w:val="auto"/>
                      <w:sz w:val="21"/>
                      <w:szCs w:val="21"/>
                    </w:rPr>
                    <w:t>）</w:t>
                  </w:r>
                </w:p>
              </w:tc>
              <w:tc>
                <w:tcPr>
                  <w:tcW w:w="801" w:type="pct"/>
                  <w:vAlign w:val="center"/>
                </w:tcPr>
                <w:p w14:paraId="02511291">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年平均</w:t>
                  </w:r>
                </w:p>
              </w:tc>
              <w:tc>
                <w:tcPr>
                  <w:tcW w:w="1195" w:type="pct"/>
                  <w:vAlign w:val="center"/>
                </w:tcPr>
                <w:p w14:paraId="7B41E7E4">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60</w:t>
                  </w:r>
                </w:p>
              </w:tc>
              <w:tc>
                <w:tcPr>
                  <w:tcW w:w="524" w:type="pct"/>
                  <w:vMerge w:val="restart"/>
                  <w:vAlign w:val="center"/>
                </w:tcPr>
                <w:p w14:paraId="2A69FDE8">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μg/m</w:t>
                  </w:r>
                  <w:r>
                    <w:rPr>
                      <w:rFonts w:hint="default" w:ascii="Times New Roman" w:hAnsi="Times New Roman" w:eastAsia="宋体" w:cs="Times New Roman"/>
                      <w:bCs/>
                      <w:color w:val="auto"/>
                      <w:sz w:val="21"/>
                      <w:szCs w:val="21"/>
                      <w:vertAlign w:val="superscript"/>
                    </w:rPr>
                    <w:t>3</w:t>
                  </w:r>
                </w:p>
              </w:tc>
              <w:tc>
                <w:tcPr>
                  <w:tcW w:w="1292" w:type="pct"/>
                  <w:vMerge w:val="restart"/>
                  <w:vAlign w:val="center"/>
                </w:tcPr>
                <w:p w14:paraId="3BF644B6">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《环境空气质量标准》（GB 3095-2026）过渡阶段浓度限值</w:t>
                  </w:r>
                </w:p>
              </w:tc>
            </w:tr>
            <w:tr w14:paraId="6C596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Merge w:val="continue"/>
                  <w:vAlign w:val="center"/>
                </w:tcPr>
                <w:p w14:paraId="5C3D08A8">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801" w:type="pct"/>
                  <w:vAlign w:val="center"/>
                </w:tcPr>
                <w:p w14:paraId="2C8204E7">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日平均</w:t>
                  </w:r>
                </w:p>
              </w:tc>
              <w:tc>
                <w:tcPr>
                  <w:tcW w:w="1195" w:type="pct"/>
                  <w:vAlign w:val="center"/>
                </w:tcPr>
                <w:p w14:paraId="1302CCAA">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150</w:t>
                  </w:r>
                </w:p>
              </w:tc>
              <w:tc>
                <w:tcPr>
                  <w:tcW w:w="524" w:type="pct"/>
                  <w:vMerge w:val="continue"/>
                  <w:vAlign w:val="center"/>
                </w:tcPr>
                <w:p w14:paraId="2846E424">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1292" w:type="pct"/>
                  <w:vMerge w:val="continue"/>
                  <w:vAlign w:val="center"/>
                </w:tcPr>
                <w:p w14:paraId="7D226AD1">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r>
            <w:tr w14:paraId="6B6B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Merge w:val="continue"/>
                  <w:vAlign w:val="center"/>
                </w:tcPr>
                <w:p w14:paraId="0D9B6265">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801" w:type="pct"/>
                  <w:vAlign w:val="center"/>
                </w:tcPr>
                <w:p w14:paraId="1D1A73B1">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1小时平均</w:t>
                  </w:r>
                </w:p>
              </w:tc>
              <w:tc>
                <w:tcPr>
                  <w:tcW w:w="1195" w:type="pct"/>
                  <w:vAlign w:val="center"/>
                </w:tcPr>
                <w:p w14:paraId="1AD50D38">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500</w:t>
                  </w:r>
                </w:p>
              </w:tc>
              <w:tc>
                <w:tcPr>
                  <w:tcW w:w="524" w:type="pct"/>
                  <w:vMerge w:val="continue"/>
                  <w:vAlign w:val="center"/>
                </w:tcPr>
                <w:p w14:paraId="01D63379">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1292" w:type="pct"/>
                  <w:vMerge w:val="continue"/>
                  <w:vAlign w:val="center"/>
                </w:tcPr>
                <w:p w14:paraId="37DD7C2C">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r>
            <w:tr w14:paraId="6ABE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Merge w:val="restart"/>
                  <w:vAlign w:val="center"/>
                </w:tcPr>
                <w:p w14:paraId="6072B938">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二氧化氮（NO</w:t>
                  </w:r>
                  <w:r>
                    <w:rPr>
                      <w:rFonts w:hint="default" w:ascii="Times New Roman" w:hAnsi="Times New Roman" w:eastAsia="宋体" w:cs="Times New Roman"/>
                      <w:bCs/>
                      <w:color w:val="auto"/>
                      <w:sz w:val="21"/>
                      <w:szCs w:val="21"/>
                      <w:vertAlign w:val="subscript"/>
                    </w:rPr>
                    <w:t>2</w:t>
                  </w:r>
                  <w:r>
                    <w:rPr>
                      <w:rFonts w:hint="default" w:ascii="Times New Roman" w:hAnsi="Times New Roman" w:eastAsia="宋体" w:cs="Times New Roman"/>
                      <w:bCs/>
                      <w:color w:val="auto"/>
                      <w:sz w:val="21"/>
                      <w:szCs w:val="21"/>
                    </w:rPr>
                    <w:t>）</w:t>
                  </w:r>
                </w:p>
              </w:tc>
              <w:tc>
                <w:tcPr>
                  <w:tcW w:w="801" w:type="pct"/>
                  <w:vAlign w:val="center"/>
                </w:tcPr>
                <w:p w14:paraId="2C38894A">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年平均</w:t>
                  </w:r>
                </w:p>
              </w:tc>
              <w:tc>
                <w:tcPr>
                  <w:tcW w:w="1195" w:type="pct"/>
                  <w:vAlign w:val="center"/>
                </w:tcPr>
                <w:p w14:paraId="0FF79D99">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40</w:t>
                  </w:r>
                </w:p>
              </w:tc>
              <w:tc>
                <w:tcPr>
                  <w:tcW w:w="524" w:type="pct"/>
                  <w:vMerge w:val="restart"/>
                  <w:vAlign w:val="center"/>
                </w:tcPr>
                <w:p w14:paraId="2965B586">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μg/m</w:t>
                  </w:r>
                  <w:r>
                    <w:rPr>
                      <w:rFonts w:hint="default" w:ascii="Times New Roman" w:hAnsi="Times New Roman" w:eastAsia="宋体" w:cs="Times New Roman"/>
                      <w:bCs/>
                      <w:color w:val="auto"/>
                      <w:sz w:val="21"/>
                      <w:szCs w:val="21"/>
                      <w:vertAlign w:val="superscript"/>
                    </w:rPr>
                    <w:t>3</w:t>
                  </w:r>
                </w:p>
              </w:tc>
              <w:tc>
                <w:tcPr>
                  <w:tcW w:w="1292" w:type="pct"/>
                  <w:vMerge w:val="continue"/>
                  <w:vAlign w:val="center"/>
                </w:tcPr>
                <w:p w14:paraId="38B1FE72">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Cs/>
                      <w:color w:val="auto"/>
                      <w:sz w:val="21"/>
                      <w:szCs w:val="21"/>
                    </w:rPr>
                  </w:pPr>
                </w:p>
              </w:tc>
            </w:tr>
            <w:tr w14:paraId="0575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Merge w:val="continue"/>
                  <w:vAlign w:val="center"/>
                </w:tcPr>
                <w:p w14:paraId="797A6EEB">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801" w:type="pct"/>
                  <w:vAlign w:val="center"/>
                </w:tcPr>
                <w:p w14:paraId="68FE34EA">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日平均</w:t>
                  </w:r>
                </w:p>
              </w:tc>
              <w:tc>
                <w:tcPr>
                  <w:tcW w:w="1195" w:type="pct"/>
                  <w:vAlign w:val="center"/>
                </w:tcPr>
                <w:p w14:paraId="7B40E579">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80</w:t>
                  </w:r>
                </w:p>
              </w:tc>
              <w:tc>
                <w:tcPr>
                  <w:tcW w:w="524" w:type="pct"/>
                  <w:vMerge w:val="continue"/>
                  <w:vAlign w:val="center"/>
                </w:tcPr>
                <w:p w14:paraId="381F77FE">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1292" w:type="pct"/>
                  <w:vMerge w:val="continue"/>
                  <w:vAlign w:val="center"/>
                </w:tcPr>
                <w:p w14:paraId="7CFFF25E">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r>
            <w:tr w14:paraId="62CC7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Merge w:val="continue"/>
                  <w:vAlign w:val="center"/>
                </w:tcPr>
                <w:p w14:paraId="6CEC6B12">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801" w:type="pct"/>
                  <w:vAlign w:val="center"/>
                </w:tcPr>
                <w:p w14:paraId="44D48E4B">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1小时平均</w:t>
                  </w:r>
                </w:p>
              </w:tc>
              <w:tc>
                <w:tcPr>
                  <w:tcW w:w="1195" w:type="pct"/>
                  <w:vAlign w:val="center"/>
                </w:tcPr>
                <w:p w14:paraId="2963BDB9">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200</w:t>
                  </w:r>
                </w:p>
              </w:tc>
              <w:tc>
                <w:tcPr>
                  <w:tcW w:w="524" w:type="pct"/>
                  <w:vMerge w:val="continue"/>
                  <w:vAlign w:val="center"/>
                </w:tcPr>
                <w:p w14:paraId="264BAF35">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1292" w:type="pct"/>
                  <w:vMerge w:val="continue"/>
                  <w:vAlign w:val="center"/>
                </w:tcPr>
                <w:p w14:paraId="0278CF41">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r>
            <w:tr w14:paraId="73CB8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Merge w:val="restart"/>
                  <w:vAlign w:val="center"/>
                </w:tcPr>
                <w:p w14:paraId="11A85A1F">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一氧化碳（CO）</w:t>
                  </w:r>
                </w:p>
              </w:tc>
              <w:tc>
                <w:tcPr>
                  <w:tcW w:w="801" w:type="pct"/>
                  <w:vAlign w:val="center"/>
                </w:tcPr>
                <w:p w14:paraId="02961B73">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日平均</w:t>
                  </w:r>
                </w:p>
              </w:tc>
              <w:tc>
                <w:tcPr>
                  <w:tcW w:w="1195" w:type="pct"/>
                  <w:vAlign w:val="center"/>
                </w:tcPr>
                <w:p w14:paraId="53A7C97E">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4</w:t>
                  </w:r>
                </w:p>
              </w:tc>
              <w:tc>
                <w:tcPr>
                  <w:tcW w:w="524" w:type="pct"/>
                  <w:vMerge w:val="restart"/>
                  <w:vAlign w:val="center"/>
                </w:tcPr>
                <w:p w14:paraId="66E9C1E3">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mg/m</w:t>
                  </w:r>
                  <w:r>
                    <w:rPr>
                      <w:rFonts w:hint="default" w:ascii="Times New Roman" w:hAnsi="Times New Roman" w:eastAsia="宋体" w:cs="Times New Roman"/>
                      <w:bCs/>
                      <w:color w:val="auto"/>
                      <w:sz w:val="21"/>
                      <w:szCs w:val="21"/>
                      <w:vertAlign w:val="superscript"/>
                    </w:rPr>
                    <w:t>3</w:t>
                  </w:r>
                </w:p>
              </w:tc>
              <w:tc>
                <w:tcPr>
                  <w:tcW w:w="1292" w:type="pct"/>
                  <w:vMerge w:val="continue"/>
                  <w:vAlign w:val="center"/>
                </w:tcPr>
                <w:p w14:paraId="3A87EA4F">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Cs/>
                      <w:color w:val="auto"/>
                      <w:sz w:val="21"/>
                      <w:szCs w:val="21"/>
                    </w:rPr>
                  </w:pPr>
                </w:p>
              </w:tc>
            </w:tr>
            <w:tr w14:paraId="4B42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Merge w:val="continue"/>
                  <w:vAlign w:val="center"/>
                </w:tcPr>
                <w:p w14:paraId="52D33195">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801" w:type="pct"/>
                  <w:vAlign w:val="center"/>
                </w:tcPr>
                <w:p w14:paraId="0B21F68D">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1小时平均</w:t>
                  </w:r>
                </w:p>
              </w:tc>
              <w:tc>
                <w:tcPr>
                  <w:tcW w:w="1195" w:type="pct"/>
                  <w:vAlign w:val="center"/>
                </w:tcPr>
                <w:p w14:paraId="30FC3566">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10</w:t>
                  </w:r>
                </w:p>
              </w:tc>
              <w:tc>
                <w:tcPr>
                  <w:tcW w:w="524" w:type="pct"/>
                  <w:vMerge w:val="continue"/>
                  <w:vAlign w:val="center"/>
                </w:tcPr>
                <w:p w14:paraId="6C4C9C1E">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1292" w:type="pct"/>
                  <w:vMerge w:val="continue"/>
                  <w:vAlign w:val="center"/>
                </w:tcPr>
                <w:p w14:paraId="683BAD73">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r>
            <w:tr w14:paraId="4F446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Merge w:val="restart"/>
                  <w:vAlign w:val="center"/>
                </w:tcPr>
                <w:p w14:paraId="76FA5865">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臭氧（O</w:t>
                  </w:r>
                  <w:r>
                    <w:rPr>
                      <w:rFonts w:hint="default" w:ascii="Times New Roman" w:hAnsi="Times New Roman" w:eastAsia="宋体" w:cs="Times New Roman"/>
                      <w:bCs/>
                      <w:color w:val="auto"/>
                      <w:sz w:val="21"/>
                      <w:szCs w:val="21"/>
                      <w:vertAlign w:val="subscript"/>
                    </w:rPr>
                    <w:t>3</w:t>
                  </w:r>
                  <w:r>
                    <w:rPr>
                      <w:rFonts w:hint="default" w:ascii="Times New Roman" w:hAnsi="Times New Roman" w:eastAsia="宋体" w:cs="Times New Roman"/>
                      <w:bCs/>
                      <w:color w:val="auto"/>
                      <w:sz w:val="21"/>
                      <w:szCs w:val="21"/>
                    </w:rPr>
                    <w:t>）</w:t>
                  </w:r>
                </w:p>
              </w:tc>
              <w:tc>
                <w:tcPr>
                  <w:tcW w:w="801" w:type="pct"/>
                  <w:vAlign w:val="center"/>
                </w:tcPr>
                <w:p w14:paraId="7D1E011D">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日最大8小时平均</w:t>
                  </w:r>
                </w:p>
              </w:tc>
              <w:tc>
                <w:tcPr>
                  <w:tcW w:w="1195" w:type="pct"/>
                  <w:vAlign w:val="center"/>
                </w:tcPr>
                <w:p w14:paraId="031DC16E">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160</w:t>
                  </w:r>
                </w:p>
              </w:tc>
              <w:tc>
                <w:tcPr>
                  <w:tcW w:w="524" w:type="pct"/>
                  <w:vMerge w:val="restart"/>
                  <w:vAlign w:val="center"/>
                </w:tcPr>
                <w:p w14:paraId="2792513C">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μg/m</w:t>
                  </w:r>
                  <w:r>
                    <w:rPr>
                      <w:rFonts w:hint="default" w:ascii="Times New Roman" w:hAnsi="Times New Roman" w:eastAsia="宋体" w:cs="Times New Roman"/>
                      <w:bCs/>
                      <w:color w:val="auto"/>
                      <w:sz w:val="21"/>
                      <w:szCs w:val="21"/>
                      <w:vertAlign w:val="superscript"/>
                    </w:rPr>
                    <w:t>3</w:t>
                  </w:r>
                </w:p>
              </w:tc>
              <w:tc>
                <w:tcPr>
                  <w:tcW w:w="1292" w:type="pct"/>
                  <w:vMerge w:val="continue"/>
                  <w:vAlign w:val="center"/>
                </w:tcPr>
                <w:p w14:paraId="50CB2FE0">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Cs/>
                      <w:color w:val="auto"/>
                      <w:sz w:val="21"/>
                      <w:szCs w:val="21"/>
                    </w:rPr>
                  </w:pPr>
                </w:p>
              </w:tc>
            </w:tr>
            <w:tr w14:paraId="405B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Merge w:val="continue"/>
                  <w:vAlign w:val="center"/>
                </w:tcPr>
                <w:p w14:paraId="334BD0D1">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801" w:type="pct"/>
                  <w:vAlign w:val="center"/>
                </w:tcPr>
                <w:p w14:paraId="7E96BF0F">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1小时平均</w:t>
                  </w:r>
                </w:p>
              </w:tc>
              <w:tc>
                <w:tcPr>
                  <w:tcW w:w="1195" w:type="pct"/>
                  <w:vAlign w:val="center"/>
                </w:tcPr>
                <w:p w14:paraId="782C9A2E">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200</w:t>
                  </w:r>
                </w:p>
              </w:tc>
              <w:tc>
                <w:tcPr>
                  <w:tcW w:w="524" w:type="pct"/>
                  <w:vMerge w:val="continue"/>
                  <w:vAlign w:val="center"/>
                </w:tcPr>
                <w:p w14:paraId="5EDE0ED6">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1292" w:type="pct"/>
                  <w:vMerge w:val="continue"/>
                  <w:vAlign w:val="center"/>
                </w:tcPr>
                <w:p w14:paraId="6CE72D83">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r>
            <w:tr w14:paraId="5078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Merge w:val="restart"/>
                  <w:vAlign w:val="center"/>
                </w:tcPr>
                <w:p w14:paraId="59A42D9A">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颗粒物（粒径小于等于10 μm，PM</w:t>
                  </w:r>
                  <w:r>
                    <w:rPr>
                      <w:rFonts w:hint="default" w:ascii="Times New Roman" w:hAnsi="Times New Roman" w:eastAsia="宋体" w:cs="Times New Roman"/>
                      <w:bCs/>
                      <w:color w:val="auto"/>
                      <w:sz w:val="21"/>
                      <w:szCs w:val="21"/>
                      <w:vertAlign w:val="subscript"/>
                    </w:rPr>
                    <w:t>10</w:t>
                  </w:r>
                  <w:r>
                    <w:rPr>
                      <w:rFonts w:hint="default" w:ascii="Times New Roman" w:hAnsi="Times New Roman" w:eastAsia="宋体" w:cs="Times New Roman"/>
                      <w:bCs/>
                      <w:color w:val="auto"/>
                      <w:sz w:val="21"/>
                      <w:szCs w:val="21"/>
                    </w:rPr>
                    <w:t>）</w:t>
                  </w:r>
                </w:p>
              </w:tc>
              <w:tc>
                <w:tcPr>
                  <w:tcW w:w="801" w:type="pct"/>
                  <w:vAlign w:val="center"/>
                </w:tcPr>
                <w:p w14:paraId="0A7643A4">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年平均</w:t>
                  </w:r>
                </w:p>
              </w:tc>
              <w:tc>
                <w:tcPr>
                  <w:tcW w:w="1195" w:type="pct"/>
                  <w:vAlign w:val="center"/>
                </w:tcPr>
                <w:p w14:paraId="760DA41F">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60</w:t>
                  </w:r>
                </w:p>
              </w:tc>
              <w:tc>
                <w:tcPr>
                  <w:tcW w:w="524" w:type="pct"/>
                  <w:vMerge w:val="restart"/>
                  <w:vAlign w:val="center"/>
                </w:tcPr>
                <w:p w14:paraId="045E2649">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μg/m</w:t>
                  </w:r>
                  <w:r>
                    <w:rPr>
                      <w:rFonts w:hint="default" w:ascii="Times New Roman" w:hAnsi="Times New Roman" w:eastAsia="宋体" w:cs="Times New Roman"/>
                      <w:bCs/>
                      <w:color w:val="auto"/>
                      <w:sz w:val="21"/>
                      <w:szCs w:val="21"/>
                      <w:vertAlign w:val="superscript"/>
                    </w:rPr>
                    <w:t>3</w:t>
                  </w:r>
                </w:p>
              </w:tc>
              <w:tc>
                <w:tcPr>
                  <w:tcW w:w="1292" w:type="pct"/>
                  <w:vMerge w:val="continue"/>
                  <w:vAlign w:val="center"/>
                </w:tcPr>
                <w:p w14:paraId="056FA138">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Cs/>
                      <w:color w:val="auto"/>
                      <w:sz w:val="21"/>
                      <w:szCs w:val="21"/>
                    </w:rPr>
                  </w:pPr>
                </w:p>
              </w:tc>
            </w:tr>
            <w:tr w14:paraId="555D3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Merge w:val="continue"/>
                  <w:vAlign w:val="center"/>
                </w:tcPr>
                <w:p w14:paraId="409E822B">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801" w:type="pct"/>
                  <w:vAlign w:val="center"/>
                </w:tcPr>
                <w:p w14:paraId="1BF488E9">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日平均</w:t>
                  </w:r>
                </w:p>
              </w:tc>
              <w:tc>
                <w:tcPr>
                  <w:tcW w:w="1195" w:type="pct"/>
                  <w:vAlign w:val="center"/>
                </w:tcPr>
                <w:p w14:paraId="0F350B98">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120</w:t>
                  </w:r>
                </w:p>
              </w:tc>
              <w:tc>
                <w:tcPr>
                  <w:tcW w:w="524" w:type="pct"/>
                  <w:vMerge w:val="continue"/>
                  <w:vAlign w:val="center"/>
                </w:tcPr>
                <w:p w14:paraId="4BC1BC9E">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1292" w:type="pct"/>
                  <w:vMerge w:val="continue"/>
                  <w:vAlign w:val="center"/>
                </w:tcPr>
                <w:p w14:paraId="4A0D80B3">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r>
            <w:tr w14:paraId="08A6E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Merge w:val="restart"/>
                  <w:vAlign w:val="center"/>
                </w:tcPr>
                <w:p w14:paraId="7F4E7101">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颗粒物（粒径小于等于2.5 μm，PM</w:t>
                  </w:r>
                  <w:r>
                    <w:rPr>
                      <w:rFonts w:hint="default" w:ascii="Times New Roman" w:hAnsi="Times New Roman" w:eastAsia="宋体" w:cs="Times New Roman"/>
                      <w:bCs/>
                      <w:color w:val="auto"/>
                      <w:sz w:val="21"/>
                      <w:szCs w:val="21"/>
                      <w:vertAlign w:val="subscript"/>
                    </w:rPr>
                    <w:t>2.5</w:t>
                  </w:r>
                  <w:r>
                    <w:rPr>
                      <w:rFonts w:hint="default" w:ascii="Times New Roman" w:hAnsi="Times New Roman" w:eastAsia="宋体" w:cs="Times New Roman"/>
                      <w:bCs/>
                      <w:color w:val="auto"/>
                      <w:sz w:val="21"/>
                      <w:szCs w:val="21"/>
                    </w:rPr>
                    <w:t>）</w:t>
                  </w:r>
                </w:p>
              </w:tc>
              <w:tc>
                <w:tcPr>
                  <w:tcW w:w="801" w:type="pct"/>
                  <w:vAlign w:val="center"/>
                </w:tcPr>
                <w:p w14:paraId="7F523C71">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年平均</w:t>
                  </w:r>
                </w:p>
              </w:tc>
              <w:tc>
                <w:tcPr>
                  <w:tcW w:w="1195" w:type="pct"/>
                  <w:vAlign w:val="center"/>
                </w:tcPr>
                <w:p w14:paraId="10E5B410">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30</w:t>
                  </w:r>
                </w:p>
              </w:tc>
              <w:tc>
                <w:tcPr>
                  <w:tcW w:w="524" w:type="pct"/>
                  <w:vMerge w:val="restart"/>
                  <w:vAlign w:val="center"/>
                </w:tcPr>
                <w:p w14:paraId="57398AC6">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μg/m</w:t>
                  </w:r>
                  <w:r>
                    <w:rPr>
                      <w:rFonts w:hint="default" w:ascii="Times New Roman" w:hAnsi="Times New Roman" w:eastAsia="宋体" w:cs="Times New Roman"/>
                      <w:bCs/>
                      <w:color w:val="auto"/>
                      <w:sz w:val="21"/>
                      <w:szCs w:val="21"/>
                      <w:vertAlign w:val="superscript"/>
                    </w:rPr>
                    <w:t>3</w:t>
                  </w:r>
                </w:p>
              </w:tc>
              <w:tc>
                <w:tcPr>
                  <w:tcW w:w="1292" w:type="pct"/>
                  <w:vMerge w:val="continue"/>
                  <w:vAlign w:val="center"/>
                </w:tcPr>
                <w:p w14:paraId="3A57A0F3">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Cs/>
                      <w:color w:val="auto"/>
                      <w:sz w:val="21"/>
                      <w:szCs w:val="21"/>
                    </w:rPr>
                  </w:pPr>
                </w:p>
              </w:tc>
            </w:tr>
            <w:tr w14:paraId="7C23D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Merge w:val="continue"/>
                  <w:vAlign w:val="center"/>
                </w:tcPr>
                <w:p w14:paraId="3930024C">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801" w:type="pct"/>
                  <w:vAlign w:val="center"/>
                </w:tcPr>
                <w:p w14:paraId="01D4E28C">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日平均</w:t>
                  </w:r>
                </w:p>
              </w:tc>
              <w:tc>
                <w:tcPr>
                  <w:tcW w:w="1195" w:type="pct"/>
                  <w:vAlign w:val="center"/>
                </w:tcPr>
                <w:p w14:paraId="5F03CC88">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60</w:t>
                  </w:r>
                </w:p>
              </w:tc>
              <w:tc>
                <w:tcPr>
                  <w:tcW w:w="524" w:type="pct"/>
                  <w:vMerge w:val="continue"/>
                  <w:vAlign w:val="center"/>
                </w:tcPr>
                <w:p w14:paraId="6A134D5A">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1292" w:type="pct"/>
                  <w:vMerge w:val="continue"/>
                  <w:vAlign w:val="center"/>
                </w:tcPr>
                <w:p w14:paraId="54597DD9">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r>
            <w:tr w14:paraId="7DA8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Merge w:val="restart"/>
                  <w:vAlign w:val="center"/>
                </w:tcPr>
                <w:p w14:paraId="4F65DB8D">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Cs/>
                      <w:color w:val="auto"/>
                      <w:kern w:val="24"/>
                      <w:sz w:val="21"/>
                      <w:szCs w:val="21"/>
                    </w:rPr>
                  </w:pPr>
                  <w:r>
                    <w:rPr>
                      <w:rFonts w:hint="default" w:ascii="Times New Roman" w:hAnsi="Times New Roman" w:eastAsia="宋体" w:cs="Times New Roman"/>
                      <w:bCs/>
                      <w:color w:val="auto"/>
                      <w:kern w:val="24"/>
                      <w:sz w:val="21"/>
                      <w:szCs w:val="21"/>
                    </w:rPr>
                    <w:t>氮氧化物（NOx）</w:t>
                  </w:r>
                </w:p>
                <w:p w14:paraId="7AE4E174">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Cs/>
                      <w:color w:val="auto"/>
                      <w:kern w:val="24"/>
                      <w:sz w:val="21"/>
                      <w:szCs w:val="21"/>
                    </w:rPr>
                  </w:pPr>
                  <w:r>
                    <w:rPr>
                      <w:rFonts w:hint="default" w:ascii="Times New Roman" w:hAnsi="Times New Roman" w:eastAsia="宋体" w:cs="Times New Roman"/>
                      <w:bCs/>
                      <w:color w:val="auto"/>
                      <w:kern w:val="24"/>
                      <w:sz w:val="21"/>
                      <w:szCs w:val="21"/>
                    </w:rPr>
                    <w:t>（以</w:t>
                  </w:r>
                  <w:r>
                    <w:rPr>
                      <w:rFonts w:hint="default" w:ascii="Times New Roman" w:hAnsi="Times New Roman" w:eastAsia="宋体" w:cs="Times New Roman"/>
                      <w:bCs/>
                      <w:color w:val="auto"/>
                      <w:sz w:val="21"/>
                      <w:szCs w:val="21"/>
                    </w:rPr>
                    <w:t>NO</w:t>
                  </w:r>
                  <w:r>
                    <w:rPr>
                      <w:rFonts w:hint="default" w:ascii="Times New Roman" w:hAnsi="Times New Roman" w:eastAsia="宋体" w:cs="Times New Roman"/>
                      <w:bCs/>
                      <w:color w:val="auto"/>
                      <w:sz w:val="21"/>
                      <w:szCs w:val="21"/>
                      <w:vertAlign w:val="subscript"/>
                    </w:rPr>
                    <w:t>2</w:t>
                  </w:r>
                  <w:r>
                    <w:rPr>
                      <w:rFonts w:hint="default" w:ascii="Times New Roman" w:hAnsi="Times New Roman" w:eastAsia="宋体" w:cs="Times New Roman"/>
                      <w:bCs/>
                      <w:color w:val="auto"/>
                      <w:sz w:val="21"/>
                      <w:szCs w:val="21"/>
                    </w:rPr>
                    <w:t>计</w:t>
                  </w:r>
                  <w:r>
                    <w:rPr>
                      <w:rFonts w:hint="default" w:ascii="Times New Roman" w:hAnsi="Times New Roman" w:eastAsia="宋体" w:cs="Times New Roman"/>
                      <w:bCs/>
                      <w:color w:val="auto"/>
                      <w:kern w:val="24"/>
                      <w:sz w:val="21"/>
                      <w:szCs w:val="21"/>
                    </w:rPr>
                    <w:t>）</w:t>
                  </w:r>
                </w:p>
              </w:tc>
              <w:tc>
                <w:tcPr>
                  <w:tcW w:w="801" w:type="pct"/>
                  <w:vAlign w:val="center"/>
                </w:tcPr>
                <w:p w14:paraId="39AA22F1">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Cs/>
                      <w:color w:val="auto"/>
                      <w:kern w:val="24"/>
                      <w:sz w:val="21"/>
                      <w:szCs w:val="21"/>
                    </w:rPr>
                  </w:pPr>
                  <w:r>
                    <w:rPr>
                      <w:rFonts w:hint="default" w:ascii="Times New Roman" w:hAnsi="Times New Roman" w:eastAsia="宋体" w:cs="Times New Roman"/>
                      <w:bCs/>
                      <w:color w:val="auto"/>
                      <w:sz w:val="21"/>
                      <w:szCs w:val="21"/>
                    </w:rPr>
                    <w:t>年平均</w:t>
                  </w:r>
                </w:p>
              </w:tc>
              <w:tc>
                <w:tcPr>
                  <w:tcW w:w="1195" w:type="pct"/>
                  <w:vAlign w:val="center"/>
                </w:tcPr>
                <w:p w14:paraId="4F0B3E82">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Cs/>
                      <w:color w:val="auto"/>
                      <w:kern w:val="24"/>
                      <w:sz w:val="21"/>
                      <w:szCs w:val="21"/>
                    </w:rPr>
                  </w:pPr>
                  <w:r>
                    <w:rPr>
                      <w:rFonts w:hint="default" w:ascii="Times New Roman" w:hAnsi="Times New Roman" w:eastAsia="宋体" w:cs="Times New Roman"/>
                      <w:bCs/>
                      <w:color w:val="auto"/>
                      <w:kern w:val="24"/>
                      <w:sz w:val="21"/>
                      <w:szCs w:val="21"/>
                    </w:rPr>
                    <w:t>50</w:t>
                  </w:r>
                </w:p>
              </w:tc>
              <w:tc>
                <w:tcPr>
                  <w:tcW w:w="524" w:type="pct"/>
                  <w:vMerge w:val="restart"/>
                  <w:vAlign w:val="center"/>
                </w:tcPr>
                <w:p w14:paraId="7D69DB96">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μg/m</w:t>
                  </w:r>
                  <w:r>
                    <w:rPr>
                      <w:rFonts w:hint="default" w:ascii="Times New Roman" w:hAnsi="Times New Roman" w:eastAsia="宋体" w:cs="Times New Roman"/>
                      <w:bCs/>
                      <w:color w:val="auto"/>
                      <w:sz w:val="21"/>
                      <w:szCs w:val="21"/>
                      <w:vertAlign w:val="superscript"/>
                    </w:rPr>
                    <w:t>3</w:t>
                  </w:r>
                </w:p>
              </w:tc>
              <w:tc>
                <w:tcPr>
                  <w:tcW w:w="1292" w:type="pct"/>
                  <w:vMerge w:val="continue"/>
                  <w:vAlign w:val="center"/>
                </w:tcPr>
                <w:p w14:paraId="11A0370A">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Cs/>
                      <w:color w:val="auto"/>
                      <w:sz w:val="21"/>
                      <w:szCs w:val="21"/>
                    </w:rPr>
                  </w:pPr>
                </w:p>
              </w:tc>
            </w:tr>
            <w:tr w14:paraId="319C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Merge w:val="continue"/>
                  <w:vAlign w:val="center"/>
                </w:tcPr>
                <w:p w14:paraId="3F48FF88">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801" w:type="pct"/>
                  <w:vAlign w:val="center"/>
                </w:tcPr>
                <w:p w14:paraId="6E7FDC38">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Cs/>
                      <w:color w:val="auto"/>
                      <w:kern w:val="24"/>
                      <w:sz w:val="21"/>
                      <w:szCs w:val="21"/>
                    </w:rPr>
                  </w:pPr>
                  <w:r>
                    <w:rPr>
                      <w:rFonts w:hint="default" w:ascii="Times New Roman" w:hAnsi="Times New Roman" w:eastAsia="宋体" w:cs="Times New Roman"/>
                      <w:bCs/>
                      <w:color w:val="auto"/>
                      <w:sz w:val="21"/>
                      <w:szCs w:val="21"/>
                    </w:rPr>
                    <w:t>日平均</w:t>
                  </w:r>
                </w:p>
              </w:tc>
              <w:tc>
                <w:tcPr>
                  <w:tcW w:w="1195" w:type="pct"/>
                  <w:vAlign w:val="center"/>
                </w:tcPr>
                <w:p w14:paraId="3A304C0D">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Cs/>
                      <w:color w:val="auto"/>
                      <w:kern w:val="24"/>
                      <w:sz w:val="21"/>
                      <w:szCs w:val="21"/>
                    </w:rPr>
                  </w:pPr>
                  <w:r>
                    <w:rPr>
                      <w:rFonts w:hint="default" w:ascii="Times New Roman" w:hAnsi="Times New Roman" w:eastAsia="宋体" w:cs="Times New Roman"/>
                      <w:bCs/>
                      <w:color w:val="auto"/>
                      <w:kern w:val="24"/>
                      <w:sz w:val="21"/>
                      <w:szCs w:val="21"/>
                    </w:rPr>
                    <w:t>100</w:t>
                  </w:r>
                </w:p>
              </w:tc>
              <w:tc>
                <w:tcPr>
                  <w:tcW w:w="524" w:type="pct"/>
                  <w:vMerge w:val="continue"/>
                  <w:vAlign w:val="center"/>
                </w:tcPr>
                <w:p w14:paraId="76926A48">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1292" w:type="pct"/>
                  <w:vMerge w:val="continue"/>
                  <w:vAlign w:val="center"/>
                </w:tcPr>
                <w:p w14:paraId="5E0946A3">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r>
            <w:tr w14:paraId="40B20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Merge w:val="continue"/>
                  <w:vAlign w:val="center"/>
                </w:tcPr>
                <w:p w14:paraId="53D3CC0F">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801" w:type="pct"/>
                  <w:vAlign w:val="center"/>
                </w:tcPr>
                <w:p w14:paraId="7F483B0E">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r>
                    <w:rPr>
                      <w:rFonts w:hint="default" w:ascii="Times New Roman" w:hAnsi="Times New Roman" w:eastAsia="宋体" w:cs="Times New Roman"/>
                      <w:bCs/>
                      <w:color w:val="auto"/>
                      <w:sz w:val="21"/>
                      <w:szCs w:val="21"/>
                    </w:rPr>
                    <w:t>1小时平均</w:t>
                  </w:r>
                </w:p>
              </w:tc>
              <w:tc>
                <w:tcPr>
                  <w:tcW w:w="1195" w:type="pct"/>
                  <w:vAlign w:val="center"/>
                </w:tcPr>
                <w:p w14:paraId="110E7F9A">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Cs/>
                      <w:color w:val="auto"/>
                      <w:kern w:val="24"/>
                      <w:sz w:val="21"/>
                      <w:szCs w:val="21"/>
                    </w:rPr>
                  </w:pPr>
                  <w:r>
                    <w:rPr>
                      <w:rFonts w:hint="default" w:ascii="Times New Roman" w:hAnsi="Times New Roman" w:eastAsia="宋体" w:cs="Times New Roman"/>
                      <w:bCs/>
                      <w:color w:val="auto"/>
                      <w:kern w:val="24"/>
                      <w:sz w:val="21"/>
                      <w:szCs w:val="21"/>
                    </w:rPr>
                    <w:t>250</w:t>
                  </w:r>
                </w:p>
              </w:tc>
              <w:tc>
                <w:tcPr>
                  <w:tcW w:w="524" w:type="pct"/>
                  <w:vMerge w:val="continue"/>
                  <w:vAlign w:val="center"/>
                </w:tcPr>
                <w:p w14:paraId="50A689AC">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c>
                <w:tcPr>
                  <w:tcW w:w="1292" w:type="pct"/>
                  <w:vMerge w:val="continue"/>
                  <w:vAlign w:val="center"/>
                </w:tcPr>
                <w:p w14:paraId="04D9C420">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color w:val="auto"/>
                      <w:kern w:val="24"/>
                      <w:sz w:val="21"/>
                      <w:szCs w:val="21"/>
                    </w:rPr>
                  </w:pPr>
                </w:p>
              </w:tc>
            </w:tr>
            <w:tr w14:paraId="2E8F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pct"/>
                  <w:vAlign w:val="center"/>
                </w:tcPr>
                <w:p w14:paraId="2B80E5B9">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val="0"/>
                      <w:bCs/>
                      <w:color w:val="auto"/>
                      <w:kern w:val="24"/>
                      <w:sz w:val="21"/>
                      <w:szCs w:val="21"/>
                      <w:lang w:val="en-US" w:eastAsia="zh-CN"/>
                    </w:rPr>
                  </w:pPr>
                  <w:r>
                    <w:rPr>
                      <w:rFonts w:hint="eastAsia" w:ascii="Times New Roman" w:hAnsi="Times New Roman" w:eastAsia="宋体" w:cs="Times New Roman"/>
                      <w:b w:val="0"/>
                      <w:bCs/>
                      <w:color w:val="auto"/>
                      <w:kern w:val="24"/>
                      <w:sz w:val="21"/>
                      <w:szCs w:val="21"/>
                      <w:lang w:val="en-US" w:eastAsia="zh-CN"/>
                    </w:rPr>
                    <w:t>非甲烷总烃</w:t>
                  </w:r>
                </w:p>
              </w:tc>
              <w:tc>
                <w:tcPr>
                  <w:tcW w:w="801" w:type="pct"/>
                  <w:vAlign w:val="center"/>
                </w:tcPr>
                <w:p w14:paraId="11E35614">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1小时平均</w:t>
                  </w:r>
                </w:p>
              </w:tc>
              <w:tc>
                <w:tcPr>
                  <w:tcW w:w="1195" w:type="pct"/>
                  <w:vAlign w:val="center"/>
                </w:tcPr>
                <w:p w14:paraId="7F9C010E">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val="0"/>
                      <w:bCs/>
                      <w:color w:val="auto"/>
                      <w:kern w:val="24"/>
                      <w:sz w:val="21"/>
                      <w:szCs w:val="21"/>
                      <w:lang w:val="en-US" w:eastAsia="zh-CN"/>
                    </w:rPr>
                  </w:pPr>
                  <w:r>
                    <w:rPr>
                      <w:rFonts w:hint="eastAsia" w:cs="Times New Roman"/>
                      <w:b w:val="0"/>
                      <w:bCs/>
                      <w:color w:val="auto"/>
                      <w:kern w:val="24"/>
                      <w:sz w:val="21"/>
                      <w:szCs w:val="21"/>
                      <w:lang w:val="en-US" w:eastAsia="zh-CN"/>
                    </w:rPr>
                    <w:t>2.0</w:t>
                  </w:r>
                </w:p>
              </w:tc>
              <w:tc>
                <w:tcPr>
                  <w:tcW w:w="524" w:type="pct"/>
                  <w:vAlign w:val="center"/>
                </w:tcPr>
                <w:p w14:paraId="6F554005">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eastAsia" w:ascii="Times New Roman" w:hAnsi="Times New Roman" w:eastAsia="宋体" w:cs="Times New Roman"/>
                      <w:b w:val="0"/>
                      <w:bCs/>
                      <w:color w:val="auto"/>
                      <w:kern w:val="24"/>
                      <w:sz w:val="21"/>
                      <w:szCs w:val="21"/>
                      <w:lang w:val="en-US" w:eastAsia="zh-CN"/>
                    </w:rPr>
                  </w:pPr>
                  <w:r>
                    <w:rPr>
                      <w:rFonts w:hint="default" w:ascii="Times New Roman" w:hAnsi="Times New Roman" w:eastAsia="宋体" w:cs="Times New Roman"/>
                      <w:b w:val="0"/>
                      <w:bCs/>
                      <w:color w:val="auto"/>
                      <w:kern w:val="24"/>
                      <w:sz w:val="21"/>
                      <w:szCs w:val="21"/>
                    </w:rPr>
                    <w:t>mg/</w:t>
                  </w:r>
                  <w:r>
                    <w:rPr>
                      <w:rFonts w:hint="eastAsia" w:ascii="Times New Roman" w:hAnsi="Times New Roman" w:eastAsia="宋体" w:cs="Times New Roman"/>
                      <w:b w:val="0"/>
                      <w:bCs/>
                      <w:color w:val="auto"/>
                      <w:kern w:val="24"/>
                      <w:sz w:val="21"/>
                      <w:szCs w:val="21"/>
                      <w:lang w:val="en-US" w:eastAsia="zh-CN"/>
                    </w:rPr>
                    <w:t>m³</w:t>
                  </w:r>
                </w:p>
              </w:tc>
              <w:tc>
                <w:tcPr>
                  <w:tcW w:w="1292" w:type="pct"/>
                  <w:vAlign w:val="center"/>
                </w:tcPr>
                <w:p w14:paraId="7C6D7D43">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eastAsia" w:ascii="Times New Roman" w:hAnsi="Times New Roman" w:eastAsia="宋体" w:cs="Times New Roman"/>
                      <w:b w:val="0"/>
                      <w:bCs/>
                      <w:color w:val="auto"/>
                      <w:kern w:val="24"/>
                      <w:sz w:val="21"/>
                      <w:szCs w:val="21"/>
                      <w:lang w:eastAsia="zh-CN"/>
                    </w:rPr>
                  </w:pPr>
                  <w:r>
                    <w:rPr>
                      <w:rFonts w:hint="eastAsia" w:ascii="Times New Roman" w:hAnsi="Times New Roman" w:eastAsia="宋体" w:cs="Times New Roman"/>
                      <w:b w:val="0"/>
                      <w:bCs/>
                      <w:color w:val="auto"/>
                      <w:kern w:val="24"/>
                      <w:sz w:val="21"/>
                      <w:szCs w:val="21"/>
                      <w:lang w:eastAsia="zh-CN"/>
                    </w:rPr>
                    <w:t>《大气污染物综合排放标准详解》</w:t>
                  </w:r>
                </w:p>
              </w:tc>
            </w:tr>
            <w:tr w14:paraId="0CD1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6B4B0DC8">
                  <w:pPr>
                    <w:keepNext w:val="0"/>
                    <w:keepLines w:val="0"/>
                    <w:pageBreakBefore w:val="0"/>
                    <w:widowControl w:val="0"/>
                    <w:kinsoku/>
                    <w:wordWrap/>
                    <w:overflowPunct/>
                    <w:topLinePunct w:val="0"/>
                    <w:autoSpaceDE/>
                    <w:autoSpaceDN/>
                    <w:bidi w:val="0"/>
                    <w:adjustRightInd w:val="0"/>
                    <w:snapToGrid w:val="0"/>
                    <w:ind w:firstLine="0"/>
                    <w:jc w:val="center"/>
                    <w:textAlignment w:val="auto"/>
                    <w:rPr>
                      <w:rFonts w:hint="default" w:ascii="Times New Roman" w:hAnsi="Times New Roman" w:eastAsia="宋体" w:cs="Times New Roman"/>
                      <w:b w:val="0"/>
                      <w:bCs/>
                      <w:color w:val="auto"/>
                      <w:kern w:val="24"/>
                      <w:sz w:val="21"/>
                      <w:szCs w:val="21"/>
                    </w:rPr>
                  </w:pPr>
                  <w:r>
                    <w:rPr>
                      <w:rFonts w:hint="eastAsia" w:cs="Times New Roman"/>
                      <w:b w:val="0"/>
                      <w:bCs/>
                      <w:color w:val="auto"/>
                      <w:kern w:val="24"/>
                      <w:sz w:val="21"/>
                      <w:szCs w:val="21"/>
                      <w:lang w:val="en-US" w:eastAsia="zh-CN"/>
                    </w:rPr>
                    <w:t>注：</w:t>
                  </w:r>
                  <w:r>
                    <w:rPr>
                      <w:rFonts w:hint="default" w:ascii="Times New Roman" w:hAnsi="Times New Roman" w:eastAsia="宋体" w:cs="Times New Roman"/>
                      <w:b w:val="0"/>
                      <w:bCs/>
                      <w:color w:val="auto"/>
                      <w:kern w:val="24"/>
                      <w:sz w:val="21"/>
                      <w:szCs w:val="21"/>
                    </w:rPr>
                    <w:t>过渡阶段指标准实施之日2026年3月1日起至2030年10月31日止；2031年1月1日起执行《环境空气质量标准》（GB 3095-2026）二级标准</w:t>
                  </w:r>
                </w:p>
              </w:tc>
            </w:tr>
          </w:tbl>
          <w:p w14:paraId="037FD2FD">
            <w:pPr>
              <w:spacing w:line="360" w:lineRule="auto"/>
              <w:ind w:firstLine="480"/>
              <w:rPr>
                <w:color w:val="auto"/>
                <w:sz w:val="24"/>
                <w:highlight w:val="none"/>
              </w:rPr>
            </w:pPr>
            <w:r>
              <w:rPr>
                <w:color w:val="auto"/>
                <w:sz w:val="24"/>
                <w:highlight w:val="none"/>
              </w:rPr>
              <w:t>2、环境空气质量现状</w:t>
            </w:r>
          </w:p>
          <w:p w14:paraId="5DCA6AB4">
            <w:pPr>
              <w:pStyle w:val="77"/>
              <w:ind w:firstLine="482"/>
              <w:rPr>
                <w:rFonts w:ascii="Times New Roman" w:hAnsi="Times New Roman" w:cs="Times New Roman"/>
                <w:b w:val="0"/>
                <w:bCs w:val="0"/>
                <w:color w:val="auto"/>
                <w:highlight w:val="none"/>
              </w:rPr>
            </w:pPr>
            <w:r>
              <w:rPr>
                <w:rFonts w:hint="eastAsia" w:ascii="Times New Roman" w:hAnsi="Times New Roman" w:cs="Times New Roman"/>
                <w:b w:val="0"/>
                <w:bCs w:val="0"/>
                <w:color w:val="auto"/>
                <w:highlight w:val="none"/>
                <w:lang w:eastAsia="zh-CN"/>
              </w:rPr>
              <w:t>（</w:t>
            </w:r>
            <w:r>
              <w:rPr>
                <w:rFonts w:hint="eastAsia" w:ascii="Times New Roman" w:hAnsi="Times New Roman" w:cs="Times New Roman"/>
                <w:b w:val="0"/>
                <w:bCs w:val="0"/>
                <w:color w:val="auto"/>
                <w:highlight w:val="none"/>
                <w:lang w:val="en-US" w:eastAsia="zh-CN"/>
              </w:rPr>
              <w:t>1</w:t>
            </w:r>
            <w:r>
              <w:rPr>
                <w:rFonts w:hint="eastAsia" w:ascii="Times New Roman" w:hAnsi="Times New Roman" w:cs="Times New Roman"/>
                <w:b w:val="0"/>
                <w:bCs w:val="0"/>
                <w:color w:val="auto"/>
                <w:highlight w:val="none"/>
                <w:lang w:eastAsia="zh-CN"/>
              </w:rPr>
              <w:t>）</w:t>
            </w:r>
            <w:r>
              <w:rPr>
                <w:rFonts w:ascii="Times New Roman" w:hAnsi="Times New Roman" w:cs="Times New Roman"/>
                <w:b w:val="0"/>
                <w:bCs w:val="0"/>
                <w:color w:val="auto"/>
                <w:highlight w:val="none"/>
              </w:rPr>
              <w:t>达标区判定与基本污染物环境质量现状</w:t>
            </w:r>
          </w:p>
          <w:p w14:paraId="3765C54A">
            <w:pPr>
              <w:spacing w:line="360" w:lineRule="auto"/>
              <w:ind w:firstLine="480" w:firstLineChars="200"/>
              <w:rPr>
                <w:rFonts w:hint="eastAsia"/>
                <w:color w:val="auto"/>
                <w:sz w:val="24"/>
                <w:highlight w:val="none"/>
                <w:lang w:eastAsia="zh-CN"/>
              </w:rPr>
            </w:pPr>
            <w:r>
              <w:rPr>
                <w:rFonts w:hint="eastAsia"/>
                <w:color w:val="auto"/>
                <w:sz w:val="24"/>
                <w:highlight w:val="none"/>
                <w:lang w:eastAsia="zh-CN"/>
              </w:rPr>
              <w:t>本项目位于玉溪市</w:t>
            </w:r>
            <w:r>
              <w:rPr>
                <w:rFonts w:hint="eastAsia"/>
                <w:color w:val="auto"/>
                <w:sz w:val="24"/>
                <w:highlight w:val="none"/>
                <w:lang w:val="en-US" w:eastAsia="zh-CN"/>
              </w:rPr>
              <w:t>红塔区</w:t>
            </w:r>
            <w:r>
              <w:rPr>
                <w:rFonts w:hint="eastAsia"/>
                <w:color w:val="auto"/>
                <w:sz w:val="24"/>
                <w:highlight w:val="none"/>
                <w:lang w:eastAsia="zh-CN"/>
              </w:rPr>
              <w:t>，项目所在区域大气环境执行《环境空气质量标准》（GB 3095-2026）过渡阶段浓度限值的二级标准。</w:t>
            </w:r>
          </w:p>
          <w:p w14:paraId="7F3C059B">
            <w:pPr>
              <w:spacing w:line="360" w:lineRule="auto"/>
              <w:ind w:firstLine="480" w:firstLineChars="200"/>
              <w:rPr>
                <w:rFonts w:hint="eastAsia"/>
                <w:color w:val="auto"/>
                <w:sz w:val="24"/>
                <w:highlight w:val="none"/>
                <w:lang w:eastAsia="zh-CN"/>
              </w:rPr>
            </w:pPr>
            <w:r>
              <w:rPr>
                <w:rFonts w:hint="eastAsia"/>
                <w:color w:val="auto"/>
                <w:sz w:val="24"/>
                <w:highlight w:val="none"/>
                <w:lang w:eastAsia="zh-CN"/>
              </w:rPr>
              <w:t>本项目位于云南省玉溪市红塔区研和街道贾井社区研和工业园区三缘电缆厂内，根据玉溪市生态环境局红塔分局发布</w:t>
            </w:r>
            <w:r>
              <w:rPr>
                <w:rFonts w:hint="eastAsia"/>
                <w:color w:val="auto"/>
                <w:sz w:val="24"/>
                <w:highlight w:val="none"/>
                <w:lang w:val="en-US" w:eastAsia="zh-CN"/>
              </w:rPr>
              <w:t>的</w:t>
            </w:r>
            <w:r>
              <w:rPr>
                <w:rFonts w:hint="eastAsia"/>
                <w:color w:val="auto"/>
                <w:sz w:val="24"/>
                <w:highlight w:val="none"/>
                <w:lang w:eastAsia="zh-CN"/>
              </w:rPr>
              <w:t>《玉溪市红塔区生态环境状况公报（202</w:t>
            </w:r>
            <w:r>
              <w:rPr>
                <w:rFonts w:hint="eastAsia"/>
                <w:color w:val="auto"/>
                <w:sz w:val="24"/>
                <w:highlight w:val="none"/>
                <w:lang w:val="en-US" w:eastAsia="zh-CN"/>
              </w:rPr>
              <w:t>4</w:t>
            </w:r>
            <w:r>
              <w:rPr>
                <w:rFonts w:hint="eastAsia"/>
                <w:color w:val="auto"/>
                <w:sz w:val="24"/>
                <w:highlight w:val="none"/>
                <w:lang w:eastAsia="zh-CN"/>
              </w:rPr>
              <w:t>年度）》，“研和片区环境空气质量：按空气质量指数（AQI）评价，2024年度研和片区环境空气有效监测天数346天，其中：优良天数344天，占全年天数的99.42%，与2023年相比，增加0.81%；超标天数（轻度污染）2天，占监测天数的0.58%，与2023年相比，减少0.81%。细颗粒物（PM2.5）年平均浓度为25 微克/立方米，臭氧（O3）百分位数年均值为91微克/立方米。</w:t>
            </w:r>
          </w:p>
          <w:p w14:paraId="7A56961E">
            <w:pPr>
              <w:spacing w:line="360" w:lineRule="auto"/>
              <w:ind w:firstLine="480" w:firstLineChars="200"/>
              <w:rPr>
                <w:rFonts w:hint="eastAsia"/>
                <w:color w:val="auto"/>
                <w:sz w:val="24"/>
                <w:highlight w:val="none"/>
                <w:lang w:eastAsia="zh-CN"/>
              </w:rPr>
            </w:pPr>
            <w:r>
              <w:rPr>
                <w:rFonts w:hint="eastAsia"/>
                <w:color w:val="auto"/>
                <w:sz w:val="24"/>
                <w:highlight w:val="none"/>
                <w:lang w:eastAsia="zh-CN"/>
              </w:rPr>
              <w:t>其中：环境空气质量一级257天，占监测天数的74.71%，比去年增加16天；二级85天，占监测天数的24.71%，比去年减少29天；超标2天，占监测天数的0.58%，比去年减少3天。其中：二氧化硫达一级标准352天，达二级标准0天，未出现超标；二氧化氮达一级标准352天，达二级标准0天，未出现超标；可吸入颗粒物达一级标准293天，达二级标准53天，未出现超标；一氧化碳达一级标准350天，达二级标准3天，未出现超标；臭氧达一级标准334天，达二级标准18天，未出现超标；细颗粒物达一级标准293天，达二级标准52天，超标3天。</w:t>
            </w:r>
          </w:p>
          <w:p w14:paraId="6631E6CA">
            <w:pPr>
              <w:wordWrap w:val="0"/>
              <w:spacing w:line="360" w:lineRule="auto"/>
              <w:ind w:firstLine="480" w:firstLineChars="200"/>
              <w:rPr>
                <w:color w:val="auto"/>
                <w:sz w:val="24"/>
                <w:szCs w:val="22"/>
                <w:highlight w:val="none"/>
                <w:lang w:val="zh-CN"/>
              </w:rPr>
            </w:pPr>
            <w:r>
              <w:rPr>
                <w:rFonts w:hint="eastAsia"/>
                <w:color w:val="auto"/>
                <w:sz w:val="24"/>
                <w:highlight w:val="none"/>
                <w:lang w:eastAsia="zh-CN"/>
              </w:rPr>
              <w:t>因此，项目所在区域属于环境空气质量达标区。</w:t>
            </w:r>
          </w:p>
          <w:bookmarkEnd w:id="15"/>
          <w:p w14:paraId="5379B58C">
            <w:pPr>
              <w:adjustRightInd w:val="0"/>
              <w:snapToGrid w:val="0"/>
              <w:spacing w:line="360" w:lineRule="auto"/>
              <w:ind w:firstLine="480" w:firstLineChars="200"/>
              <w:jc w:val="left"/>
              <w:rPr>
                <w:color w:val="auto"/>
                <w:sz w:val="24"/>
                <w:szCs w:val="24"/>
                <w:highlight w:val="none"/>
              </w:rPr>
            </w:pPr>
            <w:r>
              <w:rPr>
                <w:color w:val="auto"/>
                <w:sz w:val="24"/>
                <w:szCs w:val="24"/>
                <w:highlight w:val="none"/>
              </w:rPr>
              <w:t>（</w:t>
            </w:r>
            <w:r>
              <w:rPr>
                <w:rFonts w:hint="eastAsia"/>
                <w:color w:val="auto"/>
                <w:sz w:val="24"/>
                <w:szCs w:val="24"/>
                <w:highlight w:val="none"/>
                <w:lang w:val="en-US" w:eastAsia="zh-CN"/>
              </w:rPr>
              <w:t>2</w:t>
            </w:r>
            <w:r>
              <w:rPr>
                <w:color w:val="auto"/>
                <w:sz w:val="24"/>
                <w:szCs w:val="24"/>
                <w:highlight w:val="none"/>
              </w:rPr>
              <w:t>）</w:t>
            </w:r>
            <w:r>
              <w:rPr>
                <w:rFonts w:hint="default"/>
                <w:color w:val="auto"/>
                <w:sz w:val="24"/>
                <w:szCs w:val="24"/>
                <w:highlight w:val="none"/>
                <w:lang w:eastAsia="zh-CN"/>
              </w:rPr>
              <w:t>特征</w:t>
            </w:r>
            <w:r>
              <w:rPr>
                <w:rFonts w:hint="default"/>
                <w:color w:val="auto"/>
                <w:sz w:val="24"/>
                <w:szCs w:val="24"/>
                <w:highlight w:val="none"/>
              </w:rPr>
              <w:t>污染物环境质量现状</w:t>
            </w:r>
          </w:p>
          <w:p w14:paraId="5C8A64E6">
            <w:pPr>
              <w:adjustRightInd w:val="0"/>
              <w:snapToGrid w:val="0"/>
              <w:spacing w:line="360" w:lineRule="auto"/>
              <w:ind w:firstLine="480" w:firstLineChars="200"/>
              <w:jc w:val="left"/>
              <w:rPr>
                <w:color w:val="auto"/>
                <w:sz w:val="24"/>
                <w:szCs w:val="24"/>
                <w:highlight w:val="none"/>
              </w:rPr>
            </w:pPr>
            <w:r>
              <w:rPr>
                <w:rFonts w:hint="eastAsia"/>
                <w:color w:val="auto"/>
                <w:sz w:val="24"/>
                <w:szCs w:val="24"/>
                <w:highlight w:val="none"/>
                <w:lang w:val="en-US" w:eastAsia="zh-CN"/>
              </w:rPr>
              <w:t>本项目涉及的特征因子为非甲烷总烃。非甲烷总烃参照执行《大气污染物综合排放标准详解》中的相关限值。</w:t>
            </w:r>
          </w:p>
          <w:p w14:paraId="7FF609B7">
            <w:pPr>
              <w:adjustRightInd w:val="0"/>
              <w:snapToGrid w:val="0"/>
              <w:spacing w:line="360" w:lineRule="auto"/>
              <w:ind w:firstLine="480" w:firstLineChars="200"/>
              <w:jc w:val="left"/>
              <w:rPr>
                <w:rFonts w:hint="eastAsia"/>
                <w:color w:val="auto"/>
                <w:sz w:val="24"/>
                <w:szCs w:val="24"/>
                <w:highlight w:val="none"/>
              </w:rPr>
            </w:pPr>
            <w:r>
              <w:rPr>
                <w:rFonts w:hint="eastAsia"/>
                <w:color w:val="auto"/>
                <w:sz w:val="24"/>
                <w:szCs w:val="24"/>
                <w:highlight w:val="none"/>
              </w:rPr>
              <w:t>根据《建设项目环境影响报告表编制技术指南（污染影响类）（试行）》，排放国家、地方环境空气质量标准中有标准限值要求的特征污染物时，引用建设项目周边5千米范围内近3年的现有监测数据。</w:t>
            </w:r>
          </w:p>
          <w:p w14:paraId="421CEC3D">
            <w:pPr>
              <w:adjustRightInd w:val="0"/>
              <w:snapToGrid w:val="0"/>
              <w:spacing w:line="360" w:lineRule="auto"/>
              <w:ind w:firstLine="480" w:firstLineChars="200"/>
              <w:jc w:val="left"/>
              <w:rPr>
                <w:rFonts w:hint="eastAsia"/>
                <w:color w:val="auto"/>
                <w:sz w:val="24"/>
                <w:szCs w:val="24"/>
                <w:highlight w:val="none"/>
              </w:rPr>
            </w:pPr>
            <w:r>
              <w:rPr>
                <w:rFonts w:hint="eastAsia"/>
                <w:color w:val="auto"/>
                <w:sz w:val="24"/>
                <w:szCs w:val="24"/>
                <w:highlight w:val="none"/>
              </w:rPr>
              <w:t>本项目非甲烷总烃引用</w:t>
            </w:r>
            <w:r>
              <w:rPr>
                <w:rFonts w:hint="eastAsia"/>
                <w:color w:val="auto"/>
                <w:sz w:val="24"/>
                <w:szCs w:val="24"/>
                <w:highlight w:val="none"/>
                <w:lang w:val="en-US" w:eastAsia="zh-CN"/>
              </w:rPr>
              <w:t>玉溪耀晟钢化玻璃</w:t>
            </w:r>
            <w:r>
              <w:rPr>
                <w:rFonts w:hint="eastAsia"/>
                <w:color w:val="auto"/>
                <w:sz w:val="24"/>
                <w:szCs w:val="24"/>
                <w:highlight w:val="none"/>
              </w:rPr>
              <w:t>有限公司《</w:t>
            </w:r>
            <w:r>
              <w:rPr>
                <w:rFonts w:hint="eastAsia"/>
                <w:color w:val="auto"/>
                <w:sz w:val="24"/>
                <w:szCs w:val="24"/>
                <w:highlight w:val="none"/>
                <w:lang w:val="en-US" w:eastAsia="zh-CN"/>
              </w:rPr>
              <w:t>华裔智能高端门窗玻璃</w:t>
            </w:r>
            <w:r>
              <w:rPr>
                <w:rFonts w:hint="eastAsia"/>
                <w:color w:val="auto"/>
                <w:sz w:val="24"/>
                <w:szCs w:val="24"/>
                <w:highlight w:val="none"/>
              </w:rPr>
              <w:t>建设项目环境质量现状监测报告》中委托</w:t>
            </w:r>
            <w:r>
              <w:rPr>
                <w:rFonts w:hint="eastAsia"/>
                <w:color w:val="auto"/>
                <w:sz w:val="24"/>
                <w:szCs w:val="24"/>
                <w:highlight w:val="none"/>
                <w:lang w:val="en-US" w:eastAsia="zh-CN"/>
              </w:rPr>
              <w:t>玉溪华恒环境科技</w:t>
            </w:r>
            <w:r>
              <w:rPr>
                <w:rFonts w:hint="eastAsia"/>
                <w:color w:val="auto"/>
                <w:sz w:val="24"/>
                <w:szCs w:val="24"/>
                <w:highlight w:val="none"/>
              </w:rPr>
              <w:t>有限公司于2025年3月</w:t>
            </w:r>
            <w:r>
              <w:rPr>
                <w:rFonts w:hint="eastAsia"/>
                <w:color w:val="auto"/>
                <w:sz w:val="24"/>
                <w:szCs w:val="24"/>
                <w:highlight w:val="none"/>
                <w:lang w:val="en-US" w:eastAsia="zh-CN"/>
              </w:rPr>
              <w:t>2</w:t>
            </w:r>
            <w:r>
              <w:rPr>
                <w:rFonts w:hint="eastAsia"/>
                <w:color w:val="auto"/>
                <w:sz w:val="24"/>
                <w:szCs w:val="24"/>
                <w:highlight w:val="none"/>
              </w:rPr>
              <w:t>5日-3月</w:t>
            </w:r>
            <w:r>
              <w:rPr>
                <w:rFonts w:hint="eastAsia"/>
                <w:color w:val="auto"/>
                <w:sz w:val="24"/>
                <w:szCs w:val="24"/>
                <w:highlight w:val="none"/>
                <w:lang w:val="en-US" w:eastAsia="zh-CN"/>
              </w:rPr>
              <w:t>28</w:t>
            </w:r>
            <w:r>
              <w:rPr>
                <w:rFonts w:hint="eastAsia"/>
                <w:color w:val="auto"/>
                <w:sz w:val="24"/>
                <w:szCs w:val="24"/>
                <w:highlight w:val="none"/>
              </w:rPr>
              <w:t>日对华裔智能高端门窗玻璃建设项目所在地的非甲烷总烃现状监测数据，该项目监测点位位于本项目</w:t>
            </w:r>
            <w:r>
              <w:rPr>
                <w:rFonts w:hint="eastAsia"/>
                <w:color w:val="auto"/>
                <w:sz w:val="24"/>
                <w:szCs w:val="24"/>
                <w:highlight w:val="none"/>
                <w:lang w:val="en-US" w:eastAsia="zh-CN"/>
              </w:rPr>
              <w:t>东</w:t>
            </w:r>
            <w:r>
              <w:rPr>
                <w:rFonts w:hint="eastAsia"/>
                <w:color w:val="auto"/>
                <w:sz w:val="24"/>
                <w:szCs w:val="24"/>
                <w:highlight w:val="none"/>
              </w:rPr>
              <w:t>南</w:t>
            </w:r>
            <w:r>
              <w:rPr>
                <w:rFonts w:hint="eastAsia"/>
                <w:color w:val="auto"/>
                <w:sz w:val="24"/>
                <w:szCs w:val="24"/>
                <w:highlight w:val="none"/>
                <w:lang w:val="en-US" w:eastAsia="zh-CN"/>
              </w:rPr>
              <w:t>侧</w:t>
            </w:r>
            <w:r>
              <w:rPr>
                <w:rFonts w:hint="eastAsia"/>
                <w:color w:val="auto"/>
                <w:sz w:val="24"/>
                <w:szCs w:val="24"/>
                <w:highlight w:val="none"/>
              </w:rPr>
              <w:t>约</w:t>
            </w:r>
            <w:r>
              <w:rPr>
                <w:rFonts w:hint="eastAsia"/>
                <w:color w:val="auto"/>
                <w:sz w:val="24"/>
                <w:szCs w:val="24"/>
                <w:highlight w:val="none"/>
                <w:lang w:val="en-US" w:eastAsia="zh-CN"/>
              </w:rPr>
              <w:t>70</w:t>
            </w:r>
            <w:r>
              <w:rPr>
                <w:rFonts w:hint="eastAsia"/>
                <w:color w:val="auto"/>
                <w:sz w:val="24"/>
                <w:szCs w:val="24"/>
                <w:highlight w:val="none"/>
              </w:rPr>
              <w:t>0m，满足引用要求。</w:t>
            </w:r>
          </w:p>
          <w:p w14:paraId="7923BE24">
            <w:pPr>
              <w:pStyle w:val="103"/>
              <w:rPr>
                <w:rFonts w:cs="Times New Roman"/>
                <w:color w:val="auto"/>
                <w:szCs w:val="18"/>
                <w:highlight w:val="none"/>
              </w:rPr>
            </w:pPr>
            <w:r>
              <w:rPr>
                <w:rFonts w:cs="Times New Roman"/>
                <w:color w:val="auto"/>
                <w:szCs w:val="18"/>
                <w:highlight w:val="none"/>
              </w:rPr>
              <w:t>项目</w:t>
            </w:r>
            <w:r>
              <w:rPr>
                <w:rFonts w:hint="eastAsia" w:cs="Times New Roman"/>
                <w:color w:val="auto"/>
                <w:szCs w:val="18"/>
                <w:highlight w:val="none"/>
              </w:rPr>
              <w:t>引用特征</w:t>
            </w:r>
            <w:r>
              <w:rPr>
                <w:rFonts w:cs="Times New Roman"/>
                <w:color w:val="auto"/>
                <w:szCs w:val="18"/>
                <w:highlight w:val="none"/>
              </w:rPr>
              <w:t>污染物监测结果见下表。</w:t>
            </w:r>
          </w:p>
          <w:p w14:paraId="3A536783">
            <w:pPr>
              <w:spacing w:line="360" w:lineRule="auto"/>
              <w:jc w:val="center"/>
              <w:rPr>
                <w:b/>
                <w:color w:val="auto"/>
                <w:sz w:val="24"/>
                <w:highlight w:val="none"/>
              </w:rPr>
            </w:pPr>
            <w:r>
              <w:rPr>
                <w:b/>
                <w:color w:val="auto"/>
                <w:sz w:val="24"/>
                <w:highlight w:val="none"/>
              </w:rPr>
              <w:t>表</w:t>
            </w:r>
            <w:r>
              <w:rPr>
                <w:rFonts w:hint="eastAsia"/>
                <w:b/>
                <w:color w:val="auto"/>
                <w:sz w:val="24"/>
                <w:highlight w:val="none"/>
              </w:rPr>
              <w:t>3-</w:t>
            </w:r>
            <w:r>
              <w:rPr>
                <w:rFonts w:hint="eastAsia"/>
                <w:b/>
                <w:color w:val="auto"/>
                <w:sz w:val="24"/>
                <w:highlight w:val="none"/>
                <w:lang w:val="en-US" w:eastAsia="zh-CN"/>
              </w:rPr>
              <w:t>2</w:t>
            </w:r>
            <w:r>
              <w:rPr>
                <w:b/>
                <w:color w:val="auto"/>
                <w:sz w:val="24"/>
                <w:highlight w:val="none"/>
              </w:rPr>
              <w:t xml:space="preserve">  </w:t>
            </w:r>
            <w:r>
              <w:rPr>
                <w:rFonts w:hint="eastAsia"/>
                <w:b/>
                <w:color w:val="auto"/>
                <w:sz w:val="24"/>
                <w:highlight w:val="none"/>
              </w:rPr>
              <w:t>引用特征</w:t>
            </w:r>
            <w:r>
              <w:rPr>
                <w:b/>
                <w:color w:val="auto"/>
                <w:sz w:val="24"/>
                <w:highlight w:val="none"/>
              </w:rPr>
              <w:t>污染物</w:t>
            </w:r>
            <w:r>
              <w:rPr>
                <w:rFonts w:hint="eastAsia"/>
                <w:b/>
                <w:color w:val="auto"/>
                <w:sz w:val="24"/>
                <w:highlight w:val="none"/>
              </w:rPr>
              <w:t>环境质量现状（监测结果）表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1"/>
              <w:gridCol w:w="1138"/>
              <w:gridCol w:w="1076"/>
              <w:gridCol w:w="2190"/>
              <w:gridCol w:w="1761"/>
              <w:gridCol w:w="1090"/>
            </w:tblGrid>
            <w:tr w14:paraId="3AD24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pct"/>
                  <w:vAlign w:val="center"/>
                </w:tcPr>
                <w:p w14:paraId="4D78A5A0">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检测点位</w:t>
                  </w:r>
                </w:p>
              </w:tc>
              <w:tc>
                <w:tcPr>
                  <w:tcW w:w="679" w:type="pct"/>
                  <w:vAlign w:val="center"/>
                </w:tcPr>
                <w:p w14:paraId="40A2EBC7">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采样日期</w:t>
                  </w:r>
                </w:p>
              </w:tc>
              <w:tc>
                <w:tcPr>
                  <w:tcW w:w="642" w:type="pct"/>
                  <w:vAlign w:val="center"/>
                </w:tcPr>
                <w:p w14:paraId="17546FE1">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采样时间</w:t>
                  </w:r>
                </w:p>
              </w:tc>
              <w:tc>
                <w:tcPr>
                  <w:tcW w:w="1307" w:type="pct"/>
                  <w:vAlign w:val="center"/>
                </w:tcPr>
                <w:p w14:paraId="1357E9B7">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非甲烷总烃</w:t>
                  </w:r>
                  <w:r>
                    <w:rPr>
                      <w:rFonts w:hint="eastAsia" w:cs="Times New Roman"/>
                      <w:b/>
                      <w:bCs/>
                      <w:color w:val="auto"/>
                      <w:sz w:val="21"/>
                      <w:szCs w:val="21"/>
                      <w:highlight w:val="none"/>
                      <w:vertAlign w:val="baseline"/>
                      <w:lang w:val="en-US" w:eastAsia="zh-CN"/>
                    </w:rPr>
                    <w:t>（mg/m³）</w:t>
                  </w:r>
                </w:p>
              </w:tc>
              <w:tc>
                <w:tcPr>
                  <w:tcW w:w="1051" w:type="pct"/>
                  <w:vAlign w:val="center"/>
                </w:tcPr>
                <w:p w14:paraId="078D2910">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标准值</w:t>
                  </w:r>
                  <w:r>
                    <w:rPr>
                      <w:rFonts w:hint="eastAsia" w:cs="Times New Roman"/>
                      <w:b/>
                      <w:bCs/>
                      <w:color w:val="auto"/>
                      <w:sz w:val="21"/>
                      <w:szCs w:val="21"/>
                      <w:highlight w:val="none"/>
                      <w:vertAlign w:val="baseline"/>
                      <w:lang w:val="en-US" w:eastAsia="zh-CN"/>
                    </w:rPr>
                    <w:t>（mg/m³）</w:t>
                  </w:r>
                </w:p>
              </w:tc>
              <w:tc>
                <w:tcPr>
                  <w:tcW w:w="650" w:type="pct"/>
                  <w:vAlign w:val="center"/>
                </w:tcPr>
                <w:p w14:paraId="7E721BCF">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达标情况</w:t>
                  </w:r>
                </w:p>
              </w:tc>
            </w:tr>
            <w:tr w14:paraId="2932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pct"/>
                  <w:vMerge w:val="restart"/>
                  <w:vAlign w:val="center"/>
                </w:tcPr>
                <w:p w14:paraId="07BEDC12">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厂界下风向10米处</w:t>
                  </w:r>
                </w:p>
              </w:tc>
              <w:tc>
                <w:tcPr>
                  <w:tcW w:w="679" w:type="pct"/>
                  <w:vMerge w:val="restart"/>
                  <w:vAlign w:val="center"/>
                </w:tcPr>
                <w:p w14:paraId="5BCF1B53">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3月25日</w:t>
                  </w:r>
                </w:p>
              </w:tc>
              <w:tc>
                <w:tcPr>
                  <w:tcW w:w="642" w:type="pct"/>
                  <w:vAlign w:val="center"/>
                </w:tcPr>
                <w:p w14:paraId="79EDFA2C">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02:00</w:t>
                  </w:r>
                </w:p>
              </w:tc>
              <w:tc>
                <w:tcPr>
                  <w:tcW w:w="1307" w:type="pct"/>
                  <w:vAlign w:val="center"/>
                </w:tcPr>
                <w:p w14:paraId="6681A6AB">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0.16</w:t>
                  </w:r>
                </w:p>
              </w:tc>
              <w:tc>
                <w:tcPr>
                  <w:tcW w:w="1051" w:type="pct"/>
                  <w:vAlign w:val="center"/>
                </w:tcPr>
                <w:p w14:paraId="39406DD0">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w:t>
                  </w:r>
                </w:p>
              </w:tc>
              <w:tc>
                <w:tcPr>
                  <w:tcW w:w="650" w:type="pct"/>
                  <w:shd w:val="clear" w:color="auto" w:fill="auto"/>
                  <w:vAlign w:val="center"/>
                </w:tcPr>
                <w:p w14:paraId="7C60B9A3">
                  <w:pPr>
                    <w:pStyle w:val="13"/>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highlight w:val="none"/>
                    </w:rPr>
                    <w:t>达标</w:t>
                  </w:r>
                </w:p>
              </w:tc>
            </w:tr>
            <w:tr w14:paraId="0FD81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pct"/>
                  <w:vMerge w:val="continue"/>
                  <w:vAlign w:val="center"/>
                </w:tcPr>
                <w:p w14:paraId="6EBF9B66">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79" w:type="pct"/>
                  <w:vMerge w:val="continue"/>
                  <w:vAlign w:val="center"/>
                </w:tcPr>
                <w:p w14:paraId="0AD74E85">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42" w:type="pct"/>
                  <w:vAlign w:val="center"/>
                </w:tcPr>
                <w:p w14:paraId="0D23991D">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08:00</w:t>
                  </w:r>
                </w:p>
              </w:tc>
              <w:tc>
                <w:tcPr>
                  <w:tcW w:w="1307" w:type="pct"/>
                  <w:vAlign w:val="center"/>
                </w:tcPr>
                <w:p w14:paraId="5181383E">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0.17</w:t>
                  </w:r>
                </w:p>
              </w:tc>
              <w:tc>
                <w:tcPr>
                  <w:tcW w:w="1051" w:type="pct"/>
                  <w:vAlign w:val="center"/>
                </w:tcPr>
                <w:p w14:paraId="1D0A4D57">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w:t>
                  </w:r>
                </w:p>
              </w:tc>
              <w:tc>
                <w:tcPr>
                  <w:tcW w:w="650" w:type="pct"/>
                  <w:shd w:val="clear" w:color="auto" w:fill="auto"/>
                  <w:vAlign w:val="center"/>
                </w:tcPr>
                <w:p w14:paraId="3EFFA1CE">
                  <w:pPr>
                    <w:pStyle w:val="13"/>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highlight w:val="none"/>
                    </w:rPr>
                    <w:t>达标</w:t>
                  </w:r>
                </w:p>
              </w:tc>
            </w:tr>
            <w:tr w14:paraId="47AD8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pct"/>
                  <w:vMerge w:val="continue"/>
                  <w:vAlign w:val="center"/>
                </w:tcPr>
                <w:p w14:paraId="5277C1DF">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79" w:type="pct"/>
                  <w:vMerge w:val="continue"/>
                  <w:vAlign w:val="center"/>
                </w:tcPr>
                <w:p w14:paraId="535FB9BD">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42" w:type="pct"/>
                  <w:vAlign w:val="center"/>
                </w:tcPr>
                <w:p w14:paraId="00DEBE59">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14:00</w:t>
                  </w:r>
                </w:p>
              </w:tc>
              <w:tc>
                <w:tcPr>
                  <w:tcW w:w="1307" w:type="pct"/>
                  <w:vAlign w:val="center"/>
                </w:tcPr>
                <w:p w14:paraId="3393994A">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0.17</w:t>
                  </w:r>
                </w:p>
              </w:tc>
              <w:tc>
                <w:tcPr>
                  <w:tcW w:w="1051" w:type="pct"/>
                  <w:shd w:val="clear" w:color="auto" w:fill="auto"/>
                  <w:vAlign w:val="center"/>
                </w:tcPr>
                <w:p w14:paraId="5146CD2A">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2</w:t>
                  </w:r>
                </w:p>
              </w:tc>
              <w:tc>
                <w:tcPr>
                  <w:tcW w:w="650" w:type="pct"/>
                  <w:shd w:val="clear" w:color="auto" w:fill="auto"/>
                  <w:vAlign w:val="center"/>
                </w:tcPr>
                <w:p w14:paraId="63CCEF03">
                  <w:pPr>
                    <w:pStyle w:val="13"/>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highlight w:val="none"/>
                    </w:rPr>
                    <w:t>达标</w:t>
                  </w:r>
                </w:p>
              </w:tc>
            </w:tr>
            <w:tr w14:paraId="01538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pct"/>
                  <w:vMerge w:val="continue"/>
                  <w:vAlign w:val="center"/>
                </w:tcPr>
                <w:p w14:paraId="1FAB301D">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79" w:type="pct"/>
                  <w:vMerge w:val="continue"/>
                  <w:vAlign w:val="center"/>
                </w:tcPr>
                <w:p w14:paraId="7B215C18">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42" w:type="pct"/>
                  <w:vAlign w:val="center"/>
                </w:tcPr>
                <w:p w14:paraId="54F0391A">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20:00</w:t>
                  </w:r>
                </w:p>
              </w:tc>
              <w:tc>
                <w:tcPr>
                  <w:tcW w:w="1307" w:type="pct"/>
                  <w:vAlign w:val="center"/>
                </w:tcPr>
                <w:p w14:paraId="58176DE6">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0.14</w:t>
                  </w:r>
                </w:p>
              </w:tc>
              <w:tc>
                <w:tcPr>
                  <w:tcW w:w="1051" w:type="pct"/>
                  <w:shd w:val="clear" w:color="auto" w:fill="auto"/>
                  <w:vAlign w:val="center"/>
                </w:tcPr>
                <w:p w14:paraId="046A5267">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2</w:t>
                  </w:r>
                </w:p>
              </w:tc>
              <w:tc>
                <w:tcPr>
                  <w:tcW w:w="650" w:type="pct"/>
                  <w:shd w:val="clear" w:color="auto" w:fill="auto"/>
                  <w:vAlign w:val="center"/>
                </w:tcPr>
                <w:p w14:paraId="2DC89308">
                  <w:pPr>
                    <w:pStyle w:val="13"/>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highlight w:val="none"/>
                    </w:rPr>
                    <w:t>达标</w:t>
                  </w:r>
                </w:p>
              </w:tc>
            </w:tr>
            <w:tr w14:paraId="2938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pct"/>
                  <w:vMerge w:val="continue"/>
                  <w:vAlign w:val="center"/>
                </w:tcPr>
                <w:p w14:paraId="1537AFF9">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79" w:type="pct"/>
                  <w:vMerge w:val="restart"/>
                  <w:vAlign w:val="center"/>
                </w:tcPr>
                <w:p w14:paraId="0D2C8367">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3月26日</w:t>
                  </w:r>
                </w:p>
              </w:tc>
              <w:tc>
                <w:tcPr>
                  <w:tcW w:w="642" w:type="pct"/>
                  <w:shd w:val="clear" w:color="auto" w:fill="auto"/>
                  <w:vAlign w:val="center"/>
                </w:tcPr>
                <w:p w14:paraId="3043F25A">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02:00</w:t>
                  </w:r>
                </w:p>
              </w:tc>
              <w:tc>
                <w:tcPr>
                  <w:tcW w:w="1307" w:type="pct"/>
                  <w:vAlign w:val="center"/>
                </w:tcPr>
                <w:p w14:paraId="15D1762C">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0.13</w:t>
                  </w:r>
                </w:p>
              </w:tc>
              <w:tc>
                <w:tcPr>
                  <w:tcW w:w="1051" w:type="pct"/>
                  <w:shd w:val="clear" w:color="auto" w:fill="auto"/>
                  <w:vAlign w:val="center"/>
                </w:tcPr>
                <w:p w14:paraId="50AC024C">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2</w:t>
                  </w:r>
                </w:p>
              </w:tc>
              <w:tc>
                <w:tcPr>
                  <w:tcW w:w="650" w:type="pct"/>
                  <w:shd w:val="clear" w:color="auto" w:fill="auto"/>
                  <w:vAlign w:val="center"/>
                </w:tcPr>
                <w:p w14:paraId="4F01FE42">
                  <w:pPr>
                    <w:pStyle w:val="13"/>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highlight w:val="none"/>
                    </w:rPr>
                    <w:t>达标</w:t>
                  </w:r>
                </w:p>
              </w:tc>
            </w:tr>
            <w:tr w14:paraId="0EA8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pct"/>
                  <w:vMerge w:val="continue"/>
                  <w:vAlign w:val="center"/>
                </w:tcPr>
                <w:p w14:paraId="4101DCD7">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79" w:type="pct"/>
                  <w:vMerge w:val="continue"/>
                  <w:vAlign w:val="center"/>
                </w:tcPr>
                <w:p w14:paraId="273A4E08">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42" w:type="pct"/>
                  <w:shd w:val="clear" w:color="auto" w:fill="auto"/>
                  <w:vAlign w:val="center"/>
                </w:tcPr>
                <w:p w14:paraId="78B5BE2C">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08:00</w:t>
                  </w:r>
                </w:p>
              </w:tc>
              <w:tc>
                <w:tcPr>
                  <w:tcW w:w="1307" w:type="pct"/>
                  <w:vAlign w:val="center"/>
                </w:tcPr>
                <w:p w14:paraId="1B196D4A">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0.16</w:t>
                  </w:r>
                </w:p>
              </w:tc>
              <w:tc>
                <w:tcPr>
                  <w:tcW w:w="1051" w:type="pct"/>
                  <w:shd w:val="clear" w:color="auto" w:fill="auto"/>
                  <w:vAlign w:val="center"/>
                </w:tcPr>
                <w:p w14:paraId="1E8533CC">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2</w:t>
                  </w:r>
                </w:p>
              </w:tc>
              <w:tc>
                <w:tcPr>
                  <w:tcW w:w="650" w:type="pct"/>
                  <w:shd w:val="clear" w:color="auto" w:fill="auto"/>
                  <w:vAlign w:val="center"/>
                </w:tcPr>
                <w:p w14:paraId="240FFA42">
                  <w:pPr>
                    <w:pStyle w:val="13"/>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highlight w:val="none"/>
                    </w:rPr>
                    <w:t>达标</w:t>
                  </w:r>
                </w:p>
              </w:tc>
            </w:tr>
            <w:tr w14:paraId="25CF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pct"/>
                  <w:vMerge w:val="continue"/>
                  <w:vAlign w:val="center"/>
                </w:tcPr>
                <w:p w14:paraId="7478464B">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79" w:type="pct"/>
                  <w:vMerge w:val="continue"/>
                  <w:vAlign w:val="center"/>
                </w:tcPr>
                <w:p w14:paraId="0B206BB3">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42" w:type="pct"/>
                  <w:shd w:val="clear" w:color="auto" w:fill="auto"/>
                  <w:vAlign w:val="center"/>
                </w:tcPr>
                <w:p w14:paraId="5C54A253">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14:00</w:t>
                  </w:r>
                </w:p>
              </w:tc>
              <w:tc>
                <w:tcPr>
                  <w:tcW w:w="1307" w:type="pct"/>
                  <w:vAlign w:val="center"/>
                </w:tcPr>
                <w:p w14:paraId="6230B796">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0.17</w:t>
                  </w:r>
                </w:p>
              </w:tc>
              <w:tc>
                <w:tcPr>
                  <w:tcW w:w="1051" w:type="pct"/>
                  <w:shd w:val="clear" w:color="auto" w:fill="auto"/>
                  <w:vAlign w:val="center"/>
                </w:tcPr>
                <w:p w14:paraId="1BBCEBF1">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2</w:t>
                  </w:r>
                </w:p>
              </w:tc>
              <w:tc>
                <w:tcPr>
                  <w:tcW w:w="650" w:type="pct"/>
                  <w:shd w:val="clear" w:color="auto" w:fill="auto"/>
                  <w:vAlign w:val="center"/>
                </w:tcPr>
                <w:p w14:paraId="15D9F68C">
                  <w:pPr>
                    <w:pStyle w:val="13"/>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highlight w:val="none"/>
                    </w:rPr>
                    <w:t>达标</w:t>
                  </w:r>
                </w:p>
              </w:tc>
            </w:tr>
            <w:tr w14:paraId="0809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pct"/>
                  <w:vMerge w:val="continue"/>
                  <w:vAlign w:val="center"/>
                </w:tcPr>
                <w:p w14:paraId="4A572975">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79" w:type="pct"/>
                  <w:vMerge w:val="continue"/>
                  <w:vAlign w:val="center"/>
                </w:tcPr>
                <w:p w14:paraId="346DB166">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42" w:type="pct"/>
                  <w:shd w:val="clear" w:color="auto" w:fill="auto"/>
                  <w:vAlign w:val="center"/>
                </w:tcPr>
                <w:p w14:paraId="12B15B07">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20:00</w:t>
                  </w:r>
                </w:p>
              </w:tc>
              <w:tc>
                <w:tcPr>
                  <w:tcW w:w="1307" w:type="pct"/>
                  <w:vAlign w:val="center"/>
                </w:tcPr>
                <w:p w14:paraId="2914E1AC">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0.16</w:t>
                  </w:r>
                </w:p>
              </w:tc>
              <w:tc>
                <w:tcPr>
                  <w:tcW w:w="1051" w:type="pct"/>
                  <w:shd w:val="clear" w:color="auto" w:fill="auto"/>
                  <w:vAlign w:val="center"/>
                </w:tcPr>
                <w:p w14:paraId="0234B744">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2</w:t>
                  </w:r>
                </w:p>
              </w:tc>
              <w:tc>
                <w:tcPr>
                  <w:tcW w:w="650" w:type="pct"/>
                  <w:shd w:val="clear" w:color="auto" w:fill="auto"/>
                  <w:vAlign w:val="center"/>
                </w:tcPr>
                <w:p w14:paraId="07357AD9">
                  <w:pPr>
                    <w:pStyle w:val="13"/>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highlight w:val="none"/>
                    </w:rPr>
                    <w:t>达标</w:t>
                  </w:r>
                </w:p>
              </w:tc>
            </w:tr>
            <w:tr w14:paraId="034F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pct"/>
                  <w:vMerge w:val="continue"/>
                  <w:vAlign w:val="center"/>
                </w:tcPr>
                <w:p w14:paraId="3540CF73">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79" w:type="pct"/>
                  <w:vMerge w:val="restart"/>
                  <w:vAlign w:val="center"/>
                </w:tcPr>
                <w:p w14:paraId="55BD3AFD">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3月27日</w:t>
                  </w:r>
                </w:p>
              </w:tc>
              <w:tc>
                <w:tcPr>
                  <w:tcW w:w="642" w:type="pct"/>
                  <w:shd w:val="clear" w:color="auto" w:fill="auto"/>
                  <w:vAlign w:val="center"/>
                </w:tcPr>
                <w:p w14:paraId="74BF8CBD">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02:00</w:t>
                  </w:r>
                </w:p>
              </w:tc>
              <w:tc>
                <w:tcPr>
                  <w:tcW w:w="1307" w:type="pct"/>
                  <w:vAlign w:val="center"/>
                </w:tcPr>
                <w:p w14:paraId="19C8DA3B">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0.11</w:t>
                  </w:r>
                </w:p>
              </w:tc>
              <w:tc>
                <w:tcPr>
                  <w:tcW w:w="1051" w:type="pct"/>
                  <w:shd w:val="clear" w:color="auto" w:fill="auto"/>
                  <w:vAlign w:val="center"/>
                </w:tcPr>
                <w:p w14:paraId="35EA17AB">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2</w:t>
                  </w:r>
                </w:p>
              </w:tc>
              <w:tc>
                <w:tcPr>
                  <w:tcW w:w="650" w:type="pct"/>
                  <w:shd w:val="clear" w:color="auto" w:fill="auto"/>
                  <w:vAlign w:val="center"/>
                </w:tcPr>
                <w:p w14:paraId="3E1C71EF">
                  <w:pPr>
                    <w:pStyle w:val="13"/>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highlight w:val="none"/>
                    </w:rPr>
                    <w:t>达标</w:t>
                  </w:r>
                </w:p>
              </w:tc>
            </w:tr>
            <w:tr w14:paraId="6124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pct"/>
                  <w:vMerge w:val="continue"/>
                  <w:vAlign w:val="center"/>
                </w:tcPr>
                <w:p w14:paraId="6F867335">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79" w:type="pct"/>
                  <w:vMerge w:val="continue"/>
                  <w:vAlign w:val="center"/>
                </w:tcPr>
                <w:p w14:paraId="08789702">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42" w:type="pct"/>
                  <w:shd w:val="clear" w:color="auto" w:fill="auto"/>
                  <w:vAlign w:val="center"/>
                </w:tcPr>
                <w:p w14:paraId="1F967087">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08:00</w:t>
                  </w:r>
                </w:p>
              </w:tc>
              <w:tc>
                <w:tcPr>
                  <w:tcW w:w="1307" w:type="pct"/>
                  <w:vAlign w:val="center"/>
                </w:tcPr>
                <w:p w14:paraId="62130EDB">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0.13</w:t>
                  </w:r>
                </w:p>
              </w:tc>
              <w:tc>
                <w:tcPr>
                  <w:tcW w:w="1051" w:type="pct"/>
                  <w:shd w:val="clear" w:color="auto" w:fill="auto"/>
                  <w:vAlign w:val="center"/>
                </w:tcPr>
                <w:p w14:paraId="6AC31F9F">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2</w:t>
                  </w:r>
                </w:p>
              </w:tc>
              <w:tc>
                <w:tcPr>
                  <w:tcW w:w="650" w:type="pct"/>
                  <w:shd w:val="clear" w:color="auto" w:fill="auto"/>
                  <w:vAlign w:val="center"/>
                </w:tcPr>
                <w:p w14:paraId="5FF22153">
                  <w:pPr>
                    <w:pStyle w:val="13"/>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highlight w:val="none"/>
                    </w:rPr>
                    <w:t>达标</w:t>
                  </w:r>
                </w:p>
              </w:tc>
            </w:tr>
            <w:tr w14:paraId="5FD4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pct"/>
                  <w:vMerge w:val="continue"/>
                  <w:vAlign w:val="center"/>
                </w:tcPr>
                <w:p w14:paraId="623EDAAE">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79" w:type="pct"/>
                  <w:vMerge w:val="continue"/>
                  <w:vAlign w:val="center"/>
                </w:tcPr>
                <w:p w14:paraId="6E3C35F1">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42" w:type="pct"/>
                  <w:shd w:val="clear" w:color="auto" w:fill="auto"/>
                  <w:vAlign w:val="center"/>
                </w:tcPr>
                <w:p w14:paraId="2AAEC4F5">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14:00</w:t>
                  </w:r>
                </w:p>
              </w:tc>
              <w:tc>
                <w:tcPr>
                  <w:tcW w:w="1307" w:type="pct"/>
                  <w:vAlign w:val="center"/>
                </w:tcPr>
                <w:p w14:paraId="602593A2">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0.17</w:t>
                  </w:r>
                </w:p>
              </w:tc>
              <w:tc>
                <w:tcPr>
                  <w:tcW w:w="1051" w:type="pct"/>
                  <w:shd w:val="clear" w:color="auto" w:fill="auto"/>
                  <w:vAlign w:val="center"/>
                </w:tcPr>
                <w:p w14:paraId="1DC972B8">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2</w:t>
                  </w:r>
                </w:p>
              </w:tc>
              <w:tc>
                <w:tcPr>
                  <w:tcW w:w="650" w:type="pct"/>
                  <w:shd w:val="clear" w:color="auto" w:fill="auto"/>
                  <w:vAlign w:val="center"/>
                </w:tcPr>
                <w:p w14:paraId="3817D9DA">
                  <w:pPr>
                    <w:pStyle w:val="13"/>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highlight w:val="none"/>
                    </w:rPr>
                    <w:t>达标</w:t>
                  </w:r>
                </w:p>
              </w:tc>
            </w:tr>
            <w:tr w14:paraId="32F2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pct"/>
                  <w:vMerge w:val="continue"/>
                  <w:vAlign w:val="center"/>
                </w:tcPr>
                <w:p w14:paraId="32791EFA">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79" w:type="pct"/>
                  <w:vMerge w:val="continue"/>
                  <w:vAlign w:val="center"/>
                </w:tcPr>
                <w:p w14:paraId="1ECA8D6C">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eastAsia="zh-CN"/>
                    </w:rPr>
                  </w:pPr>
                </w:p>
              </w:tc>
              <w:tc>
                <w:tcPr>
                  <w:tcW w:w="642" w:type="pct"/>
                  <w:shd w:val="clear" w:color="auto" w:fill="auto"/>
                  <w:vAlign w:val="center"/>
                </w:tcPr>
                <w:p w14:paraId="30D33DF6">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20:00</w:t>
                  </w:r>
                </w:p>
              </w:tc>
              <w:tc>
                <w:tcPr>
                  <w:tcW w:w="1307" w:type="pct"/>
                  <w:vAlign w:val="center"/>
                </w:tcPr>
                <w:p w14:paraId="5ECD27F6">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0.14</w:t>
                  </w:r>
                </w:p>
              </w:tc>
              <w:tc>
                <w:tcPr>
                  <w:tcW w:w="1051" w:type="pct"/>
                  <w:shd w:val="clear" w:color="auto" w:fill="auto"/>
                  <w:vAlign w:val="center"/>
                </w:tcPr>
                <w:p w14:paraId="50EDE8E8">
                  <w:pPr>
                    <w:pStyle w:val="10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2</w:t>
                  </w:r>
                </w:p>
              </w:tc>
              <w:tc>
                <w:tcPr>
                  <w:tcW w:w="650" w:type="pct"/>
                  <w:shd w:val="clear" w:color="auto" w:fill="auto"/>
                  <w:vAlign w:val="center"/>
                </w:tcPr>
                <w:p w14:paraId="68926A1F">
                  <w:pPr>
                    <w:pStyle w:val="13"/>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highlight w:val="none"/>
                    </w:rPr>
                    <w:t>达标</w:t>
                  </w:r>
                </w:p>
              </w:tc>
            </w:tr>
          </w:tbl>
          <w:p w14:paraId="0395CB48">
            <w:pPr>
              <w:adjustRightInd w:val="0"/>
              <w:snapToGrid w:val="0"/>
              <w:spacing w:line="360" w:lineRule="auto"/>
              <w:ind w:firstLine="480" w:firstLineChars="200"/>
              <w:jc w:val="left"/>
              <w:rPr>
                <w:rFonts w:hint="eastAsia"/>
                <w:color w:val="auto"/>
                <w:sz w:val="24"/>
                <w:szCs w:val="24"/>
                <w:highlight w:val="none"/>
                <w:lang w:eastAsia="zh-CN"/>
              </w:rPr>
            </w:pPr>
            <w:r>
              <w:rPr>
                <w:rFonts w:hint="eastAsia"/>
                <w:color w:val="auto"/>
                <w:sz w:val="24"/>
                <w:szCs w:val="24"/>
                <w:highlight w:val="none"/>
                <w:lang w:eastAsia="zh-CN"/>
              </w:rPr>
              <w:t>根据监测结果，项目所在区域非甲烷总烃能满足《大气污染物综合排放标准详解》中的相关限值。</w:t>
            </w:r>
          </w:p>
          <w:p w14:paraId="15860FF3">
            <w:pPr>
              <w:spacing w:line="360" w:lineRule="auto"/>
              <w:ind w:firstLine="482" w:firstLineChars="200"/>
              <w:contextualSpacing/>
              <w:outlineLvl w:val="2"/>
              <w:rPr>
                <w:b/>
                <w:color w:val="auto"/>
                <w:sz w:val="24"/>
                <w:highlight w:val="none"/>
              </w:rPr>
            </w:pPr>
            <w:r>
              <w:rPr>
                <w:b/>
                <w:color w:val="auto"/>
                <w:sz w:val="24"/>
                <w:highlight w:val="none"/>
              </w:rPr>
              <w:t>二、地表水</w:t>
            </w:r>
            <w:bookmarkEnd w:id="16"/>
          </w:p>
          <w:p w14:paraId="3BD4950E">
            <w:pPr>
              <w:spacing w:line="360" w:lineRule="auto"/>
              <w:ind w:firstLine="480"/>
              <w:rPr>
                <w:color w:val="auto"/>
                <w:sz w:val="24"/>
                <w:highlight w:val="none"/>
              </w:rPr>
            </w:pPr>
            <w:r>
              <w:rPr>
                <w:color w:val="auto"/>
                <w:sz w:val="24"/>
                <w:highlight w:val="none"/>
              </w:rPr>
              <w:t>1、地表水环境质量标准</w:t>
            </w:r>
          </w:p>
          <w:p w14:paraId="10B5A2C7">
            <w:pPr>
              <w:spacing w:line="360" w:lineRule="auto"/>
              <w:ind w:firstLine="480" w:firstLineChars="200"/>
              <w:rPr>
                <w:rFonts w:hint="eastAsia"/>
                <w:color w:val="auto"/>
                <w:sz w:val="24"/>
                <w:highlight w:val="none"/>
              </w:rPr>
            </w:pPr>
            <w:r>
              <w:rPr>
                <w:rFonts w:hint="eastAsia"/>
                <w:color w:val="auto"/>
                <w:sz w:val="24"/>
                <w:highlight w:val="none"/>
              </w:rPr>
              <w:t>根据项目区域水系图可知，本项目距离最近的地表水体为项目区西</w:t>
            </w:r>
            <w:r>
              <w:rPr>
                <w:rFonts w:hint="eastAsia"/>
                <w:color w:val="auto"/>
                <w:sz w:val="24"/>
                <w:highlight w:val="none"/>
                <w:lang w:val="en-US" w:eastAsia="zh-CN"/>
              </w:rPr>
              <w:t>南</w:t>
            </w:r>
            <w:r>
              <w:rPr>
                <w:rFonts w:hint="eastAsia"/>
                <w:color w:val="auto"/>
                <w:sz w:val="24"/>
                <w:highlight w:val="none"/>
              </w:rPr>
              <w:t>侧约</w:t>
            </w:r>
            <w:r>
              <w:rPr>
                <w:rFonts w:hint="eastAsia"/>
                <w:color w:val="auto"/>
                <w:sz w:val="24"/>
                <w:highlight w:val="none"/>
                <w:lang w:val="en-US" w:eastAsia="zh-CN"/>
              </w:rPr>
              <w:t>600</w:t>
            </w:r>
            <w:r>
              <w:rPr>
                <w:rFonts w:hint="eastAsia"/>
                <w:color w:val="auto"/>
                <w:sz w:val="24"/>
                <w:highlight w:val="none"/>
              </w:rPr>
              <w:t>m处的东风支沟，东风支沟经东风大沟干冲箐、歪者河、大沙河、石邑小河，最终于峨山小街由义村附近汇入峨山大河，即曲江。曲江属于珠江流域，根据《云南省水功能区划》（2014年修订），涉及水功能区为</w:t>
            </w:r>
            <w:r>
              <w:rPr>
                <w:rFonts w:hint="eastAsia"/>
                <w:color w:val="auto"/>
                <w:sz w:val="24"/>
                <w:highlight w:val="none"/>
                <w:lang w:eastAsia="zh-CN"/>
              </w:rPr>
              <w:t>“</w:t>
            </w:r>
            <w:r>
              <w:rPr>
                <w:rFonts w:hint="eastAsia"/>
                <w:color w:val="auto"/>
                <w:sz w:val="24"/>
                <w:highlight w:val="none"/>
              </w:rPr>
              <w:t>曲江红塔-峨山工业、农业用水区</w:t>
            </w:r>
            <w:r>
              <w:rPr>
                <w:rFonts w:hint="eastAsia"/>
                <w:color w:val="auto"/>
                <w:sz w:val="24"/>
                <w:highlight w:val="none"/>
                <w:lang w:eastAsia="zh-CN"/>
              </w:rPr>
              <w:t>”</w:t>
            </w:r>
            <w:r>
              <w:rPr>
                <w:rFonts w:hint="eastAsia"/>
                <w:color w:val="auto"/>
                <w:sz w:val="24"/>
                <w:highlight w:val="none"/>
              </w:rPr>
              <w:t>，2030年水质考核目标为Ⅲ类，执行《地表水环境质量标准》（GB</w:t>
            </w:r>
            <w:r>
              <w:rPr>
                <w:rFonts w:hint="eastAsia"/>
                <w:color w:val="auto"/>
                <w:sz w:val="24"/>
                <w:highlight w:val="none"/>
                <w:lang w:val="en-US" w:eastAsia="zh-CN"/>
              </w:rPr>
              <w:t xml:space="preserve"> </w:t>
            </w:r>
            <w:r>
              <w:rPr>
                <w:rFonts w:hint="eastAsia"/>
                <w:color w:val="auto"/>
                <w:sz w:val="24"/>
                <w:highlight w:val="none"/>
              </w:rPr>
              <w:t>3838-2002）Ⅲ类水质标准。</w:t>
            </w:r>
          </w:p>
          <w:p w14:paraId="5AEE5455">
            <w:pPr>
              <w:spacing w:line="360" w:lineRule="auto"/>
              <w:ind w:firstLine="480" w:firstLineChars="200"/>
              <w:rPr>
                <w:color w:val="auto"/>
                <w:sz w:val="24"/>
                <w:highlight w:val="none"/>
              </w:rPr>
            </w:pPr>
            <w:r>
              <w:rPr>
                <w:color w:val="auto"/>
                <w:sz w:val="24"/>
                <w:highlight w:val="none"/>
              </w:rPr>
              <w:t>其标准值见表3-</w:t>
            </w:r>
            <w:r>
              <w:rPr>
                <w:rFonts w:hint="eastAsia"/>
                <w:color w:val="auto"/>
                <w:sz w:val="24"/>
                <w:highlight w:val="none"/>
                <w:lang w:val="en-US" w:eastAsia="zh-CN"/>
              </w:rPr>
              <w:t>3</w:t>
            </w:r>
            <w:r>
              <w:rPr>
                <w:color w:val="auto"/>
                <w:sz w:val="24"/>
                <w:highlight w:val="none"/>
              </w:rPr>
              <w:t>。</w:t>
            </w:r>
          </w:p>
          <w:p w14:paraId="0BB12257">
            <w:pPr>
              <w:pStyle w:val="7"/>
              <w:spacing w:line="360" w:lineRule="auto"/>
              <w:ind w:firstLine="422"/>
              <w:jc w:val="center"/>
              <w:rPr>
                <w:b/>
                <w:color w:val="auto"/>
                <w:sz w:val="24"/>
                <w:highlight w:val="none"/>
              </w:rPr>
            </w:pPr>
            <w:r>
              <w:rPr>
                <w:b/>
                <w:color w:val="auto"/>
                <w:sz w:val="24"/>
                <w:highlight w:val="none"/>
              </w:rPr>
              <w:t>表3-</w:t>
            </w:r>
            <w:r>
              <w:rPr>
                <w:rFonts w:hint="eastAsia"/>
                <w:b/>
                <w:color w:val="auto"/>
                <w:sz w:val="24"/>
                <w:highlight w:val="none"/>
                <w:lang w:val="en-US" w:eastAsia="zh-CN"/>
              </w:rPr>
              <w:t>3</w:t>
            </w:r>
            <w:r>
              <w:rPr>
                <w:b/>
                <w:color w:val="auto"/>
                <w:sz w:val="24"/>
                <w:highlight w:val="none"/>
              </w:rPr>
              <w:t xml:space="preserve">  地表水环境质量标准  单位：mg/L</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8"/>
              <w:gridCol w:w="1534"/>
              <w:gridCol w:w="2587"/>
              <w:gridCol w:w="1500"/>
            </w:tblGrid>
            <w:tr w14:paraId="4883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645" w:type="pct"/>
                  <w:vAlign w:val="center"/>
                </w:tcPr>
                <w:p w14:paraId="54717A28">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项目</w:t>
                  </w:r>
                </w:p>
              </w:tc>
              <w:tc>
                <w:tcPr>
                  <w:tcW w:w="915" w:type="pct"/>
                  <w:vAlign w:val="center"/>
                </w:tcPr>
                <w:p w14:paraId="206841FA">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fldChar w:fldCharType="begin"/>
                  </w:r>
                  <w:r>
                    <w:rPr>
                      <w:rFonts w:hint="default" w:ascii="Times New Roman" w:hAnsi="Times New Roman" w:eastAsia="宋体" w:cs="Times New Roman"/>
                      <w:b/>
                      <w:bCs/>
                      <w:color w:val="auto"/>
                      <w:sz w:val="21"/>
                      <w:szCs w:val="21"/>
                      <w:highlight w:val="none"/>
                    </w:rPr>
                    <w:instrText xml:space="preserve"> = 3 \* ROMAN </w:instrText>
                  </w:r>
                  <w:r>
                    <w:rPr>
                      <w:rFonts w:hint="default" w:ascii="Times New Roman" w:hAnsi="Times New Roman" w:eastAsia="宋体" w:cs="Times New Roman"/>
                      <w:b/>
                      <w:bCs/>
                      <w:color w:val="auto"/>
                      <w:sz w:val="21"/>
                      <w:szCs w:val="21"/>
                      <w:highlight w:val="none"/>
                    </w:rPr>
                    <w:fldChar w:fldCharType="separate"/>
                  </w:r>
                  <w:r>
                    <w:rPr>
                      <w:rFonts w:hint="default" w:ascii="Times New Roman" w:hAnsi="Times New Roman" w:eastAsia="宋体" w:cs="Times New Roman"/>
                      <w:b/>
                      <w:bCs/>
                      <w:color w:val="auto"/>
                      <w:sz w:val="21"/>
                      <w:szCs w:val="21"/>
                      <w:highlight w:val="none"/>
                    </w:rPr>
                    <w:t>III</w:t>
                  </w:r>
                  <w:r>
                    <w:rPr>
                      <w:rFonts w:hint="default" w:ascii="Times New Roman" w:hAnsi="Times New Roman" w:eastAsia="宋体" w:cs="Times New Roman"/>
                      <w:b/>
                      <w:bCs/>
                      <w:color w:val="auto"/>
                      <w:sz w:val="21"/>
                      <w:szCs w:val="21"/>
                      <w:highlight w:val="none"/>
                    </w:rPr>
                    <w:fldChar w:fldCharType="end"/>
                  </w:r>
                  <w:r>
                    <w:rPr>
                      <w:rFonts w:hint="default" w:ascii="Times New Roman" w:hAnsi="Times New Roman" w:eastAsia="宋体" w:cs="Times New Roman"/>
                      <w:b/>
                      <w:bCs/>
                      <w:color w:val="auto"/>
                      <w:sz w:val="21"/>
                      <w:szCs w:val="21"/>
                      <w:highlight w:val="none"/>
                    </w:rPr>
                    <w:t>类标准值</w:t>
                  </w:r>
                </w:p>
              </w:tc>
              <w:tc>
                <w:tcPr>
                  <w:tcW w:w="1543" w:type="pct"/>
                  <w:vAlign w:val="center"/>
                </w:tcPr>
                <w:p w14:paraId="5AB7C772">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项目</w:t>
                  </w:r>
                </w:p>
              </w:tc>
              <w:tc>
                <w:tcPr>
                  <w:tcW w:w="895" w:type="pct"/>
                  <w:vAlign w:val="center"/>
                </w:tcPr>
                <w:p w14:paraId="576B4005">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fldChar w:fldCharType="begin"/>
                  </w:r>
                  <w:r>
                    <w:rPr>
                      <w:rFonts w:hint="default" w:ascii="Times New Roman" w:hAnsi="Times New Roman" w:eastAsia="宋体" w:cs="Times New Roman"/>
                      <w:b/>
                      <w:bCs/>
                      <w:color w:val="auto"/>
                      <w:sz w:val="21"/>
                      <w:szCs w:val="21"/>
                      <w:highlight w:val="none"/>
                    </w:rPr>
                    <w:instrText xml:space="preserve"> = 3 \* ROMAN </w:instrText>
                  </w:r>
                  <w:r>
                    <w:rPr>
                      <w:rFonts w:hint="default" w:ascii="Times New Roman" w:hAnsi="Times New Roman" w:eastAsia="宋体" w:cs="Times New Roman"/>
                      <w:b/>
                      <w:bCs/>
                      <w:color w:val="auto"/>
                      <w:sz w:val="21"/>
                      <w:szCs w:val="21"/>
                      <w:highlight w:val="none"/>
                    </w:rPr>
                    <w:fldChar w:fldCharType="separate"/>
                  </w:r>
                  <w:r>
                    <w:rPr>
                      <w:rFonts w:hint="default" w:ascii="Times New Roman" w:hAnsi="Times New Roman" w:eastAsia="宋体" w:cs="Times New Roman"/>
                      <w:b/>
                      <w:bCs/>
                      <w:color w:val="auto"/>
                      <w:sz w:val="21"/>
                      <w:szCs w:val="21"/>
                      <w:highlight w:val="none"/>
                    </w:rPr>
                    <w:t>III</w:t>
                  </w:r>
                  <w:r>
                    <w:rPr>
                      <w:rFonts w:hint="default" w:ascii="Times New Roman" w:hAnsi="Times New Roman" w:eastAsia="宋体" w:cs="Times New Roman"/>
                      <w:b/>
                      <w:bCs/>
                      <w:color w:val="auto"/>
                      <w:sz w:val="21"/>
                      <w:szCs w:val="21"/>
                      <w:highlight w:val="none"/>
                    </w:rPr>
                    <w:fldChar w:fldCharType="end"/>
                  </w:r>
                  <w:r>
                    <w:rPr>
                      <w:rFonts w:hint="default" w:ascii="Times New Roman" w:hAnsi="Times New Roman" w:eastAsia="宋体" w:cs="Times New Roman"/>
                      <w:b/>
                      <w:bCs/>
                      <w:color w:val="auto"/>
                      <w:sz w:val="21"/>
                      <w:szCs w:val="21"/>
                      <w:highlight w:val="none"/>
                    </w:rPr>
                    <w:t>类标准值</w:t>
                  </w:r>
                </w:p>
              </w:tc>
            </w:tr>
            <w:tr w14:paraId="69A3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pct"/>
                  <w:vAlign w:val="center"/>
                </w:tcPr>
                <w:p w14:paraId="09B4207E">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pH值</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无量纲</w:t>
                  </w:r>
                  <w:r>
                    <w:rPr>
                      <w:rFonts w:hint="eastAsia" w:ascii="Times New Roman" w:hAnsi="Times New Roman" w:eastAsia="宋体" w:cs="Times New Roman"/>
                      <w:color w:val="auto"/>
                      <w:sz w:val="21"/>
                      <w:szCs w:val="21"/>
                      <w:highlight w:val="none"/>
                      <w:lang w:eastAsia="zh-CN"/>
                    </w:rPr>
                    <w:t>）</w:t>
                  </w:r>
                </w:p>
              </w:tc>
              <w:tc>
                <w:tcPr>
                  <w:tcW w:w="915" w:type="pct"/>
                  <w:vAlign w:val="center"/>
                </w:tcPr>
                <w:p w14:paraId="5E4F467B">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6-9</w:t>
                  </w:r>
                </w:p>
              </w:tc>
              <w:tc>
                <w:tcPr>
                  <w:tcW w:w="1543" w:type="pct"/>
                  <w:vAlign w:val="center"/>
                </w:tcPr>
                <w:p w14:paraId="224FCC2E">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氰化物≤</w:t>
                  </w:r>
                </w:p>
              </w:tc>
              <w:tc>
                <w:tcPr>
                  <w:tcW w:w="895" w:type="pct"/>
                  <w:vAlign w:val="center"/>
                </w:tcPr>
                <w:p w14:paraId="6A58BEF9">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0.2</w:t>
                  </w:r>
                </w:p>
              </w:tc>
            </w:tr>
            <w:tr w14:paraId="397FB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pct"/>
                  <w:vAlign w:val="center"/>
                </w:tcPr>
                <w:p w14:paraId="39ED06D1">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溶解氧≥</w:t>
                  </w:r>
                </w:p>
              </w:tc>
              <w:tc>
                <w:tcPr>
                  <w:tcW w:w="915" w:type="pct"/>
                  <w:vAlign w:val="center"/>
                </w:tcPr>
                <w:p w14:paraId="552B5DBC">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w:t>
                  </w:r>
                </w:p>
              </w:tc>
              <w:tc>
                <w:tcPr>
                  <w:tcW w:w="1543" w:type="pct"/>
                  <w:vAlign w:val="center"/>
                </w:tcPr>
                <w:p w14:paraId="7BB7DF04">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挥发酚≤</w:t>
                  </w:r>
                </w:p>
              </w:tc>
              <w:tc>
                <w:tcPr>
                  <w:tcW w:w="895" w:type="pct"/>
                  <w:vAlign w:val="center"/>
                </w:tcPr>
                <w:p w14:paraId="57F3A7F8">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0.005</w:t>
                  </w:r>
                </w:p>
              </w:tc>
            </w:tr>
            <w:tr w14:paraId="0D7E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pct"/>
                  <w:vAlign w:val="center"/>
                </w:tcPr>
                <w:p w14:paraId="73A8CA02">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高锰酸盐指数≤</w:t>
                  </w:r>
                </w:p>
              </w:tc>
              <w:tc>
                <w:tcPr>
                  <w:tcW w:w="915" w:type="pct"/>
                  <w:vAlign w:val="center"/>
                </w:tcPr>
                <w:p w14:paraId="2D5AAD48">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w:t>
                  </w:r>
                </w:p>
              </w:tc>
              <w:tc>
                <w:tcPr>
                  <w:tcW w:w="1543" w:type="pct"/>
                  <w:vAlign w:val="center"/>
                </w:tcPr>
                <w:p w14:paraId="0AB6750E">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石油类≤</w:t>
                  </w:r>
                </w:p>
              </w:tc>
              <w:tc>
                <w:tcPr>
                  <w:tcW w:w="895" w:type="pct"/>
                  <w:vAlign w:val="center"/>
                </w:tcPr>
                <w:p w14:paraId="14B56205">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0.05</w:t>
                  </w:r>
                </w:p>
              </w:tc>
            </w:tr>
            <w:tr w14:paraId="4D7D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pct"/>
                  <w:vAlign w:val="center"/>
                </w:tcPr>
                <w:p w14:paraId="39F8AF17">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化学需氧量（COD）≤</w:t>
                  </w:r>
                </w:p>
              </w:tc>
              <w:tc>
                <w:tcPr>
                  <w:tcW w:w="915" w:type="pct"/>
                  <w:vAlign w:val="center"/>
                </w:tcPr>
                <w:p w14:paraId="1461C6C5">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w:t>
                  </w:r>
                </w:p>
              </w:tc>
              <w:tc>
                <w:tcPr>
                  <w:tcW w:w="1543" w:type="pct"/>
                  <w:vAlign w:val="center"/>
                </w:tcPr>
                <w:p w14:paraId="06133D00">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阴离子表面活性剂≤</w:t>
                  </w:r>
                </w:p>
              </w:tc>
              <w:tc>
                <w:tcPr>
                  <w:tcW w:w="895" w:type="pct"/>
                  <w:vAlign w:val="center"/>
                </w:tcPr>
                <w:p w14:paraId="2B17DCC7">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0.2</w:t>
                  </w:r>
                </w:p>
              </w:tc>
            </w:tr>
            <w:tr w14:paraId="73FF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pct"/>
                  <w:vAlign w:val="center"/>
                </w:tcPr>
                <w:p w14:paraId="63766239">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五日生化需氧量（BOD</w:t>
                  </w:r>
                  <w:r>
                    <w:rPr>
                      <w:rFonts w:hint="default" w:ascii="Times New Roman" w:hAnsi="Times New Roman" w:eastAsia="宋体" w:cs="Times New Roman"/>
                      <w:color w:val="auto"/>
                      <w:sz w:val="21"/>
                      <w:szCs w:val="21"/>
                      <w:highlight w:val="none"/>
                      <w:vertAlign w:val="subscript"/>
                    </w:rPr>
                    <w:t>5</w:t>
                  </w:r>
                  <w:r>
                    <w:rPr>
                      <w:rFonts w:hint="default" w:ascii="Times New Roman" w:hAnsi="Times New Roman" w:eastAsia="宋体" w:cs="Times New Roman"/>
                      <w:color w:val="auto"/>
                      <w:sz w:val="21"/>
                      <w:szCs w:val="21"/>
                      <w:highlight w:val="none"/>
                    </w:rPr>
                    <w:t>）≤</w:t>
                  </w:r>
                </w:p>
              </w:tc>
              <w:tc>
                <w:tcPr>
                  <w:tcW w:w="915" w:type="pct"/>
                  <w:vAlign w:val="center"/>
                </w:tcPr>
                <w:p w14:paraId="4FA31ACB">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p>
              </w:tc>
              <w:tc>
                <w:tcPr>
                  <w:tcW w:w="1543" w:type="pct"/>
                  <w:vAlign w:val="center"/>
                </w:tcPr>
                <w:p w14:paraId="3F47C1C7">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硫化物≤</w:t>
                  </w:r>
                </w:p>
              </w:tc>
              <w:tc>
                <w:tcPr>
                  <w:tcW w:w="895" w:type="pct"/>
                  <w:vAlign w:val="center"/>
                </w:tcPr>
                <w:p w14:paraId="3EE1B593">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0.2</w:t>
                  </w:r>
                </w:p>
              </w:tc>
            </w:tr>
            <w:tr w14:paraId="5DD3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pct"/>
                  <w:vAlign w:val="center"/>
                </w:tcPr>
                <w:p w14:paraId="332D9D1B">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氨氮</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NH</w:t>
                  </w:r>
                  <w:r>
                    <w:rPr>
                      <w:rFonts w:hint="default" w:ascii="Times New Roman" w:hAnsi="Times New Roman" w:eastAsia="宋体" w:cs="Times New Roman"/>
                      <w:color w:val="auto"/>
                      <w:sz w:val="21"/>
                      <w:szCs w:val="21"/>
                      <w:highlight w:val="none"/>
                      <w:vertAlign w:val="subscript"/>
                    </w:rPr>
                    <w:t>3</w:t>
                  </w:r>
                  <w:r>
                    <w:rPr>
                      <w:rFonts w:hint="default" w:ascii="Times New Roman" w:hAnsi="Times New Roman" w:eastAsia="宋体" w:cs="Times New Roman"/>
                      <w:color w:val="auto"/>
                      <w:sz w:val="21"/>
                      <w:szCs w:val="21"/>
                      <w:highlight w:val="none"/>
                    </w:rPr>
                    <w:t>-N</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w:t>
                  </w:r>
                </w:p>
              </w:tc>
              <w:tc>
                <w:tcPr>
                  <w:tcW w:w="915" w:type="pct"/>
                  <w:vAlign w:val="center"/>
                </w:tcPr>
                <w:p w14:paraId="5DC5F0EE">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w:t>
                  </w:r>
                </w:p>
              </w:tc>
              <w:tc>
                <w:tcPr>
                  <w:tcW w:w="1543" w:type="pct"/>
                  <w:vAlign w:val="center"/>
                </w:tcPr>
                <w:p w14:paraId="71DA9E25">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粪大肠菌群（个／L）≤</w:t>
                  </w:r>
                </w:p>
              </w:tc>
              <w:tc>
                <w:tcPr>
                  <w:tcW w:w="895" w:type="pct"/>
                  <w:vAlign w:val="center"/>
                </w:tcPr>
                <w:p w14:paraId="6AF1EB0C">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10000</w:t>
                  </w:r>
                </w:p>
              </w:tc>
            </w:tr>
            <w:tr w14:paraId="3867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pct"/>
                  <w:vAlign w:val="center"/>
                </w:tcPr>
                <w:p w14:paraId="081B91FF">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总磷（以P计）≤</w:t>
                  </w:r>
                </w:p>
              </w:tc>
              <w:tc>
                <w:tcPr>
                  <w:tcW w:w="915" w:type="pct"/>
                  <w:vAlign w:val="center"/>
                </w:tcPr>
                <w:p w14:paraId="24BC93BE">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0.2</w:t>
                  </w:r>
                </w:p>
              </w:tc>
              <w:tc>
                <w:tcPr>
                  <w:tcW w:w="1543" w:type="pct"/>
                  <w:vAlign w:val="center"/>
                </w:tcPr>
                <w:p w14:paraId="717CAB06">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砷≤</w:t>
                  </w:r>
                </w:p>
              </w:tc>
              <w:tc>
                <w:tcPr>
                  <w:tcW w:w="895" w:type="pct"/>
                  <w:vAlign w:val="center"/>
                </w:tcPr>
                <w:p w14:paraId="56B9FE90">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0.05</w:t>
                  </w:r>
                </w:p>
              </w:tc>
            </w:tr>
            <w:tr w14:paraId="5A2D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pct"/>
                  <w:vAlign w:val="center"/>
                </w:tcPr>
                <w:p w14:paraId="7EF27CC4">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铜≤</w:t>
                  </w:r>
                </w:p>
              </w:tc>
              <w:tc>
                <w:tcPr>
                  <w:tcW w:w="915" w:type="pct"/>
                  <w:vAlign w:val="center"/>
                </w:tcPr>
                <w:p w14:paraId="37A96410">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w:t>
                  </w:r>
                </w:p>
              </w:tc>
              <w:tc>
                <w:tcPr>
                  <w:tcW w:w="1543" w:type="pct"/>
                  <w:vAlign w:val="center"/>
                </w:tcPr>
                <w:p w14:paraId="78709333">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汞≤</w:t>
                  </w:r>
                </w:p>
              </w:tc>
              <w:tc>
                <w:tcPr>
                  <w:tcW w:w="895" w:type="pct"/>
                  <w:vAlign w:val="center"/>
                </w:tcPr>
                <w:p w14:paraId="11CC001E">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0.0001</w:t>
                  </w:r>
                </w:p>
              </w:tc>
            </w:tr>
            <w:tr w14:paraId="48DE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pct"/>
                  <w:vAlign w:val="center"/>
                </w:tcPr>
                <w:p w14:paraId="1695B4A6">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锌≤</w:t>
                  </w:r>
                </w:p>
              </w:tc>
              <w:tc>
                <w:tcPr>
                  <w:tcW w:w="915" w:type="pct"/>
                  <w:vAlign w:val="center"/>
                </w:tcPr>
                <w:p w14:paraId="083FFED4">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w:t>
                  </w:r>
                </w:p>
              </w:tc>
              <w:tc>
                <w:tcPr>
                  <w:tcW w:w="1543" w:type="pct"/>
                  <w:vAlign w:val="center"/>
                </w:tcPr>
                <w:p w14:paraId="1A1FB92D">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镉≤</w:t>
                  </w:r>
                </w:p>
              </w:tc>
              <w:tc>
                <w:tcPr>
                  <w:tcW w:w="895" w:type="pct"/>
                  <w:vAlign w:val="center"/>
                </w:tcPr>
                <w:p w14:paraId="4E0FA2A0">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0.005</w:t>
                  </w:r>
                </w:p>
              </w:tc>
            </w:tr>
            <w:tr w14:paraId="65FAB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pct"/>
                  <w:vAlign w:val="center"/>
                </w:tcPr>
                <w:p w14:paraId="254E25AB">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氟化物（以F-计）≤</w:t>
                  </w:r>
                </w:p>
              </w:tc>
              <w:tc>
                <w:tcPr>
                  <w:tcW w:w="915" w:type="pct"/>
                  <w:vAlign w:val="center"/>
                </w:tcPr>
                <w:p w14:paraId="4207CA5E">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w:t>
                  </w:r>
                </w:p>
              </w:tc>
              <w:tc>
                <w:tcPr>
                  <w:tcW w:w="1543" w:type="pct"/>
                  <w:vAlign w:val="center"/>
                </w:tcPr>
                <w:p w14:paraId="3FEB494C">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铬（六价）≤</w:t>
                  </w:r>
                </w:p>
              </w:tc>
              <w:tc>
                <w:tcPr>
                  <w:tcW w:w="895" w:type="pct"/>
                  <w:vAlign w:val="center"/>
                </w:tcPr>
                <w:p w14:paraId="4067B796">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0.05</w:t>
                  </w:r>
                </w:p>
              </w:tc>
            </w:tr>
            <w:tr w14:paraId="36F65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pct"/>
                  <w:vAlign w:val="center"/>
                </w:tcPr>
                <w:p w14:paraId="5EC62605">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硒≤</w:t>
                  </w:r>
                </w:p>
              </w:tc>
              <w:tc>
                <w:tcPr>
                  <w:tcW w:w="915" w:type="pct"/>
                  <w:vAlign w:val="center"/>
                </w:tcPr>
                <w:p w14:paraId="72AD7271">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0.01</w:t>
                  </w:r>
                </w:p>
              </w:tc>
              <w:tc>
                <w:tcPr>
                  <w:tcW w:w="1543" w:type="pct"/>
                  <w:vAlign w:val="center"/>
                </w:tcPr>
                <w:p w14:paraId="030C5716">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铅≤</w:t>
                  </w:r>
                </w:p>
              </w:tc>
              <w:tc>
                <w:tcPr>
                  <w:tcW w:w="895" w:type="pct"/>
                  <w:vAlign w:val="center"/>
                </w:tcPr>
                <w:p w14:paraId="0B758830">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0.05</w:t>
                  </w:r>
                </w:p>
              </w:tc>
            </w:tr>
          </w:tbl>
          <w:p w14:paraId="7F5E3189">
            <w:pPr>
              <w:spacing w:line="360" w:lineRule="auto"/>
              <w:ind w:firstLine="480"/>
              <w:rPr>
                <w:color w:val="auto"/>
                <w:sz w:val="24"/>
                <w:highlight w:val="none"/>
              </w:rPr>
            </w:pPr>
            <w:r>
              <w:rPr>
                <w:color w:val="auto"/>
                <w:sz w:val="24"/>
                <w:highlight w:val="none"/>
              </w:rPr>
              <w:t>2、地表水环境质量现状</w:t>
            </w:r>
          </w:p>
          <w:p w14:paraId="64CE2B22">
            <w:pPr>
              <w:pStyle w:val="54"/>
              <w:spacing w:line="360" w:lineRule="auto"/>
              <w:ind w:firstLine="480" w:firstLineChars="200"/>
              <w:rPr>
                <w:rFonts w:hint="eastAsia" w:ascii="Times New Roman" w:hAnsi="Times New Roman" w:eastAsia="宋体" w:cs="Times New Roman"/>
                <w:bCs/>
                <w:color w:val="auto"/>
                <w:sz w:val="24"/>
                <w:highlight w:val="none"/>
                <w:lang w:eastAsia="zh-CN"/>
              </w:rPr>
            </w:pPr>
            <w:r>
              <w:rPr>
                <w:rFonts w:hint="eastAsia" w:ascii="Times New Roman" w:hAnsi="Times New Roman" w:cs="Times New Roman"/>
                <w:bCs/>
                <w:color w:val="auto"/>
                <w:sz w:val="24"/>
                <w:highlight w:val="none"/>
              </w:rPr>
              <w:t>根据《建设项目环境影响报告表编制技术指南（污染影响类）（试行）》，地表水环境引用与建设项目距离近的有效数据，包括近3年的规划环境影响评价的监测数据，所在流域控制单元内国家、地方控制断面监测数据，生态环境主管部门发布的水环境质量数据或地表水达标情况的结论</w:t>
            </w:r>
            <w:r>
              <w:rPr>
                <w:rFonts w:hint="eastAsia" w:ascii="Times New Roman" w:hAnsi="Times New Roman" w:cs="Times New Roman"/>
                <w:bCs/>
                <w:color w:val="auto"/>
                <w:sz w:val="24"/>
                <w:highlight w:val="none"/>
                <w:lang w:eastAsia="zh-CN"/>
              </w:rPr>
              <w:t>。</w:t>
            </w:r>
          </w:p>
          <w:p w14:paraId="35F57CBE">
            <w:pPr>
              <w:pStyle w:val="54"/>
              <w:spacing w:line="360" w:lineRule="auto"/>
              <w:ind w:firstLine="480" w:firstLineChars="200"/>
              <w:rPr>
                <w:rFonts w:ascii="Times New Roman" w:hAnsi="Times New Roman" w:cs="Times New Roman"/>
                <w:bCs/>
                <w:color w:val="auto"/>
                <w:kern w:val="0"/>
                <w:sz w:val="24"/>
                <w:highlight w:val="none"/>
              </w:rPr>
            </w:pPr>
            <w:r>
              <w:rPr>
                <w:rFonts w:hint="eastAsia" w:ascii="Times New Roman" w:hAnsi="Times New Roman" w:cs="Times New Roman"/>
                <w:bCs/>
                <w:color w:val="auto"/>
                <w:sz w:val="24"/>
                <w:highlight w:val="none"/>
              </w:rPr>
              <w:t>本项目最近的控制断面为峨山永昌桥国控断面，根据202</w:t>
            </w:r>
            <w:r>
              <w:rPr>
                <w:rFonts w:hint="eastAsia" w:ascii="Times New Roman" w:hAnsi="Times New Roman" w:cs="Times New Roman"/>
                <w:bCs/>
                <w:color w:val="auto"/>
                <w:sz w:val="24"/>
                <w:highlight w:val="none"/>
                <w:lang w:val="en-US" w:eastAsia="zh-CN"/>
              </w:rPr>
              <w:t>5</w:t>
            </w:r>
            <w:r>
              <w:rPr>
                <w:rFonts w:hint="eastAsia" w:ascii="Times New Roman" w:hAnsi="Times New Roman" w:cs="Times New Roman"/>
                <w:bCs/>
                <w:color w:val="auto"/>
                <w:sz w:val="24"/>
                <w:highlight w:val="none"/>
              </w:rPr>
              <w:t>年</w:t>
            </w:r>
            <w:r>
              <w:rPr>
                <w:rFonts w:hint="eastAsia" w:ascii="Times New Roman" w:hAnsi="Times New Roman" w:cs="Times New Roman"/>
                <w:bCs/>
                <w:color w:val="auto"/>
                <w:sz w:val="24"/>
                <w:highlight w:val="none"/>
                <w:lang w:val="en-US" w:eastAsia="zh-CN"/>
              </w:rPr>
              <w:t>6</w:t>
            </w:r>
            <w:r>
              <w:rPr>
                <w:rFonts w:hint="eastAsia" w:ascii="Times New Roman" w:hAnsi="Times New Roman" w:cs="Times New Roman"/>
                <w:bCs/>
                <w:color w:val="auto"/>
                <w:sz w:val="24"/>
                <w:highlight w:val="none"/>
              </w:rPr>
              <w:t>月</w:t>
            </w:r>
            <w:r>
              <w:rPr>
                <w:rFonts w:hint="eastAsia" w:ascii="Times New Roman" w:hAnsi="Times New Roman" w:cs="Times New Roman"/>
                <w:bCs/>
                <w:color w:val="auto"/>
                <w:sz w:val="24"/>
                <w:highlight w:val="none"/>
                <w:lang w:val="en-US" w:eastAsia="zh-CN"/>
              </w:rPr>
              <w:t>5</w:t>
            </w:r>
            <w:r>
              <w:rPr>
                <w:rFonts w:hint="eastAsia" w:ascii="Times New Roman" w:hAnsi="Times New Roman" w:cs="Times New Roman"/>
                <w:bCs/>
                <w:color w:val="auto"/>
                <w:sz w:val="24"/>
                <w:highlight w:val="none"/>
              </w:rPr>
              <w:t>日</w:t>
            </w:r>
            <w:r>
              <w:rPr>
                <w:rFonts w:hint="eastAsia" w:ascii="Times New Roman" w:hAnsi="Times New Roman" w:cs="Times New Roman"/>
                <w:bCs/>
                <w:color w:val="auto"/>
                <w:sz w:val="24"/>
                <w:highlight w:val="none"/>
                <w:lang w:val="en-US" w:eastAsia="zh-CN"/>
              </w:rPr>
              <w:t>玉溪市人民</w:t>
            </w:r>
            <w:r>
              <w:rPr>
                <w:rFonts w:hint="eastAsia" w:ascii="Times New Roman" w:hAnsi="Times New Roman" w:cs="Times New Roman"/>
                <w:bCs/>
                <w:color w:val="auto"/>
                <w:sz w:val="24"/>
                <w:highlight w:val="none"/>
              </w:rPr>
              <w:t>政府信息公开网</w:t>
            </w:r>
            <w:r>
              <w:rPr>
                <w:rFonts w:hint="eastAsia" w:ascii="Times New Roman" w:hAnsi="Times New Roman" w:cs="Times New Roman"/>
                <w:bCs/>
                <w:color w:val="auto"/>
                <w:sz w:val="24"/>
                <w:highlight w:val="none"/>
                <w:lang w:eastAsia="zh-CN"/>
              </w:rPr>
              <w:t>，根据《2024年玉溪市生态环境状况公报》，2024年峨山大河永昌桥国控断面水质为Ⅲ类，峨山大河满足《地表水环境质量标准》（GB</w:t>
            </w:r>
            <w:r>
              <w:rPr>
                <w:rFonts w:hint="eastAsia" w:ascii="Times New Roman" w:hAnsi="Times New Roman" w:cs="Times New Roman"/>
                <w:bCs/>
                <w:color w:val="auto"/>
                <w:sz w:val="24"/>
                <w:highlight w:val="none"/>
                <w:lang w:val="en-US" w:eastAsia="zh-CN"/>
              </w:rPr>
              <w:t xml:space="preserve"> </w:t>
            </w:r>
            <w:r>
              <w:rPr>
                <w:rFonts w:hint="eastAsia" w:ascii="Times New Roman" w:hAnsi="Times New Roman" w:cs="Times New Roman"/>
                <w:bCs/>
                <w:color w:val="auto"/>
                <w:sz w:val="24"/>
                <w:highlight w:val="none"/>
                <w:lang w:eastAsia="zh-CN"/>
              </w:rPr>
              <w:t>3838-2002）中Ⅲ类标准，水质能达到功能区划要求，故判定本项目所在区域为地表水达标区。本项目运营期无废水外排，项目的建设不会降低区域地表水环境质量。</w:t>
            </w:r>
          </w:p>
          <w:p w14:paraId="026DDB61">
            <w:pPr>
              <w:pStyle w:val="54"/>
              <w:spacing w:line="360" w:lineRule="auto"/>
              <w:ind w:firstLine="482" w:firstLineChars="200"/>
              <w:rPr>
                <w:rFonts w:ascii="Times New Roman" w:hAnsi="Times New Roman" w:cs="Times New Roman"/>
                <w:b/>
                <w:color w:val="auto"/>
                <w:kern w:val="0"/>
                <w:sz w:val="24"/>
                <w:highlight w:val="none"/>
              </w:rPr>
            </w:pPr>
            <w:r>
              <w:rPr>
                <w:rFonts w:ascii="Times New Roman" w:hAnsi="Times New Roman" w:cs="Times New Roman"/>
                <w:b/>
                <w:color w:val="auto"/>
                <w:kern w:val="0"/>
                <w:sz w:val="24"/>
                <w:highlight w:val="none"/>
              </w:rPr>
              <w:t>三、声环境</w:t>
            </w:r>
          </w:p>
          <w:p w14:paraId="5C32C578">
            <w:pPr>
              <w:pStyle w:val="54"/>
              <w:spacing w:line="360" w:lineRule="auto"/>
              <w:ind w:firstLine="480" w:firstLineChars="200"/>
              <w:rPr>
                <w:rFonts w:ascii="Times New Roman" w:hAnsi="Times New Roman" w:cs="Times New Roman"/>
                <w:color w:val="auto"/>
                <w:kern w:val="24"/>
                <w:sz w:val="24"/>
                <w:highlight w:val="none"/>
                <w:lang w:val="en-US"/>
              </w:rPr>
            </w:pPr>
            <w:r>
              <w:rPr>
                <w:rFonts w:ascii="Times New Roman" w:hAnsi="Times New Roman" w:cs="Times New Roman"/>
                <w:color w:val="auto"/>
                <w:kern w:val="24"/>
                <w:sz w:val="24"/>
                <w:highlight w:val="none"/>
                <w:lang w:val="en-US"/>
              </w:rPr>
              <w:t>1、声环境质量标准</w:t>
            </w:r>
          </w:p>
          <w:p w14:paraId="64E6A525">
            <w:pPr>
              <w:pStyle w:val="77"/>
              <w:ind w:firstLine="480"/>
              <w:rPr>
                <w:rFonts w:hint="eastAsia"/>
                <w:color w:val="auto"/>
                <w:highlight w:val="none"/>
              </w:rPr>
            </w:pPr>
            <w:r>
              <w:rPr>
                <w:rFonts w:hint="eastAsia"/>
                <w:color w:val="auto"/>
                <w:highlight w:val="none"/>
              </w:rPr>
              <w:t>项目位于云南省玉溪市红塔区研和街道贾井社区研和工业园区，根据《云南红塔产业园区总体规划修编（2021-2035 年）环境影响报告书》，该项目属于云南红塔产业园区研和片区地块</w:t>
            </w:r>
            <w:r>
              <w:rPr>
                <w:rFonts w:hint="eastAsia"/>
                <w:color w:val="auto"/>
                <w:highlight w:val="none"/>
                <w:lang w:val="en-US" w:eastAsia="zh-CN"/>
              </w:rPr>
              <w:t>一</w:t>
            </w:r>
            <w:r>
              <w:rPr>
                <w:rFonts w:hint="eastAsia"/>
                <w:color w:val="auto"/>
                <w:highlight w:val="none"/>
              </w:rPr>
              <w:t>，项目所在区域属于3类声环境功能区，执行《声环境质量标准》（GB</w:t>
            </w:r>
            <w:r>
              <w:rPr>
                <w:rFonts w:hint="eastAsia"/>
                <w:color w:val="auto"/>
                <w:highlight w:val="none"/>
                <w:lang w:val="en-US" w:eastAsia="zh-CN"/>
              </w:rPr>
              <w:t xml:space="preserve"> </w:t>
            </w:r>
            <w:r>
              <w:rPr>
                <w:rFonts w:hint="eastAsia"/>
                <w:color w:val="auto"/>
                <w:highlight w:val="none"/>
              </w:rPr>
              <w:t>3096-2008）3类标准。</w:t>
            </w:r>
          </w:p>
          <w:p w14:paraId="0522DF19">
            <w:pPr>
              <w:pStyle w:val="77"/>
              <w:ind w:firstLine="480"/>
              <w:rPr>
                <w:rFonts w:hint="eastAsia"/>
                <w:color w:val="auto"/>
                <w:highlight w:val="none"/>
              </w:rPr>
            </w:pPr>
            <w:r>
              <w:rPr>
                <w:rFonts w:hint="eastAsia"/>
                <w:color w:val="auto"/>
                <w:highlight w:val="none"/>
              </w:rPr>
              <w:t>标准值见表3-</w:t>
            </w:r>
            <w:r>
              <w:rPr>
                <w:rFonts w:hint="eastAsia"/>
                <w:color w:val="auto"/>
                <w:highlight w:val="none"/>
                <w:lang w:val="en-US" w:eastAsia="zh-CN"/>
              </w:rPr>
              <w:t>4</w:t>
            </w:r>
            <w:r>
              <w:rPr>
                <w:rFonts w:hint="eastAsia"/>
                <w:color w:val="auto"/>
                <w:highlight w:val="none"/>
              </w:rPr>
              <w:t>。</w:t>
            </w:r>
          </w:p>
          <w:p w14:paraId="24058261">
            <w:pPr>
              <w:pStyle w:val="7"/>
              <w:spacing w:line="360" w:lineRule="auto"/>
              <w:ind w:firstLine="422"/>
              <w:jc w:val="center"/>
              <w:rPr>
                <w:b/>
                <w:color w:val="auto"/>
                <w:sz w:val="24"/>
                <w:highlight w:val="none"/>
              </w:rPr>
            </w:pPr>
            <w:r>
              <w:rPr>
                <w:b/>
                <w:color w:val="auto"/>
                <w:sz w:val="24"/>
                <w:highlight w:val="none"/>
              </w:rPr>
              <w:t>表3-</w:t>
            </w:r>
            <w:r>
              <w:rPr>
                <w:rFonts w:hint="eastAsia"/>
                <w:b/>
                <w:color w:val="auto"/>
                <w:sz w:val="24"/>
                <w:highlight w:val="none"/>
                <w:lang w:val="en-US" w:eastAsia="zh-CN"/>
              </w:rPr>
              <w:t>4</w:t>
            </w:r>
            <w:r>
              <w:rPr>
                <w:b/>
                <w:color w:val="auto"/>
                <w:sz w:val="24"/>
                <w:highlight w:val="none"/>
              </w:rPr>
              <w:t xml:space="preserve">  声环境质量标准</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1"/>
              <w:gridCol w:w="3587"/>
              <w:gridCol w:w="1304"/>
              <w:gridCol w:w="1307"/>
            </w:tblGrid>
            <w:tr w14:paraId="39E6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01" w:type="pct"/>
                  <w:vMerge w:val="restart"/>
                  <w:vAlign w:val="center"/>
                </w:tcPr>
                <w:p w14:paraId="02679164">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声环境功能区类别</w:t>
                  </w:r>
                </w:p>
              </w:tc>
              <w:tc>
                <w:tcPr>
                  <w:tcW w:w="2140" w:type="pct"/>
                  <w:vMerge w:val="restart"/>
                  <w:vAlign w:val="center"/>
                </w:tcPr>
                <w:p w14:paraId="5A416E1C">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适用区域</w:t>
                  </w:r>
                </w:p>
              </w:tc>
              <w:tc>
                <w:tcPr>
                  <w:tcW w:w="1557" w:type="pct"/>
                  <w:gridSpan w:val="2"/>
                  <w:vAlign w:val="center"/>
                </w:tcPr>
                <w:p w14:paraId="1B2A1EA3">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eastAsia"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等效声级/dB</w:t>
                  </w:r>
                  <w:r>
                    <w:rPr>
                      <w:rFonts w:hint="eastAsia" w:ascii="Times New Roman"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A</w:t>
                  </w:r>
                  <w:r>
                    <w:rPr>
                      <w:rFonts w:hint="eastAsia" w:ascii="Times New Roman" w:cs="Times New Roman"/>
                      <w:b/>
                      <w:bCs/>
                      <w:color w:val="auto"/>
                      <w:sz w:val="21"/>
                      <w:szCs w:val="21"/>
                      <w:highlight w:val="none"/>
                      <w:lang w:eastAsia="zh-CN"/>
                    </w:rPr>
                    <w:t>）</w:t>
                  </w:r>
                </w:p>
              </w:tc>
            </w:tr>
            <w:tr w14:paraId="5FB7A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pct"/>
                  <w:vMerge w:val="continue"/>
                  <w:vAlign w:val="center"/>
                </w:tcPr>
                <w:p w14:paraId="4D0DD2C2">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bCs/>
                      <w:color w:val="auto"/>
                      <w:sz w:val="21"/>
                      <w:szCs w:val="21"/>
                      <w:highlight w:val="none"/>
                    </w:rPr>
                  </w:pPr>
                </w:p>
              </w:tc>
              <w:tc>
                <w:tcPr>
                  <w:tcW w:w="2140" w:type="pct"/>
                  <w:vMerge w:val="continue"/>
                  <w:vAlign w:val="center"/>
                </w:tcPr>
                <w:p w14:paraId="265B478D">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bCs/>
                      <w:color w:val="auto"/>
                      <w:sz w:val="21"/>
                      <w:szCs w:val="21"/>
                      <w:highlight w:val="none"/>
                    </w:rPr>
                  </w:pPr>
                </w:p>
              </w:tc>
              <w:tc>
                <w:tcPr>
                  <w:tcW w:w="778" w:type="pct"/>
                  <w:vAlign w:val="center"/>
                </w:tcPr>
                <w:p w14:paraId="16D4B55B">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昼间</w:t>
                  </w:r>
                </w:p>
              </w:tc>
              <w:tc>
                <w:tcPr>
                  <w:tcW w:w="779" w:type="pct"/>
                  <w:vAlign w:val="center"/>
                </w:tcPr>
                <w:p w14:paraId="793E2252">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夜间</w:t>
                  </w:r>
                </w:p>
              </w:tc>
            </w:tr>
            <w:tr w14:paraId="251D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pct"/>
                  <w:vAlign w:val="center"/>
                </w:tcPr>
                <w:p w14:paraId="22C7BCD9">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3类</w:t>
                  </w:r>
                </w:p>
              </w:tc>
              <w:tc>
                <w:tcPr>
                  <w:tcW w:w="2140" w:type="pct"/>
                  <w:vAlign w:val="center"/>
                </w:tcPr>
                <w:p w14:paraId="63A49637">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项目用地范围东、南、</w:t>
                  </w:r>
                  <w:r>
                    <w:rPr>
                      <w:rFonts w:hint="eastAsia" w:ascii="Times New Roman" w:cs="Times New Roman"/>
                      <w:color w:val="auto"/>
                      <w:sz w:val="21"/>
                      <w:szCs w:val="21"/>
                      <w:highlight w:val="none"/>
                      <w:lang w:val="en-US" w:eastAsia="zh-CN"/>
                    </w:rPr>
                    <w:t>西、</w:t>
                  </w:r>
                  <w:r>
                    <w:rPr>
                      <w:rFonts w:hint="default" w:ascii="Times New Roman" w:hAnsi="Times New Roman" w:eastAsia="宋体" w:cs="Times New Roman"/>
                      <w:color w:val="auto"/>
                      <w:sz w:val="21"/>
                      <w:szCs w:val="21"/>
                      <w:highlight w:val="none"/>
                    </w:rPr>
                    <w:t>北三侧</w:t>
                  </w:r>
                </w:p>
              </w:tc>
              <w:tc>
                <w:tcPr>
                  <w:tcW w:w="778" w:type="pct"/>
                  <w:vAlign w:val="center"/>
                </w:tcPr>
                <w:p w14:paraId="3C239D76">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65</w:t>
                  </w:r>
                </w:p>
              </w:tc>
              <w:tc>
                <w:tcPr>
                  <w:tcW w:w="779" w:type="pct"/>
                  <w:vAlign w:val="center"/>
                </w:tcPr>
                <w:p w14:paraId="3D5C9DC5">
                  <w:pPr>
                    <w:pStyle w:val="43"/>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55</w:t>
                  </w:r>
                </w:p>
              </w:tc>
            </w:tr>
          </w:tbl>
          <w:p w14:paraId="390B8F44">
            <w:pPr>
              <w:pStyle w:val="54"/>
              <w:spacing w:line="360" w:lineRule="auto"/>
              <w:ind w:firstLine="480" w:firstLineChars="200"/>
              <w:rPr>
                <w:rFonts w:hint="eastAsia" w:ascii="Times New Roman" w:hAnsi="Times New Roman" w:cs="Times New Roman"/>
                <w:color w:val="auto"/>
                <w:kern w:val="24"/>
                <w:sz w:val="24"/>
                <w:highlight w:val="none"/>
                <w:lang w:val="en-US" w:eastAsia="zh-CN"/>
              </w:rPr>
            </w:pPr>
            <w:r>
              <w:rPr>
                <w:rFonts w:hint="eastAsia" w:ascii="Times New Roman" w:hAnsi="Times New Roman" w:cs="Times New Roman"/>
                <w:color w:val="auto"/>
                <w:kern w:val="24"/>
                <w:sz w:val="24"/>
                <w:highlight w:val="none"/>
                <w:lang w:val="en-US"/>
              </w:rPr>
              <w:t>1、声环境质量</w:t>
            </w:r>
            <w:r>
              <w:rPr>
                <w:rFonts w:hint="eastAsia" w:ascii="Times New Roman" w:hAnsi="Times New Roman" w:cs="Times New Roman"/>
                <w:color w:val="auto"/>
                <w:kern w:val="24"/>
                <w:sz w:val="24"/>
                <w:highlight w:val="none"/>
                <w:lang w:val="en-US" w:eastAsia="zh-CN"/>
              </w:rPr>
              <w:t>现状</w:t>
            </w:r>
          </w:p>
          <w:p w14:paraId="4D429B19">
            <w:pPr>
              <w:pStyle w:val="54"/>
              <w:spacing w:line="360" w:lineRule="auto"/>
              <w:ind w:firstLine="480" w:firstLineChars="200"/>
              <w:rPr>
                <w:rFonts w:ascii="Times New Roman" w:hAnsi="Times New Roman" w:cs="Times New Roman"/>
                <w:color w:val="auto"/>
                <w:kern w:val="24"/>
                <w:sz w:val="24"/>
                <w:highlight w:val="none"/>
                <w:lang w:val="en-US"/>
              </w:rPr>
            </w:pPr>
            <w:r>
              <w:rPr>
                <w:rFonts w:hint="eastAsia" w:ascii="Times New Roman" w:hAnsi="Times New Roman" w:cs="Times New Roman"/>
                <w:color w:val="auto"/>
                <w:kern w:val="24"/>
                <w:sz w:val="24"/>
                <w:highlight w:val="none"/>
                <w:lang w:val="en-US" w:eastAsia="zh-CN"/>
              </w:rPr>
              <w:t>根据</w:t>
            </w:r>
            <w:r>
              <w:rPr>
                <w:rFonts w:hint="eastAsia" w:ascii="Times New Roman" w:hAnsi="Times New Roman" w:cs="Times New Roman"/>
                <w:color w:val="auto"/>
                <w:kern w:val="24"/>
                <w:sz w:val="24"/>
                <w:highlight w:val="none"/>
                <w:lang w:val="en-US"/>
              </w:rPr>
              <w:t>建设项目环境影响报告表编制技术指南（污染影响类）（试行）：</w:t>
            </w:r>
            <w:r>
              <w:rPr>
                <w:rFonts w:hint="eastAsia" w:ascii="Times New Roman" w:hAnsi="Times New Roman" w:cs="Times New Roman"/>
                <w:color w:val="auto"/>
                <w:kern w:val="24"/>
                <w:sz w:val="24"/>
                <w:highlight w:val="none"/>
                <w:lang w:val="en-US" w:eastAsia="zh-CN"/>
              </w:rPr>
              <w:t>“</w:t>
            </w:r>
            <w:r>
              <w:rPr>
                <w:rFonts w:hint="eastAsia" w:ascii="Times New Roman" w:hAnsi="Times New Roman" w:cs="Times New Roman"/>
                <w:color w:val="auto"/>
                <w:kern w:val="24"/>
                <w:sz w:val="24"/>
                <w:highlight w:val="none"/>
                <w:lang w:val="en-US"/>
              </w:rPr>
              <w:t>厂界外周边50米范围内存在声环境保护目标的建设项目，应监测保护目标声环境质量现状并评价达标情况。</w:t>
            </w:r>
            <w:r>
              <w:rPr>
                <w:rFonts w:hint="eastAsia" w:ascii="Times New Roman" w:hAnsi="Times New Roman" w:cs="Times New Roman"/>
                <w:color w:val="auto"/>
                <w:kern w:val="24"/>
                <w:sz w:val="24"/>
                <w:highlight w:val="none"/>
                <w:lang w:val="en-US" w:eastAsia="zh-CN"/>
              </w:rPr>
              <w:t>”根据</w:t>
            </w:r>
            <w:r>
              <w:rPr>
                <w:rFonts w:hint="eastAsia" w:ascii="Times New Roman" w:hAnsi="Times New Roman" w:cs="Times New Roman"/>
                <w:color w:val="auto"/>
                <w:kern w:val="24"/>
                <w:sz w:val="24"/>
                <w:highlight w:val="none"/>
                <w:lang w:val="en-US"/>
              </w:rPr>
              <w:t>现场踏勘，项目</w:t>
            </w:r>
            <w:r>
              <w:rPr>
                <w:rFonts w:hint="eastAsia" w:ascii="Times New Roman" w:hAnsi="Times New Roman" w:cs="Times New Roman"/>
                <w:color w:val="auto"/>
                <w:kern w:val="24"/>
                <w:sz w:val="24"/>
                <w:highlight w:val="none"/>
                <w:lang w:val="en-US" w:eastAsia="zh-CN"/>
              </w:rPr>
              <w:t>所处区域</w:t>
            </w:r>
            <w:r>
              <w:rPr>
                <w:rFonts w:hint="eastAsia" w:ascii="Times New Roman" w:hAnsi="Times New Roman" w:cs="Times New Roman"/>
                <w:color w:val="auto"/>
                <w:kern w:val="24"/>
                <w:sz w:val="24"/>
                <w:highlight w:val="none"/>
                <w:lang w:val="en-US"/>
              </w:rPr>
              <w:t>周边50m范围内</w:t>
            </w:r>
            <w:r>
              <w:rPr>
                <w:rFonts w:hint="eastAsia" w:ascii="Times New Roman" w:hAnsi="Times New Roman" w:cs="Times New Roman"/>
                <w:color w:val="auto"/>
                <w:kern w:val="24"/>
                <w:sz w:val="24"/>
                <w:highlight w:val="none"/>
                <w:lang w:val="en-US" w:eastAsia="zh-CN"/>
              </w:rPr>
              <w:t>无</w:t>
            </w:r>
            <w:r>
              <w:rPr>
                <w:rFonts w:hint="eastAsia" w:ascii="Times New Roman" w:hAnsi="Times New Roman" w:cs="Times New Roman"/>
                <w:color w:val="auto"/>
                <w:kern w:val="24"/>
                <w:sz w:val="24"/>
                <w:highlight w:val="none"/>
                <w:lang w:val="en-US"/>
              </w:rPr>
              <w:t>声</w:t>
            </w:r>
            <w:r>
              <w:rPr>
                <w:rFonts w:hint="eastAsia" w:ascii="Times New Roman" w:hAnsi="Times New Roman" w:cs="Times New Roman"/>
                <w:color w:val="auto"/>
                <w:kern w:val="24"/>
                <w:sz w:val="24"/>
                <w:highlight w:val="none"/>
                <w:lang w:val="en-US" w:eastAsia="zh-CN"/>
              </w:rPr>
              <w:t>环境</w:t>
            </w:r>
            <w:r>
              <w:rPr>
                <w:rFonts w:hint="eastAsia" w:ascii="Times New Roman" w:hAnsi="Times New Roman" w:cs="Times New Roman"/>
                <w:color w:val="auto"/>
                <w:kern w:val="24"/>
                <w:sz w:val="24"/>
                <w:highlight w:val="none"/>
                <w:lang w:val="en-US"/>
              </w:rPr>
              <w:t>保护目标。本次评价不需开展声环境质量现状监测。</w:t>
            </w:r>
          </w:p>
          <w:p w14:paraId="5A98CECC">
            <w:pPr>
              <w:pStyle w:val="54"/>
              <w:spacing w:line="360" w:lineRule="auto"/>
              <w:ind w:firstLine="482" w:firstLineChars="200"/>
              <w:rPr>
                <w:rFonts w:ascii="Times New Roman" w:hAnsi="Times New Roman" w:cs="Times New Roman"/>
                <w:b/>
                <w:bCs/>
                <w:color w:val="auto"/>
                <w:kern w:val="24"/>
                <w:sz w:val="24"/>
                <w:highlight w:val="none"/>
                <w:lang w:val="en-US"/>
              </w:rPr>
            </w:pPr>
            <w:r>
              <w:rPr>
                <w:rFonts w:ascii="Times New Roman" w:hAnsi="Times New Roman" w:cs="Times New Roman"/>
                <w:b/>
                <w:bCs/>
                <w:color w:val="auto"/>
                <w:kern w:val="24"/>
                <w:sz w:val="24"/>
                <w:highlight w:val="none"/>
                <w:lang w:val="en-US"/>
              </w:rPr>
              <w:t>四、生态环境现状</w:t>
            </w:r>
          </w:p>
          <w:p w14:paraId="07C59210">
            <w:pPr>
              <w:pStyle w:val="54"/>
              <w:spacing w:line="360" w:lineRule="auto"/>
              <w:ind w:firstLine="480" w:firstLineChars="200"/>
              <w:rPr>
                <w:rFonts w:hint="eastAsia" w:ascii="Times New Roman" w:hAnsi="Times New Roman" w:cs="Times New Roman"/>
                <w:color w:val="auto"/>
                <w:kern w:val="24"/>
                <w:sz w:val="24"/>
                <w:highlight w:val="none"/>
                <w:lang w:val="en-US" w:eastAsia="zh-CN"/>
              </w:rPr>
            </w:pPr>
            <w:r>
              <w:rPr>
                <w:rFonts w:hint="eastAsia" w:ascii="Times New Roman" w:hAnsi="Times New Roman" w:cs="Times New Roman"/>
                <w:color w:val="auto"/>
                <w:kern w:val="24"/>
                <w:sz w:val="24"/>
                <w:highlight w:val="none"/>
                <w:lang w:val="en-US"/>
              </w:rPr>
              <w:t>根据《建设项目环境影响报告表编制技术指南（污染影响类）（试行）》：</w:t>
            </w:r>
            <w:r>
              <w:rPr>
                <w:rFonts w:hint="eastAsia" w:ascii="Times New Roman" w:hAnsi="Times New Roman" w:cs="Times New Roman"/>
                <w:color w:val="auto"/>
                <w:kern w:val="24"/>
                <w:sz w:val="24"/>
                <w:highlight w:val="none"/>
                <w:lang w:val="en-US" w:eastAsia="zh-CN"/>
              </w:rPr>
              <w:t>“</w:t>
            </w:r>
            <w:r>
              <w:rPr>
                <w:rFonts w:hint="eastAsia" w:ascii="Times New Roman" w:hAnsi="Times New Roman" w:cs="Times New Roman"/>
                <w:color w:val="auto"/>
                <w:kern w:val="24"/>
                <w:sz w:val="24"/>
                <w:highlight w:val="none"/>
                <w:lang w:val="en-US"/>
              </w:rPr>
              <w:t>产业园区外建设项目新增用地且用地范围内含有生态环境保护目标时，应进行生态现状调查。</w:t>
            </w:r>
            <w:r>
              <w:rPr>
                <w:rFonts w:hint="eastAsia" w:ascii="Times New Roman" w:hAnsi="Times New Roman" w:cs="Times New Roman"/>
                <w:color w:val="auto"/>
                <w:kern w:val="24"/>
                <w:sz w:val="24"/>
                <w:highlight w:val="none"/>
                <w:lang w:val="en-US" w:eastAsia="zh-CN"/>
              </w:rPr>
              <w:t>”</w:t>
            </w:r>
          </w:p>
          <w:p w14:paraId="6C6AEDE1">
            <w:pPr>
              <w:pStyle w:val="54"/>
              <w:spacing w:line="360" w:lineRule="auto"/>
              <w:ind w:firstLine="480" w:firstLineChars="200"/>
              <w:rPr>
                <w:rFonts w:ascii="Times New Roman" w:hAnsi="Times New Roman" w:cs="Times New Roman"/>
                <w:color w:val="auto"/>
                <w:kern w:val="0"/>
                <w:sz w:val="24"/>
                <w:highlight w:val="none"/>
              </w:rPr>
            </w:pPr>
            <w:r>
              <w:rPr>
                <w:rFonts w:hint="eastAsia" w:ascii="Times New Roman" w:hAnsi="Times New Roman" w:cs="Times New Roman"/>
                <w:color w:val="auto"/>
                <w:kern w:val="24"/>
                <w:sz w:val="24"/>
                <w:highlight w:val="none"/>
                <w:lang w:val="en-US"/>
              </w:rPr>
              <w:t>根据现场踏勘，本项目利用工业园区内已建工业场地，无新增用地，用地范围内无生态环境保护目标。</w:t>
            </w:r>
            <w:r>
              <w:rPr>
                <w:rFonts w:hint="eastAsia" w:ascii="Times New Roman" w:hAnsi="Times New Roman" w:cs="Times New Roman"/>
                <w:color w:val="auto"/>
                <w:kern w:val="24"/>
                <w:sz w:val="24"/>
                <w:highlight w:val="none"/>
                <w:lang w:val="en-US" w:eastAsia="zh-CN"/>
              </w:rPr>
              <w:t>因此，</w:t>
            </w:r>
            <w:r>
              <w:rPr>
                <w:rFonts w:hint="eastAsia" w:ascii="Times New Roman" w:hAnsi="Times New Roman" w:cs="Times New Roman"/>
                <w:color w:val="auto"/>
                <w:kern w:val="24"/>
                <w:sz w:val="24"/>
                <w:highlight w:val="none"/>
                <w:lang w:val="en-US"/>
              </w:rPr>
              <w:t>本次评价不需开展生态环境现状调查。</w:t>
            </w:r>
          </w:p>
        </w:tc>
      </w:tr>
      <w:tr w14:paraId="675ECE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50" w:hRule="atLeast"/>
          <w:jc w:val="center"/>
        </w:trPr>
        <w:tc>
          <w:tcPr>
            <w:tcW w:w="251" w:type="pct"/>
            <w:vAlign w:val="center"/>
          </w:tcPr>
          <w:p w14:paraId="69DD372E">
            <w:pPr>
              <w:adjustRightInd w:val="0"/>
              <w:snapToGrid w:val="0"/>
              <w:jc w:val="center"/>
              <w:rPr>
                <w:color w:val="auto"/>
                <w:kern w:val="0"/>
                <w:sz w:val="24"/>
                <w:highlight w:val="none"/>
              </w:rPr>
            </w:pPr>
            <w:r>
              <w:rPr>
                <w:color w:val="auto"/>
                <w:kern w:val="0"/>
                <w:sz w:val="24"/>
                <w:highlight w:val="none"/>
              </w:rPr>
              <w:t>环境保护目标</w:t>
            </w:r>
          </w:p>
        </w:tc>
        <w:tc>
          <w:tcPr>
            <w:tcW w:w="4748" w:type="pct"/>
          </w:tcPr>
          <w:p w14:paraId="3245D9DB">
            <w:pPr>
              <w:pStyle w:val="77"/>
              <w:ind w:firstLine="480"/>
              <w:rPr>
                <w:rFonts w:hint="eastAsia"/>
                <w:color w:val="auto"/>
                <w:highlight w:val="none"/>
              </w:rPr>
            </w:pPr>
            <w:r>
              <w:rPr>
                <w:rFonts w:hint="eastAsia"/>
                <w:color w:val="auto"/>
                <w:highlight w:val="none"/>
              </w:rPr>
              <w:t>根据现场踏勘和环境现状调查，本项目厂界外500米范围内无大气环境保护目标，本项目厂界外50米范围内无声环境保护目标。</w:t>
            </w:r>
          </w:p>
          <w:p w14:paraId="7D89FB7B">
            <w:pPr>
              <w:pStyle w:val="77"/>
              <w:ind w:firstLine="480"/>
              <w:rPr>
                <w:rFonts w:hint="eastAsia"/>
                <w:color w:val="auto"/>
                <w:highlight w:val="none"/>
              </w:rPr>
            </w:pPr>
            <w:r>
              <w:rPr>
                <w:rFonts w:hint="eastAsia"/>
                <w:color w:val="auto"/>
                <w:highlight w:val="none"/>
              </w:rPr>
              <w:t>主要环境保护目标见表3-</w:t>
            </w:r>
            <w:r>
              <w:rPr>
                <w:rFonts w:hint="eastAsia"/>
                <w:color w:val="auto"/>
                <w:highlight w:val="none"/>
                <w:lang w:val="en-US" w:eastAsia="zh-CN"/>
              </w:rPr>
              <w:t>5</w:t>
            </w:r>
            <w:r>
              <w:rPr>
                <w:rFonts w:hint="eastAsia"/>
                <w:color w:val="auto"/>
                <w:highlight w:val="none"/>
              </w:rPr>
              <w:t>。</w:t>
            </w:r>
          </w:p>
          <w:p w14:paraId="39501472">
            <w:pPr>
              <w:pStyle w:val="60"/>
              <w:rPr>
                <w:color w:val="auto"/>
                <w:sz w:val="24"/>
                <w:highlight w:val="none"/>
              </w:rPr>
            </w:pPr>
            <w:r>
              <w:rPr>
                <w:color w:val="auto"/>
                <w:sz w:val="24"/>
                <w:highlight w:val="none"/>
              </w:rPr>
              <w:t>表3-</w:t>
            </w:r>
            <w:r>
              <w:rPr>
                <w:rFonts w:hint="eastAsia"/>
                <w:color w:val="auto"/>
                <w:sz w:val="24"/>
                <w:highlight w:val="none"/>
                <w:lang w:val="en-US" w:eastAsia="zh-CN"/>
              </w:rPr>
              <w:t>5</w:t>
            </w:r>
            <w:r>
              <w:rPr>
                <w:color w:val="auto"/>
                <w:sz w:val="24"/>
                <w:highlight w:val="none"/>
              </w:rPr>
              <w:t xml:space="preserve">  项目环境保护目标一览表</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57" w:type="dxa"/>
                <w:right w:w="108" w:type="dxa"/>
              </w:tblCellMar>
            </w:tblPr>
            <w:tblGrid>
              <w:gridCol w:w="1103"/>
              <w:gridCol w:w="795"/>
              <w:gridCol w:w="568"/>
              <w:gridCol w:w="611"/>
              <w:gridCol w:w="769"/>
              <w:gridCol w:w="697"/>
              <w:gridCol w:w="2377"/>
              <w:gridCol w:w="744"/>
              <w:gridCol w:w="710"/>
            </w:tblGrid>
            <w:tr w14:paraId="52E7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jc w:val="center"/>
              </w:trPr>
              <w:tc>
                <w:tcPr>
                  <w:tcW w:w="659" w:type="pct"/>
                  <w:vMerge w:val="restart"/>
                  <w:vAlign w:val="center"/>
                </w:tcPr>
                <w:p w14:paraId="5A23980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类别</w:t>
                  </w:r>
                </w:p>
              </w:tc>
              <w:tc>
                <w:tcPr>
                  <w:tcW w:w="475" w:type="pct"/>
                  <w:vMerge w:val="restart"/>
                  <w:vAlign w:val="center"/>
                </w:tcPr>
                <w:p w14:paraId="26B0C52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保护</w:t>
                  </w:r>
                </w:p>
                <w:p w14:paraId="1352F03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目标</w:t>
                  </w:r>
                </w:p>
              </w:tc>
              <w:tc>
                <w:tcPr>
                  <w:tcW w:w="704" w:type="pct"/>
                  <w:gridSpan w:val="2"/>
                  <w:vAlign w:val="center"/>
                </w:tcPr>
                <w:p w14:paraId="1E5B6BC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坐标</w:t>
                  </w:r>
                </w:p>
              </w:tc>
              <w:tc>
                <w:tcPr>
                  <w:tcW w:w="459" w:type="pct"/>
                  <w:vMerge w:val="restart"/>
                  <w:vAlign w:val="center"/>
                </w:tcPr>
                <w:p w14:paraId="4C4DF4F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保护</w:t>
                  </w:r>
                </w:p>
                <w:p w14:paraId="5A22A12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对象</w:t>
                  </w:r>
                </w:p>
              </w:tc>
              <w:tc>
                <w:tcPr>
                  <w:tcW w:w="413" w:type="pct"/>
                  <w:vMerge w:val="restart"/>
                  <w:vAlign w:val="center"/>
                </w:tcPr>
                <w:p w14:paraId="061392D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保护</w:t>
                  </w:r>
                </w:p>
                <w:p w14:paraId="7478466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内容</w:t>
                  </w:r>
                </w:p>
              </w:tc>
              <w:tc>
                <w:tcPr>
                  <w:tcW w:w="1419" w:type="pct"/>
                  <w:vMerge w:val="restart"/>
                  <w:vAlign w:val="center"/>
                </w:tcPr>
                <w:p w14:paraId="0B7103D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环境功能区</w:t>
                  </w:r>
                </w:p>
              </w:tc>
              <w:tc>
                <w:tcPr>
                  <w:tcW w:w="444" w:type="pct"/>
                  <w:vMerge w:val="restart"/>
                  <w:vAlign w:val="center"/>
                </w:tcPr>
                <w:p w14:paraId="3BE55FE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相对厂址方位</w:t>
                  </w:r>
                </w:p>
              </w:tc>
              <w:tc>
                <w:tcPr>
                  <w:tcW w:w="422" w:type="pct"/>
                  <w:vMerge w:val="restart"/>
                  <w:vAlign w:val="center"/>
                </w:tcPr>
                <w:p w14:paraId="6035E7C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相对厂界距离/m</w:t>
                  </w:r>
                </w:p>
              </w:tc>
            </w:tr>
            <w:tr w14:paraId="6DFC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jc w:val="center"/>
              </w:trPr>
              <w:tc>
                <w:tcPr>
                  <w:tcW w:w="659" w:type="pct"/>
                  <w:vMerge w:val="continue"/>
                  <w:vAlign w:val="center"/>
                </w:tcPr>
                <w:p w14:paraId="460483D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rPr>
                  </w:pPr>
                </w:p>
              </w:tc>
              <w:tc>
                <w:tcPr>
                  <w:tcW w:w="475" w:type="pct"/>
                  <w:vMerge w:val="continue"/>
                  <w:vAlign w:val="center"/>
                </w:tcPr>
                <w:p w14:paraId="49EC86A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rPr>
                  </w:pPr>
                </w:p>
              </w:tc>
              <w:tc>
                <w:tcPr>
                  <w:tcW w:w="339" w:type="pct"/>
                  <w:vAlign w:val="center"/>
                </w:tcPr>
                <w:p w14:paraId="2873FEF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经度</w:t>
                  </w:r>
                </w:p>
              </w:tc>
              <w:tc>
                <w:tcPr>
                  <w:tcW w:w="364" w:type="pct"/>
                  <w:vAlign w:val="center"/>
                </w:tcPr>
                <w:p w14:paraId="7F5E676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纬度</w:t>
                  </w:r>
                </w:p>
              </w:tc>
              <w:tc>
                <w:tcPr>
                  <w:tcW w:w="459" w:type="pct"/>
                  <w:vMerge w:val="continue"/>
                  <w:vAlign w:val="center"/>
                </w:tcPr>
                <w:p w14:paraId="3B1940C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rPr>
                  </w:pPr>
                </w:p>
              </w:tc>
              <w:tc>
                <w:tcPr>
                  <w:tcW w:w="413" w:type="pct"/>
                  <w:vMerge w:val="continue"/>
                  <w:vAlign w:val="center"/>
                </w:tcPr>
                <w:p w14:paraId="188B2A9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rPr>
                  </w:pPr>
                </w:p>
              </w:tc>
              <w:tc>
                <w:tcPr>
                  <w:tcW w:w="1419" w:type="pct"/>
                  <w:vMerge w:val="continue"/>
                  <w:vAlign w:val="center"/>
                </w:tcPr>
                <w:p w14:paraId="353FFAF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rPr>
                  </w:pPr>
                </w:p>
              </w:tc>
              <w:tc>
                <w:tcPr>
                  <w:tcW w:w="444" w:type="pct"/>
                  <w:vMerge w:val="continue"/>
                  <w:vAlign w:val="center"/>
                </w:tcPr>
                <w:p w14:paraId="5965A31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rPr>
                  </w:pPr>
                </w:p>
              </w:tc>
              <w:tc>
                <w:tcPr>
                  <w:tcW w:w="422" w:type="pct"/>
                  <w:vMerge w:val="continue"/>
                  <w:vAlign w:val="center"/>
                </w:tcPr>
                <w:p w14:paraId="2C33C18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rPr>
                  </w:pPr>
                </w:p>
              </w:tc>
            </w:tr>
            <w:tr w14:paraId="14B6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jc w:val="center"/>
              </w:trPr>
              <w:tc>
                <w:tcPr>
                  <w:tcW w:w="659" w:type="pct"/>
                  <w:vAlign w:val="center"/>
                </w:tcPr>
                <w:p w14:paraId="6C83DF64">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ascii="Times New Roman" w:hAnsi="Times New Roman" w:eastAsia="宋体" w:cs="Times New Roman"/>
                      <w:color w:val="auto"/>
                      <w:kern w:val="24"/>
                      <w:sz w:val="21"/>
                      <w:szCs w:val="21"/>
                      <w:highlight w:val="none"/>
                      <w:lang w:val="en-US" w:eastAsia="zh-CN"/>
                    </w:rPr>
                    <w:t>大气环境</w:t>
                  </w:r>
                </w:p>
              </w:tc>
              <w:tc>
                <w:tcPr>
                  <w:tcW w:w="2053" w:type="pct"/>
                  <w:gridSpan w:val="5"/>
                  <w:vAlign w:val="center"/>
                </w:tcPr>
                <w:p w14:paraId="0F567C88">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本项目厂界外500米范围内无大气环境保护目标</w:t>
                  </w:r>
                </w:p>
              </w:tc>
              <w:tc>
                <w:tcPr>
                  <w:tcW w:w="1419" w:type="pct"/>
                  <w:vAlign w:val="center"/>
                </w:tcPr>
                <w:p w14:paraId="494EBCB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《环境空气质量标准》（GB 3095-2026）过渡阶段浓度限值</w:t>
                  </w:r>
                </w:p>
              </w:tc>
              <w:tc>
                <w:tcPr>
                  <w:tcW w:w="444" w:type="pct"/>
                  <w:shd w:val="clear" w:color="auto" w:fill="auto"/>
                  <w:vAlign w:val="center"/>
                </w:tcPr>
                <w:p w14:paraId="7BF39191">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w:t>
                  </w:r>
                </w:p>
              </w:tc>
              <w:tc>
                <w:tcPr>
                  <w:tcW w:w="422" w:type="pct"/>
                  <w:shd w:val="clear" w:color="auto" w:fill="auto"/>
                  <w:vAlign w:val="center"/>
                </w:tcPr>
                <w:p w14:paraId="27DDF22D">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w:t>
                  </w:r>
                </w:p>
              </w:tc>
            </w:tr>
            <w:tr w14:paraId="761E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jc w:val="center"/>
              </w:trPr>
              <w:tc>
                <w:tcPr>
                  <w:tcW w:w="659" w:type="pct"/>
                  <w:vAlign w:val="center"/>
                </w:tcPr>
                <w:p w14:paraId="3096EFE6">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声环境</w:t>
                  </w:r>
                </w:p>
              </w:tc>
              <w:tc>
                <w:tcPr>
                  <w:tcW w:w="2053" w:type="pct"/>
                  <w:gridSpan w:val="5"/>
                  <w:vAlign w:val="center"/>
                </w:tcPr>
                <w:p w14:paraId="63D8811A">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本项目厂界外50米范围内无声环境保护目标</w:t>
                  </w:r>
                </w:p>
              </w:tc>
              <w:tc>
                <w:tcPr>
                  <w:tcW w:w="1419" w:type="pct"/>
                  <w:vAlign w:val="center"/>
                </w:tcPr>
                <w:p w14:paraId="6F8522B1">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《声环境质量标准》</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GB</w:t>
                  </w:r>
                  <w:r>
                    <w:rPr>
                      <w:rFonts w:hint="eastAsia"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3096-2008</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3类区</w:t>
                  </w:r>
                </w:p>
              </w:tc>
              <w:tc>
                <w:tcPr>
                  <w:tcW w:w="444" w:type="pct"/>
                  <w:shd w:val="clear" w:color="auto" w:fill="auto"/>
                  <w:vAlign w:val="center"/>
                </w:tcPr>
                <w:p w14:paraId="0397542E">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w:t>
                  </w:r>
                </w:p>
              </w:tc>
              <w:tc>
                <w:tcPr>
                  <w:tcW w:w="422" w:type="pct"/>
                  <w:shd w:val="clear" w:color="auto" w:fill="auto"/>
                  <w:vAlign w:val="center"/>
                </w:tcPr>
                <w:p w14:paraId="3D97936E">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w:t>
                  </w:r>
                </w:p>
              </w:tc>
            </w:tr>
            <w:tr w14:paraId="2E1F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jc w:val="center"/>
              </w:trPr>
              <w:tc>
                <w:tcPr>
                  <w:tcW w:w="659" w:type="pct"/>
                  <w:vAlign w:val="center"/>
                </w:tcPr>
                <w:p w14:paraId="73CD2034">
                  <w:pPr>
                    <w:keepNext w:val="0"/>
                    <w:keepLines w:val="0"/>
                    <w:pageBreakBefore w:val="0"/>
                    <w:widowControl w:val="0"/>
                    <w:kinsoku/>
                    <w:wordWrap/>
                    <w:overflowPunct/>
                    <w:topLinePunct w:val="0"/>
                    <w:autoSpaceDE/>
                    <w:autoSpaceDN/>
                    <w:bidi w:val="0"/>
                    <w:jc w:val="center"/>
                    <w:textAlignment w:val="auto"/>
                    <w:rPr>
                      <w:rFonts w:hint="eastAsia"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rPr>
                    <w:t>地表水</w:t>
                  </w:r>
                  <w:r>
                    <w:rPr>
                      <w:rFonts w:hint="eastAsia" w:ascii="Times New Roman" w:hAnsi="Times New Roman" w:eastAsia="宋体" w:cs="Times New Roman"/>
                      <w:color w:val="auto"/>
                      <w:kern w:val="24"/>
                      <w:sz w:val="21"/>
                      <w:szCs w:val="21"/>
                      <w:highlight w:val="none"/>
                      <w:lang w:val="en-US" w:eastAsia="zh-CN"/>
                    </w:rPr>
                    <w:t>环境</w:t>
                  </w:r>
                </w:p>
              </w:tc>
              <w:tc>
                <w:tcPr>
                  <w:tcW w:w="2053" w:type="pct"/>
                  <w:gridSpan w:val="5"/>
                  <w:vAlign w:val="center"/>
                </w:tcPr>
                <w:p w14:paraId="69D86627">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东风支沟</w:t>
                  </w:r>
                </w:p>
              </w:tc>
              <w:tc>
                <w:tcPr>
                  <w:tcW w:w="1419" w:type="pct"/>
                  <w:vAlign w:val="center"/>
                </w:tcPr>
                <w:p w14:paraId="1D50A0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《地表水环境质量标准》Ⅲ类标准</w:t>
                  </w:r>
                  <w:r>
                    <w:rPr>
                      <w:rFonts w:hint="eastAsia" w:cs="Times New Roman"/>
                      <w:color w:val="auto"/>
                      <w:sz w:val="21"/>
                      <w:szCs w:val="21"/>
                      <w:highlight w:val="none"/>
                      <w:lang w:eastAsia="zh-CN"/>
                    </w:rPr>
                    <w:t>（GB</w:t>
                  </w:r>
                  <w:r>
                    <w:rPr>
                      <w:rFonts w:hint="eastAsia" w:cs="Times New Roman"/>
                      <w:color w:val="auto"/>
                      <w:sz w:val="21"/>
                      <w:szCs w:val="21"/>
                      <w:highlight w:val="none"/>
                      <w:lang w:val="en-US" w:eastAsia="zh-CN"/>
                    </w:rPr>
                    <w:t xml:space="preserve"> </w:t>
                  </w:r>
                  <w:r>
                    <w:rPr>
                      <w:rFonts w:hint="eastAsia" w:cs="Times New Roman"/>
                      <w:color w:val="auto"/>
                      <w:sz w:val="21"/>
                      <w:szCs w:val="21"/>
                      <w:highlight w:val="none"/>
                      <w:lang w:eastAsia="zh-CN"/>
                    </w:rPr>
                    <w:t>3838-2002）</w:t>
                  </w:r>
                </w:p>
              </w:tc>
              <w:tc>
                <w:tcPr>
                  <w:tcW w:w="444" w:type="pct"/>
                  <w:vAlign w:val="center"/>
                </w:tcPr>
                <w:p w14:paraId="58B2F1BC">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西</w:t>
                  </w:r>
                  <w:r>
                    <w:rPr>
                      <w:rFonts w:hint="eastAsia" w:ascii="Times New Roman" w:hAnsi="Times New Roman" w:eastAsia="宋体" w:cs="Times New Roman"/>
                      <w:color w:val="auto"/>
                      <w:sz w:val="21"/>
                      <w:szCs w:val="21"/>
                      <w:highlight w:val="none"/>
                      <w:lang w:val="en-US" w:eastAsia="zh-CN"/>
                    </w:rPr>
                    <w:t>南</w:t>
                  </w:r>
                </w:p>
              </w:tc>
              <w:tc>
                <w:tcPr>
                  <w:tcW w:w="422" w:type="pct"/>
                  <w:vAlign w:val="center"/>
                </w:tcPr>
                <w:p w14:paraId="2CA6E016">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600</w:t>
                  </w:r>
                </w:p>
              </w:tc>
            </w:tr>
            <w:tr w14:paraId="253F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jc w:val="center"/>
              </w:trPr>
              <w:tc>
                <w:tcPr>
                  <w:tcW w:w="659" w:type="pct"/>
                  <w:vAlign w:val="center"/>
                </w:tcPr>
                <w:p w14:paraId="4D76DBD4">
                  <w:pPr>
                    <w:keepNext w:val="0"/>
                    <w:keepLines w:val="0"/>
                    <w:pageBreakBefore w:val="0"/>
                    <w:widowControl w:val="0"/>
                    <w:kinsoku/>
                    <w:wordWrap/>
                    <w:overflowPunct/>
                    <w:topLinePunct w:val="0"/>
                    <w:autoSpaceDE/>
                    <w:autoSpaceDN/>
                    <w:bidi w:val="0"/>
                    <w:jc w:val="center"/>
                    <w:textAlignment w:val="auto"/>
                    <w:rPr>
                      <w:rFonts w:hint="eastAsia" w:ascii="Times New Roman" w:hAnsi="Times New Roman" w:eastAsia="宋体" w:cs="Times New Roman"/>
                      <w:color w:val="auto"/>
                      <w:kern w:val="24"/>
                      <w:sz w:val="21"/>
                      <w:szCs w:val="21"/>
                      <w:highlight w:val="none"/>
                      <w:lang w:val="en-US" w:eastAsia="zh-CN"/>
                    </w:rPr>
                  </w:pPr>
                  <w:r>
                    <w:rPr>
                      <w:rFonts w:hint="eastAsia" w:ascii="Times New Roman" w:hAnsi="Times New Roman" w:eastAsia="宋体" w:cs="Times New Roman"/>
                      <w:color w:val="auto"/>
                      <w:kern w:val="24"/>
                      <w:sz w:val="21"/>
                      <w:szCs w:val="21"/>
                      <w:highlight w:val="none"/>
                      <w:lang w:val="en-US" w:eastAsia="zh-CN"/>
                    </w:rPr>
                    <w:t>生态环境</w:t>
                  </w:r>
                </w:p>
              </w:tc>
              <w:tc>
                <w:tcPr>
                  <w:tcW w:w="4340" w:type="pct"/>
                  <w:gridSpan w:val="8"/>
                  <w:vAlign w:val="center"/>
                </w:tcPr>
                <w:p w14:paraId="07211962">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本项目利用已建工业场地，无产业园区外新增用地，评价范围内无生态环境保护目标。</w:t>
                  </w:r>
                </w:p>
              </w:tc>
            </w:tr>
          </w:tbl>
          <w:p w14:paraId="1C6A79CA">
            <w:pPr>
              <w:pStyle w:val="5"/>
              <w:spacing w:line="360" w:lineRule="auto"/>
              <w:ind w:left="0"/>
              <w:rPr>
                <w:rFonts w:ascii="Times New Roman" w:hAnsi="Times New Roman" w:cs="Times New Roman"/>
                <w:color w:val="auto"/>
                <w:highlight w:val="none"/>
                <w:lang w:val="en-US"/>
              </w:rPr>
            </w:pPr>
          </w:p>
        </w:tc>
      </w:tr>
      <w:tr w14:paraId="5B4446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51" w:type="pct"/>
            <w:tcMar>
              <w:left w:w="28" w:type="dxa"/>
              <w:right w:w="28" w:type="dxa"/>
            </w:tcMar>
            <w:vAlign w:val="center"/>
          </w:tcPr>
          <w:p w14:paraId="1CF3D560">
            <w:pPr>
              <w:adjustRightInd w:val="0"/>
              <w:snapToGrid w:val="0"/>
              <w:jc w:val="center"/>
              <w:rPr>
                <w:color w:val="auto"/>
                <w:kern w:val="0"/>
                <w:sz w:val="24"/>
                <w:highlight w:val="none"/>
              </w:rPr>
            </w:pPr>
            <w:r>
              <w:rPr>
                <w:color w:val="auto"/>
                <w:kern w:val="0"/>
                <w:sz w:val="24"/>
                <w:highlight w:val="none"/>
              </w:rPr>
              <w:t>污染</w:t>
            </w:r>
          </w:p>
          <w:p w14:paraId="132732F5">
            <w:pPr>
              <w:adjustRightInd w:val="0"/>
              <w:snapToGrid w:val="0"/>
              <w:jc w:val="center"/>
              <w:rPr>
                <w:color w:val="auto"/>
                <w:kern w:val="0"/>
                <w:sz w:val="24"/>
                <w:highlight w:val="none"/>
              </w:rPr>
            </w:pPr>
            <w:r>
              <w:rPr>
                <w:color w:val="auto"/>
                <w:kern w:val="0"/>
                <w:sz w:val="24"/>
                <w:highlight w:val="none"/>
              </w:rPr>
              <w:t>物排</w:t>
            </w:r>
          </w:p>
          <w:p w14:paraId="1EFFAE98">
            <w:pPr>
              <w:adjustRightInd w:val="0"/>
              <w:snapToGrid w:val="0"/>
              <w:jc w:val="center"/>
              <w:rPr>
                <w:color w:val="auto"/>
                <w:kern w:val="0"/>
                <w:sz w:val="24"/>
                <w:highlight w:val="none"/>
              </w:rPr>
            </w:pPr>
            <w:r>
              <w:rPr>
                <w:color w:val="auto"/>
                <w:kern w:val="0"/>
                <w:sz w:val="24"/>
                <w:highlight w:val="none"/>
              </w:rPr>
              <w:t>放控</w:t>
            </w:r>
          </w:p>
          <w:p w14:paraId="37EA07A4">
            <w:pPr>
              <w:adjustRightInd w:val="0"/>
              <w:snapToGrid w:val="0"/>
              <w:jc w:val="center"/>
              <w:rPr>
                <w:color w:val="auto"/>
                <w:kern w:val="0"/>
                <w:sz w:val="24"/>
                <w:highlight w:val="none"/>
              </w:rPr>
            </w:pPr>
            <w:r>
              <w:rPr>
                <w:color w:val="auto"/>
                <w:kern w:val="0"/>
                <w:sz w:val="24"/>
                <w:highlight w:val="none"/>
              </w:rPr>
              <w:t>制标</w:t>
            </w:r>
          </w:p>
          <w:p w14:paraId="328B6A2C">
            <w:pPr>
              <w:adjustRightInd w:val="0"/>
              <w:snapToGrid w:val="0"/>
              <w:jc w:val="center"/>
              <w:rPr>
                <w:color w:val="auto"/>
                <w:kern w:val="0"/>
                <w:sz w:val="24"/>
                <w:highlight w:val="none"/>
              </w:rPr>
            </w:pPr>
            <w:r>
              <w:rPr>
                <w:color w:val="auto"/>
                <w:kern w:val="0"/>
                <w:sz w:val="24"/>
                <w:highlight w:val="none"/>
              </w:rPr>
              <w:t>准</w:t>
            </w:r>
          </w:p>
        </w:tc>
        <w:tc>
          <w:tcPr>
            <w:tcW w:w="4748" w:type="pct"/>
          </w:tcPr>
          <w:p w14:paraId="1B800C47">
            <w:pPr>
              <w:pStyle w:val="54"/>
              <w:spacing w:line="360" w:lineRule="auto"/>
              <w:ind w:firstLine="482" w:firstLineChars="200"/>
              <w:rPr>
                <w:rFonts w:ascii="Times New Roman" w:hAnsi="Times New Roman" w:cs="Times New Roman"/>
                <w:b/>
                <w:bCs/>
                <w:color w:val="auto"/>
                <w:kern w:val="24"/>
                <w:sz w:val="24"/>
                <w:highlight w:val="none"/>
                <w:lang w:val="en-US"/>
              </w:rPr>
            </w:pPr>
            <w:r>
              <w:rPr>
                <w:rFonts w:ascii="Times New Roman" w:hAnsi="Times New Roman" w:cs="Times New Roman"/>
                <w:b/>
                <w:bCs/>
                <w:color w:val="auto"/>
                <w:kern w:val="24"/>
                <w:sz w:val="24"/>
                <w:highlight w:val="none"/>
                <w:lang w:val="en-US"/>
              </w:rPr>
              <w:t>一、污染物排放控制标准</w:t>
            </w:r>
          </w:p>
          <w:p w14:paraId="0A7EECD1">
            <w:pPr>
              <w:pStyle w:val="54"/>
              <w:spacing w:line="360" w:lineRule="auto"/>
              <w:ind w:firstLine="482" w:firstLineChars="200"/>
              <w:rPr>
                <w:rFonts w:ascii="Times New Roman" w:hAnsi="Times New Roman" w:cs="Times New Roman"/>
                <w:b/>
                <w:bCs/>
                <w:color w:val="auto"/>
                <w:kern w:val="24"/>
                <w:sz w:val="24"/>
                <w:highlight w:val="none"/>
                <w:lang w:val="en-US"/>
              </w:rPr>
            </w:pPr>
            <w:r>
              <w:rPr>
                <w:rFonts w:ascii="Times New Roman" w:hAnsi="Times New Roman" w:cs="Times New Roman"/>
                <w:b/>
                <w:bCs/>
                <w:color w:val="auto"/>
                <w:kern w:val="24"/>
                <w:sz w:val="24"/>
                <w:highlight w:val="none"/>
                <w:lang w:val="en-US"/>
              </w:rPr>
              <w:t>1、大气污染物排放标准</w:t>
            </w:r>
          </w:p>
          <w:p w14:paraId="492C16D9">
            <w:pPr>
              <w:pStyle w:val="77"/>
              <w:ind w:firstLine="480"/>
              <w:rPr>
                <w:rFonts w:hint="eastAsia"/>
                <w:color w:val="auto"/>
                <w:highlight w:val="none"/>
              </w:rPr>
            </w:pPr>
            <w:r>
              <w:rPr>
                <w:rFonts w:hint="eastAsia"/>
                <w:color w:val="auto"/>
                <w:highlight w:val="none"/>
              </w:rPr>
              <w:t>（1）施工期：</w:t>
            </w:r>
            <w:r>
              <w:rPr>
                <w:rFonts w:hint="eastAsia"/>
                <w:color w:val="auto"/>
                <w:highlight w:val="none"/>
                <w:lang w:val="en-US" w:eastAsia="zh-CN"/>
              </w:rPr>
              <w:t>建设项目施工期颗粒物</w:t>
            </w:r>
            <w:r>
              <w:rPr>
                <w:rFonts w:hint="eastAsia"/>
                <w:color w:val="auto"/>
                <w:highlight w:val="none"/>
              </w:rPr>
              <w:t>排放</w:t>
            </w:r>
            <w:r>
              <w:rPr>
                <w:rFonts w:hint="eastAsia"/>
                <w:color w:val="auto"/>
                <w:highlight w:val="none"/>
                <w:lang w:val="en-US" w:eastAsia="zh-CN"/>
              </w:rPr>
              <w:t>标准</w:t>
            </w:r>
            <w:r>
              <w:rPr>
                <w:rFonts w:hint="eastAsia"/>
                <w:color w:val="auto"/>
                <w:highlight w:val="none"/>
              </w:rPr>
              <w:t>执行《大气污染物综合排放标准》（GB 16297-1996）表2新污染源大气污染物无组织排放浓度限值，即周界外浓度最高点1.0mg/</w:t>
            </w:r>
            <w:r>
              <w:rPr>
                <w:rFonts w:hint="eastAsia"/>
                <w:color w:val="auto"/>
                <w:highlight w:val="none"/>
                <w:lang w:val="en-US" w:eastAsia="zh-CN"/>
              </w:rPr>
              <w:t>m³</w:t>
            </w:r>
            <w:r>
              <w:rPr>
                <w:rFonts w:hint="eastAsia"/>
                <w:color w:val="auto"/>
                <w:highlight w:val="none"/>
              </w:rPr>
              <w:t>。</w:t>
            </w:r>
          </w:p>
          <w:p w14:paraId="630B29A9">
            <w:pPr>
              <w:pStyle w:val="77"/>
              <w:ind w:firstLine="480"/>
              <w:rPr>
                <w:rFonts w:hint="eastAsia"/>
                <w:color w:val="auto"/>
                <w:highlight w:val="none"/>
              </w:rPr>
            </w:pPr>
            <w:r>
              <w:rPr>
                <w:rFonts w:hint="eastAsia"/>
                <w:color w:val="auto"/>
                <w:highlight w:val="none"/>
              </w:rPr>
              <w:t>标准值见表3-</w:t>
            </w:r>
            <w:r>
              <w:rPr>
                <w:rFonts w:hint="eastAsia"/>
                <w:color w:val="auto"/>
                <w:highlight w:val="none"/>
                <w:lang w:val="en-US" w:eastAsia="zh-CN"/>
              </w:rPr>
              <w:t>6</w:t>
            </w:r>
            <w:r>
              <w:rPr>
                <w:rFonts w:hint="eastAsia"/>
                <w:color w:val="auto"/>
                <w:highlight w:val="none"/>
              </w:rPr>
              <w:t>。</w:t>
            </w:r>
          </w:p>
          <w:p w14:paraId="35068EC8">
            <w:pPr>
              <w:pStyle w:val="60"/>
              <w:rPr>
                <w:rFonts w:hint="eastAsia" w:eastAsia="宋体"/>
                <w:color w:val="auto"/>
                <w:sz w:val="24"/>
                <w:highlight w:val="none"/>
                <w:lang w:val="en-US" w:eastAsia="zh-CN"/>
              </w:rPr>
            </w:pPr>
            <w:r>
              <w:rPr>
                <w:color w:val="auto"/>
                <w:sz w:val="24"/>
                <w:highlight w:val="none"/>
              </w:rPr>
              <w:t>表</w:t>
            </w:r>
            <w:r>
              <w:rPr>
                <w:rFonts w:hint="eastAsia"/>
                <w:color w:val="auto"/>
                <w:sz w:val="24"/>
                <w:highlight w:val="none"/>
              </w:rPr>
              <w:t>3</w:t>
            </w:r>
            <w:r>
              <w:rPr>
                <w:color w:val="auto"/>
                <w:sz w:val="24"/>
                <w:highlight w:val="none"/>
              </w:rPr>
              <w:t>-</w:t>
            </w:r>
            <w:r>
              <w:rPr>
                <w:rFonts w:hint="eastAsia"/>
                <w:color w:val="auto"/>
                <w:sz w:val="24"/>
                <w:highlight w:val="none"/>
                <w:lang w:val="en-US" w:eastAsia="zh-CN"/>
              </w:rPr>
              <w:t>6</w:t>
            </w:r>
            <w:r>
              <w:rPr>
                <w:rFonts w:hint="eastAsia"/>
                <w:color w:val="auto"/>
                <w:sz w:val="24"/>
                <w:highlight w:val="none"/>
              </w:rPr>
              <w:t xml:space="preserve">  </w:t>
            </w:r>
            <w:r>
              <w:rPr>
                <w:color w:val="auto"/>
                <w:sz w:val="24"/>
                <w:highlight w:val="none"/>
              </w:rPr>
              <w:t>大气污染物排放</w:t>
            </w:r>
            <w:r>
              <w:rPr>
                <w:rFonts w:hint="eastAsia"/>
                <w:color w:val="auto"/>
                <w:sz w:val="24"/>
                <w:highlight w:val="none"/>
              </w:rPr>
              <w:t>标准</w:t>
            </w:r>
            <w:r>
              <w:rPr>
                <w:color w:val="auto"/>
                <w:sz w:val="24"/>
                <w:highlight w:val="none"/>
              </w:rPr>
              <w:t>单位：mg/</w:t>
            </w:r>
            <w:r>
              <w:rPr>
                <w:rFonts w:hint="eastAsia"/>
                <w:color w:val="auto"/>
                <w:sz w:val="24"/>
                <w:highlight w:val="none"/>
                <w:lang w:val="en-US" w:eastAsia="zh-CN"/>
              </w:rPr>
              <w:t>m³</w:t>
            </w: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3"/>
              <w:gridCol w:w="3519"/>
              <w:gridCol w:w="2985"/>
            </w:tblGrid>
            <w:tr w14:paraId="4A5B7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8" w:type="pct"/>
                  <w:vMerge w:val="restart"/>
                  <w:vAlign w:val="center"/>
                </w:tcPr>
                <w:p w14:paraId="57A06FC3">
                  <w:pPr>
                    <w:pStyle w:val="105"/>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tc>
              <w:tc>
                <w:tcPr>
                  <w:tcW w:w="3881" w:type="pct"/>
                  <w:gridSpan w:val="2"/>
                  <w:vAlign w:val="center"/>
                </w:tcPr>
                <w:p w14:paraId="40EC7544">
                  <w:pPr>
                    <w:pStyle w:val="105"/>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无组织排放监控浓度限值</w:t>
                  </w:r>
                </w:p>
              </w:tc>
            </w:tr>
            <w:tr w14:paraId="303C3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8" w:type="pct"/>
                  <w:vMerge w:val="continue"/>
                  <w:vAlign w:val="center"/>
                </w:tcPr>
                <w:p w14:paraId="3289E1C0">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0"/>
                      <w:sz w:val="21"/>
                      <w:szCs w:val="21"/>
                      <w:highlight w:val="none"/>
                    </w:rPr>
                  </w:pPr>
                </w:p>
              </w:tc>
              <w:tc>
                <w:tcPr>
                  <w:tcW w:w="2100" w:type="pct"/>
                  <w:vAlign w:val="center"/>
                </w:tcPr>
                <w:p w14:paraId="6EA6522C">
                  <w:pPr>
                    <w:pStyle w:val="105"/>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监控点</w:t>
                  </w:r>
                </w:p>
              </w:tc>
              <w:tc>
                <w:tcPr>
                  <w:tcW w:w="1780" w:type="pct"/>
                  <w:vAlign w:val="center"/>
                </w:tcPr>
                <w:p w14:paraId="7DAB5080">
                  <w:pPr>
                    <w:pStyle w:val="105"/>
                    <w:keepNext w:val="0"/>
                    <w:keepLines w:val="0"/>
                    <w:pageBreakBefore w:val="0"/>
                    <w:tabs>
                      <w:tab w:val="center" w:pos="1359"/>
                      <w:tab w:val="clear" w:pos="2040"/>
                    </w:tabs>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浓度浓度（mg/m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r>
            <w:tr w14:paraId="4968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8" w:type="pct"/>
                  <w:vAlign w:val="center"/>
                </w:tcPr>
                <w:p w14:paraId="11CB5650">
                  <w:pPr>
                    <w:pStyle w:val="105"/>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2100" w:type="pct"/>
                  <w:vAlign w:val="center"/>
                </w:tcPr>
                <w:p w14:paraId="40BB0072">
                  <w:pPr>
                    <w:pStyle w:val="105"/>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周界外浓度最高点</w:t>
                  </w:r>
                </w:p>
              </w:tc>
              <w:tc>
                <w:tcPr>
                  <w:tcW w:w="1780" w:type="pct"/>
                  <w:vAlign w:val="center"/>
                </w:tcPr>
                <w:p w14:paraId="610CF6E5">
                  <w:pPr>
                    <w:pStyle w:val="105"/>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w:t>
                  </w:r>
                </w:p>
              </w:tc>
            </w:tr>
          </w:tbl>
          <w:p w14:paraId="2E5B3369">
            <w:pPr>
              <w:pStyle w:val="77"/>
              <w:ind w:firstLine="480"/>
              <w:rPr>
                <w:rFonts w:hint="eastAsia"/>
                <w:color w:val="auto"/>
                <w:highlight w:val="none"/>
              </w:rPr>
            </w:pPr>
            <w:r>
              <w:rPr>
                <w:rFonts w:hint="eastAsia"/>
                <w:color w:val="auto"/>
                <w:highlight w:val="none"/>
              </w:rPr>
              <w:t>（2）运营期</w:t>
            </w:r>
          </w:p>
          <w:p w14:paraId="630317CE">
            <w:pPr>
              <w:adjustRightInd w:val="0"/>
              <w:snapToGrid w:val="0"/>
              <w:spacing w:line="360" w:lineRule="auto"/>
              <w:ind w:firstLine="480" w:firstLineChars="200"/>
              <w:rPr>
                <w:rFonts w:hint="default"/>
                <w:color w:val="auto"/>
                <w:sz w:val="24"/>
                <w:highlight w:val="none"/>
                <w:lang w:val="en-US" w:eastAsia="zh-CN"/>
              </w:rPr>
            </w:pPr>
            <w:r>
              <w:rPr>
                <w:rFonts w:hint="eastAsia"/>
                <w:color w:val="auto"/>
                <w:sz w:val="24"/>
                <w:highlight w:val="none"/>
                <w:lang w:val="en-US" w:eastAsia="zh-CN"/>
              </w:rPr>
              <w:t>1）有组织排放废气</w:t>
            </w:r>
          </w:p>
          <w:p w14:paraId="7B09947F">
            <w:pPr>
              <w:adjustRightInd w:val="0"/>
              <w:snapToGrid w:val="0"/>
              <w:spacing w:line="360" w:lineRule="auto"/>
              <w:ind w:firstLine="480" w:firstLineChars="200"/>
              <w:rPr>
                <w:rFonts w:hint="eastAsia"/>
                <w:color w:val="auto"/>
                <w:sz w:val="24"/>
                <w:highlight w:val="none"/>
                <w:lang w:val="en-US" w:eastAsia="zh-CN"/>
              </w:rPr>
            </w:pPr>
            <w:r>
              <w:rPr>
                <w:rFonts w:hint="eastAsia"/>
                <w:color w:val="auto"/>
                <w:sz w:val="24"/>
                <w:highlight w:val="none"/>
                <w:lang w:val="en-US" w:eastAsia="zh-CN"/>
              </w:rPr>
              <w:t>项目运营期产生的有组织废气主要为模具成型、超声波焊接工序产生的塑料废气（以非甲烷总烃计），根据《合成树脂工业污染物排放标准》（GB 31572-2015及2024年修改单）中“5.6 塑料制品工业企业或生产设施的大气污染物排放限值根据其涉及到的合成树脂种类，分别执行表4或表5的标准限值（单位产品非甲烷总烃排放量除外）”。</w:t>
            </w:r>
          </w:p>
          <w:p w14:paraId="698EEE64">
            <w:pPr>
              <w:adjustRightInd w:val="0"/>
              <w:snapToGrid w:val="0"/>
              <w:spacing w:line="360" w:lineRule="auto"/>
              <w:ind w:firstLine="480" w:firstLineChars="200"/>
              <w:rPr>
                <w:rFonts w:hint="eastAsia"/>
                <w:color w:val="auto"/>
                <w:sz w:val="24"/>
                <w:highlight w:val="none"/>
                <w:lang w:val="en-US" w:eastAsia="zh-CN"/>
              </w:rPr>
            </w:pPr>
            <w:r>
              <w:rPr>
                <w:rFonts w:hint="eastAsia"/>
                <w:color w:val="auto"/>
                <w:sz w:val="24"/>
                <w:highlight w:val="none"/>
                <w:lang w:val="en-US" w:eastAsia="zh-CN"/>
              </w:rPr>
              <w:t>因此，项目生产过程有组织废气污染物排放标准执行《合成树脂工业污染物排放标准》（GB 31572-2015及2024年修改单）中表4大气污染物排放限值。生产过程有组织废气中臭气浓度执行《恶臭污染物排放标准》（GB 14554-93）表2恶臭污染物排放标准值中臭气浓度25m排气筒标准值（本项目排气筒高度为20m，采用四舍五入方法计算，排气筒排放标准执行25m高度标准值）。</w:t>
            </w:r>
          </w:p>
          <w:p w14:paraId="60A151F7">
            <w:pPr>
              <w:adjustRightInd w:val="0"/>
              <w:snapToGrid w:val="0"/>
              <w:spacing w:line="360" w:lineRule="auto"/>
              <w:ind w:firstLine="480" w:firstLineChars="200"/>
              <w:rPr>
                <w:rFonts w:hint="eastAsia"/>
                <w:color w:val="auto"/>
                <w:sz w:val="24"/>
                <w:highlight w:val="none"/>
                <w:lang w:val="en-US" w:eastAsia="zh-CN"/>
              </w:rPr>
            </w:pPr>
            <w:r>
              <w:rPr>
                <w:rFonts w:hint="eastAsia"/>
                <w:color w:val="auto"/>
                <w:sz w:val="24"/>
                <w:highlight w:val="none"/>
                <w:lang w:val="en-US" w:eastAsia="zh-CN"/>
              </w:rPr>
              <w:t>本项目柔板印刷产生的印刷废气（以非甲烷总烃计）参照执行《印刷工业大气污染物排放标准》（GB 41616-2022）表1中的大气污染物排放限值。</w:t>
            </w:r>
          </w:p>
          <w:p w14:paraId="7A7FFA24">
            <w:pPr>
              <w:adjustRightInd w:val="0"/>
              <w:snapToGrid w:val="0"/>
              <w:spacing w:line="360" w:lineRule="auto"/>
              <w:ind w:firstLine="480" w:firstLineChars="200"/>
              <w:rPr>
                <w:rFonts w:hint="default" w:cs="Times New Roman"/>
                <w:color w:val="auto"/>
                <w:kern w:val="24"/>
                <w:sz w:val="24"/>
                <w:highlight w:val="none"/>
                <w:lang w:val="en-US" w:eastAsia="zh-CN"/>
              </w:rPr>
            </w:pPr>
            <w:r>
              <w:rPr>
                <w:rFonts w:hint="eastAsia" w:cs="Times New Roman"/>
                <w:color w:val="auto"/>
                <w:kern w:val="24"/>
                <w:sz w:val="24"/>
                <w:highlight w:val="none"/>
                <w:lang w:val="en-US" w:eastAsia="zh-CN"/>
              </w:rPr>
              <w:t>排放标准详见表3-7。</w:t>
            </w:r>
          </w:p>
          <w:p w14:paraId="454F7C6A">
            <w:pPr>
              <w:pStyle w:val="60"/>
              <w:rPr>
                <w:rFonts w:hint="eastAsia"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表</w:t>
            </w:r>
            <w:r>
              <w:rPr>
                <w:rFonts w:hint="eastAsia" w:ascii="Times New Roman" w:hAnsi="Times New Roman" w:eastAsia="宋体" w:cs="Times New Roman"/>
                <w:color w:val="auto"/>
                <w:sz w:val="24"/>
                <w:highlight w:val="none"/>
              </w:rPr>
              <w:t>3</w:t>
            </w:r>
            <w:r>
              <w:rPr>
                <w:rFonts w:ascii="Times New Roman" w:hAnsi="Times New Roman" w:eastAsia="宋体" w:cs="Times New Roman"/>
                <w:color w:val="auto"/>
                <w:sz w:val="24"/>
                <w:highlight w:val="none"/>
              </w:rPr>
              <w:t>-</w:t>
            </w:r>
            <w:r>
              <w:rPr>
                <w:rFonts w:hint="eastAsia" w:cs="Times New Roman"/>
                <w:color w:val="auto"/>
                <w:sz w:val="24"/>
                <w:highlight w:val="none"/>
                <w:lang w:val="en-US" w:eastAsia="zh-CN"/>
              </w:rPr>
              <w:t>7</w:t>
            </w:r>
            <w:r>
              <w:rPr>
                <w:rFonts w:hint="eastAsia" w:ascii="Times New Roman" w:hAnsi="Times New Roman" w:eastAsia="宋体" w:cs="Times New Roman"/>
                <w:color w:val="auto"/>
                <w:sz w:val="24"/>
                <w:highlight w:val="none"/>
              </w:rPr>
              <w:t xml:space="preserve">  本项目运营期有组织大气污染物排放浓度限值</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8"/>
              <w:gridCol w:w="1337"/>
              <w:gridCol w:w="1662"/>
              <w:gridCol w:w="1353"/>
              <w:gridCol w:w="2526"/>
            </w:tblGrid>
            <w:tr w14:paraId="79C5E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pct"/>
                  <w:shd w:val="clear" w:color="auto" w:fill="auto"/>
                  <w:vAlign w:val="center"/>
                </w:tcPr>
                <w:p w14:paraId="2F3AF17C">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排放类型</w:t>
                  </w:r>
                </w:p>
              </w:tc>
              <w:tc>
                <w:tcPr>
                  <w:tcW w:w="798" w:type="pct"/>
                  <w:shd w:val="clear" w:color="auto" w:fill="auto"/>
                  <w:vAlign w:val="center"/>
                </w:tcPr>
                <w:p w14:paraId="003AC6BB">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rPr>
                    <w:t>污染物</w:t>
                  </w:r>
                </w:p>
              </w:tc>
              <w:tc>
                <w:tcPr>
                  <w:tcW w:w="992" w:type="pct"/>
                  <w:shd w:val="clear" w:color="auto" w:fill="auto"/>
                  <w:vAlign w:val="center"/>
                </w:tcPr>
                <w:p w14:paraId="730BEE0E">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rPr>
                    <w:t>排放限值</w:t>
                  </w:r>
                  <w:r>
                    <w:rPr>
                      <w:rFonts w:hint="eastAsia"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mg/m</w:t>
                  </w:r>
                  <w:r>
                    <w:rPr>
                      <w:rFonts w:hint="default" w:ascii="Times New Roman" w:hAnsi="Times New Roman" w:eastAsia="宋体" w:cs="Times New Roman"/>
                      <w:b/>
                      <w:bCs/>
                      <w:color w:val="auto"/>
                      <w:sz w:val="21"/>
                      <w:szCs w:val="21"/>
                      <w:highlight w:val="none"/>
                      <w:vertAlign w:val="superscript"/>
                    </w:rPr>
                    <w:t>3</w:t>
                  </w:r>
                  <w:r>
                    <w:rPr>
                      <w:rFonts w:hint="eastAsia" w:ascii="Times New Roman" w:hAnsi="Times New Roman" w:eastAsia="宋体" w:cs="Times New Roman"/>
                      <w:b/>
                      <w:bCs/>
                      <w:color w:val="auto"/>
                      <w:sz w:val="21"/>
                      <w:szCs w:val="21"/>
                      <w:highlight w:val="none"/>
                      <w:vertAlign w:val="baseline"/>
                      <w:lang w:eastAsia="zh-CN"/>
                    </w:rPr>
                    <w:t>）</w:t>
                  </w:r>
                </w:p>
              </w:tc>
              <w:tc>
                <w:tcPr>
                  <w:tcW w:w="807" w:type="pct"/>
                  <w:shd w:val="clear" w:color="auto" w:fill="auto"/>
                  <w:vAlign w:val="center"/>
                </w:tcPr>
                <w:p w14:paraId="16A8B034">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rPr>
                    <w:t>排气筒高度（m）</w:t>
                  </w:r>
                </w:p>
              </w:tc>
              <w:tc>
                <w:tcPr>
                  <w:tcW w:w="1507" w:type="pct"/>
                  <w:shd w:val="clear" w:color="auto" w:fill="auto"/>
                  <w:vAlign w:val="center"/>
                </w:tcPr>
                <w:p w14:paraId="605B884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rPr>
                    <w:t>执行标准</w:t>
                  </w:r>
                </w:p>
              </w:tc>
            </w:tr>
            <w:tr w14:paraId="41F5F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pct"/>
                  <w:vMerge w:val="restart"/>
                  <w:shd w:val="clear" w:color="auto" w:fill="auto"/>
                  <w:vAlign w:val="center"/>
                </w:tcPr>
                <w:p w14:paraId="7AB41AF4">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模具成型、超声波焊接工序塑料废气（DA001）</w:t>
                  </w:r>
                </w:p>
              </w:tc>
              <w:tc>
                <w:tcPr>
                  <w:tcW w:w="798" w:type="pct"/>
                  <w:shd w:val="clear" w:color="auto" w:fill="auto"/>
                  <w:vAlign w:val="center"/>
                </w:tcPr>
                <w:p w14:paraId="7DE8AE86">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非甲烷总烃</w:t>
                  </w:r>
                </w:p>
              </w:tc>
              <w:tc>
                <w:tcPr>
                  <w:tcW w:w="992" w:type="pct"/>
                  <w:shd w:val="clear" w:color="auto" w:fill="auto"/>
                  <w:vAlign w:val="center"/>
                </w:tcPr>
                <w:p w14:paraId="4FDA2ED9">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100</w:t>
                  </w:r>
                </w:p>
              </w:tc>
              <w:tc>
                <w:tcPr>
                  <w:tcW w:w="807" w:type="pct"/>
                  <w:shd w:val="clear" w:color="auto" w:fill="auto"/>
                  <w:vAlign w:val="center"/>
                </w:tcPr>
                <w:p w14:paraId="115DEA4E">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20</w:t>
                  </w:r>
                </w:p>
              </w:tc>
              <w:tc>
                <w:tcPr>
                  <w:tcW w:w="1507" w:type="pct"/>
                  <w:shd w:val="clear" w:color="auto" w:fill="auto"/>
                  <w:vAlign w:val="center"/>
                </w:tcPr>
                <w:p w14:paraId="59B8032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《合成树脂工业污染物排放标准》（GB 31572-2015及2024年修改单）表4排放浓度限值</w:t>
                  </w:r>
                </w:p>
              </w:tc>
            </w:tr>
            <w:tr w14:paraId="74CF7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pct"/>
                  <w:vMerge w:val="continue"/>
                  <w:shd w:val="clear" w:color="auto" w:fill="auto"/>
                  <w:vAlign w:val="center"/>
                </w:tcPr>
                <w:p w14:paraId="09EB26A1">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p>
              </w:tc>
              <w:tc>
                <w:tcPr>
                  <w:tcW w:w="798" w:type="pct"/>
                  <w:shd w:val="clear" w:color="auto" w:fill="auto"/>
                  <w:vAlign w:val="center"/>
                </w:tcPr>
                <w:p w14:paraId="45D06245">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臭气浓度</w:t>
                  </w:r>
                </w:p>
              </w:tc>
              <w:tc>
                <w:tcPr>
                  <w:tcW w:w="992" w:type="pct"/>
                  <w:shd w:val="clear" w:color="auto" w:fill="auto"/>
                  <w:vAlign w:val="center"/>
                </w:tcPr>
                <w:p w14:paraId="07890816">
                  <w:pPr>
                    <w:keepNext w:val="0"/>
                    <w:keepLines w:val="0"/>
                    <w:pageBreakBefore w:val="0"/>
                    <w:widowControl w:val="0"/>
                    <w:kinsoku/>
                    <w:wordWrap/>
                    <w:overflowPunct/>
                    <w:topLinePunct w:val="0"/>
                    <w:autoSpaceDE/>
                    <w:autoSpaceDN/>
                    <w:bidi w:val="0"/>
                    <w:spacing w:line="240" w:lineRule="auto"/>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6000（无量纲）</w:t>
                  </w:r>
                </w:p>
              </w:tc>
              <w:tc>
                <w:tcPr>
                  <w:tcW w:w="807" w:type="pct"/>
                  <w:shd w:val="clear" w:color="auto" w:fill="auto"/>
                  <w:vAlign w:val="center"/>
                </w:tcPr>
                <w:p w14:paraId="70E92B59">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w:t>
                  </w:r>
                </w:p>
              </w:tc>
              <w:tc>
                <w:tcPr>
                  <w:tcW w:w="1507" w:type="pct"/>
                  <w:shd w:val="clear" w:color="auto" w:fill="auto"/>
                  <w:vAlign w:val="center"/>
                </w:tcPr>
                <w:p w14:paraId="6E4E383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《恶臭污染物排放标准》（GB</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14554-93）表2恶臭污染物排放标准值中臭气浓度</w:t>
                  </w:r>
                  <w:r>
                    <w:rPr>
                      <w:rFonts w:hint="eastAsia"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lang w:val="en-US" w:eastAsia="zh-CN"/>
                    </w:rPr>
                    <w:t>m排气筒标准值</w:t>
                  </w:r>
                </w:p>
              </w:tc>
            </w:tr>
            <w:tr w14:paraId="2F3C4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pct"/>
                  <w:shd w:val="clear" w:color="auto" w:fill="auto"/>
                  <w:vAlign w:val="center"/>
                </w:tcPr>
                <w:p w14:paraId="0970BFE6">
                  <w:pPr>
                    <w:keepNext w:val="0"/>
                    <w:keepLines w:val="0"/>
                    <w:pageBreakBefore w:val="0"/>
                    <w:widowControl w:val="0"/>
                    <w:kinsoku/>
                    <w:wordWrap/>
                    <w:overflowPunct/>
                    <w:topLinePunct w:val="0"/>
                    <w:autoSpaceDE/>
                    <w:autoSpaceDN/>
                    <w:bidi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印刷废气</w:t>
                  </w:r>
                  <w:r>
                    <w:rPr>
                      <w:rFonts w:hint="eastAsia" w:ascii="Times New Roman" w:hAnsi="Times New Roman" w:eastAsia="宋体" w:cs="Times New Roman"/>
                      <w:color w:val="auto"/>
                      <w:sz w:val="21"/>
                      <w:szCs w:val="21"/>
                      <w:highlight w:val="none"/>
                      <w:lang w:val="en-US" w:eastAsia="zh-CN"/>
                    </w:rPr>
                    <w:t>（DA00</w:t>
                  </w:r>
                  <w:r>
                    <w:rPr>
                      <w:rFonts w:hint="eastAsia"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w:t>
                  </w:r>
                </w:p>
              </w:tc>
              <w:tc>
                <w:tcPr>
                  <w:tcW w:w="798" w:type="pct"/>
                  <w:shd w:val="clear" w:color="auto" w:fill="auto"/>
                  <w:vAlign w:val="center"/>
                </w:tcPr>
                <w:p w14:paraId="01B7BBB7">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非甲烷总烃</w:t>
                  </w:r>
                </w:p>
              </w:tc>
              <w:tc>
                <w:tcPr>
                  <w:tcW w:w="992" w:type="pct"/>
                  <w:shd w:val="clear" w:color="auto" w:fill="auto"/>
                  <w:vAlign w:val="center"/>
                </w:tcPr>
                <w:p w14:paraId="40B86DC2">
                  <w:pPr>
                    <w:keepNext w:val="0"/>
                    <w:keepLines w:val="0"/>
                    <w:pageBreakBefore w:val="0"/>
                    <w:widowControl w:val="0"/>
                    <w:kinsoku/>
                    <w:wordWrap/>
                    <w:overflowPunct/>
                    <w:topLinePunct w:val="0"/>
                    <w:autoSpaceDE/>
                    <w:autoSpaceDN/>
                    <w:bidi w:val="0"/>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70</w:t>
                  </w:r>
                </w:p>
              </w:tc>
              <w:tc>
                <w:tcPr>
                  <w:tcW w:w="807" w:type="pct"/>
                  <w:shd w:val="clear" w:color="auto" w:fill="auto"/>
                  <w:vAlign w:val="center"/>
                </w:tcPr>
                <w:p w14:paraId="270FE74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w:t>
                  </w:r>
                </w:p>
              </w:tc>
              <w:tc>
                <w:tcPr>
                  <w:tcW w:w="1507" w:type="pct"/>
                  <w:shd w:val="clear" w:color="auto" w:fill="auto"/>
                  <w:vAlign w:val="center"/>
                </w:tcPr>
                <w:p w14:paraId="3A09B1D7">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《印刷工业大气污染物排放标准》（GB41616-2022）表1 中的大气污染物排放限值</w:t>
                  </w:r>
                </w:p>
              </w:tc>
            </w:tr>
          </w:tbl>
          <w:p w14:paraId="73AF4091">
            <w:pPr>
              <w:adjustRightInd w:val="0"/>
              <w:snapToGrid w:val="0"/>
              <w:spacing w:line="360" w:lineRule="auto"/>
              <w:ind w:firstLine="480" w:firstLineChars="200"/>
              <w:rPr>
                <w:rFonts w:hint="default"/>
                <w:color w:val="auto"/>
                <w:sz w:val="24"/>
                <w:highlight w:val="none"/>
                <w:lang w:val="en-US" w:eastAsia="zh-CN"/>
              </w:rPr>
            </w:pPr>
            <w:r>
              <w:rPr>
                <w:rFonts w:hint="eastAsia"/>
                <w:color w:val="auto"/>
                <w:sz w:val="24"/>
                <w:highlight w:val="none"/>
                <w:lang w:val="en-US" w:eastAsia="zh-CN"/>
              </w:rPr>
              <w:t>2）无组织排放废气</w:t>
            </w:r>
          </w:p>
          <w:p w14:paraId="66199AB1">
            <w:pPr>
              <w:adjustRightInd w:val="0"/>
              <w:snapToGrid w:val="0"/>
              <w:spacing w:line="360" w:lineRule="auto"/>
              <w:ind w:firstLine="480" w:firstLineChars="200"/>
              <w:rPr>
                <w:rFonts w:hint="eastAsia"/>
                <w:color w:val="auto"/>
                <w:sz w:val="24"/>
                <w:highlight w:val="none"/>
                <w:lang w:val="en-US" w:eastAsia="zh-CN"/>
              </w:rPr>
            </w:pPr>
            <w:r>
              <w:rPr>
                <w:rFonts w:hint="eastAsia"/>
                <w:color w:val="auto"/>
                <w:sz w:val="24"/>
                <w:highlight w:val="none"/>
                <w:lang w:val="en-US" w:eastAsia="zh-CN"/>
              </w:rPr>
              <w:t>项目运营期厂界无组织排放非甲烷总烃、颗粒物排放执行《合成树脂工业污染物排放标准》（GB 31572-2015及含2024年修改单）中表9企业边界大气污染物浓度限值；厂界无组织排放臭气浓度执行《恶臭污染物排放标准》（GB 14554-93）表1 恶臭污染物厂界标准值的二级标准（新改扩建）。</w:t>
            </w:r>
          </w:p>
          <w:p w14:paraId="42358A06">
            <w:pPr>
              <w:adjustRightInd w:val="0"/>
              <w:snapToGrid w:val="0"/>
              <w:spacing w:line="360" w:lineRule="auto"/>
              <w:ind w:firstLine="480" w:firstLineChars="200"/>
              <w:rPr>
                <w:rFonts w:hint="eastAsia"/>
                <w:color w:val="auto"/>
                <w:sz w:val="24"/>
                <w:highlight w:val="none"/>
                <w:lang w:val="en-US" w:eastAsia="zh-CN"/>
              </w:rPr>
            </w:pPr>
            <w:r>
              <w:rPr>
                <w:rFonts w:hint="eastAsia"/>
                <w:color w:val="auto"/>
                <w:sz w:val="24"/>
                <w:highlight w:val="none"/>
                <w:lang w:val="en-US" w:eastAsia="zh-CN"/>
              </w:rPr>
              <w:t>项目运营期厂区内无组织排放挥发性有机废气（以非甲烷总烃计）执行《挥发性有机物无组织排放控制标准》（GB 37822-2019）表A.1厂区内VOCs 无组织排放限值要求。</w:t>
            </w:r>
          </w:p>
          <w:p w14:paraId="03F21414">
            <w:pPr>
              <w:adjustRightInd w:val="0"/>
              <w:snapToGrid w:val="0"/>
              <w:spacing w:line="360" w:lineRule="auto"/>
              <w:ind w:firstLine="480" w:firstLineChars="200"/>
              <w:rPr>
                <w:rFonts w:hint="eastAsia"/>
                <w:color w:val="auto"/>
                <w:sz w:val="24"/>
                <w:highlight w:val="none"/>
                <w:lang w:val="en-US" w:eastAsia="zh-CN"/>
              </w:rPr>
            </w:pPr>
            <w:r>
              <w:rPr>
                <w:rFonts w:hint="eastAsia"/>
                <w:color w:val="auto"/>
                <w:sz w:val="24"/>
                <w:highlight w:val="none"/>
                <w:lang w:val="en-US" w:eastAsia="zh-CN"/>
              </w:rPr>
              <w:t>排放标准详见表3-8、3-9。</w:t>
            </w:r>
          </w:p>
          <w:p w14:paraId="45EED56F">
            <w:pPr>
              <w:tabs>
                <w:tab w:val="center" w:pos="3934"/>
                <w:tab w:val="left" w:pos="6495"/>
              </w:tabs>
              <w:snapToGrid w:val="0"/>
              <w:spacing w:line="360" w:lineRule="auto"/>
              <w:jc w:val="center"/>
              <w:rPr>
                <w:b/>
                <w:color w:val="auto"/>
                <w:sz w:val="24"/>
                <w:highlight w:val="none"/>
              </w:rPr>
            </w:pPr>
            <w:r>
              <w:rPr>
                <w:rFonts w:hint="eastAsia"/>
                <w:b/>
                <w:color w:val="auto"/>
                <w:sz w:val="24"/>
                <w:highlight w:val="none"/>
              </w:rPr>
              <w:t>表</w:t>
            </w:r>
            <w:r>
              <w:rPr>
                <w:b/>
                <w:color w:val="auto"/>
                <w:sz w:val="24"/>
                <w:highlight w:val="none"/>
              </w:rPr>
              <w:t>3-</w:t>
            </w:r>
            <w:r>
              <w:rPr>
                <w:rFonts w:hint="eastAsia"/>
                <w:b/>
                <w:color w:val="auto"/>
                <w:sz w:val="24"/>
                <w:highlight w:val="none"/>
                <w:lang w:val="en-US" w:eastAsia="zh-CN"/>
              </w:rPr>
              <w:t>8</w:t>
            </w:r>
            <w:r>
              <w:rPr>
                <w:b/>
                <w:color w:val="auto"/>
                <w:sz w:val="24"/>
                <w:highlight w:val="none"/>
              </w:rPr>
              <w:t xml:space="preserve">  </w:t>
            </w:r>
            <w:r>
              <w:rPr>
                <w:rFonts w:hint="eastAsia"/>
                <w:b/>
                <w:color w:val="auto"/>
                <w:sz w:val="24"/>
                <w:highlight w:val="none"/>
              </w:rPr>
              <w:t>本项目厂界无组织废气排放标准限值</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5"/>
              <w:gridCol w:w="2685"/>
              <w:gridCol w:w="1339"/>
              <w:gridCol w:w="2827"/>
            </w:tblGrid>
            <w:tr w14:paraId="2431C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pct"/>
                  <w:tcBorders>
                    <w:tl2br w:val="nil"/>
                    <w:tr2bl w:val="nil"/>
                  </w:tcBorders>
                  <w:vAlign w:val="center"/>
                </w:tcPr>
                <w:p w14:paraId="737C9ACF">
                  <w:pPr>
                    <w:jc w:val="center"/>
                    <w:rPr>
                      <w:rFonts w:hint="eastAsia" w:eastAsia="宋体"/>
                      <w:b/>
                      <w:bCs/>
                      <w:color w:val="auto"/>
                      <w:szCs w:val="21"/>
                      <w:highlight w:val="none"/>
                      <w:lang w:eastAsia="zh-CN"/>
                    </w:rPr>
                  </w:pPr>
                  <w:r>
                    <w:rPr>
                      <w:rFonts w:hint="eastAsia"/>
                      <w:b/>
                      <w:bCs/>
                      <w:color w:val="auto"/>
                      <w:szCs w:val="21"/>
                      <w:highlight w:val="none"/>
                      <w:lang w:val="en-US" w:eastAsia="zh-CN"/>
                    </w:rPr>
                    <w:t>污染物</w:t>
                  </w:r>
                </w:p>
              </w:tc>
              <w:tc>
                <w:tcPr>
                  <w:tcW w:w="1602" w:type="pct"/>
                  <w:tcBorders>
                    <w:tl2br w:val="nil"/>
                    <w:tr2bl w:val="nil"/>
                  </w:tcBorders>
                  <w:vAlign w:val="center"/>
                </w:tcPr>
                <w:p w14:paraId="13AF788C">
                  <w:pPr>
                    <w:jc w:val="center"/>
                    <w:rPr>
                      <w:b/>
                      <w:bCs/>
                      <w:color w:val="auto"/>
                      <w:szCs w:val="21"/>
                      <w:highlight w:val="none"/>
                    </w:rPr>
                  </w:pPr>
                  <w:r>
                    <w:rPr>
                      <w:rFonts w:hint="eastAsia"/>
                      <w:b/>
                      <w:bCs/>
                      <w:color w:val="auto"/>
                      <w:szCs w:val="21"/>
                      <w:highlight w:val="none"/>
                      <w:lang w:val="en-US" w:eastAsia="zh-CN"/>
                    </w:rPr>
                    <w:t>无组织</w:t>
                  </w:r>
                  <w:r>
                    <w:rPr>
                      <w:b/>
                      <w:bCs/>
                      <w:color w:val="auto"/>
                      <w:szCs w:val="21"/>
                      <w:highlight w:val="none"/>
                    </w:rPr>
                    <w:t>排放限值（mg/m</w:t>
                  </w:r>
                  <w:r>
                    <w:rPr>
                      <w:b/>
                      <w:bCs/>
                      <w:color w:val="auto"/>
                      <w:szCs w:val="21"/>
                      <w:highlight w:val="none"/>
                      <w:vertAlign w:val="superscript"/>
                    </w:rPr>
                    <w:t>3</w:t>
                  </w:r>
                  <w:r>
                    <w:rPr>
                      <w:b/>
                      <w:bCs/>
                      <w:color w:val="auto"/>
                      <w:szCs w:val="21"/>
                      <w:highlight w:val="none"/>
                    </w:rPr>
                    <w:t>）</w:t>
                  </w:r>
                </w:p>
              </w:tc>
              <w:tc>
                <w:tcPr>
                  <w:tcW w:w="799" w:type="pct"/>
                  <w:tcBorders>
                    <w:tl2br w:val="nil"/>
                    <w:tr2bl w:val="nil"/>
                  </w:tcBorders>
                  <w:vAlign w:val="center"/>
                </w:tcPr>
                <w:p w14:paraId="4DB04C8E">
                  <w:pPr>
                    <w:jc w:val="center"/>
                    <w:rPr>
                      <w:b/>
                      <w:bCs/>
                      <w:color w:val="auto"/>
                      <w:szCs w:val="21"/>
                      <w:highlight w:val="none"/>
                    </w:rPr>
                  </w:pPr>
                  <w:r>
                    <w:rPr>
                      <w:b/>
                      <w:bCs/>
                      <w:color w:val="auto"/>
                      <w:szCs w:val="21"/>
                      <w:highlight w:val="none"/>
                    </w:rPr>
                    <w:t>监控点</w:t>
                  </w:r>
                </w:p>
              </w:tc>
              <w:tc>
                <w:tcPr>
                  <w:tcW w:w="1687" w:type="pct"/>
                  <w:tcBorders>
                    <w:tl2br w:val="nil"/>
                    <w:tr2bl w:val="nil"/>
                  </w:tcBorders>
                  <w:vAlign w:val="center"/>
                </w:tcPr>
                <w:p w14:paraId="62279952">
                  <w:pPr>
                    <w:jc w:val="center"/>
                    <w:rPr>
                      <w:b/>
                      <w:bCs/>
                      <w:color w:val="auto"/>
                      <w:szCs w:val="21"/>
                      <w:highlight w:val="none"/>
                    </w:rPr>
                  </w:pPr>
                  <w:r>
                    <w:rPr>
                      <w:b/>
                      <w:bCs/>
                      <w:color w:val="auto"/>
                      <w:szCs w:val="21"/>
                      <w:highlight w:val="none"/>
                    </w:rPr>
                    <w:t>执行标准</w:t>
                  </w:r>
                </w:p>
              </w:tc>
            </w:tr>
            <w:tr w14:paraId="47D7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910" w:type="pct"/>
                  <w:tcBorders>
                    <w:tl2br w:val="nil"/>
                    <w:tr2bl w:val="nil"/>
                  </w:tcBorders>
                  <w:shd w:val="clear" w:color="auto" w:fill="auto"/>
                  <w:vAlign w:val="center"/>
                </w:tcPr>
                <w:p w14:paraId="366D8060">
                  <w:pPr>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颗粒物</w:t>
                  </w:r>
                </w:p>
              </w:tc>
              <w:tc>
                <w:tcPr>
                  <w:tcW w:w="1602" w:type="pct"/>
                  <w:tcBorders>
                    <w:tl2br w:val="nil"/>
                    <w:tr2bl w:val="nil"/>
                  </w:tcBorders>
                  <w:vAlign w:val="center"/>
                </w:tcPr>
                <w:p w14:paraId="125D4AEE">
                  <w:pPr>
                    <w:jc w:val="center"/>
                    <w:rPr>
                      <w:color w:val="auto"/>
                      <w:szCs w:val="21"/>
                      <w:highlight w:val="none"/>
                    </w:rPr>
                  </w:pPr>
                  <w:r>
                    <w:rPr>
                      <w:color w:val="auto"/>
                      <w:szCs w:val="21"/>
                      <w:highlight w:val="none"/>
                    </w:rPr>
                    <w:t>1.0</w:t>
                  </w:r>
                </w:p>
              </w:tc>
              <w:tc>
                <w:tcPr>
                  <w:tcW w:w="799" w:type="pct"/>
                  <w:vMerge w:val="restart"/>
                  <w:tcBorders>
                    <w:tl2br w:val="nil"/>
                    <w:tr2bl w:val="nil"/>
                  </w:tcBorders>
                  <w:shd w:val="clear" w:color="auto" w:fill="auto"/>
                  <w:vAlign w:val="center"/>
                </w:tcPr>
                <w:p w14:paraId="20105837">
                  <w:pPr>
                    <w:jc w:val="center"/>
                    <w:rPr>
                      <w:rFonts w:ascii="Times New Roman" w:hAnsi="Times New Roman" w:eastAsia="宋体" w:cs="Times New Roman"/>
                      <w:color w:val="auto"/>
                      <w:kern w:val="2"/>
                      <w:sz w:val="21"/>
                      <w:szCs w:val="21"/>
                      <w:highlight w:val="none"/>
                      <w:lang w:val="en-US" w:eastAsia="zh-CN" w:bidi="ar-SA"/>
                    </w:rPr>
                  </w:pPr>
                  <w:r>
                    <w:rPr>
                      <w:color w:val="auto"/>
                      <w:szCs w:val="21"/>
                      <w:highlight w:val="none"/>
                    </w:rPr>
                    <w:t>企业厂界</w:t>
                  </w:r>
                </w:p>
              </w:tc>
              <w:tc>
                <w:tcPr>
                  <w:tcW w:w="1687" w:type="pct"/>
                  <w:vMerge w:val="restart"/>
                  <w:tcBorders>
                    <w:tl2br w:val="nil"/>
                    <w:tr2bl w:val="nil"/>
                  </w:tcBorders>
                  <w:shd w:val="clear" w:color="auto" w:fill="auto"/>
                  <w:vAlign w:val="center"/>
                </w:tcPr>
                <w:p w14:paraId="43DFB485">
                  <w:pPr>
                    <w:jc w:val="center"/>
                    <w:rPr>
                      <w:color w:val="auto"/>
                      <w:szCs w:val="21"/>
                      <w:highlight w:val="none"/>
                    </w:rPr>
                  </w:pPr>
                  <w:r>
                    <w:rPr>
                      <w:rFonts w:hint="eastAsia"/>
                      <w:color w:val="auto"/>
                      <w:szCs w:val="21"/>
                      <w:highlight w:val="none"/>
                    </w:rPr>
                    <w:t>《合成树脂工业污染物排放标准》（GB 31572-2015及2024年修改单）表9中企业边界大气污染物浓度限值</w:t>
                  </w:r>
                </w:p>
              </w:tc>
            </w:tr>
            <w:tr w14:paraId="6466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pct"/>
                  <w:tcBorders>
                    <w:tl2br w:val="nil"/>
                    <w:tr2bl w:val="nil"/>
                  </w:tcBorders>
                  <w:shd w:val="clear" w:color="auto" w:fill="auto"/>
                  <w:vAlign w:val="center"/>
                </w:tcPr>
                <w:p w14:paraId="01E813E2">
                  <w:pPr>
                    <w:jc w:val="center"/>
                    <w:rPr>
                      <w:rFonts w:ascii="Times New Roman" w:hAnsi="Times New Roman" w:eastAsia="宋体" w:cs="Times New Roman"/>
                      <w:color w:val="auto"/>
                      <w:kern w:val="2"/>
                      <w:sz w:val="21"/>
                      <w:szCs w:val="21"/>
                      <w:highlight w:val="none"/>
                      <w:lang w:val="en-US" w:eastAsia="zh-CN" w:bidi="ar-SA"/>
                    </w:rPr>
                  </w:pPr>
                  <w:r>
                    <w:rPr>
                      <w:color w:val="auto"/>
                      <w:szCs w:val="21"/>
                      <w:highlight w:val="none"/>
                    </w:rPr>
                    <w:t>非甲烷总烃</w:t>
                  </w:r>
                </w:p>
              </w:tc>
              <w:tc>
                <w:tcPr>
                  <w:tcW w:w="1602" w:type="pct"/>
                  <w:tcBorders>
                    <w:tl2br w:val="nil"/>
                    <w:tr2bl w:val="nil"/>
                  </w:tcBorders>
                  <w:vAlign w:val="center"/>
                </w:tcPr>
                <w:p w14:paraId="66D7572E">
                  <w:pPr>
                    <w:jc w:val="center"/>
                    <w:rPr>
                      <w:color w:val="auto"/>
                      <w:szCs w:val="21"/>
                      <w:highlight w:val="none"/>
                    </w:rPr>
                  </w:pPr>
                  <w:r>
                    <w:rPr>
                      <w:color w:val="auto"/>
                      <w:szCs w:val="21"/>
                      <w:highlight w:val="none"/>
                    </w:rPr>
                    <w:t>4.0</w:t>
                  </w:r>
                </w:p>
              </w:tc>
              <w:tc>
                <w:tcPr>
                  <w:tcW w:w="799" w:type="pct"/>
                  <w:vMerge w:val="continue"/>
                  <w:tcBorders>
                    <w:tl2br w:val="nil"/>
                    <w:tr2bl w:val="nil"/>
                  </w:tcBorders>
                  <w:shd w:val="clear" w:color="auto" w:fill="auto"/>
                  <w:vAlign w:val="center"/>
                </w:tcPr>
                <w:p w14:paraId="6E3867DC">
                  <w:pPr>
                    <w:jc w:val="center"/>
                    <w:rPr>
                      <w:rFonts w:ascii="Times New Roman" w:hAnsi="Times New Roman" w:eastAsia="宋体" w:cs="Times New Roman"/>
                      <w:color w:val="auto"/>
                      <w:kern w:val="2"/>
                      <w:sz w:val="21"/>
                      <w:szCs w:val="21"/>
                      <w:highlight w:val="none"/>
                      <w:lang w:val="en-US" w:eastAsia="zh-CN" w:bidi="ar-SA"/>
                    </w:rPr>
                  </w:pPr>
                </w:p>
              </w:tc>
              <w:tc>
                <w:tcPr>
                  <w:tcW w:w="1687" w:type="pct"/>
                  <w:vMerge w:val="continue"/>
                  <w:tcBorders>
                    <w:tl2br w:val="nil"/>
                    <w:tr2bl w:val="nil"/>
                  </w:tcBorders>
                  <w:vAlign w:val="center"/>
                </w:tcPr>
                <w:p w14:paraId="51EBF6C6">
                  <w:pPr>
                    <w:jc w:val="center"/>
                    <w:rPr>
                      <w:color w:val="auto"/>
                      <w:szCs w:val="21"/>
                      <w:highlight w:val="none"/>
                    </w:rPr>
                  </w:pPr>
                </w:p>
              </w:tc>
            </w:tr>
            <w:tr w14:paraId="1A3B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pct"/>
                  <w:tcBorders>
                    <w:tl2br w:val="nil"/>
                    <w:tr2bl w:val="nil"/>
                  </w:tcBorders>
                  <w:shd w:val="clear" w:color="auto" w:fill="auto"/>
                  <w:vAlign w:val="center"/>
                </w:tcPr>
                <w:p w14:paraId="2451F052">
                  <w:pPr>
                    <w:jc w:val="center"/>
                    <w:rPr>
                      <w:color w:val="auto"/>
                      <w:szCs w:val="21"/>
                      <w:highlight w:val="none"/>
                    </w:rPr>
                  </w:pPr>
                  <w:r>
                    <w:rPr>
                      <w:rFonts w:hint="eastAsia"/>
                      <w:color w:val="auto"/>
                      <w:szCs w:val="21"/>
                      <w:highlight w:val="none"/>
                    </w:rPr>
                    <w:t>臭气浓度</w:t>
                  </w:r>
                </w:p>
              </w:tc>
              <w:tc>
                <w:tcPr>
                  <w:tcW w:w="1602" w:type="pct"/>
                  <w:tcBorders>
                    <w:tl2br w:val="nil"/>
                    <w:tr2bl w:val="nil"/>
                  </w:tcBorders>
                  <w:vAlign w:val="center"/>
                </w:tcPr>
                <w:p w14:paraId="5474AB5C">
                  <w:pPr>
                    <w:jc w:val="center"/>
                    <w:rPr>
                      <w:color w:val="auto"/>
                      <w:szCs w:val="21"/>
                      <w:highlight w:val="none"/>
                    </w:rPr>
                  </w:pPr>
                  <w:r>
                    <w:rPr>
                      <w:rFonts w:hint="eastAsia"/>
                      <w:color w:val="auto"/>
                      <w:szCs w:val="21"/>
                      <w:highlight w:val="none"/>
                    </w:rPr>
                    <w:t>20（无量纲）</w:t>
                  </w:r>
                </w:p>
              </w:tc>
              <w:tc>
                <w:tcPr>
                  <w:tcW w:w="799" w:type="pct"/>
                  <w:vMerge w:val="continue"/>
                  <w:tcBorders>
                    <w:tl2br w:val="nil"/>
                    <w:tr2bl w:val="nil"/>
                  </w:tcBorders>
                  <w:shd w:val="clear" w:color="auto" w:fill="auto"/>
                  <w:vAlign w:val="center"/>
                </w:tcPr>
                <w:p w14:paraId="5630D4A5">
                  <w:pPr>
                    <w:jc w:val="center"/>
                    <w:rPr>
                      <w:rFonts w:ascii="Times New Roman" w:hAnsi="Times New Roman" w:eastAsia="宋体" w:cs="Times New Roman"/>
                      <w:color w:val="auto"/>
                      <w:kern w:val="2"/>
                      <w:sz w:val="21"/>
                      <w:szCs w:val="21"/>
                      <w:highlight w:val="none"/>
                      <w:lang w:val="en-US" w:eastAsia="zh-CN" w:bidi="ar-SA"/>
                    </w:rPr>
                  </w:pPr>
                </w:p>
              </w:tc>
              <w:tc>
                <w:tcPr>
                  <w:tcW w:w="1687" w:type="pct"/>
                  <w:tcBorders>
                    <w:tl2br w:val="nil"/>
                    <w:tr2bl w:val="nil"/>
                  </w:tcBorders>
                  <w:vAlign w:val="center"/>
                </w:tcPr>
                <w:p w14:paraId="3466D57F">
                  <w:pPr>
                    <w:jc w:val="center"/>
                    <w:rPr>
                      <w:color w:val="auto"/>
                      <w:szCs w:val="21"/>
                      <w:highlight w:val="none"/>
                    </w:rPr>
                  </w:pPr>
                  <w:r>
                    <w:rPr>
                      <w:rFonts w:hint="eastAsia"/>
                      <w:color w:val="auto"/>
                      <w:szCs w:val="21"/>
                      <w:highlight w:val="none"/>
                    </w:rPr>
                    <w:t>《恶臭污染物排放标准》（GB14554-93）表1 恶臭污染物厂界标准值中的”二级新扩改建”标准限值</w:t>
                  </w:r>
                </w:p>
              </w:tc>
            </w:tr>
          </w:tbl>
          <w:p w14:paraId="490A0AFE">
            <w:pPr>
              <w:tabs>
                <w:tab w:val="center" w:pos="3934"/>
                <w:tab w:val="left" w:pos="6495"/>
              </w:tabs>
              <w:snapToGrid w:val="0"/>
              <w:spacing w:line="360" w:lineRule="auto"/>
              <w:jc w:val="center"/>
              <w:rPr>
                <w:rFonts w:hint="eastAsia" w:eastAsia="宋体"/>
                <w:b/>
                <w:color w:val="auto"/>
                <w:sz w:val="24"/>
                <w:highlight w:val="none"/>
                <w:lang w:val="en-US" w:eastAsia="zh-CN"/>
              </w:rPr>
            </w:pPr>
            <w:r>
              <w:rPr>
                <w:rFonts w:hint="eastAsia"/>
                <w:b/>
                <w:color w:val="auto"/>
                <w:sz w:val="24"/>
                <w:highlight w:val="none"/>
              </w:rPr>
              <w:t>表</w:t>
            </w:r>
            <w:r>
              <w:rPr>
                <w:b/>
                <w:color w:val="auto"/>
                <w:sz w:val="24"/>
                <w:highlight w:val="none"/>
              </w:rPr>
              <w:t>3-</w:t>
            </w:r>
            <w:r>
              <w:rPr>
                <w:rFonts w:hint="eastAsia"/>
                <w:b/>
                <w:color w:val="auto"/>
                <w:sz w:val="24"/>
                <w:highlight w:val="none"/>
                <w:lang w:val="en-US" w:eastAsia="zh-CN"/>
              </w:rPr>
              <w:t>9</w:t>
            </w:r>
            <w:r>
              <w:rPr>
                <w:b/>
                <w:color w:val="auto"/>
                <w:sz w:val="24"/>
                <w:highlight w:val="none"/>
              </w:rPr>
              <w:t xml:space="preserve">  </w:t>
            </w:r>
            <w:r>
              <w:rPr>
                <w:rFonts w:hint="eastAsia"/>
                <w:b/>
                <w:color w:val="auto"/>
                <w:sz w:val="24"/>
                <w:highlight w:val="none"/>
              </w:rPr>
              <w:t>本项目厂区内无组织挥发性有机废气排放限值</w:t>
            </w:r>
          </w:p>
          <w:tbl>
            <w:tblPr>
              <w:tblStyle w:val="25"/>
              <w:tblW w:w="5000"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12" w:space="0"/>
              </w:tblBorders>
              <w:tblLayout w:type="autofit"/>
              <w:tblCellMar>
                <w:top w:w="0" w:type="dxa"/>
                <w:left w:w="0" w:type="dxa"/>
                <w:bottom w:w="0" w:type="dxa"/>
                <w:right w:w="0" w:type="dxa"/>
              </w:tblCellMar>
            </w:tblPr>
            <w:tblGrid>
              <w:gridCol w:w="1512"/>
              <w:gridCol w:w="1512"/>
              <w:gridCol w:w="2537"/>
              <w:gridCol w:w="2818"/>
            </w:tblGrid>
            <w:tr w14:paraId="164AEDEE">
              <w:tblPrEx>
                <w:tblBorders>
                  <w:top w:val="single" w:color="auto" w:sz="4" w:space="0"/>
                  <w:left w:val="single" w:color="auto" w:sz="4" w:space="0"/>
                  <w:bottom w:val="single" w:color="auto" w:sz="4" w:space="0"/>
                  <w:right w:val="single" w:color="auto" w:sz="4" w:space="0"/>
                  <w:insideH w:val="single" w:color="000000" w:sz="4" w:space="0"/>
                  <w:insideV w:val="single" w:color="000000" w:sz="12" w:space="0"/>
                </w:tblBorders>
              </w:tblPrEx>
              <w:trPr>
                <w:trHeight w:val="0" w:hRule="atLeast"/>
                <w:jc w:val="center"/>
              </w:trPr>
              <w:tc>
                <w:tcPr>
                  <w:tcW w:w="902" w:type="pct"/>
                  <w:tcBorders>
                    <w:right w:val="single" w:color="000000" w:sz="4" w:space="0"/>
                  </w:tcBorders>
                  <w:vAlign w:val="center"/>
                </w:tcPr>
                <w:p w14:paraId="7E4F92F9">
                  <w:pPr>
                    <w:pStyle w:val="54"/>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污染项目</w:t>
                  </w:r>
                </w:p>
              </w:tc>
              <w:tc>
                <w:tcPr>
                  <w:tcW w:w="902" w:type="pct"/>
                  <w:tcBorders>
                    <w:left w:val="single" w:color="000000" w:sz="4" w:space="0"/>
                    <w:right w:val="single" w:color="000000" w:sz="4" w:space="0"/>
                  </w:tcBorders>
                  <w:vAlign w:val="center"/>
                </w:tcPr>
                <w:p w14:paraId="4DC658DC">
                  <w:pPr>
                    <w:pStyle w:val="54"/>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排放限值</w:t>
                  </w:r>
                </w:p>
              </w:tc>
              <w:tc>
                <w:tcPr>
                  <w:tcW w:w="1513" w:type="pct"/>
                  <w:tcBorders>
                    <w:left w:val="single" w:color="000000" w:sz="4" w:space="0"/>
                    <w:right w:val="single" w:color="000000" w:sz="4" w:space="0"/>
                  </w:tcBorders>
                  <w:vAlign w:val="center"/>
                </w:tcPr>
                <w:p w14:paraId="4D4BDA3F">
                  <w:pPr>
                    <w:pStyle w:val="54"/>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限值含义</w:t>
                  </w:r>
                </w:p>
              </w:tc>
              <w:tc>
                <w:tcPr>
                  <w:tcW w:w="1680" w:type="pct"/>
                  <w:tcBorders>
                    <w:left w:val="single" w:color="000000" w:sz="4" w:space="0"/>
                    <w:tl2br w:val="nil"/>
                    <w:tr2bl w:val="nil"/>
                  </w:tcBorders>
                  <w:vAlign w:val="center"/>
                </w:tcPr>
                <w:p w14:paraId="7200730F">
                  <w:pPr>
                    <w:pStyle w:val="54"/>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无组织排放监控位置</w:t>
                  </w:r>
                </w:p>
              </w:tc>
            </w:tr>
            <w:tr w14:paraId="390459DB">
              <w:tblPrEx>
                <w:tblBorders>
                  <w:top w:val="single" w:color="auto" w:sz="4" w:space="0"/>
                  <w:left w:val="single" w:color="auto" w:sz="4" w:space="0"/>
                  <w:bottom w:val="single" w:color="auto" w:sz="4" w:space="0"/>
                  <w:right w:val="single" w:color="auto" w:sz="4" w:space="0"/>
                  <w:insideH w:val="single" w:color="000000" w:sz="4" w:space="0"/>
                  <w:insideV w:val="single" w:color="000000" w:sz="12" w:space="0"/>
                </w:tblBorders>
                <w:tblCellMar>
                  <w:top w:w="0" w:type="dxa"/>
                  <w:left w:w="0" w:type="dxa"/>
                  <w:bottom w:w="0" w:type="dxa"/>
                  <w:right w:w="0" w:type="dxa"/>
                </w:tblCellMar>
              </w:tblPrEx>
              <w:trPr>
                <w:trHeight w:val="0" w:hRule="atLeast"/>
                <w:jc w:val="center"/>
              </w:trPr>
              <w:tc>
                <w:tcPr>
                  <w:tcW w:w="902" w:type="pct"/>
                  <w:vMerge w:val="restart"/>
                  <w:tcBorders>
                    <w:right w:val="single" w:color="000000" w:sz="4" w:space="0"/>
                  </w:tcBorders>
                  <w:vAlign w:val="center"/>
                </w:tcPr>
                <w:p w14:paraId="53967117">
                  <w:pPr>
                    <w:pStyle w:val="54"/>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bidi="ar-SA"/>
                    </w:rPr>
                    <w:t>NMHC</w:t>
                  </w:r>
                </w:p>
              </w:tc>
              <w:tc>
                <w:tcPr>
                  <w:tcW w:w="902" w:type="pct"/>
                  <w:tcBorders>
                    <w:left w:val="single" w:color="000000" w:sz="4" w:space="0"/>
                    <w:right w:val="single" w:color="000000" w:sz="4" w:space="0"/>
                  </w:tcBorders>
                  <w:vAlign w:val="center"/>
                </w:tcPr>
                <w:p w14:paraId="4D7D70F2">
                  <w:pPr>
                    <w:pStyle w:val="54"/>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bidi="ar-SA"/>
                    </w:rPr>
                    <w:t>10mg/m³</w:t>
                  </w:r>
                </w:p>
              </w:tc>
              <w:tc>
                <w:tcPr>
                  <w:tcW w:w="1513" w:type="pct"/>
                  <w:tcBorders>
                    <w:left w:val="single" w:color="000000" w:sz="4" w:space="0"/>
                    <w:right w:val="single" w:color="000000" w:sz="4" w:space="0"/>
                  </w:tcBorders>
                  <w:vAlign w:val="center"/>
                </w:tcPr>
                <w:p w14:paraId="6062DBD7">
                  <w:pPr>
                    <w:pStyle w:val="54"/>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bidi="ar-SA"/>
                    </w:rPr>
                    <w:t>监控点处1h平均浓度值</w:t>
                  </w:r>
                </w:p>
              </w:tc>
              <w:tc>
                <w:tcPr>
                  <w:tcW w:w="1680" w:type="pct"/>
                  <w:vMerge w:val="restart"/>
                  <w:tcBorders>
                    <w:left w:val="single" w:color="000000" w:sz="4" w:space="0"/>
                    <w:tl2br w:val="nil"/>
                    <w:tr2bl w:val="nil"/>
                  </w:tcBorders>
                  <w:vAlign w:val="center"/>
                </w:tcPr>
                <w:p w14:paraId="4B989E79">
                  <w:pPr>
                    <w:pStyle w:val="54"/>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bidi="ar-SA"/>
                    </w:rPr>
                    <w:t>在厂房外设置监控点</w:t>
                  </w:r>
                </w:p>
              </w:tc>
            </w:tr>
            <w:tr w14:paraId="16D304AD">
              <w:tblPrEx>
                <w:tblBorders>
                  <w:top w:val="single" w:color="auto" w:sz="4" w:space="0"/>
                  <w:left w:val="single" w:color="auto" w:sz="4" w:space="0"/>
                  <w:bottom w:val="single" w:color="auto" w:sz="4" w:space="0"/>
                  <w:right w:val="single" w:color="auto" w:sz="4" w:space="0"/>
                  <w:insideH w:val="single" w:color="000000" w:sz="4" w:space="0"/>
                  <w:insideV w:val="single" w:color="000000" w:sz="12" w:space="0"/>
                </w:tblBorders>
                <w:tblCellMar>
                  <w:top w:w="0" w:type="dxa"/>
                  <w:left w:w="0" w:type="dxa"/>
                  <w:bottom w:w="0" w:type="dxa"/>
                  <w:right w:w="0" w:type="dxa"/>
                </w:tblCellMar>
              </w:tblPrEx>
              <w:trPr>
                <w:trHeight w:val="0" w:hRule="atLeast"/>
                <w:jc w:val="center"/>
              </w:trPr>
              <w:tc>
                <w:tcPr>
                  <w:tcW w:w="902" w:type="pct"/>
                  <w:vMerge w:val="continue"/>
                  <w:tcBorders>
                    <w:right w:val="single" w:color="000000" w:sz="4" w:space="0"/>
                  </w:tcBorders>
                  <w:vAlign w:val="center"/>
                </w:tcPr>
                <w:p w14:paraId="76F7EE7D">
                  <w:pPr>
                    <w:jc w:val="center"/>
                    <w:rPr>
                      <w:rFonts w:hint="default" w:ascii="Times New Roman" w:hAnsi="Times New Roman" w:eastAsia="宋体" w:cs="Times New Roman"/>
                      <w:color w:val="auto"/>
                      <w:sz w:val="21"/>
                      <w:szCs w:val="21"/>
                    </w:rPr>
                  </w:pPr>
                </w:p>
              </w:tc>
              <w:tc>
                <w:tcPr>
                  <w:tcW w:w="902" w:type="pct"/>
                  <w:tcBorders>
                    <w:left w:val="single" w:color="000000" w:sz="4" w:space="0"/>
                    <w:right w:val="single" w:color="000000" w:sz="4" w:space="0"/>
                  </w:tcBorders>
                  <w:vAlign w:val="center"/>
                </w:tcPr>
                <w:p w14:paraId="208519A3">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30mg/m³</w:t>
                  </w:r>
                </w:p>
              </w:tc>
              <w:tc>
                <w:tcPr>
                  <w:tcW w:w="1513" w:type="pct"/>
                  <w:tcBorders>
                    <w:left w:val="single" w:color="000000" w:sz="4" w:space="0"/>
                    <w:right w:val="single" w:color="000000" w:sz="4" w:space="0"/>
                  </w:tcBorders>
                  <w:vAlign w:val="center"/>
                </w:tcPr>
                <w:p w14:paraId="2D354F2B">
                  <w:pPr>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监控点处任意一次浓度值</w:t>
                  </w:r>
                </w:p>
              </w:tc>
              <w:tc>
                <w:tcPr>
                  <w:tcW w:w="1680" w:type="pct"/>
                  <w:vMerge w:val="continue"/>
                  <w:tcBorders>
                    <w:left w:val="single" w:color="000000" w:sz="4" w:space="0"/>
                    <w:tl2br w:val="nil"/>
                    <w:tr2bl w:val="nil"/>
                  </w:tcBorders>
                  <w:vAlign w:val="center"/>
                </w:tcPr>
                <w:p w14:paraId="712AED00">
                  <w:pPr>
                    <w:jc w:val="center"/>
                    <w:rPr>
                      <w:rFonts w:hint="default" w:ascii="Times New Roman" w:hAnsi="Times New Roman" w:eastAsia="宋体" w:cs="Times New Roman"/>
                      <w:color w:val="auto"/>
                      <w:sz w:val="21"/>
                      <w:szCs w:val="21"/>
                    </w:rPr>
                  </w:pPr>
                </w:p>
              </w:tc>
            </w:tr>
          </w:tbl>
          <w:p w14:paraId="0B0941BD">
            <w:pPr>
              <w:adjustRightInd w:val="0"/>
              <w:snapToGrid w:val="0"/>
              <w:spacing w:line="360" w:lineRule="auto"/>
              <w:ind w:firstLine="482" w:firstLineChars="200"/>
              <w:rPr>
                <w:b/>
                <w:bCs/>
                <w:color w:val="auto"/>
                <w:kern w:val="24"/>
                <w:sz w:val="24"/>
                <w:highlight w:val="none"/>
              </w:rPr>
            </w:pPr>
            <w:r>
              <w:rPr>
                <w:b/>
                <w:bCs/>
                <w:color w:val="auto"/>
                <w:kern w:val="24"/>
                <w:sz w:val="24"/>
                <w:highlight w:val="none"/>
              </w:rPr>
              <w:t>2、水污染物排放标准</w:t>
            </w:r>
          </w:p>
          <w:p w14:paraId="42CDE0D5">
            <w:pPr>
              <w:adjustRightInd w:val="0"/>
              <w:snapToGrid w:val="0"/>
              <w:spacing w:line="360" w:lineRule="auto"/>
              <w:ind w:firstLine="480" w:firstLineChars="200"/>
              <w:rPr>
                <w:rFonts w:hint="eastAsia"/>
                <w:color w:val="auto"/>
                <w:kern w:val="24"/>
                <w:sz w:val="24"/>
                <w:highlight w:val="none"/>
              </w:rPr>
            </w:pPr>
            <w:r>
              <w:rPr>
                <w:rFonts w:hint="eastAsia"/>
                <w:color w:val="auto"/>
                <w:kern w:val="24"/>
                <w:sz w:val="24"/>
                <w:highlight w:val="none"/>
              </w:rPr>
              <w:t>（1）施工期：施工</w:t>
            </w:r>
            <w:r>
              <w:rPr>
                <w:rFonts w:hint="eastAsia"/>
                <w:color w:val="auto"/>
                <w:kern w:val="24"/>
                <w:sz w:val="24"/>
                <w:highlight w:val="none"/>
                <w:lang w:val="en-US" w:eastAsia="zh-CN"/>
              </w:rPr>
              <w:t>期间</w:t>
            </w:r>
            <w:r>
              <w:rPr>
                <w:rFonts w:hint="eastAsia"/>
                <w:color w:val="auto"/>
                <w:kern w:val="24"/>
                <w:sz w:val="24"/>
                <w:highlight w:val="none"/>
              </w:rPr>
              <w:t>废水完全回用，不外排。施工人员冲厕及洗手</w:t>
            </w:r>
            <w:r>
              <w:rPr>
                <w:rFonts w:hint="eastAsia"/>
                <w:color w:val="auto"/>
                <w:kern w:val="24"/>
                <w:sz w:val="24"/>
                <w:highlight w:val="none"/>
                <w:lang w:val="en-US" w:eastAsia="zh-CN"/>
              </w:rPr>
              <w:t>废</w:t>
            </w:r>
            <w:r>
              <w:rPr>
                <w:rFonts w:hint="eastAsia"/>
                <w:color w:val="auto"/>
                <w:kern w:val="24"/>
                <w:sz w:val="24"/>
                <w:highlight w:val="none"/>
              </w:rPr>
              <w:t>水依托云南三缘电缆有限公司化粪池（10m³）处理</w:t>
            </w:r>
            <w:r>
              <w:rPr>
                <w:rFonts w:hint="eastAsia"/>
                <w:color w:val="auto"/>
                <w:kern w:val="24"/>
                <w:sz w:val="24"/>
                <w:highlight w:val="none"/>
                <w:lang w:eastAsia="zh-CN"/>
              </w:rPr>
              <w:t>，</w:t>
            </w:r>
            <w:r>
              <w:rPr>
                <w:rFonts w:hint="eastAsia"/>
                <w:color w:val="auto"/>
                <w:kern w:val="24"/>
                <w:sz w:val="24"/>
                <w:highlight w:val="none"/>
                <w:lang w:val="en-US" w:eastAsia="zh-CN"/>
              </w:rPr>
              <w:t>处理满足</w:t>
            </w:r>
            <w:r>
              <w:rPr>
                <w:rFonts w:hint="eastAsia"/>
                <w:color w:val="auto"/>
                <w:kern w:val="24"/>
                <w:sz w:val="24"/>
                <w:highlight w:val="none"/>
              </w:rPr>
              <w:t>《污水排入城镇下水道水质标准》（GB/T 31962-2015）表1中A级标准后，通过槽罐车运送至玉溪市第</w:t>
            </w:r>
            <w:r>
              <w:rPr>
                <w:rFonts w:hint="eastAsia"/>
                <w:color w:val="auto"/>
                <w:kern w:val="24"/>
                <w:sz w:val="24"/>
                <w:highlight w:val="none"/>
                <w:lang w:val="en-US" w:eastAsia="zh-CN"/>
              </w:rPr>
              <w:t>二</w:t>
            </w:r>
            <w:r>
              <w:rPr>
                <w:rFonts w:hint="eastAsia"/>
                <w:color w:val="auto"/>
                <w:kern w:val="24"/>
                <w:sz w:val="24"/>
                <w:highlight w:val="none"/>
              </w:rPr>
              <w:t>污水处理厂处置，不外排。</w:t>
            </w:r>
          </w:p>
          <w:p w14:paraId="17B9208A">
            <w:pPr>
              <w:adjustRightInd w:val="0"/>
              <w:snapToGrid w:val="0"/>
              <w:spacing w:line="360" w:lineRule="auto"/>
              <w:ind w:firstLine="480" w:firstLineChars="200"/>
              <w:rPr>
                <w:color w:val="auto"/>
                <w:kern w:val="24"/>
                <w:sz w:val="24"/>
                <w:highlight w:val="none"/>
              </w:rPr>
            </w:pPr>
            <w:r>
              <w:rPr>
                <w:color w:val="auto"/>
                <w:kern w:val="24"/>
                <w:sz w:val="24"/>
                <w:highlight w:val="none"/>
              </w:rPr>
              <w:t>（2）运营期</w:t>
            </w:r>
          </w:p>
          <w:p w14:paraId="2CEB373D">
            <w:pPr>
              <w:adjustRightInd w:val="0"/>
              <w:snapToGrid w:val="0"/>
              <w:spacing w:line="360" w:lineRule="auto"/>
              <w:ind w:firstLine="480" w:firstLineChars="200"/>
              <w:rPr>
                <w:rFonts w:hint="eastAsia"/>
                <w:color w:val="auto"/>
                <w:kern w:val="24"/>
                <w:sz w:val="24"/>
                <w:highlight w:val="none"/>
              </w:rPr>
            </w:pPr>
            <w:r>
              <w:rPr>
                <w:color w:val="auto"/>
                <w:kern w:val="24"/>
                <w:sz w:val="24"/>
                <w:highlight w:val="none"/>
              </w:rPr>
              <w:t>项目采用雨污分流制排水方式，雨水经雨水管道收集后排至园区雨水管网。</w:t>
            </w:r>
            <w:r>
              <w:rPr>
                <w:rFonts w:hint="eastAsia"/>
                <w:color w:val="auto"/>
                <w:kern w:val="24"/>
                <w:sz w:val="24"/>
                <w:highlight w:val="none"/>
              </w:rPr>
              <w:t>项目运营期</w:t>
            </w:r>
            <w:r>
              <w:rPr>
                <w:rFonts w:hint="eastAsia"/>
                <w:color w:val="auto"/>
                <w:kern w:val="24"/>
                <w:sz w:val="24"/>
                <w:highlight w:val="none"/>
                <w:lang w:val="en-US" w:eastAsia="zh-CN"/>
              </w:rPr>
              <w:t>设备冷却水</w:t>
            </w:r>
            <w:r>
              <w:rPr>
                <w:rFonts w:hint="eastAsia"/>
                <w:color w:val="auto"/>
                <w:kern w:val="24"/>
                <w:sz w:val="24"/>
                <w:highlight w:val="none"/>
              </w:rPr>
              <w:t>循环使用</w:t>
            </w:r>
            <w:r>
              <w:rPr>
                <w:rFonts w:hint="eastAsia"/>
                <w:color w:val="auto"/>
                <w:kern w:val="24"/>
                <w:sz w:val="24"/>
                <w:highlight w:val="none"/>
                <w:lang w:eastAsia="zh-CN"/>
              </w:rPr>
              <w:t>，</w:t>
            </w:r>
            <w:r>
              <w:rPr>
                <w:rFonts w:hint="eastAsia"/>
                <w:color w:val="auto"/>
                <w:kern w:val="24"/>
                <w:sz w:val="24"/>
                <w:highlight w:val="none"/>
              </w:rPr>
              <w:t>不外排</w:t>
            </w:r>
            <w:r>
              <w:rPr>
                <w:rFonts w:hint="eastAsia"/>
                <w:color w:val="auto"/>
                <w:kern w:val="24"/>
                <w:sz w:val="24"/>
                <w:highlight w:val="none"/>
                <w:lang w:eastAsia="zh-CN"/>
              </w:rPr>
              <w:t>。</w:t>
            </w:r>
            <w:r>
              <w:rPr>
                <w:rFonts w:hint="eastAsia"/>
                <w:color w:val="auto"/>
                <w:kern w:val="24"/>
                <w:sz w:val="24"/>
                <w:highlight w:val="none"/>
              </w:rPr>
              <w:t>办公、生活污水依托云南三缘电缆有限公司化粪池（10m³）处理，处理后满足《污水排入城镇下水道水质标准》（GB/T 31962-2015）表1中A级标准后通过槽罐车运送至玉溪市第</w:t>
            </w:r>
            <w:r>
              <w:rPr>
                <w:rFonts w:hint="eastAsia"/>
                <w:color w:val="auto"/>
                <w:kern w:val="24"/>
                <w:sz w:val="24"/>
                <w:highlight w:val="none"/>
                <w:lang w:val="en-US" w:eastAsia="zh-CN"/>
              </w:rPr>
              <w:t>二</w:t>
            </w:r>
            <w:r>
              <w:rPr>
                <w:rFonts w:hint="eastAsia"/>
                <w:color w:val="auto"/>
                <w:kern w:val="24"/>
                <w:sz w:val="24"/>
                <w:highlight w:val="none"/>
              </w:rPr>
              <w:t>污水处理厂处理。</w:t>
            </w:r>
          </w:p>
          <w:p w14:paraId="21F310DD">
            <w:pPr>
              <w:adjustRightInd w:val="0"/>
              <w:snapToGrid w:val="0"/>
              <w:spacing w:line="360" w:lineRule="auto"/>
              <w:ind w:firstLine="480" w:firstLineChars="200"/>
              <w:rPr>
                <w:rFonts w:hint="eastAsia"/>
                <w:color w:val="auto"/>
                <w:kern w:val="24"/>
                <w:sz w:val="24"/>
                <w:highlight w:val="none"/>
              </w:rPr>
            </w:pPr>
            <w:r>
              <w:rPr>
                <w:rFonts w:hint="eastAsia"/>
                <w:color w:val="auto"/>
                <w:kern w:val="24"/>
                <w:sz w:val="24"/>
                <w:highlight w:val="none"/>
              </w:rPr>
              <w:t>标准详见表3-</w:t>
            </w:r>
            <w:r>
              <w:rPr>
                <w:rFonts w:hint="eastAsia"/>
                <w:color w:val="auto"/>
                <w:kern w:val="24"/>
                <w:sz w:val="24"/>
                <w:highlight w:val="none"/>
                <w:lang w:val="en-US" w:eastAsia="zh-CN"/>
              </w:rPr>
              <w:t>10</w:t>
            </w:r>
            <w:r>
              <w:rPr>
                <w:rFonts w:hint="eastAsia"/>
                <w:color w:val="auto"/>
                <w:kern w:val="24"/>
                <w:sz w:val="24"/>
                <w:highlight w:val="none"/>
              </w:rPr>
              <w:t>。</w:t>
            </w:r>
          </w:p>
          <w:p w14:paraId="3A1F56CD">
            <w:pPr>
              <w:adjustRightInd w:val="0"/>
              <w:snapToGrid w:val="0"/>
              <w:spacing w:line="360" w:lineRule="auto"/>
              <w:ind w:firstLine="480" w:firstLineChars="200"/>
              <w:rPr>
                <w:rFonts w:hint="eastAsia"/>
                <w:color w:val="auto"/>
                <w:kern w:val="24"/>
                <w:sz w:val="24"/>
                <w:highlight w:val="none"/>
              </w:rPr>
            </w:pPr>
          </w:p>
          <w:p w14:paraId="3F92CC1B">
            <w:pPr>
              <w:pStyle w:val="56"/>
              <w:snapToGrid w:val="0"/>
              <w:spacing w:line="360" w:lineRule="auto"/>
              <w:ind w:firstLine="0"/>
              <w:jc w:val="center"/>
              <w:textAlignment w:val="auto"/>
              <w:rPr>
                <w:b/>
                <w:bCs/>
                <w:color w:val="auto"/>
                <w:szCs w:val="24"/>
                <w:highlight w:val="none"/>
              </w:rPr>
            </w:pPr>
            <w:r>
              <w:rPr>
                <w:b/>
                <w:bCs/>
                <w:color w:val="auto"/>
                <w:szCs w:val="24"/>
                <w:highlight w:val="none"/>
              </w:rPr>
              <w:t>表3-</w:t>
            </w:r>
            <w:r>
              <w:rPr>
                <w:rFonts w:hint="eastAsia"/>
                <w:b/>
                <w:bCs/>
                <w:color w:val="auto"/>
                <w:szCs w:val="24"/>
                <w:highlight w:val="none"/>
                <w:lang w:val="en-US" w:eastAsia="zh-CN"/>
              </w:rPr>
              <w:t>10</w:t>
            </w:r>
            <w:r>
              <w:rPr>
                <w:b/>
                <w:bCs/>
                <w:color w:val="auto"/>
                <w:szCs w:val="24"/>
                <w:highlight w:val="none"/>
              </w:rPr>
              <w:t xml:space="preserve">  </w:t>
            </w:r>
            <w:r>
              <w:rPr>
                <w:rFonts w:hint="eastAsia"/>
                <w:b/>
                <w:bCs/>
                <w:color w:val="auto"/>
                <w:szCs w:val="24"/>
                <w:highlight w:val="none"/>
              </w:rPr>
              <w:t>生活污水接管</w:t>
            </w:r>
            <w:r>
              <w:rPr>
                <w:b/>
                <w:bCs/>
                <w:color w:val="auto"/>
                <w:szCs w:val="24"/>
                <w:highlight w:val="none"/>
              </w:rPr>
              <w:t>标准</w:t>
            </w:r>
          </w:p>
          <w:tbl>
            <w:tblPr>
              <w:tblStyle w:val="2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9"/>
              <w:gridCol w:w="2794"/>
              <w:gridCol w:w="2794"/>
            </w:tblGrid>
            <w:tr w14:paraId="4406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tcPr>
                <w:p w14:paraId="58276FFD">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项目</w:t>
                  </w:r>
                </w:p>
              </w:tc>
              <w:tc>
                <w:tcPr>
                  <w:tcW w:w="1667" w:type="pct"/>
                </w:tcPr>
                <w:p w14:paraId="4E290BC6">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标准值（mg/L）</w:t>
                  </w:r>
                </w:p>
              </w:tc>
              <w:tc>
                <w:tcPr>
                  <w:tcW w:w="1667" w:type="pct"/>
                </w:tcPr>
                <w:p w14:paraId="58248772">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备注</w:t>
                  </w:r>
                </w:p>
              </w:tc>
            </w:tr>
            <w:tr w14:paraId="139F7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tcPr>
                <w:p w14:paraId="4153754C">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pH（无量纲）</w:t>
                  </w:r>
                </w:p>
              </w:tc>
              <w:tc>
                <w:tcPr>
                  <w:tcW w:w="1667" w:type="pct"/>
                </w:tcPr>
                <w:p w14:paraId="0F91A836">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vertAlign w:val="baseline"/>
                    </w:rPr>
                    <w:t>6.5~9.5</w:t>
                  </w:r>
                </w:p>
              </w:tc>
              <w:tc>
                <w:tcPr>
                  <w:tcW w:w="1667" w:type="pct"/>
                  <w:vMerge w:val="restart"/>
                  <w:vAlign w:val="center"/>
                </w:tcPr>
                <w:p w14:paraId="4062C706">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vertAlign w:val="baseline"/>
                    </w:rPr>
                    <w:t>《污水排入城镇下水道水质标准》（GB/T</w:t>
                  </w:r>
                  <w:r>
                    <w:rPr>
                      <w:rFonts w:hint="eastAsia" w:cs="Times New Roman"/>
                      <w:b w:val="0"/>
                      <w:bCs w:val="0"/>
                      <w:color w:val="auto"/>
                      <w:sz w:val="21"/>
                      <w:szCs w:val="21"/>
                      <w:highlight w:val="none"/>
                      <w:vertAlign w:val="baseline"/>
                      <w:lang w:val="en-US" w:eastAsia="zh-CN"/>
                    </w:rPr>
                    <w:t xml:space="preserve"> </w:t>
                  </w:r>
                  <w:r>
                    <w:rPr>
                      <w:rFonts w:hint="default" w:ascii="Times New Roman" w:hAnsi="Times New Roman" w:eastAsia="宋体" w:cs="Times New Roman"/>
                      <w:b w:val="0"/>
                      <w:bCs w:val="0"/>
                      <w:color w:val="auto"/>
                      <w:sz w:val="21"/>
                      <w:szCs w:val="21"/>
                      <w:highlight w:val="none"/>
                      <w:vertAlign w:val="baseline"/>
                    </w:rPr>
                    <w:t>31962-2015）表1中A级标准</w:t>
                  </w:r>
                </w:p>
              </w:tc>
            </w:tr>
            <w:tr w14:paraId="38104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tcPr>
                <w:p w14:paraId="67EEECC3">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动植物油</w:t>
                  </w:r>
                </w:p>
              </w:tc>
              <w:tc>
                <w:tcPr>
                  <w:tcW w:w="1667" w:type="pct"/>
                </w:tcPr>
                <w:p w14:paraId="768CFEC3">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vertAlign w:val="baseline"/>
                    </w:rPr>
                    <w:t>≤100</w:t>
                  </w:r>
                </w:p>
              </w:tc>
              <w:tc>
                <w:tcPr>
                  <w:tcW w:w="1667" w:type="pct"/>
                  <w:vMerge w:val="continue"/>
                </w:tcPr>
                <w:p w14:paraId="3BC53CBB">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auto"/>
                      <w:sz w:val="21"/>
                      <w:szCs w:val="21"/>
                      <w:highlight w:val="none"/>
                      <w:vertAlign w:val="baseline"/>
                    </w:rPr>
                  </w:pPr>
                </w:p>
              </w:tc>
            </w:tr>
            <w:tr w14:paraId="2B13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tcPr>
                <w:p w14:paraId="37ACCD55">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悬浮物</w:t>
                  </w:r>
                </w:p>
              </w:tc>
              <w:tc>
                <w:tcPr>
                  <w:tcW w:w="1667" w:type="pct"/>
                </w:tcPr>
                <w:p w14:paraId="4A84B9C4">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vertAlign w:val="baseline"/>
                    </w:rPr>
                    <w:t>≤400</w:t>
                  </w:r>
                </w:p>
              </w:tc>
              <w:tc>
                <w:tcPr>
                  <w:tcW w:w="1667" w:type="pct"/>
                  <w:vMerge w:val="continue"/>
                </w:tcPr>
                <w:p w14:paraId="64816372">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auto"/>
                      <w:sz w:val="21"/>
                      <w:szCs w:val="21"/>
                      <w:highlight w:val="none"/>
                      <w:vertAlign w:val="baseline"/>
                    </w:rPr>
                  </w:pPr>
                </w:p>
              </w:tc>
            </w:tr>
            <w:tr w14:paraId="21AD9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tcPr>
                <w:p w14:paraId="11946B01">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BOD</w:t>
                  </w:r>
                  <w:r>
                    <w:rPr>
                      <w:rFonts w:hint="eastAsia" w:ascii="Times New Roman" w:hAnsi="Times New Roman" w:eastAsia="宋体" w:cs="Times New Roman"/>
                      <w:b w:val="0"/>
                      <w:bCs w:val="0"/>
                      <w:color w:val="auto"/>
                      <w:sz w:val="21"/>
                      <w:szCs w:val="21"/>
                      <w:highlight w:val="none"/>
                      <w:vertAlign w:val="subscript"/>
                      <w:lang w:val="en-US" w:eastAsia="zh-CN"/>
                    </w:rPr>
                    <w:t>5</w:t>
                  </w:r>
                </w:p>
              </w:tc>
              <w:tc>
                <w:tcPr>
                  <w:tcW w:w="1667" w:type="pct"/>
                </w:tcPr>
                <w:p w14:paraId="730132E7">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vertAlign w:val="baseline"/>
                    </w:rPr>
                    <w:t>≤</w:t>
                  </w:r>
                  <w:r>
                    <w:rPr>
                      <w:rFonts w:hint="eastAsia" w:ascii="Times New Roman" w:hAnsi="Times New Roman" w:eastAsia="宋体" w:cs="Times New Roman"/>
                      <w:b w:val="0"/>
                      <w:bCs w:val="0"/>
                      <w:color w:val="auto"/>
                      <w:sz w:val="21"/>
                      <w:szCs w:val="21"/>
                      <w:highlight w:val="none"/>
                      <w:vertAlign w:val="baseline"/>
                      <w:lang w:val="en-US" w:eastAsia="zh-CN"/>
                    </w:rPr>
                    <w:t>35</w:t>
                  </w:r>
                  <w:r>
                    <w:rPr>
                      <w:rFonts w:hint="default" w:ascii="Times New Roman" w:hAnsi="Times New Roman" w:eastAsia="宋体" w:cs="Times New Roman"/>
                      <w:b w:val="0"/>
                      <w:bCs w:val="0"/>
                      <w:color w:val="auto"/>
                      <w:sz w:val="21"/>
                      <w:szCs w:val="21"/>
                      <w:highlight w:val="none"/>
                      <w:vertAlign w:val="baseline"/>
                    </w:rPr>
                    <w:t>0</w:t>
                  </w:r>
                </w:p>
              </w:tc>
              <w:tc>
                <w:tcPr>
                  <w:tcW w:w="1667" w:type="pct"/>
                  <w:vMerge w:val="continue"/>
                </w:tcPr>
                <w:p w14:paraId="6497069F">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auto"/>
                      <w:sz w:val="21"/>
                      <w:szCs w:val="21"/>
                      <w:highlight w:val="none"/>
                      <w:vertAlign w:val="baseline"/>
                    </w:rPr>
                  </w:pPr>
                </w:p>
              </w:tc>
            </w:tr>
            <w:tr w14:paraId="54E2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tcPr>
                <w:p w14:paraId="360AA5B8">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COD</w:t>
                  </w:r>
                </w:p>
              </w:tc>
              <w:tc>
                <w:tcPr>
                  <w:tcW w:w="1667" w:type="pct"/>
                </w:tcPr>
                <w:p w14:paraId="0A77959E">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vertAlign w:val="baseline"/>
                    </w:rPr>
                    <w:t>≤</w:t>
                  </w:r>
                  <w:r>
                    <w:rPr>
                      <w:rFonts w:hint="eastAsia" w:ascii="Times New Roman" w:hAnsi="Times New Roman" w:eastAsia="宋体" w:cs="Times New Roman"/>
                      <w:b w:val="0"/>
                      <w:bCs w:val="0"/>
                      <w:color w:val="auto"/>
                      <w:sz w:val="21"/>
                      <w:szCs w:val="21"/>
                      <w:highlight w:val="none"/>
                      <w:vertAlign w:val="baseline"/>
                      <w:lang w:val="en-US" w:eastAsia="zh-CN"/>
                    </w:rPr>
                    <w:t>5</w:t>
                  </w:r>
                  <w:r>
                    <w:rPr>
                      <w:rFonts w:hint="default" w:ascii="Times New Roman" w:hAnsi="Times New Roman" w:eastAsia="宋体" w:cs="Times New Roman"/>
                      <w:b w:val="0"/>
                      <w:bCs w:val="0"/>
                      <w:color w:val="auto"/>
                      <w:sz w:val="21"/>
                      <w:szCs w:val="21"/>
                      <w:highlight w:val="none"/>
                      <w:vertAlign w:val="baseline"/>
                    </w:rPr>
                    <w:t>00</w:t>
                  </w:r>
                </w:p>
              </w:tc>
              <w:tc>
                <w:tcPr>
                  <w:tcW w:w="1667" w:type="pct"/>
                  <w:vMerge w:val="continue"/>
                </w:tcPr>
                <w:p w14:paraId="585B0ED2">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auto"/>
                      <w:sz w:val="21"/>
                      <w:szCs w:val="21"/>
                      <w:highlight w:val="none"/>
                      <w:vertAlign w:val="baseline"/>
                    </w:rPr>
                  </w:pPr>
                </w:p>
              </w:tc>
            </w:tr>
            <w:tr w14:paraId="568D0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tcPr>
                <w:p w14:paraId="03667099">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vertAlign w:val="baseline"/>
                    </w:rPr>
                    <w:t>氨氮（以N计）</w:t>
                  </w:r>
                </w:p>
              </w:tc>
              <w:tc>
                <w:tcPr>
                  <w:tcW w:w="1667" w:type="pct"/>
                </w:tcPr>
                <w:p w14:paraId="6CB119D9">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rPr>
                    <w:t>≤4</w:t>
                  </w:r>
                  <w:r>
                    <w:rPr>
                      <w:rFonts w:hint="eastAsia" w:ascii="Times New Roman" w:hAnsi="Times New Roman" w:eastAsia="宋体" w:cs="Times New Roman"/>
                      <w:b w:val="0"/>
                      <w:bCs w:val="0"/>
                      <w:color w:val="auto"/>
                      <w:sz w:val="21"/>
                      <w:szCs w:val="21"/>
                      <w:highlight w:val="none"/>
                      <w:vertAlign w:val="baseline"/>
                      <w:lang w:val="en-US" w:eastAsia="zh-CN"/>
                    </w:rPr>
                    <w:t>5</w:t>
                  </w:r>
                </w:p>
              </w:tc>
              <w:tc>
                <w:tcPr>
                  <w:tcW w:w="1667" w:type="pct"/>
                  <w:vMerge w:val="continue"/>
                </w:tcPr>
                <w:p w14:paraId="1414A30C">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auto"/>
                      <w:sz w:val="21"/>
                      <w:szCs w:val="21"/>
                      <w:highlight w:val="none"/>
                      <w:vertAlign w:val="baseline"/>
                    </w:rPr>
                  </w:pPr>
                </w:p>
              </w:tc>
            </w:tr>
            <w:tr w14:paraId="1C825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tcPr>
                <w:p w14:paraId="3266B90F">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auto"/>
                      <w:sz w:val="21"/>
                      <w:szCs w:val="21"/>
                      <w:highlight w:val="none"/>
                      <w:vertAlign w:val="baseline"/>
                    </w:rPr>
                  </w:pPr>
                  <w:r>
                    <w:rPr>
                      <w:rFonts w:hint="default" w:ascii="Times New Roman" w:hAnsi="Times New Roman" w:eastAsia="宋体" w:cs="Times New Roman"/>
                      <w:b w:val="0"/>
                      <w:bCs w:val="0"/>
                      <w:color w:val="auto"/>
                      <w:sz w:val="21"/>
                      <w:szCs w:val="21"/>
                      <w:highlight w:val="none"/>
                      <w:vertAlign w:val="baseline"/>
                    </w:rPr>
                    <w:t>总磷（以P计）</w:t>
                  </w:r>
                </w:p>
              </w:tc>
              <w:tc>
                <w:tcPr>
                  <w:tcW w:w="1667" w:type="pct"/>
                </w:tcPr>
                <w:p w14:paraId="74ABEBE4">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rPr>
                    <w:t>≤</w:t>
                  </w:r>
                  <w:r>
                    <w:rPr>
                      <w:rFonts w:hint="eastAsia" w:ascii="Times New Roman" w:hAnsi="Times New Roman" w:eastAsia="宋体" w:cs="Times New Roman"/>
                      <w:b w:val="0"/>
                      <w:bCs w:val="0"/>
                      <w:color w:val="auto"/>
                      <w:sz w:val="21"/>
                      <w:szCs w:val="21"/>
                      <w:highlight w:val="none"/>
                      <w:vertAlign w:val="baseline"/>
                      <w:lang w:val="en-US" w:eastAsia="zh-CN"/>
                    </w:rPr>
                    <w:t>8</w:t>
                  </w:r>
                </w:p>
              </w:tc>
              <w:tc>
                <w:tcPr>
                  <w:tcW w:w="1667" w:type="pct"/>
                  <w:vMerge w:val="continue"/>
                </w:tcPr>
                <w:p w14:paraId="4E4A261B">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auto"/>
                      <w:sz w:val="21"/>
                      <w:szCs w:val="21"/>
                      <w:highlight w:val="none"/>
                      <w:vertAlign w:val="baseline"/>
                    </w:rPr>
                  </w:pPr>
                </w:p>
              </w:tc>
            </w:tr>
          </w:tbl>
          <w:p w14:paraId="11648FB0">
            <w:pPr>
              <w:adjustRightInd w:val="0"/>
              <w:snapToGrid w:val="0"/>
              <w:spacing w:line="360" w:lineRule="auto"/>
              <w:ind w:firstLine="482" w:firstLineChars="200"/>
              <w:rPr>
                <w:b/>
                <w:color w:val="auto"/>
                <w:kern w:val="24"/>
                <w:sz w:val="24"/>
                <w:highlight w:val="none"/>
              </w:rPr>
            </w:pPr>
            <w:r>
              <w:rPr>
                <w:b/>
                <w:color w:val="auto"/>
                <w:kern w:val="24"/>
                <w:sz w:val="24"/>
                <w:highlight w:val="none"/>
              </w:rPr>
              <w:t>3、噪声排放标准</w:t>
            </w:r>
          </w:p>
          <w:p w14:paraId="51A29605">
            <w:pPr>
              <w:adjustRightInd w:val="0"/>
              <w:snapToGrid w:val="0"/>
              <w:spacing w:line="360" w:lineRule="auto"/>
              <w:ind w:firstLine="480" w:firstLineChars="200"/>
              <w:rPr>
                <w:rFonts w:hint="eastAsia" w:ascii="Times New Roman" w:hAnsi="Times New Roman" w:cs="Times New Roman"/>
                <w:color w:val="auto"/>
                <w:kern w:val="24"/>
                <w:sz w:val="24"/>
                <w:highlight w:val="none"/>
              </w:rPr>
            </w:pPr>
            <w:r>
              <w:rPr>
                <w:rFonts w:hint="eastAsia" w:ascii="Times New Roman" w:hAnsi="Times New Roman" w:cs="Times New Roman"/>
                <w:color w:val="auto"/>
                <w:kern w:val="24"/>
                <w:sz w:val="24"/>
                <w:highlight w:val="none"/>
              </w:rPr>
              <w:t>（1）施工期：项目施工期噪声标准执行《建筑施工噪声排放标准》（GB 12523-2025）</w:t>
            </w:r>
            <w:r>
              <w:rPr>
                <w:rFonts w:hint="eastAsia" w:cs="Times New Roman"/>
                <w:color w:val="auto"/>
                <w:kern w:val="24"/>
                <w:sz w:val="24"/>
                <w:highlight w:val="none"/>
                <w:lang w:eastAsia="zh-CN"/>
              </w:rPr>
              <w:t>。</w:t>
            </w:r>
            <w:r>
              <w:rPr>
                <w:rFonts w:hint="eastAsia" w:ascii="Times New Roman" w:hAnsi="Times New Roman" w:cs="Times New Roman"/>
                <w:color w:val="auto"/>
                <w:kern w:val="24"/>
                <w:sz w:val="24"/>
                <w:highlight w:val="none"/>
              </w:rPr>
              <w:t>具体限值详见表3-1</w:t>
            </w:r>
            <w:r>
              <w:rPr>
                <w:rFonts w:hint="eastAsia" w:cs="Times New Roman"/>
                <w:color w:val="auto"/>
                <w:kern w:val="24"/>
                <w:sz w:val="24"/>
                <w:highlight w:val="none"/>
                <w:lang w:val="en-US" w:eastAsia="zh-CN"/>
              </w:rPr>
              <w:t>1</w:t>
            </w:r>
            <w:r>
              <w:rPr>
                <w:rFonts w:hint="eastAsia" w:ascii="Times New Roman" w:hAnsi="Times New Roman" w:cs="Times New Roman"/>
                <w:color w:val="auto"/>
                <w:kern w:val="24"/>
                <w:sz w:val="24"/>
                <w:highlight w:val="none"/>
              </w:rPr>
              <w:t>。</w:t>
            </w:r>
          </w:p>
          <w:p w14:paraId="16649183">
            <w:pPr>
              <w:pStyle w:val="56"/>
              <w:snapToGrid w:val="0"/>
              <w:spacing w:line="360" w:lineRule="auto"/>
              <w:ind w:firstLine="0"/>
              <w:jc w:val="center"/>
              <w:textAlignment w:val="auto"/>
              <w:rPr>
                <w:rFonts w:hint="eastAsia" w:eastAsia="宋体"/>
                <w:b/>
                <w:bCs/>
                <w:color w:val="auto"/>
                <w:szCs w:val="24"/>
                <w:highlight w:val="none"/>
                <w:lang w:eastAsia="zh-CN"/>
              </w:rPr>
            </w:pPr>
            <w:r>
              <w:rPr>
                <w:rFonts w:hint="eastAsia"/>
                <w:b/>
                <w:bCs/>
                <w:color w:val="auto"/>
                <w:szCs w:val="24"/>
                <w:highlight w:val="none"/>
              </w:rPr>
              <w:t>表</w:t>
            </w:r>
            <w:r>
              <w:rPr>
                <w:b/>
                <w:bCs/>
                <w:color w:val="auto"/>
                <w:szCs w:val="24"/>
                <w:highlight w:val="none"/>
              </w:rPr>
              <w:t>3-1</w:t>
            </w:r>
            <w:r>
              <w:rPr>
                <w:rFonts w:hint="eastAsia"/>
                <w:b/>
                <w:bCs/>
                <w:color w:val="auto"/>
                <w:szCs w:val="24"/>
                <w:highlight w:val="none"/>
                <w:lang w:val="en-US" w:eastAsia="zh-CN"/>
              </w:rPr>
              <w:t>1</w:t>
            </w:r>
            <w:r>
              <w:rPr>
                <w:b/>
                <w:bCs/>
                <w:color w:val="auto"/>
                <w:szCs w:val="24"/>
                <w:highlight w:val="none"/>
              </w:rPr>
              <w:t xml:space="preserve">  建筑施工场界噪声排放限值  单位：dB</w:t>
            </w:r>
            <w:r>
              <w:rPr>
                <w:rFonts w:hint="eastAsia"/>
                <w:b/>
                <w:bCs/>
                <w:color w:val="auto"/>
                <w:szCs w:val="24"/>
                <w:highlight w:val="none"/>
                <w:lang w:eastAsia="zh-CN"/>
              </w:rPr>
              <w:t>（</w:t>
            </w:r>
            <w:r>
              <w:rPr>
                <w:b/>
                <w:bCs/>
                <w:color w:val="auto"/>
                <w:szCs w:val="24"/>
                <w:highlight w:val="none"/>
              </w:rPr>
              <w:t>A</w:t>
            </w:r>
            <w:r>
              <w:rPr>
                <w:rFonts w:hint="eastAsia"/>
                <w:b/>
                <w:bCs/>
                <w:color w:val="auto"/>
                <w:szCs w:val="24"/>
                <w:highlight w:val="none"/>
                <w:lang w:eastAsia="zh-CN"/>
              </w:rPr>
              <w:t>）</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725"/>
              <w:gridCol w:w="2324"/>
              <w:gridCol w:w="2327"/>
            </w:tblGrid>
            <w:tr w14:paraId="7616F0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223" w:type="pct"/>
                  <w:vMerge w:val="restart"/>
                  <w:tcBorders>
                    <w:tl2br w:val="nil"/>
                    <w:tr2bl w:val="nil"/>
                  </w:tcBorders>
                  <w:vAlign w:val="center"/>
                </w:tcPr>
                <w:p w14:paraId="1367FFCE">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b/>
                      <w:bCs/>
                      <w:color w:val="auto"/>
                      <w:kern w:val="0"/>
                      <w:sz w:val="21"/>
                      <w:szCs w:val="21"/>
                      <w:highlight w:val="none"/>
                    </w:rPr>
                    <w:t>《建筑施工噪声排放标准》（GB 12523-2025）</w:t>
                  </w:r>
                </w:p>
              </w:tc>
              <w:tc>
                <w:tcPr>
                  <w:tcW w:w="2776" w:type="pct"/>
                  <w:gridSpan w:val="2"/>
                  <w:tcBorders>
                    <w:tl2br w:val="nil"/>
                    <w:tr2bl w:val="nil"/>
                  </w:tcBorders>
                  <w:vAlign w:val="center"/>
                </w:tcPr>
                <w:p w14:paraId="6B4BE8D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aps/>
                      <w:color w:val="auto"/>
                      <w:sz w:val="21"/>
                      <w:szCs w:val="21"/>
                      <w:highlight w:val="none"/>
                    </w:rPr>
                  </w:pPr>
                  <w:r>
                    <w:rPr>
                      <w:rFonts w:hint="default" w:ascii="Times New Roman" w:hAnsi="Times New Roman" w:eastAsia="宋体" w:cs="Times New Roman"/>
                      <w:b/>
                      <w:bCs/>
                      <w:caps/>
                      <w:color w:val="auto"/>
                      <w:sz w:val="21"/>
                      <w:szCs w:val="21"/>
                      <w:highlight w:val="none"/>
                    </w:rPr>
                    <w:t>噪声限制（</w:t>
                  </w:r>
                  <w:r>
                    <w:rPr>
                      <w:b/>
                      <w:bCs/>
                      <w:color w:val="auto"/>
                      <w:szCs w:val="24"/>
                      <w:highlight w:val="none"/>
                    </w:rPr>
                    <w:t>dB</w:t>
                  </w:r>
                  <w:r>
                    <w:rPr>
                      <w:rFonts w:hint="default" w:ascii="Times New Roman" w:hAnsi="Times New Roman" w:eastAsia="宋体" w:cs="Times New Roman"/>
                      <w:b/>
                      <w:bCs/>
                      <w:caps/>
                      <w:color w:val="auto"/>
                      <w:sz w:val="21"/>
                      <w:szCs w:val="21"/>
                      <w:highlight w:val="none"/>
                    </w:rPr>
                    <w:t>（A））</w:t>
                  </w:r>
                </w:p>
              </w:tc>
            </w:tr>
            <w:tr w14:paraId="1C7A49F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223" w:type="pct"/>
                  <w:vMerge w:val="continue"/>
                  <w:tcBorders>
                    <w:tl2br w:val="nil"/>
                    <w:tr2bl w:val="nil"/>
                  </w:tcBorders>
                  <w:vAlign w:val="center"/>
                </w:tcPr>
                <w:p w14:paraId="6C9E02C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highlight w:val="none"/>
                    </w:rPr>
                  </w:pPr>
                </w:p>
              </w:tc>
              <w:tc>
                <w:tcPr>
                  <w:tcW w:w="1387" w:type="pct"/>
                  <w:tcBorders>
                    <w:tl2br w:val="nil"/>
                    <w:tr2bl w:val="nil"/>
                  </w:tcBorders>
                  <w:shd w:val="clear" w:color="auto" w:fill="auto"/>
                  <w:vAlign w:val="center"/>
                </w:tcPr>
                <w:p w14:paraId="6D9A1779">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昼间</w:t>
                  </w:r>
                </w:p>
              </w:tc>
              <w:tc>
                <w:tcPr>
                  <w:tcW w:w="1389" w:type="pct"/>
                  <w:tcBorders>
                    <w:tl2br w:val="nil"/>
                    <w:tr2bl w:val="nil"/>
                  </w:tcBorders>
                  <w:shd w:val="clear" w:color="auto" w:fill="auto"/>
                  <w:vAlign w:val="center"/>
                </w:tcPr>
                <w:p w14:paraId="7C9AE6F5">
                  <w:pPr>
                    <w:pStyle w:val="56"/>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夜间</w:t>
                  </w:r>
                </w:p>
              </w:tc>
            </w:tr>
            <w:tr w14:paraId="60AE6C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223" w:type="pct"/>
                  <w:vMerge w:val="continue"/>
                  <w:tcBorders>
                    <w:tl2br w:val="nil"/>
                    <w:tr2bl w:val="nil"/>
                  </w:tcBorders>
                  <w:vAlign w:val="center"/>
                </w:tcPr>
                <w:p w14:paraId="483929A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highlight w:val="none"/>
                    </w:rPr>
                  </w:pPr>
                </w:p>
              </w:tc>
              <w:tc>
                <w:tcPr>
                  <w:tcW w:w="1387" w:type="pct"/>
                  <w:tcBorders>
                    <w:tl2br w:val="nil"/>
                    <w:tr2bl w:val="nil"/>
                  </w:tcBorders>
                  <w:shd w:val="clear" w:color="auto" w:fill="auto"/>
                  <w:vAlign w:val="center"/>
                </w:tcPr>
                <w:p w14:paraId="266C7BA8">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70</w:t>
                  </w:r>
                </w:p>
              </w:tc>
              <w:tc>
                <w:tcPr>
                  <w:tcW w:w="1389" w:type="pct"/>
                  <w:tcBorders>
                    <w:tl2br w:val="nil"/>
                    <w:tr2bl w:val="nil"/>
                  </w:tcBorders>
                  <w:shd w:val="clear" w:color="auto" w:fill="auto"/>
                  <w:vAlign w:val="center"/>
                </w:tcPr>
                <w:p w14:paraId="62BE4D2C">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55</w:t>
                  </w:r>
                </w:p>
              </w:tc>
            </w:tr>
          </w:tbl>
          <w:p w14:paraId="10C6A534">
            <w:pPr>
              <w:numPr>
                <w:ilvl w:val="0"/>
                <w:numId w:val="0"/>
              </w:numPr>
              <w:adjustRightInd w:val="0"/>
              <w:snapToGrid w:val="0"/>
              <w:spacing w:line="360" w:lineRule="auto"/>
              <w:ind w:firstLine="480" w:firstLineChars="200"/>
              <w:rPr>
                <w:rFonts w:hint="eastAsia"/>
                <w:color w:val="auto"/>
                <w:kern w:val="24"/>
                <w:sz w:val="24"/>
                <w:highlight w:val="none"/>
              </w:rPr>
            </w:pPr>
            <w:r>
              <w:rPr>
                <w:rFonts w:hint="eastAsia" w:ascii="Times New Roman" w:hAnsi="Times New Roman" w:eastAsia="宋体" w:cs="Times New Roman"/>
                <w:color w:val="auto"/>
                <w:kern w:val="24"/>
                <w:sz w:val="24"/>
                <w:szCs w:val="24"/>
                <w:highlight w:val="none"/>
                <w:lang w:val="en-US" w:eastAsia="zh-CN" w:bidi="ar-SA"/>
              </w:rPr>
              <w:t>（2）</w:t>
            </w:r>
            <w:r>
              <w:rPr>
                <w:color w:val="auto"/>
                <w:kern w:val="24"/>
                <w:sz w:val="24"/>
                <w:highlight w:val="none"/>
              </w:rPr>
              <w:t>运营期：</w:t>
            </w:r>
            <w:r>
              <w:rPr>
                <w:rFonts w:hint="eastAsia"/>
                <w:color w:val="auto"/>
                <w:kern w:val="24"/>
                <w:sz w:val="24"/>
                <w:highlight w:val="none"/>
              </w:rPr>
              <w:t>项目</w:t>
            </w:r>
            <w:r>
              <w:rPr>
                <w:rFonts w:hint="eastAsia"/>
                <w:color w:val="auto"/>
                <w:kern w:val="24"/>
                <w:sz w:val="24"/>
                <w:highlight w:val="none"/>
                <w:lang w:val="en-US" w:eastAsia="zh-CN"/>
              </w:rPr>
              <w:t>运营期厂界环境噪声</w:t>
            </w:r>
            <w:r>
              <w:rPr>
                <w:rFonts w:hint="eastAsia"/>
                <w:color w:val="auto"/>
                <w:kern w:val="24"/>
                <w:sz w:val="24"/>
                <w:highlight w:val="none"/>
              </w:rPr>
              <w:t>执行《工业企业厂界环境噪声排放标准》（GB</w:t>
            </w:r>
            <w:r>
              <w:rPr>
                <w:rFonts w:hint="eastAsia"/>
                <w:color w:val="auto"/>
                <w:kern w:val="24"/>
                <w:sz w:val="24"/>
                <w:highlight w:val="none"/>
                <w:lang w:val="en-US" w:eastAsia="zh-CN"/>
              </w:rPr>
              <w:t xml:space="preserve"> </w:t>
            </w:r>
            <w:r>
              <w:rPr>
                <w:rFonts w:hint="eastAsia"/>
                <w:color w:val="auto"/>
                <w:kern w:val="24"/>
                <w:sz w:val="24"/>
                <w:highlight w:val="none"/>
              </w:rPr>
              <w:t>12348-2008）3类标准。</w:t>
            </w:r>
          </w:p>
          <w:p w14:paraId="0E54B63C">
            <w:pPr>
              <w:pStyle w:val="56"/>
              <w:snapToGrid w:val="0"/>
              <w:spacing w:line="360" w:lineRule="auto"/>
              <w:ind w:firstLine="0"/>
              <w:jc w:val="center"/>
              <w:textAlignment w:val="auto"/>
              <w:rPr>
                <w:rFonts w:hint="eastAsia" w:eastAsia="宋体"/>
                <w:b/>
                <w:bCs/>
                <w:color w:val="auto"/>
                <w:szCs w:val="24"/>
                <w:highlight w:val="none"/>
                <w:lang w:eastAsia="zh-CN"/>
              </w:rPr>
            </w:pPr>
            <w:r>
              <w:rPr>
                <w:b/>
                <w:bCs/>
                <w:color w:val="auto"/>
                <w:szCs w:val="24"/>
                <w:highlight w:val="none"/>
              </w:rPr>
              <w:t>表3-1</w:t>
            </w:r>
            <w:r>
              <w:rPr>
                <w:rFonts w:hint="eastAsia"/>
                <w:b/>
                <w:bCs/>
                <w:color w:val="auto"/>
                <w:szCs w:val="24"/>
                <w:highlight w:val="none"/>
                <w:lang w:val="en-US" w:eastAsia="zh-CN"/>
              </w:rPr>
              <w:t xml:space="preserve">2 </w:t>
            </w:r>
            <w:r>
              <w:rPr>
                <w:b/>
                <w:bCs/>
                <w:color w:val="auto"/>
                <w:szCs w:val="24"/>
                <w:highlight w:val="none"/>
              </w:rPr>
              <w:t xml:space="preserve"> 工业企业厂界环境噪声排放标准   单位：dB</w:t>
            </w:r>
            <w:r>
              <w:rPr>
                <w:rFonts w:hint="eastAsia"/>
                <w:b/>
                <w:bCs/>
                <w:color w:val="auto"/>
                <w:szCs w:val="24"/>
                <w:highlight w:val="none"/>
                <w:lang w:eastAsia="zh-CN"/>
              </w:rPr>
              <w:t>（</w:t>
            </w:r>
            <w:r>
              <w:rPr>
                <w:b/>
                <w:bCs/>
                <w:color w:val="auto"/>
                <w:szCs w:val="24"/>
                <w:highlight w:val="none"/>
              </w:rPr>
              <w:t>A</w:t>
            </w:r>
            <w:r>
              <w:rPr>
                <w:rFonts w:hint="eastAsia"/>
                <w:b/>
                <w:bCs/>
                <w:color w:val="auto"/>
                <w:szCs w:val="24"/>
                <w:highlight w:val="none"/>
                <w:lang w:eastAsia="zh-CN"/>
              </w:rPr>
              <w:t>）</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245"/>
              <w:gridCol w:w="2497"/>
              <w:gridCol w:w="2634"/>
            </w:tblGrid>
            <w:tr w14:paraId="164945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937" w:type="pct"/>
                  <w:tcBorders>
                    <w:tl2br w:val="nil"/>
                    <w:tr2bl w:val="nil"/>
                  </w:tcBorders>
                  <w:vAlign w:val="center"/>
                </w:tcPr>
                <w:p w14:paraId="7B0B90E6">
                  <w:pPr>
                    <w:adjustRightInd w:val="0"/>
                    <w:snapToGrid w:val="0"/>
                    <w:jc w:val="center"/>
                    <w:rPr>
                      <w:b/>
                      <w:bCs/>
                      <w:color w:val="auto"/>
                      <w:szCs w:val="21"/>
                      <w:highlight w:val="none"/>
                    </w:rPr>
                  </w:pPr>
                  <w:r>
                    <w:rPr>
                      <w:b/>
                      <w:bCs/>
                      <w:color w:val="auto"/>
                      <w:szCs w:val="21"/>
                      <w:highlight w:val="none"/>
                    </w:rPr>
                    <w:t>类别</w:t>
                  </w:r>
                </w:p>
              </w:tc>
              <w:tc>
                <w:tcPr>
                  <w:tcW w:w="1490" w:type="pct"/>
                  <w:tcBorders>
                    <w:tl2br w:val="nil"/>
                    <w:tr2bl w:val="nil"/>
                  </w:tcBorders>
                  <w:vAlign w:val="center"/>
                </w:tcPr>
                <w:p w14:paraId="0C941B73">
                  <w:pPr>
                    <w:adjustRightInd w:val="0"/>
                    <w:snapToGrid w:val="0"/>
                    <w:jc w:val="center"/>
                    <w:rPr>
                      <w:b/>
                      <w:bCs/>
                      <w:color w:val="auto"/>
                      <w:szCs w:val="21"/>
                      <w:highlight w:val="none"/>
                    </w:rPr>
                  </w:pPr>
                  <w:r>
                    <w:rPr>
                      <w:b/>
                      <w:bCs/>
                      <w:color w:val="auto"/>
                      <w:szCs w:val="21"/>
                      <w:highlight w:val="none"/>
                    </w:rPr>
                    <w:t>昼间</w:t>
                  </w:r>
                </w:p>
              </w:tc>
              <w:tc>
                <w:tcPr>
                  <w:tcW w:w="1572" w:type="pct"/>
                  <w:tcBorders>
                    <w:tl2br w:val="nil"/>
                    <w:tr2bl w:val="nil"/>
                  </w:tcBorders>
                  <w:vAlign w:val="center"/>
                </w:tcPr>
                <w:p w14:paraId="2FF184DD">
                  <w:pPr>
                    <w:adjustRightInd w:val="0"/>
                    <w:snapToGrid w:val="0"/>
                    <w:jc w:val="center"/>
                    <w:rPr>
                      <w:b/>
                      <w:bCs/>
                      <w:color w:val="auto"/>
                      <w:szCs w:val="21"/>
                      <w:highlight w:val="none"/>
                    </w:rPr>
                  </w:pPr>
                  <w:r>
                    <w:rPr>
                      <w:b/>
                      <w:bCs/>
                      <w:color w:val="auto"/>
                      <w:szCs w:val="21"/>
                      <w:highlight w:val="none"/>
                    </w:rPr>
                    <w:t>夜间</w:t>
                  </w:r>
                </w:p>
              </w:tc>
            </w:tr>
            <w:tr w14:paraId="4EB1B9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937" w:type="pct"/>
                  <w:tcBorders>
                    <w:tl2br w:val="nil"/>
                    <w:tr2bl w:val="nil"/>
                  </w:tcBorders>
                  <w:vAlign w:val="center"/>
                </w:tcPr>
                <w:p w14:paraId="2D51C0DF">
                  <w:pPr>
                    <w:adjustRightInd w:val="0"/>
                    <w:snapToGrid w:val="0"/>
                    <w:jc w:val="center"/>
                    <w:rPr>
                      <w:color w:val="auto"/>
                      <w:szCs w:val="21"/>
                      <w:highlight w:val="none"/>
                    </w:rPr>
                  </w:pPr>
                  <w:r>
                    <w:rPr>
                      <w:rFonts w:hint="eastAsia"/>
                      <w:color w:val="auto"/>
                      <w:szCs w:val="21"/>
                      <w:highlight w:val="none"/>
                      <w:lang w:val="en-US" w:eastAsia="zh-CN"/>
                    </w:rPr>
                    <w:t>3</w:t>
                  </w:r>
                  <w:r>
                    <w:rPr>
                      <w:color w:val="auto"/>
                      <w:szCs w:val="21"/>
                      <w:highlight w:val="none"/>
                    </w:rPr>
                    <w:t>类</w:t>
                  </w:r>
                </w:p>
              </w:tc>
              <w:tc>
                <w:tcPr>
                  <w:tcW w:w="1490" w:type="pct"/>
                  <w:tcBorders>
                    <w:tl2br w:val="nil"/>
                    <w:tr2bl w:val="nil"/>
                  </w:tcBorders>
                  <w:vAlign w:val="center"/>
                </w:tcPr>
                <w:p w14:paraId="6ABF783E">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65</w:t>
                  </w:r>
                </w:p>
              </w:tc>
              <w:tc>
                <w:tcPr>
                  <w:tcW w:w="1572" w:type="pct"/>
                  <w:tcBorders>
                    <w:tl2br w:val="nil"/>
                    <w:tr2bl w:val="nil"/>
                  </w:tcBorders>
                  <w:vAlign w:val="center"/>
                </w:tcPr>
                <w:p w14:paraId="1641E247">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55</w:t>
                  </w:r>
                </w:p>
              </w:tc>
            </w:tr>
          </w:tbl>
          <w:p w14:paraId="7B7BD25A">
            <w:pPr>
              <w:adjustRightInd w:val="0"/>
              <w:snapToGrid w:val="0"/>
              <w:spacing w:line="360" w:lineRule="auto"/>
              <w:ind w:firstLine="482" w:firstLineChars="200"/>
              <w:rPr>
                <w:b/>
                <w:bCs/>
                <w:color w:val="auto"/>
                <w:kern w:val="24"/>
                <w:sz w:val="24"/>
                <w:highlight w:val="none"/>
              </w:rPr>
            </w:pPr>
            <w:r>
              <w:rPr>
                <w:b/>
                <w:bCs/>
                <w:color w:val="auto"/>
                <w:kern w:val="24"/>
                <w:sz w:val="24"/>
                <w:highlight w:val="none"/>
              </w:rPr>
              <w:t>4、固体废物</w:t>
            </w:r>
          </w:p>
          <w:p w14:paraId="48082979">
            <w:pPr>
              <w:adjustRightInd w:val="0"/>
              <w:snapToGrid w:val="0"/>
              <w:spacing w:line="360" w:lineRule="auto"/>
              <w:ind w:firstLine="480" w:firstLineChars="200"/>
              <w:rPr>
                <w:rFonts w:hint="eastAsia"/>
                <w:color w:val="auto"/>
                <w:kern w:val="24"/>
                <w:sz w:val="24"/>
                <w:highlight w:val="none"/>
              </w:rPr>
            </w:pPr>
            <w:r>
              <w:rPr>
                <w:rFonts w:hint="eastAsia"/>
                <w:color w:val="auto"/>
                <w:kern w:val="24"/>
                <w:sz w:val="24"/>
                <w:highlight w:val="none"/>
                <w:lang w:eastAsia="zh-CN"/>
              </w:rPr>
              <w:t>（</w:t>
            </w:r>
            <w:r>
              <w:rPr>
                <w:rFonts w:hint="eastAsia"/>
                <w:color w:val="auto"/>
                <w:kern w:val="24"/>
                <w:sz w:val="24"/>
                <w:highlight w:val="none"/>
                <w:lang w:val="en-US" w:eastAsia="zh-CN"/>
              </w:rPr>
              <w:t>1</w:t>
            </w:r>
            <w:r>
              <w:rPr>
                <w:rFonts w:hint="eastAsia"/>
                <w:color w:val="auto"/>
                <w:kern w:val="24"/>
                <w:sz w:val="24"/>
                <w:highlight w:val="none"/>
                <w:lang w:eastAsia="zh-CN"/>
              </w:rPr>
              <w:t>）</w:t>
            </w:r>
            <w:r>
              <w:rPr>
                <w:rFonts w:hint="eastAsia"/>
                <w:color w:val="auto"/>
                <w:kern w:val="24"/>
                <w:sz w:val="24"/>
                <w:highlight w:val="none"/>
              </w:rPr>
              <w:t>一般固废暂存及处置：《一般工业固体废物贮存和填埋污染控制标准》（GB</w:t>
            </w:r>
            <w:r>
              <w:rPr>
                <w:rFonts w:hint="eastAsia"/>
                <w:color w:val="auto"/>
                <w:kern w:val="24"/>
                <w:sz w:val="24"/>
                <w:highlight w:val="none"/>
                <w:lang w:val="en-US" w:eastAsia="zh-CN"/>
              </w:rPr>
              <w:t xml:space="preserve"> </w:t>
            </w:r>
            <w:r>
              <w:rPr>
                <w:rFonts w:hint="eastAsia"/>
                <w:color w:val="auto"/>
                <w:kern w:val="24"/>
                <w:sz w:val="24"/>
                <w:highlight w:val="none"/>
              </w:rPr>
              <w:t>18599-2020）（2021年7月1日起实施）；</w:t>
            </w:r>
          </w:p>
          <w:p w14:paraId="392E13D4">
            <w:pPr>
              <w:adjustRightInd w:val="0"/>
              <w:snapToGrid w:val="0"/>
              <w:spacing w:line="360" w:lineRule="auto"/>
              <w:ind w:firstLine="480" w:firstLineChars="200"/>
              <w:rPr>
                <w:rFonts w:hint="eastAsia"/>
                <w:color w:val="auto"/>
                <w:kern w:val="24"/>
                <w:sz w:val="24"/>
                <w:highlight w:val="none"/>
              </w:rPr>
            </w:pPr>
            <w:r>
              <w:rPr>
                <w:rFonts w:hint="eastAsia"/>
                <w:color w:val="auto"/>
                <w:kern w:val="24"/>
                <w:sz w:val="24"/>
                <w:highlight w:val="none"/>
                <w:lang w:eastAsia="zh-CN"/>
              </w:rPr>
              <w:t>（</w:t>
            </w:r>
            <w:r>
              <w:rPr>
                <w:rFonts w:hint="eastAsia"/>
                <w:color w:val="auto"/>
                <w:kern w:val="24"/>
                <w:sz w:val="24"/>
                <w:highlight w:val="none"/>
                <w:lang w:val="en-US" w:eastAsia="zh-CN"/>
              </w:rPr>
              <w:t>2</w:t>
            </w:r>
            <w:r>
              <w:rPr>
                <w:rFonts w:hint="eastAsia"/>
                <w:color w:val="auto"/>
                <w:kern w:val="24"/>
                <w:sz w:val="24"/>
                <w:highlight w:val="none"/>
                <w:lang w:eastAsia="zh-CN"/>
              </w:rPr>
              <w:t>）</w:t>
            </w:r>
            <w:r>
              <w:rPr>
                <w:rFonts w:hint="eastAsia"/>
                <w:color w:val="auto"/>
                <w:kern w:val="24"/>
                <w:sz w:val="24"/>
                <w:highlight w:val="none"/>
              </w:rPr>
              <w:t>危险废物收集、暂存、转移及处置：危险废物按《国家危险废物名录（2025版）》进行分类收集；危险废物暂存及处置执行《危险废物贮存污染控制标准》（GB 18597-2023）标准要求；危险废物的转移依照《危险废物转移管理办法》（生态环境部、公安部、交通运输部令第23号）（2022年1月1日起施行）。</w:t>
            </w:r>
          </w:p>
        </w:tc>
      </w:tr>
      <w:tr w14:paraId="152397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51" w:type="pct"/>
            <w:tcMar>
              <w:left w:w="28" w:type="dxa"/>
              <w:right w:w="28" w:type="dxa"/>
            </w:tcMar>
            <w:vAlign w:val="center"/>
          </w:tcPr>
          <w:p w14:paraId="1DDD2CFF">
            <w:pPr>
              <w:adjustRightInd w:val="0"/>
              <w:snapToGrid w:val="0"/>
              <w:jc w:val="center"/>
              <w:rPr>
                <w:rFonts w:hint="default" w:eastAsia="宋体"/>
                <w:color w:val="auto"/>
                <w:kern w:val="0"/>
                <w:sz w:val="24"/>
                <w:highlight w:val="none"/>
                <w:lang w:val="en-US" w:eastAsia="zh-CN"/>
              </w:rPr>
            </w:pPr>
            <w:r>
              <w:rPr>
                <w:rFonts w:hint="eastAsia"/>
                <w:color w:val="auto"/>
                <w:kern w:val="0"/>
                <w:sz w:val="24"/>
                <w:highlight w:val="none"/>
                <w:lang w:val="en-US" w:eastAsia="zh-CN"/>
              </w:rPr>
              <w:t>总量控制指标</w:t>
            </w:r>
          </w:p>
        </w:tc>
        <w:tc>
          <w:tcPr>
            <w:tcW w:w="4748" w:type="pct"/>
          </w:tcPr>
          <w:p w14:paraId="3515890F">
            <w:pPr>
              <w:adjustRightInd w:val="0"/>
              <w:snapToGrid w:val="0"/>
              <w:spacing w:line="360" w:lineRule="auto"/>
              <w:ind w:firstLine="480" w:firstLineChars="200"/>
              <w:rPr>
                <w:rFonts w:hint="eastAsia"/>
                <w:color w:val="auto"/>
                <w:kern w:val="24"/>
                <w:sz w:val="24"/>
                <w:highlight w:val="none"/>
                <w:lang w:eastAsia="zh-CN"/>
              </w:rPr>
            </w:pPr>
            <w:r>
              <w:rPr>
                <w:rFonts w:hint="eastAsia"/>
                <w:color w:val="auto"/>
                <w:kern w:val="24"/>
                <w:sz w:val="24"/>
                <w:highlight w:val="none"/>
                <w:lang w:eastAsia="zh-CN"/>
              </w:rPr>
              <w:t>本项目建议的总量控制指标为：</w:t>
            </w:r>
          </w:p>
          <w:p w14:paraId="36064611">
            <w:pPr>
              <w:adjustRightInd w:val="0"/>
              <w:snapToGrid w:val="0"/>
              <w:spacing w:line="360" w:lineRule="auto"/>
              <w:ind w:firstLine="480" w:firstLineChars="200"/>
              <w:rPr>
                <w:rFonts w:hint="eastAsia"/>
                <w:color w:val="auto"/>
                <w:kern w:val="24"/>
                <w:sz w:val="24"/>
                <w:highlight w:val="none"/>
                <w:lang w:eastAsia="zh-CN"/>
              </w:rPr>
            </w:pPr>
            <w:r>
              <w:rPr>
                <w:rFonts w:hint="eastAsia"/>
                <w:color w:val="auto"/>
                <w:kern w:val="24"/>
                <w:sz w:val="24"/>
                <w:highlight w:val="none"/>
                <w:lang w:val="en-US" w:eastAsia="zh-CN"/>
              </w:rPr>
              <w:t>1、</w:t>
            </w:r>
            <w:r>
              <w:rPr>
                <w:rFonts w:hint="eastAsia"/>
                <w:color w:val="auto"/>
                <w:kern w:val="24"/>
                <w:sz w:val="24"/>
                <w:highlight w:val="none"/>
                <w:lang w:eastAsia="zh-CN"/>
              </w:rPr>
              <w:t>废气</w:t>
            </w:r>
          </w:p>
          <w:p w14:paraId="1F40C711">
            <w:pPr>
              <w:adjustRightInd w:val="0"/>
              <w:snapToGrid w:val="0"/>
              <w:spacing w:line="360" w:lineRule="auto"/>
              <w:ind w:firstLine="480" w:firstLineChars="200"/>
              <w:rPr>
                <w:rFonts w:hint="eastAsia"/>
                <w:color w:val="auto"/>
                <w:kern w:val="24"/>
                <w:sz w:val="24"/>
                <w:highlight w:val="none"/>
                <w:lang w:eastAsia="zh-CN"/>
              </w:rPr>
            </w:pPr>
            <w:r>
              <w:rPr>
                <w:rFonts w:hint="eastAsia"/>
                <w:color w:val="auto"/>
                <w:kern w:val="24"/>
                <w:sz w:val="24"/>
                <w:highlight w:val="none"/>
                <w:lang w:eastAsia="zh-CN"/>
              </w:rPr>
              <w:t>项目运行过程中排放的废气总量为：①有组织废气：VOCs（以非甲烷总烃计）：</w:t>
            </w:r>
            <w:r>
              <w:rPr>
                <w:rFonts w:hint="eastAsia"/>
                <w:color w:val="auto"/>
                <w:kern w:val="24"/>
                <w:sz w:val="24"/>
                <w:highlight w:val="none"/>
                <w:lang w:val="en-US" w:eastAsia="zh-CN"/>
              </w:rPr>
              <w:t>15.64</w:t>
            </w:r>
            <w:r>
              <w:rPr>
                <w:rFonts w:hint="eastAsia"/>
                <w:color w:val="auto"/>
                <w:kern w:val="24"/>
                <w:sz w:val="24"/>
                <w:highlight w:val="none"/>
                <w:lang w:eastAsia="zh-CN"/>
              </w:rPr>
              <w:t>t/a。②无组织废气：VOCs（以非甲烷总烃计）：</w:t>
            </w:r>
            <w:r>
              <w:rPr>
                <w:rFonts w:hint="eastAsia"/>
                <w:color w:val="auto"/>
                <w:kern w:val="24"/>
                <w:sz w:val="24"/>
                <w:highlight w:val="none"/>
                <w:lang w:val="en-US" w:eastAsia="zh-CN"/>
              </w:rPr>
              <w:t>19.44</w:t>
            </w:r>
            <w:r>
              <w:rPr>
                <w:rFonts w:hint="eastAsia"/>
                <w:color w:val="auto"/>
                <w:kern w:val="24"/>
                <w:sz w:val="24"/>
                <w:highlight w:val="none"/>
                <w:lang w:eastAsia="zh-CN"/>
              </w:rPr>
              <w:t>t/a。③大气污染物年排放量：VOCs（以非甲烷总烃计）：</w:t>
            </w:r>
            <w:r>
              <w:rPr>
                <w:rFonts w:hint="eastAsia"/>
                <w:color w:val="auto"/>
                <w:kern w:val="24"/>
                <w:sz w:val="24"/>
                <w:highlight w:val="none"/>
                <w:lang w:val="en-US" w:eastAsia="zh-CN"/>
              </w:rPr>
              <w:t>35.08</w:t>
            </w:r>
            <w:r>
              <w:rPr>
                <w:rFonts w:hint="eastAsia"/>
                <w:color w:val="auto"/>
                <w:kern w:val="24"/>
                <w:sz w:val="24"/>
                <w:highlight w:val="none"/>
                <w:lang w:eastAsia="zh-CN"/>
              </w:rPr>
              <w:t>t/a。</w:t>
            </w:r>
          </w:p>
          <w:p w14:paraId="2EA9E7C7">
            <w:pPr>
              <w:adjustRightInd w:val="0"/>
              <w:snapToGrid w:val="0"/>
              <w:spacing w:line="360" w:lineRule="auto"/>
              <w:ind w:firstLine="480" w:firstLineChars="200"/>
              <w:rPr>
                <w:rFonts w:hint="default"/>
                <w:color w:val="auto"/>
                <w:kern w:val="24"/>
                <w:sz w:val="24"/>
                <w:highlight w:val="none"/>
                <w:lang w:val="en-US" w:eastAsia="zh-CN"/>
              </w:rPr>
            </w:pPr>
            <w:r>
              <w:rPr>
                <w:rFonts w:hint="eastAsia"/>
                <w:color w:val="auto"/>
                <w:kern w:val="24"/>
                <w:sz w:val="24"/>
                <w:highlight w:val="none"/>
                <w:lang w:val="en-US" w:eastAsia="zh-CN"/>
              </w:rPr>
              <w:t>2、废水</w:t>
            </w:r>
          </w:p>
          <w:p w14:paraId="09309F8F">
            <w:pPr>
              <w:adjustRightInd w:val="0"/>
              <w:snapToGrid w:val="0"/>
              <w:spacing w:line="360" w:lineRule="auto"/>
              <w:ind w:firstLine="480" w:firstLineChars="200"/>
              <w:rPr>
                <w:rFonts w:hint="eastAsia"/>
                <w:color w:val="auto"/>
                <w:kern w:val="24"/>
                <w:sz w:val="24"/>
                <w:highlight w:val="none"/>
                <w:lang w:eastAsia="zh-CN"/>
              </w:rPr>
            </w:pPr>
            <w:r>
              <w:rPr>
                <w:rFonts w:hint="eastAsia"/>
                <w:color w:val="auto"/>
                <w:kern w:val="24"/>
                <w:sz w:val="24"/>
                <w:highlight w:val="none"/>
                <w:lang w:eastAsia="zh-CN"/>
              </w:rPr>
              <w:t>项目采用雨污分流制排水方式。雨水经雨水管道收集后，排至</w:t>
            </w:r>
            <w:r>
              <w:rPr>
                <w:rFonts w:hint="eastAsia"/>
                <w:color w:val="auto"/>
                <w:kern w:val="24"/>
                <w:sz w:val="24"/>
                <w:highlight w:val="none"/>
                <w:lang w:val="en-US" w:eastAsia="zh-CN"/>
              </w:rPr>
              <w:t>工业</w:t>
            </w:r>
            <w:r>
              <w:rPr>
                <w:rFonts w:hint="eastAsia"/>
                <w:color w:val="auto"/>
                <w:kern w:val="24"/>
                <w:sz w:val="24"/>
                <w:highlight w:val="none"/>
                <w:lang w:eastAsia="zh-CN"/>
              </w:rPr>
              <w:t>园区雨水管网。</w:t>
            </w:r>
          </w:p>
          <w:p w14:paraId="552B7673">
            <w:pPr>
              <w:adjustRightInd w:val="0"/>
              <w:snapToGrid w:val="0"/>
              <w:spacing w:line="360" w:lineRule="auto"/>
              <w:ind w:firstLine="480" w:firstLineChars="200"/>
              <w:rPr>
                <w:rFonts w:hint="eastAsia"/>
                <w:color w:val="auto"/>
                <w:kern w:val="24"/>
                <w:sz w:val="24"/>
                <w:highlight w:val="none"/>
                <w:lang w:eastAsia="zh-CN"/>
              </w:rPr>
            </w:pPr>
            <w:r>
              <w:rPr>
                <w:rFonts w:hint="eastAsia"/>
                <w:color w:val="auto"/>
                <w:kern w:val="24"/>
                <w:sz w:val="24"/>
                <w:highlight w:val="none"/>
                <w:lang w:eastAsia="zh-CN"/>
              </w:rPr>
              <w:t>项目运营期设备冷却水循环使用，不外排。</w:t>
            </w:r>
          </w:p>
          <w:p w14:paraId="0480D764">
            <w:pPr>
              <w:adjustRightInd w:val="0"/>
              <w:snapToGrid w:val="0"/>
              <w:spacing w:line="360" w:lineRule="auto"/>
              <w:ind w:firstLine="480" w:firstLineChars="200"/>
              <w:rPr>
                <w:rFonts w:hint="eastAsia"/>
                <w:color w:val="auto"/>
                <w:kern w:val="24"/>
                <w:sz w:val="24"/>
                <w:highlight w:val="none"/>
                <w:lang w:eastAsia="zh-CN"/>
              </w:rPr>
            </w:pPr>
            <w:r>
              <w:rPr>
                <w:rFonts w:hint="eastAsia"/>
                <w:color w:val="auto"/>
                <w:kern w:val="24"/>
                <w:sz w:val="24"/>
                <w:highlight w:val="none"/>
                <w:lang w:val="en-US" w:eastAsia="zh-CN"/>
              </w:rPr>
              <w:t>项目</w:t>
            </w:r>
            <w:r>
              <w:rPr>
                <w:rFonts w:hint="eastAsia"/>
                <w:color w:val="auto"/>
                <w:kern w:val="24"/>
                <w:sz w:val="24"/>
                <w:highlight w:val="none"/>
                <w:lang w:eastAsia="zh-CN"/>
              </w:rPr>
              <w:t>办公、生活污水依托云南三缘电缆有限公司化粪池（10m³）处理，处理后满足《污水排入城镇下水道水质标准》（GB/T 31962-2015）表1中A级标准后通过槽罐车运送至玉溪市第</w:t>
            </w:r>
            <w:r>
              <w:rPr>
                <w:rFonts w:hint="eastAsia"/>
                <w:color w:val="auto"/>
                <w:kern w:val="24"/>
                <w:sz w:val="24"/>
                <w:highlight w:val="none"/>
                <w:lang w:val="en-US" w:eastAsia="zh-CN"/>
              </w:rPr>
              <w:t>二</w:t>
            </w:r>
            <w:r>
              <w:rPr>
                <w:rFonts w:hint="eastAsia"/>
                <w:color w:val="auto"/>
                <w:kern w:val="24"/>
                <w:sz w:val="24"/>
                <w:highlight w:val="none"/>
                <w:lang w:eastAsia="zh-CN"/>
              </w:rPr>
              <w:t>污水处理厂处理。由于环保部门已对玉溪市第</w:t>
            </w:r>
            <w:r>
              <w:rPr>
                <w:rFonts w:hint="eastAsia"/>
                <w:color w:val="auto"/>
                <w:kern w:val="24"/>
                <w:sz w:val="24"/>
                <w:highlight w:val="none"/>
                <w:lang w:val="en-US" w:eastAsia="zh-CN"/>
              </w:rPr>
              <w:t>二</w:t>
            </w:r>
            <w:r>
              <w:rPr>
                <w:rFonts w:hint="eastAsia"/>
                <w:color w:val="auto"/>
                <w:kern w:val="24"/>
                <w:sz w:val="24"/>
                <w:highlight w:val="none"/>
                <w:lang w:eastAsia="zh-CN"/>
              </w:rPr>
              <w:t>污水处理厂作总量控制要求，故本评价建议不对项目污染物排放作总量控制要求。</w:t>
            </w:r>
          </w:p>
          <w:p w14:paraId="7116C632">
            <w:pPr>
              <w:adjustRightInd w:val="0"/>
              <w:snapToGrid w:val="0"/>
              <w:spacing w:line="360" w:lineRule="auto"/>
              <w:ind w:firstLine="480" w:firstLineChars="200"/>
              <w:rPr>
                <w:rFonts w:hint="eastAsia"/>
                <w:color w:val="auto"/>
                <w:kern w:val="24"/>
                <w:sz w:val="24"/>
                <w:highlight w:val="none"/>
                <w:lang w:eastAsia="zh-CN"/>
              </w:rPr>
            </w:pPr>
            <w:r>
              <w:rPr>
                <w:rFonts w:hint="eastAsia"/>
                <w:color w:val="auto"/>
                <w:kern w:val="24"/>
                <w:sz w:val="24"/>
                <w:highlight w:val="none"/>
                <w:lang w:val="en-US" w:eastAsia="zh-CN"/>
              </w:rPr>
              <w:t>3、</w:t>
            </w:r>
            <w:r>
              <w:rPr>
                <w:rFonts w:hint="eastAsia"/>
                <w:color w:val="auto"/>
                <w:kern w:val="24"/>
                <w:sz w:val="24"/>
                <w:highlight w:val="none"/>
                <w:lang w:eastAsia="zh-CN"/>
              </w:rPr>
              <w:t>固废</w:t>
            </w:r>
          </w:p>
          <w:p w14:paraId="2D288667">
            <w:pPr>
              <w:adjustRightInd w:val="0"/>
              <w:snapToGrid w:val="0"/>
              <w:spacing w:line="360" w:lineRule="auto"/>
              <w:ind w:firstLine="480" w:firstLineChars="200"/>
              <w:rPr>
                <w:rFonts w:hint="eastAsia"/>
                <w:color w:val="auto"/>
                <w:kern w:val="24"/>
                <w:sz w:val="24"/>
                <w:highlight w:val="none"/>
                <w:lang w:eastAsia="zh-CN"/>
              </w:rPr>
            </w:pPr>
            <w:r>
              <w:rPr>
                <w:rFonts w:hint="eastAsia"/>
                <w:color w:val="auto"/>
                <w:kern w:val="24"/>
                <w:sz w:val="24"/>
                <w:highlight w:val="none"/>
                <w:lang w:eastAsia="zh-CN"/>
              </w:rPr>
              <w:t>项目固体废物处置率100%。</w:t>
            </w:r>
          </w:p>
          <w:p w14:paraId="484944F8">
            <w:pPr>
              <w:adjustRightInd w:val="0"/>
              <w:snapToGrid w:val="0"/>
              <w:spacing w:line="360" w:lineRule="auto"/>
              <w:ind w:firstLine="480" w:firstLineChars="200"/>
              <w:rPr>
                <w:rFonts w:hint="eastAsia"/>
                <w:color w:val="auto"/>
                <w:kern w:val="24"/>
                <w:sz w:val="24"/>
                <w:highlight w:val="none"/>
                <w:lang w:eastAsia="zh-CN"/>
              </w:rPr>
            </w:pPr>
          </w:p>
          <w:p w14:paraId="16B917BA">
            <w:pPr>
              <w:adjustRightInd w:val="0"/>
              <w:snapToGrid w:val="0"/>
              <w:spacing w:line="360" w:lineRule="auto"/>
              <w:ind w:firstLine="480" w:firstLineChars="200"/>
              <w:rPr>
                <w:rFonts w:hint="eastAsia"/>
                <w:color w:val="auto"/>
                <w:kern w:val="24"/>
                <w:sz w:val="24"/>
                <w:highlight w:val="none"/>
                <w:lang w:eastAsia="zh-CN"/>
              </w:rPr>
            </w:pPr>
          </w:p>
          <w:p w14:paraId="2E99CC77">
            <w:pPr>
              <w:adjustRightInd w:val="0"/>
              <w:snapToGrid w:val="0"/>
              <w:spacing w:line="360" w:lineRule="auto"/>
              <w:ind w:firstLine="480" w:firstLineChars="200"/>
              <w:rPr>
                <w:rFonts w:hint="eastAsia"/>
                <w:color w:val="auto"/>
                <w:kern w:val="24"/>
                <w:sz w:val="24"/>
                <w:highlight w:val="none"/>
                <w:lang w:eastAsia="zh-CN"/>
              </w:rPr>
            </w:pPr>
          </w:p>
          <w:p w14:paraId="2F16E9D5">
            <w:pPr>
              <w:adjustRightInd w:val="0"/>
              <w:snapToGrid w:val="0"/>
              <w:spacing w:line="360" w:lineRule="auto"/>
              <w:ind w:firstLine="480" w:firstLineChars="200"/>
              <w:rPr>
                <w:rFonts w:hint="eastAsia"/>
                <w:color w:val="auto"/>
                <w:kern w:val="24"/>
                <w:sz w:val="24"/>
                <w:highlight w:val="none"/>
                <w:lang w:eastAsia="zh-CN"/>
              </w:rPr>
            </w:pPr>
          </w:p>
          <w:p w14:paraId="6D441FC7">
            <w:pPr>
              <w:adjustRightInd w:val="0"/>
              <w:snapToGrid w:val="0"/>
              <w:spacing w:line="360" w:lineRule="auto"/>
              <w:ind w:firstLine="480" w:firstLineChars="200"/>
              <w:rPr>
                <w:rFonts w:hint="eastAsia"/>
                <w:color w:val="auto"/>
                <w:kern w:val="24"/>
                <w:sz w:val="24"/>
                <w:highlight w:val="none"/>
                <w:lang w:eastAsia="zh-CN"/>
              </w:rPr>
            </w:pPr>
          </w:p>
          <w:p w14:paraId="0D0C8541">
            <w:pPr>
              <w:adjustRightInd w:val="0"/>
              <w:snapToGrid w:val="0"/>
              <w:spacing w:line="360" w:lineRule="auto"/>
              <w:ind w:firstLine="480" w:firstLineChars="200"/>
              <w:rPr>
                <w:rFonts w:hint="eastAsia"/>
                <w:color w:val="auto"/>
                <w:kern w:val="24"/>
                <w:sz w:val="24"/>
                <w:highlight w:val="none"/>
                <w:lang w:eastAsia="zh-CN"/>
              </w:rPr>
            </w:pPr>
          </w:p>
          <w:p w14:paraId="4EE9AD1F">
            <w:pPr>
              <w:adjustRightInd w:val="0"/>
              <w:snapToGrid w:val="0"/>
              <w:spacing w:line="360" w:lineRule="auto"/>
              <w:ind w:firstLine="480" w:firstLineChars="200"/>
              <w:rPr>
                <w:rFonts w:hint="eastAsia"/>
                <w:color w:val="auto"/>
                <w:kern w:val="24"/>
                <w:sz w:val="24"/>
                <w:highlight w:val="none"/>
                <w:lang w:eastAsia="zh-CN"/>
              </w:rPr>
            </w:pPr>
          </w:p>
          <w:p w14:paraId="3301BD35">
            <w:pPr>
              <w:adjustRightInd w:val="0"/>
              <w:snapToGrid w:val="0"/>
              <w:spacing w:line="360" w:lineRule="auto"/>
              <w:ind w:firstLine="480" w:firstLineChars="200"/>
              <w:rPr>
                <w:rFonts w:hint="eastAsia"/>
                <w:color w:val="auto"/>
                <w:kern w:val="24"/>
                <w:sz w:val="24"/>
                <w:highlight w:val="none"/>
                <w:lang w:eastAsia="zh-CN"/>
              </w:rPr>
            </w:pPr>
          </w:p>
          <w:p w14:paraId="0B9C75AE">
            <w:pPr>
              <w:adjustRightInd w:val="0"/>
              <w:snapToGrid w:val="0"/>
              <w:spacing w:line="360" w:lineRule="auto"/>
              <w:ind w:firstLine="480" w:firstLineChars="200"/>
              <w:rPr>
                <w:rFonts w:hint="eastAsia"/>
                <w:color w:val="auto"/>
                <w:kern w:val="24"/>
                <w:sz w:val="24"/>
                <w:highlight w:val="none"/>
                <w:lang w:eastAsia="zh-CN"/>
              </w:rPr>
            </w:pPr>
          </w:p>
          <w:p w14:paraId="40921D29">
            <w:pPr>
              <w:adjustRightInd w:val="0"/>
              <w:snapToGrid w:val="0"/>
              <w:spacing w:line="360" w:lineRule="auto"/>
              <w:ind w:firstLine="480" w:firstLineChars="200"/>
              <w:rPr>
                <w:rFonts w:hint="eastAsia"/>
                <w:color w:val="auto"/>
                <w:kern w:val="24"/>
                <w:sz w:val="24"/>
                <w:highlight w:val="none"/>
                <w:lang w:eastAsia="zh-CN"/>
              </w:rPr>
            </w:pPr>
          </w:p>
          <w:p w14:paraId="412519D9">
            <w:pPr>
              <w:adjustRightInd w:val="0"/>
              <w:snapToGrid w:val="0"/>
              <w:spacing w:line="360" w:lineRule="auto"/>
              <w:ind w:firstLine="480" w:firstLineChars="200"/>
              <w:rPr>
                <w:rFonts w:hint="eastAsia"/>
                <w:color w:val="auto"/>
                <w:kern w:val="24"/>
                <w:sz w:val="24"/>
                <w:highlight w:val="none"/>
                <w:lang w:eastAsia="zh-CN"/>
              </w:rPr>
            </w:pPr>
          </w:p>
          <w:p w14:paraId="23F5BAD3">
            <w:pPr>
              <w:adjustRightInd w:val="0"/>
              <w:snapToGrid w:val="0"/>
              <w:spacing w:line="360" w:lineRule="auto"/>
              <w:ind w:firstLine="480" w:firstLineChars="200"/>
              <w:rPr>
                <w:rFonts w:hint="eastAsia"/>
                <w:color w:val="auto"/>
                <w:kern w:val="24"/>
                <w:sz w:val="24"/>
                <w:highlight w:val="none"/>
                <w:lang w:eastAsia="zh-CN"/>
              </w:rPr>
            </w:pPr>
          </w:p>
          <w:p w14:paraId="3AB26728">
            <w:pPr>
              <w:adjustRightInd w:val="0"/>
              <w:snapToGrid w:val="0"/>
              <w:spacing w:line="360" w:lineRule="auto"/>
              <w:ind w:firstLine="480" w:firstLineChars="200"/>
              <w:rPr>
                <w:rFonts w:hint="eastAsia"/>
                <w:color w:val="auto"/>
                <w:kern w:val="24"/>
                <w:sz w:val="24"/>
                <w:highlight w:val="none"/>
                <w:lang w:eastAsia="zh-CN"/>
              </w:rPr>
            </w:pPr>
          </w:p>
          <w:p w14:paraId="1FBCE018">
            <w:pPr>
              <w:adjustRightInd w:val="0"/>
              <w:snapToGrid w:val="0"/>
              <w:spacing w:line="360" w:lineRule="auto"/>
              <w:ind w:firstLine="480" w:firstLineChars="200"/>
              <w:rPr>
                <w:rFonts w:hint="eastAsia"/>
                <w:color w:val="auto"/>
                <w:kern w:val="24"/>
                <w:sz w:val="24"/>
                <w:highlight w:val="none"/>
                <w:lang w:eastAsia="zh-CN"/>
              </w:rPr>
            </w:pPr>
          </w:p>
          <w:p w14:paraId="4F60F18B">
            <w:pPr>
              <w:adjustRightInd w:val="0"/>
              <w:snapToGrid w:val="0"/>
              <w:spacing w:line="360" w:lineRule="auto"/>
              <w:ind w:firstLine="480" w:firstLineChars="200"/>
              <w:rPr>
                <w:rFonts w:hint="eastAsia"/>
                <w:color w:val="auto"/>
                <w:kern w:val="24"/>
                <w:sz w:val="24"/>
                <w:highlight w:val="none"/>
                <w:lang w:eastAsia="zh-CN"/>
              </w:rPr>
            </w:pPr>
          </w:p>
          <w:p w14:paraId="356E776B">
            <w:pPr>
              <w:adjustRightInd w:val="0"/>
              <w:snapToGrid w:val="0"/>
              <w:spacing w:line="360" w:lineRule="auto"/>
              <w:rPr>
                <w:rFonts w:hint="eastAsia"/>
                <w:color w:val="auto"/>
                <w:kern w:val="24"/>
                <w:sz w:val="24"/>
                <w:highlight w:val="none"/>
                <w:lang w:eastAsia="zh-CN"/>
              </w:rPr>
            </w:pPr>
          </w:p>
        </w:tc>
      </w:tr>
    </w:tbl>
    <w:p w14:paraId="4237E26C">
      <w:pPr>
        <w:pStyle w:val="21"/>
        <w:jc w:val="center"/>
        <w:outlineLvl w:val="9"/>
        <w:rPr>
          <w:rFonts w:ascii="Times New Roman" w:hAnsi="Times New Roman" w:eastAsia="黑体"/>
          <w:snapToGrid w:val="0"/>
          <w:color w:val="auto"/>
          <w:sz w:val="36"/>
          <w:szCs w:val="36"/>
          <w:highlight w:val="none"/>
        </w:rPr>
      </w:pPr>
      <w:r>
        <w:rPr>
          <w:rFonts w:ascii="Times New Roman" w:hAnsi="Times New Roman" w:eastAsia="黑体"/>
          <w:snapToGrid w:val="0"/>
          <w:color w:val="auto"/>
          <w:sz w:val="36"/>
          <w:szCs w:val="36"/>
          <w:highlight w:val="none"/>
        </w:rPr>
        <w:br w:type="page"/>
      </w:r>
      <w:bookmarkStart w:id="17" w:name="_Toc18316"/>
    </w:p>
    <w:p w14:paraId="47A49E14">
      <w:pPr>
        <w:pStyle w:val="21"/>
        <w:jc w:val="center"/>
        <w:outlineLvl w:val="0"/>
        <w:rPr>
          <w:rFonts w:ascii="Times New Roman" w:hAnsi="Times New Roman" w:eastAsia="黑体"/>
          <w:snapToGrid w:val="0"/>
          <w:color w:val="auto"/>
          <w:sz w:val="30"/>
          <w:szCs w:val="30"/>
          <w:highlight w:val="none"/>
        </w:rPr>
      </w:pPr>
      <w:r>
        <w:rPr>
          <w:rFonts w:ascii="Times New Roman" w:hAnsi="黑体" w:eastAsia="黑体"/>
          <w:snapToGrid w:val="0"/>
          <w:color w:val="auto"/>
          <w:sz w:val="30"/>
          <w:szCs w:val="30"/>
          <w:highlight w:val="none"/>
        </w:rPr>
        <w:t>四、主要环境影响和保护措施</w:t>
      </w:r>
      <w:bookmarkEnd w:id="17"/>
    </w:p>
    <w:tbl>
      <w:tblPr>
        <w:tblStyle w:val="25"/>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87"/>
        <w:gridCol w:w="8492"/>
      </w:tblGrid>
      <w:tr w14:paraId="6CBEE5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78" w:hRule="atLeast"/>
          <w:jc w:val="center"/>
        </w:trPr>
        <w:tc>
          <w:tcPr>
            <w:tcW w:w="271" w:type="pct"/>
            <w:tcMar>
              <w:left w:w="28" w:type="dxa"/>
              <w:right w:w="28" w:type="dxa"/>
            </w:tcMar>
            <w:vAlign w:val="center"/>
          </w:tcPr>
          <w:p w14:paraId="055A84A6">
            <w:pPr>
              <w:pStyle w:val="21"/>
              <w:adjustRightInd w:val="0"/>
              <w:snapToGrid w:val="0"/>
              <w:spacing w:before="0" w:beforeAutospacing="0" w:after="0" w:afterAutospacing="0"/>
              <w:jc w:val="center"/>
              <w:rPr>
                <w:rFonts w:ascii="Times New Roman" w:hAnsi="Times New Roman"/>
                <w:bCs/>
                <w:color w:val="auto"/>
                <w:kern w:val="2"/>
                <w:szCs w:val="24"/>
                <w:highlight w:val="none"/>
              </w:rPr>
            </w:pPr>
            <w:r>
              <w:rPr>
                <w:rFonts w:ascii="Times New Roman"/>
                <w:color w:val="auto"/>
                <w:kern w:val="2"/>
                <w:szCs w:val="24"/>
                <w:highlight w:val="none"/>
              </w:rPr>
              <w:t>施工期环境保护措施</w:t>
            </w:r>
          </w:p>
        </w:tc>
        <w:tc>
          <w:tcPr>
            <w:tcW w:w="4728" w:type="pct"/>
          </w:tcPr>
          <w:p w14:paraId="473B3803">
            <w:pPr>
              <w:pStyle w:val="7"/>
              <w:snapToGrid w:val="0"/>
              <w:spacing w:line="360" w:lineRule="auto"/>
              <w:ind w:firstLine="482"/>
              <w:rPr>
                <w:b/>
                <w:color w:val="auto"/>
                <w:sz w:val="24"/>
                <w:highlight w:val="none"/>
              </w:rPr>
            </w:pPr>
            <w:r>
              <w:rPr>
                <w:rFonts w:hint="eastAsia"/>
                <w:b/>
                <w:color w:val="auto"/>
                <w:sz w:val="24"/>
                <w:highlight w:val="none"/>
              </w:rPr>
              <w:t>一、</w:t>
            </w:r>
            <w:r>
              <w:rPr>
                <w:b/>
                <w:color w:val="auto"/>
                <w:sz w:val="24"/>
                <w:highlight w:val="none"/>
                <w:lang w:val="zh-CN"/>
              </w:rPr>
              <w:t>施工期大气污染防治措施</w:t>
            </w:r>
          </w:p>
          <w:p w14:paraId="04F62025">
            <w:pPr>
              <w:adjustRightInd w:val="0"/>
              <w:snapToGrid w:val="0"/>
              <w:spacing w:line="360" w:lineRule="auto"/>
              <w:ind w:firstLine="480" w:firstLineChars="200"/>
              <w:rPr>
                <w:rFonts w:hint="eastAsia" w:ascii="Times New Roman" w:hAnsi="Times New Roman" w:cs="Times New Roman"/>
                <w:color w:val="auto"/>
                <w:kern w:val="24"/>
                <w:sz w:val="24"/>
                <w:highlight w:val="none"/>
                <w:lang w:eastAsia="zh-CN"/>
              </w:rPr>
            </w:pPr>
            <w:r>
              <w:rPr>
                <w:rFonts w:hint="eastAsia" w:ascii="Times New Roman" w:hAnsi="Times New Roman" w:cs="Times New Roman"/>
                <w:color w:val="auto"/>
                <w:kern w:val="24"/>
                <w:sz w:val="24"/>
                <w:highlight w:val="none"/>
                <w:lang w:eastAsia="zh-CN"/>
              </w:rPr>
              <w:t>（1）施工场地每天定期洒水，以有效防止扬尘，在非雨天风大时，加大洒水量及洒水频次。</w:t>
            </w:r>
          </w:p>
          <w:p w14:paraId="713BD9F8">
            <w:pPr>
              <w:adjustRightInd w:val="0"/>
              <w:snapToGrid w:val="0"/>
              <w:spacing w:line="360" w:lineRule="auto"/>
              <w:ind w:firstLine="480" w:firstLineChars="200"/>
              <w:rPr>
                <w:rFonts w:hint="eastAsia" w:ascii="Times New Roman" w:hAnsi="Times New Roman" w:cs="Times New Roman"/>
                <w:color w:val="auto"/>
                <w:kern w:val="24"/>
                <w:sz w:val="24"/>
                <w:highlight w:val="none"/>
                <w:lang w:eastAsia="zh-CN"/>
              </w:rPr>
            </w:pPr>
            <w:r>
              <w:rPr>
                <w:rFonts w:hint="eastAsia" w:ascii="Times New Roman" w:hAnsi="Times New Roman" w:cs="Times New Roman"/>
                <w:color w:val="auto"/>
                <w:kern w:val="24"/>
                <w:sz w:val="24"/>
                <w:highlight w:val="none"/>
                <w:lang w:eastAsia="zh-CN"/>
              </w:rPr>
              <w:t>（2）施工场地内运输通道及时清扫和平整，以尽量减少运输车辆行驶产生的扬尘，并采取洒水抑尘等措施。</w:t>
            </w:r>
          </w:p>
          <w:p w14:paraId="2025F795">
            <w:pPr>
              <w:adjustRightInd w:val="0"/>
              <w:snapToGrid w:val="0"/>
              <w:spacing w:line="360" w:lineRule="auto"/>
              <w:ind w:firstLine="480" w:firstLineChars="200"/>
              <w:rPr>
                <w:rFonts w:hint="eastAsia" w:ascii="Times New Roman" w:hAnsi="Times New Roman" w:cs="Times New Roman"/>
                <w:color w:val="auto"/>
                <w:kern w:val="24"/>
                <w:sz w:val="24"/>
                <w:highlight w:val="none"/>
                <w:lang w:eastAsia="zh-CN"/>
              </w:rPr>
            </w:pPr>
            <w:r>
              <w:rPr>
                <w:rFonts w:hint="eastAsia" w:ascii="Times New Roman" w:hAnsi="Times New Roman" w:cs="Times New Roman"/>
                <w:color w:val="auto"/>
                <w:kern w:val="24"/>
                <w:sz w:val="24"/>
                <w:highlight w:val="none"/>
                <w:lang w:eastAsia="zh-CN"/>
              </w:rPr>
              <w:t>（3）运输车辆进入施工场地低速或限速行驶，减少产尘量。</w:t>
            </w:r>
          </w:p>
          <w:p w14:paraId="6B97C599">
            <w:pPr>
              <w:adjustRightInd w:val="0"/>
              <w:snapToGrid w:val="0"/>
              <w:spacing w:line="360" w:lineRule="auto"/>
              <w:ind w:firstLine="480" w:firstLineChars="200"/>
              <w:rPr>
                <w:rFonts w:hint="eastAsia" w:ascii="Times New Roman" w:hAnsi="Times New Roman" w:cs="Times New Roman"/>
                <w:color w:val="auto"/>
                <w:kern w:val="24"/>
                <w:sz w:val="24"/>
                <w:highlight w:val="none"/>
                <w:lang w:eastAsia="zh-CN"/>
              </w:rPr>
            </w:pPr>
            <w:r>
              <w:rPr>
                <w:rFonts w:hint="eastAsia" w:ascii="Times New Roman" w:hAnsi="Times New Roman" w:cs="Times New Roman"/>
                <w:color w:val="auto"/>
                <w:kern w:val="24"/>
                <w:sz w:val="24"/>
                <w:highlight w:val="none"/>
                <w:lang w:eastAsia="zh-CN"/>
              </w:rPr>
              <w:t>（4）施工过程中使用水泥、石灰、砂石、涂料、铺装材料等易产生扬尘的建筑材料，采取密封存储、设置围挡或堆砌围墙、用防尘布苫盖等措施。</w:t>
            </w:r>
          </w:p>
          <w:p w14:paraId="388480CF">
            <w:pPr>
              <w:adjustRightInd w:val="0"/>
              <w:snapToGrid w:val="0"/>
              <w:spacing w:line="360" w:lineRule="auto"/>
              <w:ind w:firstLine="480" w:firstLineChars="200"/>
              <w:rPr>
                <w:rFonts w:hint="eastAsia" w:ascii="Times New Roman" w:hAnsi="Times New Roman" w:cs="Times New Roman"/>
                <w:color w:val="auto"/>
                <w:kern w:val="24"/>
                <w:sz w:val="24"/>
                <w:highlight w:val="none"/>
                <w:lang w:eastAsia="zh-CN"/>
              </w:rPr>
            </w:pPr>
            <w:r>
              <w:rPr>
                <w:rFonts w:hint="eastAsia" w:ascii="Times New Roman" w:hAnsi="Times New Roman" w:cs="Times New Roman"/>
                <w:color w:val="auto"/>
                <w:kern w:val="24"/>
                <w:sz w:val="24"/>
                <w:highlight w:val="none"/>
                <w:lang w:eastAsia="zh-CN"/>
              </w:rPr>
              <w:t>（5）施工过程中产生的弃土、弃料及其它建筑垃圾及时清运。临时堆存时采取覆盖防尘布、防尘网，定期喷水压尘等措施，防止风蚀起尘及水蚀迁移。</w:t>
            </w:r>
          </w:p>
          <w:p w14:paraId="677B0118">
            <w:pPr>
              <w:adjustRightInd w:val="0"/>
              <w:snapToGrid w:val="0"/>
              <w:spacing w:line="360" w:lineRule="auto"/>
              <w:ind w:firstLine="480" w:firstLineChars="200"/>
              <w:rPr>
                <w:rFonts w:hint="eastAsia" w:ascii="Times New Roman" w:hAnsi="Times New Roman" w:cs="Times New Roman"/>
                <w:color w:val="auto"/>
                <w:kern w:val="24"/>
                <w:sz w:val="24"/>
                <w:highlight w:val="none"/>
                <w:lang w:eastAsia="zh-CN"/>
              </w:rPr>
            </w:pPr>
            <w:r>
              <w:rPr>
                <w:rFonts w:hint="eastAsia" w:ascii="Times New Roman" w:hAnsi="Times New Roman" w:cs="Times New Roman"/>
                <w:color w:val="auto"/>
                <w:kern w:val="24"/>
                <w:sz w:val="24"/>
                <w:highlight w:val="none"/>
                <w:lang w:eastAsia="zh-CN"/>
              </w:rPr>
              <w:t>（6）进出工地的物料、垃圾运输车辆，大部分采用密闭车斗，并保证物料不遗撒外漏。无密闭车斗的运输车辆，物料、垃圾、渣土的装载高度不超过车辆槽帮上沿，车斗用苫布遮盖严实。</w:t>
            </w:r>
          </w:p>
          <w:p w14:paraId="63B0B5A3">
            <w:pPr>
              <w:pStyle w:val="7"/>
              <w:snapToGrid w:val="0"/>
              <w:spacing w:line="360" w:lineRule="auto"/>
              <w:ind w:firstLine="482"/>
              <w:rPr>
                <w:b/>
                <w:color w:val="auto"/>
                <w:sz w:val="24"/>
                <w:highlight w:val="none"/>
                <w:lang w:val="zh-CN"/>
              </w:rPr>
            </w:pPr>
            <w:r>
              <w:rPr>
                <w:rFonts w:hint="eastAsia"/>
                <w:b/>
                <w:color w:val="auto"/>
                <w:sz w:val="24"/>
                <w:highlight w:val="none"/>
                <w:lang w:val="zh-CN"/>
              </w:rPr>
              <w:t>二、</w:t>
            </w:r>
            <w:r>
              <w:rPr>
                <w:b/>
                <w:color w:val="auto"/>
                <w:sz w:val="24"/>
                <w:highlight w:val="none"/>
                <w:lang w:val="zh-CN"/>
              </w:rPr>
              <w:t>施工期水环境影响防治措施</w:t>
            </w:r>
          </w:p>
          <w:p w14:paraId="563F5820">
            <w:pPr>
              <w:adjustRightInd w:val="0"/>
              <w:snapToGrid w:val="0"/>
              <w:spacing w:line="360" w:lineRule="auto"/>
              <w:ind w:firstLine="480" w:firstLineChars="200"/>
              <w:rPr>
                <w:rFonts w:hint="eastAsia" w:ascii="Times New Roman" w:hAnsi="Times New Roman" w:cs="Times New Roman"/>
                <w:color w:val="auto"/>
                <w:kern w:val="24"/>
                <w:sz w:val="24"/>
                <w:highlight w:val="none"/>
                <w:lang w:eastAsia="zh-CN"/>
              </w:rPr>
            </w:pPr>
            <w:r>
              <w:rPr>
                <w:rFonts w:hint="eastAsia" w:ascii="Times New Roman" w:hAnsi="Times New Roman" w:cs="Times New Roman"/>
                <w:color w:val="auto"/>
                <w:kern w:val="24"/>
                <w:sz w:val="24"/>
                <w:highlight w:val="none"/>
                <w:lang w:eastAsia="zh-CN"/>
              </w:rPr>
              <w:t>（1）运输车辆及机械冲洗水和建筑施工废水，设置临时沉淀池，经沉淀处理后回用于施工过程和场地、进场道路洒水抑尘，不外排。</w:t>
            </w:r>
          </w:p>
          <w:p w14:paraId="34C28647">
            <w:pPr>
              <w:adjustRightInd w:val="0"/>
              <w:snapToGrid w:val="0"/>
              <w:spacing w:line="360" w:lineRule="auto"/>
              <w:ind w:firstLine="480" w:firstLineChars="200"/>
              <w:rPr>
                <w:rFonts w:hint="eastAsia" w:ascii="Times New Roman" w:hAnsi="Times New Roman" w:cs="Times New Roman"/>
                <w:color w:val="auto"/>
                <w:kern w:val="24"/>
                <w:sz w:val="24"/>
                <w:highlight w:val="none"/>
                <w:lang w:val="zh-CN" w:eastAsia="zh-CN"/>
              </w:rPr>
            </w:pPr>
            <w:r>
              <w:rPr>
                <w:rFonts w:hint="eastAsia" w:ascii="Times New Roman" w:hAnsi="Times New Roman" w:cs="Times New Roman"/>
                <w:color w:val="auto"/>
                <w:kern w:val="24"/>
                <w:sz w:val="24"/>
                <w:highlight w:val="none"/>
                <w:lang w:eastAsia="zh-CN"/>
              </w:rPr>
              <w:t>（2）施工期生活污水依托原有项目化粪池处理。</w:t>
            </w:r>
          </w:p>
          <w:p w14:paraId="6A7AA980">
            <w:pPr>
              <w:pStyle w:val="7"/>
              <w:snapToGrid w:val="0"/>
              <w:spacing w:line="360" w:lineRule="auto"/>
              <w:ind w:firstLine="482"/>
              <w:rPr>
                <w:b/>
                <w:color w:val="auto"/>
                <w:sz w:val="24"/>
                <w:highlight w:val="none"/>
                <w:lang w:val="zh-CN"/>
              </w:rPr>
            </w:pPr>
            <w:r>
              <w:rPr>
                <w:rFonts w:hint="eastAsia"/>
                <w:b/>
                <w:color w:val="auto"/>
                <w:sz w:val="24"/>
                <w:highlight w:val="none"/>
                <w:lang w:val="zh-CN"/>
              </w:rPr>
              <w:t>三、</w:t>
            </w:r>
            <w:r>
              <w:rPr>
                <w:b/>
                <w:color w:val="auto"/>
                <w:sz w:val="24"/>
                <w:highlight w:val="none"/>
                <w:lang w:val="zh-CN"/>
              </w:rPr>
              <w:t>施工期噪声防治措施</w:t>
            </w:r>
          </w:p>
          <w:p w14:paraId="5F9B94F1">
            <w:pPr>
              <w:adjustRightInd w:val="0"/>
              <w:snapToGrid w:val="0"/>
              <w:spacing w:line="360" w:lineRule="auto"/>
              <w:ind w:firstLine="480" w:firstLineChars="200"/>
              <w:rPr>
                <w:rFonts w:hint="eastAsia" w:ascii="Times New Roman" w:hAnsi="Times New Roman" w:cs="Times New Roman"/>
                <w:color w:val="auto"/>
                <w:kern w:val="24"/>
                <w:sz w:val="24"/>
                <w:highlight w:val="none"/>
                <w:lang w:eastAsia="zh-CN"/>
              </w:rPr>
            </w:pPr>
            <w:r>
              <w:rPr>
                <w:rFonts w:hint="eastAsia" w:ascii="Times New Roman" w:hAnsi="Times New Roman" w:cs="Times New Roman"/>
                <w:color w:val="auto"/>
                <w:kern w:val="24"/>
                <w:sz w:val="24"/>
                <w:highlight w:val="none"/>
                <w:lang w:eastAsia="zh-CN"/>
              </w:rPr>
              <w:t>（1）合理布局施工机械设备，并进行一定的隔声及减振处理。选用低噪声的施工机械和工艺，振动较大的固定机械设备加装减振机座，同时加强各类施工设备的维护和保养，保持其良好的运转，降低噪声源强。</w:t>
            </w:r>
          </w:p>
          <w:p w14:paraId="6EADB817">
            <w:pPr>
              <w:adjustRightInd w:val="0"/>
              <w:snapToGrid w:val="0"/>
              <w:spacing w:line="360" w:lineRule="auto"/>
              <w:ind w:firstLine="480" w:firstLineChars="200"/>
              <w:rPr>
                <w:rFonts w:hint="eastAsia" w:ascii="Times New Roman" w:hAnsi="Times New Roman" w:cs="Times New Roman"/>
                <w:color w:val="auto"/>
                <w:kern w:val="24"/>
                <w:sz w:val="24"/>
                <w:highlight w:val="none"/>
                <w:lang w:eastAsia="zh-CN"/>
              </w:rPr>
            </w:pPr>
            <w:r>
              <w:rPr>
                <w:rFonts w:hint="eastAsia" w:ascii="Times New Roman" w:hAnsi="Times New Roman" w:cs="Times New Roman"/>
                <w:color w:val="auto"/>
                <w:kern w:val="24"/>
                <w:sz w:val="24"/>
                <w:highlight w:val="none"/>
                <w:lang w:eastAsia="zh-CN"/>
              </w:rPr>
              <w:t>（2）合理地安排施工步骤，减短噪声持续排放的时间。</w:t>
            </w:r>
          </w:p>
          <w:p w14:paraId="00FD85DC">
            <w:pPr>
              <w:adjustRightInd w:val="0"/>
              <w:snapToGrid w:val="0"/>
              <w:spacing w:line="360" w:lineRule="auto"/>
              <w:ind w:firstLine="480" w:firstLineChars="200"/>
              <w:rPr>
                <w:rFonts w:hint="eastAsia" w:ascii="Times New Roman" w:hAnsi="Times New Roman" w:cs="Times New Roman"/>
                <w:color w:val="auto"/>
                <w:kern w:val="24"/>
                <w:sz w:val="24"/>
                <w:highlight w:val="none"/>
                <w:lang w:eastAsia="zh-CN"/>
              </w:rPr>
            </w:pPr>
            <w:r>
              <w:rPr>
                <w:rFonts w:hint="eastAsia" w:ascii="Times New Roman" w:hAnsi="Times New Roman" w:cs="Times New Roman"/>
                <w:color w:val="auto"/>
                <w:kern w:val="24"/>
                <w:sz w:val="24"/>
                <w:highlight w:val="none"/>
                <w:lang w:eastAsia="zh-CN"/>
              </w:rPr>
              <w:t>（3）施工期运输车辆、施工车辆出入现场时低速、禁鸣，减小载重汽车噪声对环境的影响。</w:t>
            </w:r>
          </w:p>
          <w:p w14:paraId="412D3EBD">
            <w:pPr>
              <w:pStyle w:val="7"/>
              <w:snapToGrid w:val="0"/>
              <w:spacing w:line="360" w:lineRule="auto"/>
              <w:ind w:firstLine="482"/>
              <w:rPr>
                <w:b/>
                <w:color w:val="auto"/>
                <w:sz w:val="24"/>
                <w:highlight w:val="none"/>
                <w:lang w:val="zh-CN"/>
              </w:rPr>
            </w:pPr>
            <w:r>
              <w:rPr>
                <w:rFonts w:hint="eastAsia"/>
                <w:b/>
                <w:color w:val="auto"/>
                <w:sz w:val="24"/>
                <w:highlight w:val="none"/>
                <w:lang w:val="zh-CN"/>
              </w:rPr>
              <w:t>四、</w:t>
            </w:r>
            <w:r>
              <w:rPr>
                <w:b/>
                <w:color w:val="auto"/>
                <w:sz w:val="24"/>
                <w:highlight w:val="none"/>
                <w:lang w:val="zh-CN"/>
              </w:rPr>
              <w:t>施工期固废污染防治措施</w:t>
            </w:r>
          </w:p>
          <w:p w14:paraId="74C44F89">
            <w:pPr>
              <w:adjustRightInd w:val="0"/>
              <w:snapToGrid w:val="0"/>
              <w:spacing w:line="360" w:lineRule="auto"/>
              <w:ind w:firstLine="480" w:firstLineChars="200"/>
              <w:rPr>
                <w:rFonts w:hint="eastAsia" w:ascii="Times New Roman" w:hAnsi="Times New Roman" w:cs="Times New Roman"/>
                <w:color w:val="auto"/>
                <w:kern w:val="24"/>
                <w:sz w:val="24"/>
                <w:highlight w:val="none"/>
                <w:lang w:eastAsia="zh-CN"/>
              </w:rPr>
            </w:pPr>
            <w:r>
              <w:rPr>
                <w:rFonts w:hint="eastAsia" w:ascii="Times New Roman" w:hAnsi="Times New Roman" w:cs="Times New Roman"/>
                <w:color w:val="auto"/>
                <w:kern w:val="24"/>
                <w:sz w:val="24"/>
                <w:highlight w:val="none"/>
                <w:lang w:eastAsia="zh-CN"/>
              </w:rPr>
              <w:t>（1）施工单位加强管理，禁止随意堆弃垃圾。</w:t>
            </w:r>
          </w:p>
          <w:p w14:paraId="2A2C2ACA">
            <w:pPr>
              <w:adjustRightInd w:val="0"/>
              <w:snapToGrid w:val="0"/>
              <w:spacing w:line="360" w:lineRule="auto"/>
              <w:ind w:firstLine="480" w:firstLineChars="200"/>
              <w:rPr>
                <w:rFonts w:hint="eastAsia" w:ascii="Times New Roman" w:hAnsi="Times New Roman" w:cs="Times New Roman"/>
                <w:color w:val="auto"/>
                <w:kern w:val="24"/>
                <w:sz w:val="24"/>
                <w:highlight w:val="none"/>
                <w:lang w:eastAsia="zh-CN"/>
              </w:rPr>
            </w:pPr>
            <w:r>
              <w:rPr>
                <w:rFonts w:hint="eastAsia" w:ascii="Times New Roman" w:hAnsi="Times New Roman" w:cs="Times New Roman"/>
                <w:color w:val="auto"/>
                <w:kern w:val="24"/>
                <w:sz w:val="24"/>
                <w:highlight w:val="none"/>
                <w:lang w:eastAsia="zh-CN"/>
              </w:rPr>
              <w:t>（2）施工材料在运输过程中严格管理，杜绝沿途抛洒，造成二次污染。</w:t>
            </w:r>
          </w:p>
          <w:p w14:paraId="7B725023">
            <w:pPr>
              <w:adjustRightInd w:val="0"/>
              <w:snapToGrid w:val="0"/>
              <w:spacing w:line="360" w:lineRule="auto"/>
              <w:ind w:firstLine="480" w:firstLineChars="200"/>
              <w:rPr>
                <w:rFonts w:hint="eastAsia" w:ascii="Times New Roman" w:hAnsi="Times New Roman" w:cs="Times New Roman"/>
                <w:color w:val="auto"/>
                <w:kern w:val="24"/>
                <w:sz w:val="24"/>
                <w:highlight w:val="none"/>
                <w:lang w:eastAsia="zh-CN"/>
              </w:rPr>
            </w:pPr>
            <w:r>
              <w:rPr>
                <w:rFonts w:hint="eastAsia" w:ascii="Times New Roman" w:hAnsi="Times New Roman" w:cs="Times New Roman"/>
                <w:color w:val="auto"/>
                <w:kern w:val="24"/>
                <w:sz w:val="24"/>
                <w:highlight w:val="none"/>
                <w:lang w:eastAsia="zh-CN"/>
              </w:rPr>
              <w:t>（3）车辆运输散体物和废弃物时，运输车辆必须做到装载适量，加盖遮布，出工地前做好外部清洗，沿途不漏泥土、不飞扬。</w:t>
            </w:r>
          </w:p>
          <w:p w14:paraId="787B7FB9">
            <w:pPr>
              <w:adjustRightInd w:val="0"/>
              <w:snapToGrid w:val="0"/>
              <w:spacing w:line="360" w:lineRule="auto"/>
              <w:ind w:firstLine="480" w:firstLineChars="200"/>
              <w:rPr>
                <w:rFonts w:hint="eastAsia" w:ascii="Times New Roman" w:hAnsi="Times New Roman" w:cs="Times New Roman"/>
                <w:color w:val="auto"/>
                <w:kern w:val="24"/>
                <w:sz w:val="24"/>
                <w:highlight w:val="none"/>
                <w:lang w:eastAsia="zh-CN"/>
              </w:rPr>
            </w:pPr>
            <w:r>
              <w:rPr>
                <w:rFonts w:hint="eastAsia" w:ascii="Times New Roman" w:hAnsi="Times New Roman" w:cs="Times New Roman"/>
                <w:color w:val="auto"/>
                <w:kern w:val="24"/>
                <w:sz w:val="24"/>
                <w:highlight w:val="none"/>
                <w:lang w:eastAsia="zh-CN"/>
              </w:rPr>
              <w:t>（4）本项目废弃的建筑垃圾，严格按照中华人民共和国建设部第139号令《城市建筑垃圾管理规定》中相关规定，集中处理，分类收集并尽可能</w:t>
            </w:r>
            <w:r>
              <w:rPr>
                <w:rFonts w:hint="eastAsia" w:cs="Times New Roman"/>
                <w:color w:val="auto"/>
                <w:kern w:val="24"/>
                <w:sz w:val="24"/>
                <w:highlight w:val="none"/>
                <w:lang w:eastAsia="zh-CN"/>
              </w:rPr>
              <w:t>地</w:t>
            </w:r>
            <w:r>
              <w:rPr>
                <w:rFonts w:hint="eastAsia" w:ascii="Times New Roman" w:hAnsi="Times New Roman" w:cs="Times New Roman"/>
                <w:color w:val="auto"/>
                <w:kern w:val="24"/>
                <w:sz w:val="24"/>
                <w:highlight w:val="none"/>
                <w:lang w:eastAsia="zh-CN"/>
              </w:rPr>
              <w:t>回收再利用，不能回收利用的部分及时清运至住建部门指定点堆放，委托有资质的单位按照相应规定进行清运、处置。</w:t>
            </w:r>
          </w:p>
          <w:p w14:paraId="71DA2548">
            <w:pPr>
              <w:adjustRightInd w:val="0"/>
              <w:snapToGrid w:val="0"/>
              <w:spacing w:line="360" w:lineRule="auto"/>
              <w:ind w:firstLine="480" w:firstLineChars="200"/>
              <w:rPr>
                <w:rFonts w:hint="eastAsia" w:eastAsia="宋体"/>
                <w:bCs/>
                <w:color w:val="auto"/>
                <w:spacing w:val="-10"/>
                <w:sz w:val="24"/>
                <w:highlight w:val="none"/>
                <w:lang w:eastAsia="zh-CN"/>
              </w:rPr>
            </w:pPr>
            <w:r>
              <w:rPr>
                <w:rFonts w:hint="eastAsia" w:ascii="Times New Roman" w:hAnsi="Times New Roman" w:cs="Times New Roman"/>
                <w:color w:val="auto"/>
                <w:kern w:val="24"/>
                <w:sz w:val="24"/>
                <w:highlight w:val="none"/>
                <w:lang w:eastAsia="zh-CN"/>
              </w:rPr>
              <w:t>（5）生活垃圾依托原有项目垃圾桶，集中收集委托环卫部门清运处置。</w:t>
            </w:r>
          </w:p>
        </w:tc>
      </w:tr>
      <w:tr w14:paraId="49F4DA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52" w:hRule="atLeast"/>
          <w:jc w:val="center"/>
        </w:trPr>
        <w:tc>
          <w:tcPr>
            <w:tcW w:w="271" w:type="pct"/>
            <w:tcMar>
              <w:left w:w="28" w:type="dxa"/>
              <w:right w:w="28" w:type="dxa"/>
            </w:tcMar>
            <w:vAlign w:val="center"/>
          </w:tcPr>
          <w:p w14:paraId="4AC9E880">
            <w:pPr>
              <w:pStyle w:val="21"/>
              <w:adjustRightInd w:val="0"/>
              <w:snapToGrid w:val="0"/>
              <w:spacing w:before="0" w:beforeAutospacing="0" w:after="0" w:afterAutospacing="0"/>
              <w:jc w:val="center"/>
              <w:rPr>
                <w:rFonts w:ascii="Times New Roman"/>
                <w:color w:val="auto"/>
                <w:kern w:val="2"/>
                <w:szCs w:val="24"/>
                <w:highlight w:val="none"/>
              </w:rPr>
            </w:pPr>
            <w:r>
              <w:rPr>
                <w:rFonts w:hAnsi="宋体"/>
                <w:bCs/>
                <w:color w:val="auto"/>
                <w:sz w:val="24"/>
                <w:highlight w:val="none"/>
              </w:rPr>
              <w:t>运营期环境影响和保护措施</w:t>
            </w:r>
          </w:p>
        </w:tc>
        <w:tc>
          <w:tcPr>
            <w:tcW w:w="4728" w:type="pct"/>
          </w:tcPr>
          <w:p w14:paraId="3B52BE0A">
            <w:pPr>
              <w:adjustRightInd w:val="0"/>
              <w:snapToGrid w:val="0"/>
              <w:spacing w:line="360" w:lineRule="auto"/>
              <w:ind w:firstLine="482" w:firstLineChars="200"/>
              <w:jc w:val="left"/>
              <w:rPr>
                <w:b/>
                <w:bCs/>
                <w:color w:val="auto"/>
                <w:sz w:val="24"/>
                <w:highlight w:val="none"/>
              </w:rPr>
            </w:pPr>
            <w:r>
              <w:rPr>
                <w:rFonts w:hint="eastAsia"/>
                <w:b/>
                <w:bCs/>
                <w:color w:val="auto"/>
                <w:sz w:val="24"/>
                <w:highlight w:val="none"/>
              </w:rPr>
              <w:t>一、运营期废气环境影响和保护措施</w:t>
            </w:r>
          </w:p>
          <w:p w14:paraId="55548945">
            <w:pPr>
              <w:adjustRightInd w:val="0"/>
              <w:snapToGrid w:val="0"/>
              <w:spacing w:line="360" w:lineRule="auto"/>
              <w:ind w:firstLine="482" w:firstLineChars="200"/>
              <w:jc w:val="left"/>
              <w:rPr>
                <w:b/>
                <w:bCs/>
                <w:color w:val="auto"/>
                <w:sz w:val="24"/>
                <w:highlight w:val="none"/>
              </w:rPr>
            </w:pPr>
            <w:r>
              <w:rPr>
                <w:rFonts w:hint="eastAsia"/>
                <w:b/>
                <w:bCs/>
                <w:color w:val="auto"/>
                <w:sz w:val="24"/>
                <w:highlight w:val="none"/>
              </w:rPr>
              <w:t>1、污染源源强核算及达标排放情况</w:t>
            </w:r>
          </w:p>
          <w:p w14:paraId="34899C22">
            <w:pPr>
              <w:adjustRightInd w:val="0"/>
              <w:snapToGrid w:val="0"/>
              <w:spacing w:line="360" w:lineRule="auto"/>
              <w:ind w:firstLine="480" w:firstLineChars="200"/>
              <w:jc w:val="left"/>
              <w:rPr>
                <w:color w:val="auto"/>
                <w:kern w:val="24"/>
                <w:sz w:val="24"/>
                <w:szCs w:val="22"/>
                <w:highlight w:val="none"/>
              </w:rPr>
            </w:pPr>
            <w:r>
              <w:rPr>
                <w:rFonts w:hint="eastAsia"/>
                <w:color w:val="auto"/>
                <w:kern w:val="24"/>
                <w:sz w:val="24"/>
                <w:szCs w:val="22"/>
                <w:highlight w:val="none"/>
              </w:rPr>
              <w:t>项目</w:t>
            </w:r>
            <w:r>
              <w:rPr>
                <w:color w:val="auto"/>
                <w:kern w:val="24"/>
                <w:sz w:val="24"/>
                <w:szCs w:val="22"/>
                <w:highlight w:val="none"/>
              </w:rPr>
              <w:t>运营期废气主要为</w:t>
            </w:r>
            <w:r>
              <w:rPr>
                <w:rFonts w:hint="eastAsia"/>
                <w:color w:val="auto"/>
                <w:kern w:val="24"/>
                <w:sz w:val="24"/>
                <w:szCs w:val="22"/>
                <w:highlight w:val="none"/>
                <w:lang w:val="en-US" w:eastAsia="zh-CN"/>
              </w:rPr>
              <w:t>生产</w:t>
            </w:r>
            <w:r>
              <w:rPr>
                <w:rFonts w:hint="eastAsia"/>
                <w:color w:val="auto"/>
                <w:kern w:val="24"/>
                <w:sz w:val="24"/>
                <w:szCs w:val="22"/>
                <w:highlight w:val="none"/>
              </w:rPr>
              <w:t>有机废气</w:t>
            </w:r>
            <w:r>
              <w:rPr>
                <w:rFonts w:hint="eastAsia"/>
                <w:color w:val="auto"/>
                <w:kern w:val="24"/>
                <w:sz w:val="24"/>
                <w:szCs w:val="22"/>
                <w:highlight w:val="none"/>
                <w:lang w:eastAsia="zh-CN"/>
              </w:rPr>
              <w:t>、</w:t>
            </w:r>
            <w:r>
              <w:rPr>
                <w:rFonts w:hint="eastAsia"/>
                <w:color w:val="auto"/>
                <w:kern w:val="24"/>
                <w:sz w:val="24"/>
                <w:szCs w:val="22"/>
                <w:highlight w:val="none"/>
                <w:lang w:val="en-US" w:eastAsia="zh-CN"/>
              </w:rPr>
              <w:t>破碎粉尘</w:t>
            </w:r>
            <w:r>
              <w:rPr>
                <w:color w:val="auto"/>
                <w:kern w:val="24"/>
                <w:sz w:val="24"/>
                <w:szCs w:val="22"/>
                <w:highlight w:val="none"/>
              </w:rPr>
              <w:t>。</w:t>
            </w:r>
          </w:p>
          <w:p w14:paraId="1EC48FDA">
            <w:pPr>
              <w:adjustRightInd w:val="0"/>
              <w:snapToGrid w:val="0"/>
              <w:spacing w:line="360" w:lineRule="auto"/>
              <w:ind w:firstLine="480" w:firstLineChars="200"/>
              <w:jc w:val="left"/>
              <w:rPr>
                <w:rFonts w:hint="eastAsia" w:ascii="Times New Roman" w:hAnsi="Times New Roman" w:eastAsia="宋体" w:cs="Times New Roman"/>
                <w:color w:val="auto"/>
                <w:kern w:val="24"/>
                <w:sz w:val="24"/>
                <w:szCs w:val="22"/>
                <w:highlight w:val="none"/>
              </w:rPr>
            </w:pPr>
            <w:r>
              <w:rPr>
                <w:rFonts w:hint="eastAsia" w:ascii="Times New Roman" w:hAnsi="Times New Roman" w:eastAsia="宋体" w:cs="Times New Roman"/>
                <w:color w:val="auto"/>
                <w:kern w:val="24"/>
                <w:sz w:val="24"/>
                <w:szCs w:val="22"/>
                <w:highlight w:val="none"/>
              </w:rPr>
              <w:t>项目大气污染物产生</w:t>
            </w:r>
            <w:r>
              <w:rPr>
                <w:rFonts w:hint="eastAsia" w:cs="Times New Roman"/>
                <w:color w:val="auto"/>
                <w:kern w:val="24"/>
                <w:sz w:val="24"/>
                <w:szCs w:val="22"/>
                <w:highlight w:val="none"/>
                <w:lang w:eastAsia="zh-CN"/>
              </w:rPr>
              <w:t>量和</w:t>
            </w:r>
            <w:r>
              <w:rPr>
                <w:rFonts w:hint="eastAsia" w:ascii="Times New Roman" w:hAnsi="Times New Roman" w:eastAsia="宋体" w:cs="Times New Roman"/>
                <w:color w:val="auto"/>
                <w:kern w:val="24"/>
                <w:sz w:val="24"/>
                <w:szCs w:val="22"/>
                <w:highlight w:val="none"/>
              </w:rPr>
              <w:t>排放量汇总详见表4-1。</w:t>
            </w:r>
          </w:p>
          <w:p w14:paraId="42261B26">
            <w:pPr>
              <w:adjustRightInd w:val="0"/>
              <w:snapToGrid w:val="0"/>
              <w:spacing w:line="360" w:lineRule="auto"/>
              <w:ind w:firstLine="482" w:firstLineChars="200"/>
              <w:jc w:val="center"/>
              <w:rPr>
                <w:b/>
                <w:bCs/>
                <w:color w:val="auto"/>
                <w:kern w:val="24"/>
                <w:sz w:val="24"/>
                <w:highlight w:val="none"/>
              </w:rPr>
            </w:pPr>
            <w:r>
              <w:rPr>
                <w:rFonts w:hint="eastAsia"/>
                <w:b/>
                <w:bCs/>
                <w:color w:val="auto"/>
                <w:kern w:val="24"/>
                <w:sz w:val="24"/>
                <w:highlight w:val="none"/>
              </w:rPr>
              <w:t>表4-1  项目大气污染物产生</w:t>
            </w:r>
            <w:r>
              <w:rPr>
                <w:rFonts w:hint="eastAsia"/>
                <w:b/>
                <w:bCs/>
                <w:color w:val="auto"/>
                <w:kern w:val="24"/>
                <w:sz w:val="24"/>
                <w:highlight w:val="none"/>
                <w:lang w:eastAsia="zh-CN"/>
              </w:rPr>
              <w:t>量和</w:t>
            </w:r>
            <w:r>
              <w:rPr>
                <w:rFonts w:hint="eastAsia"/>
                <w:b/>
                <w:bCs/>
                <w:color w:val="auto"/>
                <w:kern w:val="24"/>
                <w:sz w:val="24"/>
                <w:highlight w:val="none"/>
              </w:rPr>
              <w:t>排放量一览表</w:t>
            </w:r>
          </w:p>
          <w:tbl>
            <w:tblPr>
              <w:tblStyle w:val="26"/>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653"/>
              <w:gridCol w:w="1115"/>
              <w:gridCol w:w="1242"/>
              <w:gridCol w:w="1105"/>
              <w:gridCol w:w="1588"/>
              <w:gridCol w:w="1698"/>
              <w:gridCol w:w="853"/>
              <w:gridCol w:w="4"/>
            </w:tblGrid>
            <w:tr w14:paraId="0D5A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1070" w:type="pct"/>
                  <w:gridSpan w:val="2"/>
                  <w:vAlign w:val="center"/>
                </w:tcPr>
                <w:p w14:paraId="03203697">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产排污环节</w:t>
                  </w:r>
                </w:p>
              </w:tc>
              <w:tc>
                <w:tcPr>
                  <w:tcW w:w="751" w:type="pct"/>
                  <w:vAlign w:val="center"/>
                </w:tcPr>
                <w:p w14:paraId="237D12F1">
                  <w:pPr>
                    <w:adjustRightInd w:val="0"/>
                    <w:snapToGrid w:val="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G1模具成型废气</w:t>
                  </w:r>
                </w:p>
              </w:tc>
              <w:tc>
                <w:tcPr>
                  <w:tcW w:w="669" w:type="pct"/>
                  <w:shd w:val="clear" w:color="auto" w:fill="auto"/>
                  <w:vAlign w:val="center"/>
                </w:tcPr>
                <w:p w14:paraId="7F7B5E5A">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lang w:val="en-US" w:eastAsia="zh-CN"/>
                    </w:rPr>
                    <w:t>G3焊接废气</w:t>
                  </w:r>
                </w:p>
              </w:tc>
              <w:tc>
                <w:tcPr>
                  <w:tcW w:w="961" w:type="pct"/>
                  <w:vAlign w:val="center"/>
                </w:tcPr>
                <w:p w14:paraId="30E7A657">
                  <w:pPr>
                    <w:adjustRightInd w:val="0"/>
                    <w:snapToGrid w:val="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G2印刷废气</w:t>
                  </w:r>
                </w:p>
              </w:tc>
              <w:tc>
                <w:tcPr>
                  <w:tcW w:w="1028" w:type="pct"/>
                  <w:vAlign w:val="center"/>
                </w:tcPr>
                <w:p w14:paraId="3D96A2AA">
                  <w:pPr>
                    <w:adjustRightInd w:val="0"/>
                    <w:snapToGrid w:val="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G1模具成型废气、G2印刷废气、G3焊接废气</w:t>
                  </w:r>
                </w:p>
              </w:tc>
              <w:tc>
                <w:tcPr>
                  <w:tcW w:w="518" w:type="pct"/>
                  <w:gridSpan w:val="2"/>
                  <w:vAlign w:val="center"/>
                </w:tcPr>
                <w:p w14:paraId="028C4C25">
                  <w:pPr>
                    <w:adjustRightInd w:val="0"/>
                    <w:snapToGrid w:val="0"/>
                    <w:jc w:val="center"/>
                    <w:rPr>
                      <w:rFonts w:hint="default" w:ascii="Times New Roman" w:hAnsi="Times New Roman" w:eastAsia="宋体" w:cs="Times New Roman"/>
                      <w:color w:val="auto"/>
                      <w:kern w:val="24"/>
                      <w:sz w:val="21"/>
                      <w:szCs w:val="21"/>
                      <w:highlight w:val="none"/>
                      <w:lang w:eastAsia="zh-CN"/>
                    </w:rPr>
                  </w:pPr>
                  <w:r>
                    <w:rPr>
                      <w:rFonts w:hint="default" w:ascii="Times New Roman" w:hAnsi="Times New Roman" w:eastAsia="宋体" w:cs="Times New Roman"/>
                      <w:color w:val="auto"/>
                      <w:kern w:val="24"/>
                      <w:sz w:val="21"/>
                      <w:szCs w:val="21"/>
                      <w:highlight w:val="none"/>
                      <w:lang w:eastAsia="zh-CN"/>
                    </w:rPr>
                    <w:t>破碎</w:t>
                  </w:r>
                </w:p>
                <w:p w14:paraId="7E10F3AE">
                  <w:pPr>
                    <w:adjustRightInd w:val="0"/>
                    <w:snapToGrid w:val="0"/>
                    <w:jc w:val="center"/>
                    <w:rPr>
                      <w:rFonts w:hint="default" w:ascii="Times New Roman" w:hAnsi="Times New Roman" w:eastAsia="宋体" w:cs="Times New Roman"/>
                      <w:color w:val="auto"/>
                      <w:kern w:val="24"/>
                      <w:sz w:val="21"/>
                      <w:szCs w:val="21"/>
                      <w:highlight w:val="none"/>
                      <w:lang w:eastAsia="zh-CN"/>
                    </w:rPr>
                  </w:pPr>
                  <w:r>
                    <w:rPr>
                      <w:rFonts w:hint="default" w:ascii="Times New Roman" w:hAnsi="Times New Roman" w:eastAsia="宋体" w:cs="Times New Roman"/>
                      <w:color w:val="auto"/>
                      <w:kern w:val="24"/>
                      <w:sz w:val="21"/>
                      <w:szCs w:val="21"/>
                      <w:highlight w:val="none"/>
                      <w:lang w:eastAsia="zh-CN"/>
                    </w:rPr>
                    <w:t>粉尘</w:t>
                  </w:r>
                </w:p>
              </w:tc>
            </w:tr>
            <w:tr w14:paraId="6ABF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6" w:hRule="atLeast"/>
              </w:trPr>
              <w:tc>
                <w:tcPr>
                  <w:tcW w:w="1070" w:type="pct"/>
                  <w:gridSpan w:val="2"/>
                  <w:vAlign w:val="center"/>
                </w:tcPr>
                <w:p w14:paraId="63189A40">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污染物种类</w:t>
                  </w:r>
                </w:p>
              </w:tc>
              <w:tc>
                <w:tcPr>
                  <w:tcW w:w="751" w:type="pct"/>
                  <w:vAlign w:val="center"/>
                </w:tcPr>
                <w:p w14:paraId="349AB17C">
                  <w:pPr>
                    <w:adjustRightInd w:val="0"/>
                    <w:snapToGrid w:val="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非甲烷总烃（有组织）</w:t>
                  </w:r>
                </w:p>
              </w:tc>
              <w:tc>
                <w:tcPr>
                  <w:tcW w:w="669" w:type="pct"/>
                  <w:shd w:val="clear" w:color="auto" w:fill="auto"/>
                  <w:vAlign w:val="center"/>
                </w:tcPr>
                <w:p w14:paraId="21B32AAE">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lang w:val="en-US" w:eastAsia="zh-CN"/>
                    </w:rPr>
                    <w:t>非甲烷总烃（有组织）</w:t>
                  </w:r>
                </w:p>
              </w:tc>
              <w:tc>
                <w:tcPr>
                  <w:tcW w:w="961" w:type="pct"/>
                  <w:vAlign w:val="center"/>
                </w:tcPr>
                <w:p w14:paraId="226AC071">
                  <w:pPr>
                    <w:adjustRightInd w:val="0"/>
                    <w:snapToGrid w:val="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非甲烷总烃（有组织）</w:t>
                  </w:r>
                </w:p>
              </w:tc>
              <w:tc>
                <w:tcPr>
                  <w:tcW w:w="1028" w:type="pct"/>
                  <w:vAlign w:val="center"/>
                </w:tcPr>
                <w:p w14:paraId="4F14C297">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非甲烷总烃（</w:t>
                  </w:r>
                  <w:r>
                    <w:rPr>
                      <w:rFonts w:hint="default" w:ascii="Times New Roman" w:hAnsi="Times New Roman" w:eastAsia="宋体" w:cs="Times New Roman"/>
                      <w:color w:val="auto"/>
                      <w:kern w:val="24"/>
                      <w:sz w:val="21"/>
                      <w:szCs w:val="21"/>
                      <w:highlight w:val="none"/>
                      <w:lang w:val="en-US" w:eastAsia="zh-CN"/>
                    </w:rPr>
                    <w:t>无</w:t>
                  </w:r>
                  <w:r>
                    <w:rPr>
                      <w:rFonts w:hint="default" w:ascii="Times New Roman" w:hAnsi="Times New Roman" w:eastAsia="宋体" w:cs="Times New Roman"/>
                      <w:color w:val="auto"/>
                      <w:kern w:val="24"/>
                      <w:sz w:val="21"/>
                      <w:szCs w:val="21"/>
                      <w:highlight w:val="none"/>
                    </w:rPr>
                    <w:t>组织）</w:t>
                  </w:r>
                </w:p>
              </w:tc>
              <w:tc>
                <w:tcPr>
                  <w:tcW w:w="518" w:type="pct"/>
                  <w:gridSpan w:val="2"/>
                  <w:vAlign w:val="center"/>
                </w:tcPr>
                <w:p w14:paraId="64E49B37">
                  <w:pPr>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r>
            <w:tr w14:paraId="2E27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1070" w:type="pct"/>
                  <w:gridSpan w:val="2"/>
                  <w:vAlign w:val="center"/>
                </w:tcPr>
                <w:p w14:paraId="41B40954">
                  <w:pPr>
                    <w:adjustRightInd w:val="0"/>
                    <w:snapToGrid w:val="0"/>
                    <w:jc w:val="center"/>
                    <w:rPr>
                      <w:rFonts w:hint="default" w:ascii="Times New Roman" w:hAnsi="Times New Roman" w:eastAsia="宋体" w:cs="Times New Roman"/>
                      <w:color w:val="auto"/>
                      <w:kern w:val="24"/>
                      <w:sz w:val="21"/>
                      <w:szCs w:val="21"/>
                      <w:highlight w:val="none"/>
                      <w:lang w:eastAsia="zh-CN"/>
                    </w:rPr>
                  </w:pPr>
                  <w:r>
                    <w:rPr>
                      <w:rFonts w:hint="default" w:ascii="Times New Roman" w:hAnsi="Times New Roman" w:eastAsia="宋体" w:cs="Times New Roman"/>
                      <w:color w:val="auto"/>
                      <w:kern w:val="24"/>
                      <w:sz w:val="21"/>
                      <w:szCs w:val="21"/>
                      <w:highlight w:val="none"/>
                    </w:rPr>
                    <w:t>污染物产生量</w:t>
                  </w:r>
                  <w:r>
                    <w:rPr>
                      <w:rFonts w:hint="default" w:ascii="Times New Roman" w:hAnsi="Times New Roman" w:eastAsia="宋体" w:cs="Times New Roman"/>
                      <w:color w:val="auto"/>
                      <w:kern w:val="24"/>
                      <w:sz w:val="21"/>
                      <w:szCs w:val="21"/>
                      <w:highlight w:val="none"/>
                      <w:lang w:eastAsia="zh-CN"/>
                    </w:rPr>
                    <w:t>（</w:t>
                  </w:r>
                  <w:r>
                    <w:rPr>
                      <w:rFonts w:hint="default" w:ascii="Times New Roman" w:hAnsi="Times New Roman" w:eastAsia="宋体" w:cs="Times New Roman"/>
                      <w:color w:val="auto"/>
                      <w:kern w:val="24"/>
                      <w:sz w:val="21"/>
                      <w:szCs w:val="21"/>
                      <w:highlight w:val="none"/>
                    </w:rPr>
                    <w:t>t/a</w:t>
                  </w:r>
                  <w:r>
                    <w:rPr>
                      <w:rFonts w:hint="default" w:ascii="Times New Roman" w:hAnsi="Times New Roman" w:eastAsia="宋体" w:cs="Times New Roman"/>
                      <w:color w:val="auto"/>
                      <w:kern w:val="24"/>
                      <w:sz w:val="21"/>
                      <w:szCs w:val="21"/>
                      <w:highlight w:val="none"/>
                      <w:lang w:eastAsia="zh-CN"/>
                    </w:rPr>
                    <w:t>）</w:t>
                  </w:r>
                </w:p>
              </w:tc>
              <w:tc>
                <w:tcPr>
                  <w:tcW w:w="1421" w:type="pct"/>
                  <w:gridSpan w:val="2"/>
                  <w:vAlign w:val="center"/>
                </w:tcPr>
                <w:p w14:paraId="2F5132CB">
                  <w:pPr>
                    <w:widowControl/>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77.22</w:t>
                  </w:r>
                </w:p>
              </w:tc>
              <w:tc>
                <w:tcPr>
                  <w:tcW w:w="961" w:type="pct"/>
                  <w:vAlign w:val="center"/>
                </w:tcPr>
                <w:p w14:paraId="5E0EF59D">
                  <w:pPr>
                    <w:widowControl/>
                    <w:jc w:val="center"/>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0.5</w:t>
                  </w:r>
                </w:p>
              </w:tc>
              <w:tc>
                <w:tcPr>
                  <w:tcW w:w="1028" w:type="pct"/>
                  <w:vAlign w:val="center"/>
                </w:tcPr>
                <w:p w14:paraId="750B1BBA">
                  <w:pPr>
                    <w:adjustRightInd w:val="0"/>
                    <w:snapToGrid w:val="0"/>
                    <w:jc w:val="center"/>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19.44</w:t>
                  </w:r>
                </w:p>
              </w:tc>
              <w:tc>
                <w:tcPr>
                  <w:tcW w:w="518" w:type="pct"/>
                  <w:gridSpan w:val="2"/>
                  <w:vAlign w:val="center"/>
                </w:tcPr>
                <w:p w14:paraId="11ABE0AB">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少量</w:t>
                  </w:r>
                </w:p>
              </w:tc>
            </w:tr>
            <w:tr w14:paraId="473E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1070" w:type="pct"/>
                  <w:gridSpan w:val="2"/>
                  <w:vAlign w:val="center"/>
                </w:tcPr>
                <w:p w14:paraId="59D9555B">
                  <w:pPr>
                    <w:adjustRightInd w:val="0"/>
                    <w:snapToGrid w:val="0"/>
                    <w:jc w:val="center"/>
                    <w:rPr>
                      <w:rFonts w:hint="default" w:ascii="Times New Roman" w:hAnsi="Times New Roman" w:eastAsia="宋体" w:cs="Times New Roman"/>
                      <w:color w:val="auto"/>
                      <w:kern w:val="24"/>
                      <w:sz w:val="21"/>
                      <w:szCs w:val="21"/>
                      <w:highlight w:val="none"/>
                      <w:lang w:eastAsia="zh-CN"/>
                    </w:rPr>
                  </w:pPr>
                  <w:r>
                    <w:rPr>
                      <w:rFonts w:hint="default" w:ascii="Times New Roman" w:hAnsi="Times New Roman" w:eastAsia="宋体" w:cs="Times New Roman"/>
                      <w:color w:val="auto"/>
                      <w:kern w:val="24"/>
                      <w:sz w:val="21"/>
                      <w:szCs w:val="21"/>
                      <w:highlight w:val="none"/>
                    </w:rPr>
                    <w:t>污染物产生速率</w:t>
                  </w:r>
                  <w:r>
                    <w:rPr>
                      <w:rFonts w:hint="default" w:ascii="Times New Roman" w:hAnsi="Times New Roman" w:eastAsia="宋体" w:cs="Times New Roman"/>
                      <w:color w:val="auto"/>
                      <w:kern w:val="24"/>
                      <w:sz w:val="21"/>
                      <w:szCs w:val="21"/>
                      <w:highlight w:val="none"/>
                      <w:lang w:eastAsia="zh-CN"/>
                    </w:rPr>
                    <w:t>（</w:t>
                  </w:r>
                  <w:r>
                    <w:rPr>
                      <w:rFonts w:hint="default" w:ascii="Times New Roman" w:hAnsi="Times New Roman" w:eastAsia="宋体" w:cs="Times New Roman"/>
                      <w:color w:val="auto"/>
                      <w:kern w:val="24"/>
                      <w:sz w:val="21"/>
                      <w:szCs w:val="21"/>
                      <w:highlight w:val="none"/>
                    </w:rPr>
                    <w:t>kg/h</w:t>
                  </w:r>
                  <w:r>
                    <w:rPr>
                      <w:rFonts w:hint="default" w:ascii="Times New Roman" w:hAnsi="Times New Roman" w:eastAsia="宋体" w:cs="Times New Roman"/>
                      <w:color w:val="auto"/>
                      <w:kern w:val="24"/>
                      <w:sz w:val="21"/>
                      <w:szCs w:val="21"/>
                      <w:highlight w:val="none"/>
                      <w:lang w:eastAsia="zh-CN"/>
                    </w:rPr>
                    <w:t>）</w:t>
                  </w:r>
                </w:p>
              </w:tc>
              <w:tc>
                <w:tcPr>
                  <w:tcW w:w="1421" w:type="pct"/>
                  <w:gridSpan w:val="2"/>
                  <w:shd w:val="clear" w:color="auto" w:fill="auto"/>
                  <w:vAlign w:val="center"/>
                </w:tcPr>
                <w:p w14:paraId="52A2F99E">
                  <w:pPr>
                    <w:widowControl/>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10.73</w:t>
                  </w:r>
                </w:p>
              </w:tc>
              <w:tc>
                <w:tcPr>
                  <w:tcW w:w="961" w:type="pct"/>
                  <w:shd w:val="clear" w:color="auto" w:fill="auto"/>
                  <w:vAlign w:val="center"/>
                </w:tcPr>
                <w:p w14:paraId="0B2FB67D">
                  <w:pPr>
                    <w:widowControl/>
                    <w:jc w:val="center"/>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0.57</w:t>
                  </w:r>
                </w:p>
              </w:tc>
              <w:tc>
                <w:tcPr>
                  <w:tcW w:w="1028" w:type="pct"/>
                  <w:vAlign w:val="center"/>
                </w:tcPr>
                <w:p w14:paraId="6920497E">
                  <w:pPr>
                    <w:adjustRightInd w:val="0"/>
                    <w:snapToGrid w:val="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w:t>
                  </w:r>
                </w:p>
              </w:tc>
              <w:tc>
                <w:tcPr>
                  <w:tcW w:w="518" w:type="pct"/>
                  <w:gridSpan w:val="2"/>
                  <w:shd w:val="clear" w:color="auto" w:fill="auto"/>
                  <w:vAlign w:val="center"/>
                </w:tcPr>
                <w:p w14:paraId="6E2234B3">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lang w:val="en-US" w:eastAsia="zh-CN"/>
                    </w:rPr>
                    <w:t>/</w:t>
                  </w:r>
                </w:p>
              </w:tc>
            </w:tr>
            <w:tr w14:paraId="697CB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1070" w:type="pct"/>
                  <w:gridSpan w:val="2"/>
                  <w:vAlign w:val="center"/>
                </w:tcPr>
                <w:p w14:paraId="0DCADD21">
                  <w:pPr>
                    <w:adjustRightInd w:val="0"/>
                    <w:snapToGrid w:val="0"/>
                    <w:jc w:val="center"/>
                    <w:rPr>
                      <w:rFonts w:hint="default" w:ascii="Times New Roman" w:hAnsi="Times New Roman" w:eastAsia="宋体" w:cs="Times New Roman"/>
                      <w:color w:val="auto"/>
                      <w:kern w:val="24"/>
                      <w:sz w:val="21"/>
                      <w:szCs w:val="21"/>
                      <w:highlight w:val="none"/>
                      <w:lang w:eastAsia="zh-CN"/>
                    </w:rPr>
                  </w:pPr>
                  <w:r>
                    <w:rPr>
                      <w:rFonts w:hint="default" w:ascii="Times New Roman" w:hAnsi="Times New Roman" w:eastAsia="宋体" w:cs="Times New Roman"/>
                      <w:color w:val="auto"/>
                      <w:kern w:val="24"/>
                      <w:sz w:val="21"/>
                      <w:szCs w:val="21"/>
                      <w:highlight w:val="none"/>
                    </w:rPr>
                    <w:t>污染物产生浓度</w:t>
                  </w:r>
                  <w:r>
                    <w:rPr>
                      <w:rFonts w:hint="default" w:ascii="Times New Roman" w:hAnsi="Times New Roman" w:eastAsia="宋体" w:cs="Times New Roman"/>
                      <w:color w:val="auto"/>
                      <w:kern w:val="24"/>
                      <w:sz w:val="21"/>
                      <w:szCs w:val="21"/>
                      <w:highlight w:val="none"/>
                      <w:lang w:eastAsia="zh-CN"/>
                    </w:rPr>
                    <w:t>（</w:t>
                  </w:r>
                  <w:r>
                    <w:rPr>
                      <w:rFonts w:hint="default" w:ascii="Times New Roman" w:hAnsi="Times New Roman" w:eastAsia="宋体" w:cs="Times New Roman"/>
                      <w:color w:val="auto"/>
                      <w:kern w:val="24"/>
                      <w:sz w:val="21"/>
                      <w:szCs w:val="21"/>
                      <w:highlight w:val="none"/>
                    </w:rPr>
                    <w:t>mg/m</w:t>
                  </w:r>
                  <w:r>
                    <w:rPr>
                      <w:rFonts w:hint="default" w:ascii="Times New Roman" w:hAnsi="Times New Roman" w:eastAsia="宋体" w:cs="Times New Roman"/>
                      <w:color w:val="auto"/>
                      <w:kern w:val="24"/>
                      <w:sz w:val="21"/>
                      <w:szCs w:val="21"/>
                      <w:highlight w:val="none"/>
                      <w:vertAlign w:val="superscript"/>
                    </w:rPr>
                    <w:t>3</w:t>
                  </w:r>
                  <w:r>
                    <w:rPr>
                      <w:rFonts w:hint="default" w:ascii="Times New Roman" w:hAnsi="Times New Roman" w:eastAsia="宋体" w:cs="Times New Roman"/>
                      <w:color w:val="auto"/>
                      <w:kern w:val="24"/>
                      <w:sz w:val="21"/>
                      <w:szCs w:val="21"/>
                      <w:highlight w:val="none"/>
                      <w:lang w:eastAsia="zh-CN"/>
                    </w:rPr>
                    <w:t>）</w:t>
                  </w:r>
                </w:p>
              </w:tc>
              <w:tc>
                <w:tcPr>
                  <w:tcW w:w="1421" w:type="pct"/>
                  <w:gridSpan w:val="2"/>
                  <w:vAlign w:val="center"/>
                </w:tcPr>
                <w:p w14:paraId="527FCA0B">
                  <w:pPr>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268.25</w:t>
                  </w:r>
                </w:p>
              </w:tc>
              <w:tc>
                <w:tcPr>
                  <w:tcW w:w="961" w:type="pct"/>
                  <w:vAlign w:val="center"/>
                </w:tcPr>
                <w:p w14:paraId="6CEF1919">
                  <w:pPr>
                    <w:jc w:val="center"/>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114</w:t>
                  </w:r>
                </w:p>
              </w:tc>
              <w:tc>
                <w:tcPr>
                  <w:tcW w:w="1028" w:type="pct"/>
                  <w:vAlign w:val="center"/>
                </w:tcPr>
                <w:p w14:paraId="3A42CC7A">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w:t>
                  </w:r>
                </w:p>
              </w:tc>
              <w:tc>
                <w:tcPr>
                  <w:tcW w:w="518" w:type="pct"/>
                  <w:gridSpan w:val="2"/>
                  <w:shd w:val="clear" w:color="auto" w:fill="auto"/>
                  <w:vAlign w:val="center"/>
                </w:tcPr>
                <w:p w14:paraId="558612F1">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rPr>
                    <w:t>/</w:t>
                  </w:r>
                </w:p>
              </w:tc>
            </w:tr>
            <w:tr w14:paraId="244E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2" w:type="pct"/>
              </w:trPr>
              <w:tc>
                <w:tcPr>
                  <w:tcW w:w="1070" w:type="pct"/>
                  <w:gridSpan w:val="2"/>
                  <w:vAlign w:val="center"/>
                </w:tcPr>
                <w:p w14:paraId="26AA11BC">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排放形式</w:t>
                  </w:r>
                </w:p>
              </w:tc>
              <w:tc>
                <w:tcPr>
                  <w:tcW w:w="2382" w:type="pct"/>
                  <w:gridSpan w:val="3"/>
                  <w:vAlign w:val="center"/>
                </w:tcPr>
                <w:p w14:paraId="162CFC93">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有组织</w:t>
                  </w:r>
                </w:p>
              </w:tc>
              <w:tc>
                <w:tcPr>
                  <w:tcW w:w="1028" w:type="pct"/>
                  <w:vAlign w:val="center"/>
                </w:tcPr>
                <w:p w14:paraId="2B1413F2">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无组织</w:t>
                  </w:r>
                </w:p>
              </w:tc>
              <w:tc>
                <w:tcPr>
                  <w:tcW w:w="516" w:type="pct"/>
                  <w:shd w:val="clear" w:color="auto" w:fill="auto"/>
                  <w:vAlign w:val="center"/>
                </w:tcPr>
                <w:p w14:paraId="5CD0940A">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rPr>
                    <w:t>无组织</w:t>
                  </w:r>
                </w:p>
              </w:tc>
            </w:tr>
            <w:tr w14:paraId="4AB5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gridAfter w:val="1"/>
                <w:wAfter w:w="2" w:type="pct"/>
              </w:trPr>
              <w:tc>
                <w:tcPr>
                  <w:tcW w:w="395" w:type="pct"/>
                  <w:vMerge w:val="restart"/>
                  <w:vAlign w:val="center"/>
                </w:tcPr>
                <w:p w14:paraId="7E1E6E41">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治理设施</w:t>
                  </w:r>
                </w:p>
              </w:tc>
              <w:tc>
                <w:tcPr>
                  <w:tcW w:w="675" w:type="pct"/>
                  <w:vAlign w:val="center"/>
                </w:tcPr>
                <w:p w14:paraId="27179B2B">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治理工艺</w:t>
                  </w:r>
                </w:p>
              </w:tc>
              <w:tc>
                <w:tcPr>
                  <w:tcW w:w="1421" w:type="pct"/>
                  <w:gridSpan w:val="2"/>
                  <w:vAlign w:val="center"/>
                </w:tcPr>
                <w:p w14:paraId="0E9909A2">
                  <w:pPr>
                    <w:adjustRightInd w:val="0"/>
                    <w:snapToGrid w:val="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包围型集气罩（含软帘）+活性炭吸附浓缩+催化氧化（CO）+1根20m排气筒（DA001）</w:t>
                  </w:r>
                </w:p>
              </w:tc>
              <w:tc>
                <w:tcPr>
                  <w:tcW w:w="961" w:type="pct"/>
                  <w:vAlign w:val="center"/>
                </w:tcPr>
                <w:p w14:paraId="3927629D">
                  <w:pPr>
                    <w:adjustRightInd w:val="0"/>
                    <w:snapToGrid w:val="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包围型集气罩（含软帘）+二级活性炭吸附+1根20m排气筒（DA002）</w:t>
                  </w:r>
                </w:p>
              </w:tc>
              <w:tc>
                <w:tcPr>
                  <w:tcW w:w="1028" w:type="pct"/>
                  <w:vAlign w:val="center"/>
                </w:tcPr>
                <w:p w14:paraId="44E074F1">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车间通风</w:t>
                  </w:r>
                </w:p>
                <w:p w14:paraId="058C5202">
                  <w:pPr>
                    <w:adjustRightInd w:val="0"/>
                    <w:snapToGrid w:val="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rPr>
                    <w:t>换气</w:t>
                  </w:r>
                </w:p>
              </w:tc>
              <w:tc>
                <w:tcPr>
                  <w:tcW w:w="516" w:type="pct"/>
                  <w:vAlign w:val="center"/>
                </w:tcPr>
                <w:p w14:paraId="393CD7C6">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车间通风换气</w:t>
                  </w:r>
                </w:p>
              </w:tc>
            </w:tr>
            <w:tr w14:paraId="0AC3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395" w:type="pct"/>
                  <w:vMerge w:val="continue"/>
                  <w:vAlign w:val="center"/>
                </w:tcPr>
                <w:p w14:paraId="280AD784">
                  <w:pPr>
                    <w:adjustRightInd w:val="0"/>
                    <w:snapToGrid w:val="0"/>
                    <w:jc w:val="center"/>
                    <w:rPr>
                      <w:rFonts w:hint="default" w:ascii="Times New Roman" w:hAnsi="Times New Roman" w:eastAsia="宋体" w:cs="Times New Roman"/>
                      <w:color w:val="auto"/>
                      <w:kern w:val="24"/>
                      <w:sz w:val="21"/>
                      <w:szCs w:val="21"/>
                      <w:highlight w:val="none"/>
                    </w:rPr>
                  </w:pPr>
                </w:p>
              </w:tc>
              <w:tc>
                <w:tcPr>
                  <w:tcW w:w="675" w:type="pct"/>
                  <w:vAlign w:val="center"/>
                </w:tcPr>
                <w:p w14:paraId="61B0CBFD">
                  <w:pPr>
                    <w:adjustRightInd w:val="0"/>
                    <w:snapToGrid w:val="0"/>
                    <w:jc w:val="center"/>
                    <w:rPr>
                      <w:rFonts w:hint="default" w:ascii="Times New Roman" w:hAnsi="Times New Roman" w:eastAsia="宋体" w:cs="Times New Roman"/>
                      <w:color w:val="auto"/>
                      <w:kern w:val="24"/>
                      <w:sz w:val="21"/>
                      <w:szCs w:val="21"/>
                      <w:highlight w:val="none"/>
                      <w:lang w:eastAsia="zh-CN"/>
                    </w:rPr>
                  </w:pPr>
                  <w:r>
                    <w:rPr>
                      <w:rFonts w:hint="default" w:ascii="Times New Roman" w:hAnsi="Times New Roman" w:eastAsia="宋体" w:cs="Times New Roman"/>
                      <w:color w:val="auto"/>
                      <w:kern w:val="24"/>
                      <w:sz w:val="21"/>
                      <w:szCs w:val="21"/>
                      <w:highlight w:val="none"/>
                    </w:rPr>
                    <w:t>处理能力</w:t>
                  </w:r>
                  <w:r>
                    <w:rPr>
                      <w:rFonts w:hint="default" w:ascii="Times New Roman" w:hAnsi="Times New Roman" w:eastAsia="宋体" w:cs="Times New Roman"/>
                      <w:color w:val="auto"/>
                      <w:kern w:val="24"/>
                      <w:sz w:val="21"/>
                      <w:szCs w:val="21"/>
                      <w:highlight w:val="none"/>
                      <w:lang w:eastAsia="zh-CN"/>
                    </w:rPr>
                    <w:t>（</w:t>
                  </w:r>
                  <w:r>
                    <w:rPr>
                      <w:rFonts w:hint="default" w:ascii="Times New Roman" w:hAnsi="Times New Roman" w:eastAsia="宋体" w:cs="Times New Roman"/>
                      <w:color w:val="auto"/>
                      <w:kern w:val="24"/>
                      <w:sz w:val="21"/>
                      <w:szCs w:val="21"/>
                      <w:highlight w:val="none"/>
                    </w:rPr>
                    <w:t>m</w:t>
                  </w:r>
                  <w:r>
                    <w:rPr>
                      <w:rFonts w:hint="default" w:ascii="Times New Roman" w:hAnsi="Times New Roman" w:eastAsia="宋体" w:cs="Times New Roman"/>
                      <w:color w:val="auto"/>
                      <w:kern w:val="24"/>
                      <w:sz w:val="21"/>
                      <w:szCs w:val="21"/>
                      <w:highlight w:val="none"/>
                      <w:vertAlign w:val="superscript"/>
                    </w:rPr>
                    <w:t>3</w:t>
                  </w:r>
                  <w:r>
                    <w:rPr>
                      <w:rFonts w:hint="default" w:ascii="Times New Roman" w:hAnsi="Times New Roman" w:eastAsia="宋体" w:cs="Times New Roman"/>
                      <w:color w:val="auto"/>
                      <w:kern w:val="24"/>
                      <w:sz w:val="21"/>
                      <w:szCs w:val="21"/>
                      <w:highlight w:val="none"/>
                    </w:rPr>
                    <w:t>/h</w:t>
                  </w:r>
                  <w:r>
                    <w:rPr>
                      <w:rFonts w:hint="default" w:ascii="Times New Roman" w:hAnsi="Times New Roman" w:eastAsia="宋体" w:cs="Times New Roman"/>
                      <w:color w:val="auto"/>
                      <w:kern w:val="24"/>
                      <w:sz w:val="21"/>
                      <w:szCs w:val="21"/>
                      <w:highlight w:val="none"/>
                      <w:lang w:eastAsia="zh-CN"/>
                    </w:rPr>
                    <w:t>）</w:t>
                  </w:r>
                </w:p>
              </w:tc>
              <w:tc>
                <w:tcPr>
                  <w:tcW w:w="1421" w:type="pct"/>
                  <w:gridSpan w:val="2"/>
                  <w:vAlign w:val="center"/>
                </w:tcPr>
                <w:p w14:paraId="1E3CE89B">
                  <w:pPr>
                    <w:adjustRightInd w:val="0"/>
                    <w:snapToGrid w:val="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40000</w:t>
                  </w:r>
                </w:p>
              </w:tc>
              <w:tc>
                <w:tcPr>
                  <w:tcW w:w="961" w:type="pct"/>
                  <w:vAlign w:val="center"/>
                </w:tcPr>
                <w:p w14:paraId="02B91E4C">
                  <w:pPr>
                    <w:adjustRightInd w:val="0"/>
                    <w:snapToGrid w:val="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5000</w:t>
                  </w:r>
                </w:p>
              </w:tc>
              <w:tc>
                <w:tcPr>
                  <w:tcW w:w="1028" w:type="pct"/>
                  <w:vAlign w:val="center"/>
                </w:tcPr>
                <w:p w14:paraId="06224614">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w:t>
                  </w:r>
                </w:p>
              </w:tc>
              <w:tc>
                <w:tcPr>
                  <w:tcW w:w="518" w:type="pct"/>
                  <w:gridSpan w:val="2"/>
                  <w:shd w:val="clear" w:color="auto" w:fill="auto"/>
                  <w:vAlign w:val="center"/>
                </w:tcPr>
                <w:p w14:paraId="64C344A4">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rPr>
                    <w:t>/</w:t>
                  </w:r>
                </w:p>
              </w:tc>
            </w:tr>
            <w:tr w14:paraId="5C9C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395" w:type="pct"/>
                  <w:vMerge w:val="continue"/>
                  <w:vAlign w:val="center"/>
                </w:tcPr>
                <w:p w14:paraId="7CC88F55">
                  <w:pPr>
                    <w:adjustRightInd w:val="0"/>
                    <w:snapToGrid w:val="0"/>
                    <w:jc w:val="center"/>
                    <w:rPr>
                      <w:rFonts w:hint="default" w:ascii="Times New Roman" w:hAnsi="Times New Roman" w:eastAsia="宋体" w:cs="Times New Roman"/>
                      <w:color w:val="auto"/>
                      <w:kern w:val="24"/>
                      <w:sz w:val="21"/>
                      <w:szCs w:val="21"/>
                      <w:highlight w:val="none"/>
                    </w:rPr>
                  </w:pPr>
                </w:p>
              </w:tc>
              <w:tc>
                <w:tcPr>
                  <w:tcW w:w="675" w:type="pct"/>
                  <w:vAlign w:val="center"/>
                </w:tcPr>
                <w:p w14:paraId="1E19D9FF">
                  <w:pPr>
                    <w:adjustRightInd w:val="0"/>
                    <w:snapToGrid w:val="0"/>
                    <w:jc w:val="center"/>
                    <w:rPr>
                      <w:rFonts w:hint="default" w:ascii="Times New Roman" w:hAnsi="Times New Roman" w:eastAsia="宋体" w:cs="Times New Roman"/>
                      <w:color w:val="auto"/>
                      <w:kern w:val="24"/>
                      <w:sz w:val="21"/>
                      <w:szCs w:val="21"/>
                      <w:highlight w:val="none"/>
                      <w:lang w:eastAsia="zh-CN"/>
                    </w:rPr>
                  </w:pPr>
                  <w:r>
                    <w:rPr>
                      <w:rFonts w:hint="default" w:ascii="Times New Roman" w:hAnsi="Times New Roman" w:eastAsia="宋体" w:cs="Times New Roman"/>
                      <w:color w:val="auto"/>
                      <w:kern w:val="24"/>
                      <w:sz w:val="21"/>
                      <w:szCs w:val="21"/>
                      <w:highlight w:val="none"/>
                    </w:rPr>
                    <w:t>收集效率</w:t>
                  </w:r>
                  <w:r>
                    <w:rPr>
                      <w:rFonts w:hint="default" w:ascii="Times New Roman" w:hAnsi="Times New Roman" w:eastAsia="宋体" w:cs="Times New Roman"/>
                      <w:color w:val="auto"/>
                      <w:kern w:val="24"/>
                      <w:sz w:val="21"/>
                      <w:szCs w:val="21"/>
                      <w:highlight w:val="none"/>
                      <w:lang w:eastAsia="zh-CN"/>
                    </w:rPr>
                    <w:t>（</w:t>
                  </w:r>
                  <w:r>
                    <w:rPr>
                      <w:rFonts w:hint="default" w:ascii="Times New Roman" w:hAnsi="Times New Roman" w:eastAsia="宋体" w:cs="Times New Roman"/>
                      <w:color w:val="auto"/>
                      <w:kern w:val="24"/>
                      <w:sz w:val="21"/>
                      <w:szCs w:val="21"/>
                      <w:highlight w:val="none"/>
                    </w:rPr>
                    <w:t>%</w:t>
                  </w:r>
                  <w:r>
                    <w:rPr>
                      <w:rFonts w:hint="default" w:ascii="Times New Roman" w:hAnsi="Times New Roman" w:eastAsia="宋体" w:cs="Times New Roman"/>
                      <w:color w:val="auto"/>
                      <w:kern w:val="24"/>
                      <w:sz w:val="21"/>
                      <w:szCs w:val="21"/>
                      <w:highlight w:val="none"/>
                      <w:lang w:eastAsia="zh-CN"/>
                    </w:rPr>
                    <w:t>）</w:t>
                  </w:r>
                </w:p>
              </w:tc>
              <w:tc>
                <w:tcPr>
                  <w:tcW w:w="1421" w:type="pct"/>
                  <w:gridSpan w:val="2"/>
                  <w:vAlign w:val="center"/>
                </w:tcPr>
                <w:p w14:paraId="4DD595C9">
                  <w:pPr>
                    <w:adjustRightInd w:val="0"/>
                    <w:snapToGrid w:val="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80</w:t>
                  </w:r>
                </w:p>
              </w:tc>
              <w:tc>
                <w:tcPr>
                  <w:tcW w:w="961" w:type="pct"/>
                  <w:vAlign w:val="center"/>
                </w:tcPr>
                <w:p w14:paraId="063DED26">
                  <w:pPr>
                    <w:adjustRightInd w:val="0"/>
                    <w:snapToGrid w:val="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80</w:t>
                  </w:r>
                </w:p>
              </w:tc>
              <w:tc>
                <w:tcPr>
                  <w:tcW w:w="1028" w:type="pct"/>
                  <w:vAlign w:val="center"/>
                </w:tcPr>
                <w:p w14:paraId="5077DA3C">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w:t>
                  </w:r>
                </w:p>
              </w:tc>
              <w:tc>
                <w:tcPr>
                  <w:tcW w:w="518" w:type="pct"/>
                  <w:gridSpan w:val="2"/>
                  <w:shd w:val="clear" w:color="auto" w:fill="auto"/>
                  <w:vAlign w:val="center"/>
                </w:tcPr>
                <w:p w14:paraId="0D426084">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rPr>
                    <w:t>/</w:t>
                  </w:r>
                </w:p>
              </w:tc>
            </w:tr>
            <w:tr w14:paraId="162C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395" w:type="pct"/>
                  <w:vMerge w:val="continue"/>
                  <w:vAlign w:val="center"/>
                </w:tcPr>
                <w:p w14:paraId="631A0AD5">
                  <w:pPr>
                    <w:adjustRightInd w:val="0"/>
                    <w:snapToGrid w:val="0"/>
                    <w:jc w:val="center"/>
                    <w:rPr>
                      <w:rFonts w:hint="default" w:ascii="Times New Roman" w:hAnsi="Times New Roman" w:eastAsia="宋体" w:cs="Times New Roman"/>
                      <w:color w:val="auto"/>
                      <w:kern w:val="24"/>
                      <w:sz w:val="21"/>
                      <w:szCs w:val="21"/>
                      <w:highlight w:val="none"/>
                    </w:rPr>
                  </w:pPr>
                </w:p>
              </w:tc>
              <w:tc>
                <w:tcPr>
                  <w:tcW w:w="675" w:type="pct"/>
                  <w:vAlign w:val="center"/>
                </w:tcPr>
                <w:p w14:paraId="3510BD82">
                  <w:pPr>
                    <w:adjustRightInd w:val="0"/>
                    <w:snapToGrid w:val="0"/>
                    <w:jc w:val="center"/>
                    <w:rPr>
                      <w:rFonts w:hint="default" w:ascii="Times New Roman" w:hAnsi="Times New Roman" w:eastAsia="宋体" w:cs="Times New Roman"/>
                      <w:color w:val="auto"/>
                      <w:kern w:val="24"/>
                      <w:sz w:val="21"/>
                      <w:szCs w:val="21"/>
                      <w:highlight w:val="none"/>
                      <w:lang w:eastAsia="zh-CN"/>
                    </w:rPr>
                  </w:pPr>
                  <w:r>
                    <w:rPr>
                      <w:rFonts w:hint="default" w:ascii="Times New Roman" w:hAnsi="Times New Roman" w:eastAsia="宋体" w:cs="Times New Roman"/>
                      <w:color w:val="auto"/>
                      <w:kern w:val="24"/>
                      <w:sz w:val="21"/>
                      <w:szCs w:val="21"/>
                      <w:highlight w:val="none"/>
                    </w:rPr>
                    <w:t>去除率</w:t>
                  </w:r>
                  <w:r>
                    <w:rPr>
                      <w:rFonts w:hint="default" w:ascii="Times New Roman" w:hAnsi="Times New Roman" w:eastAsia="宋体" w:cs="Times New Roman"/>
                      <w:color w:val="auto"/>
                      <w:kern w:val="24"/>
                      <w:sz w:val="21"/>
                      <w:szCs w:val="21"/>
                      <w:highlight w:val="none"/>
                      <w:lang w:eastAsia="zh-CN"/>
                    </w:rPr>
                    <w:t>（</w:t>
                  </w:r>
                  <w:r>
                    <w:rPr>
                      <w:rFonts w:hint="default" w:ascii="Times New Roman" w:hAnsi="Times New Roman" w:eastAsia="宋体" w:cs="Times New Roman"/>
                      <w:color w:val="auto"/>
                      <w:kern w:val="24"/>
                      <w:sz w:val="21"/>
                      <w:szCs w:val="21"/>
                      <w:highlight w:val="none"/>
                    </w:rPr>
                    <w:t>%</w:t>
                  </w:r>
                  <w:r>
                    <w:rPr>
                      <w:rFonts w:hint="default" w:ascii="Times New Roman" w:hAnsi="Times New Roman" w:eastAsia="宋体" w:cs="Times New Roman"/>
                      <w:color w:val="auto"/>
                      <w:kern w:val="24"/>
                      <w:sz w:val="21"/>
                      <w:szCs w:val="21"/>
                      <w:highlight w:val="none"/>
                      <w:lang w:eastAsia="zh-CN"/>
                    </w:rPr>
                    <w:t>）</w:t>
                  </w:r>
                </w:p>
              </w:tc>
              <w:tc>
                <w:tcPr>
                  <w:tcW w:w="1421" w:type="pct"/>
                  <w:gridSpan w:val="2"/>
                  <w:vAlign w:val="center"/>
                </w:tcPr>
                <w:p w14:paraId="56DB4BF3">
                  <w:pPr>
                    <w:adjustRightInd w:val="0"/>
                    <w:snapToGrid w:val="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80</w:t>
                  </w:r>
                </w:p>
              </w:tc>
              <w:tc>
                <w:tcPr>
                  <w:tcW w:w="961" w:type="pct"/>
                  <w:vAlign w:val="center"/>
                </w:tcPr>
                <w:p w14:paraId="4E0D1B23">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60</w:t>
                  </w:r>
                </w:p>
              </w:tc>
              <w:tc>
                <w:tcPr>
                  <w:tcW w:w="1028" w:type="pct"/>
                  <w:vAlign w:val="center"/>
                </w:tcPr>
                <w:p w14:paraId="5CCC80E2">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w:t>
                  </w:r>
                </w:p>
              </w:tc>
              <w:tc>
                <w:tcPr>
                  <w:tcW w:w="518" w:type="pct"/>
                  <w:gridSpan w:val="2"/>
                  <w:shd w:val="clear" w:color="auto" w:fill="auto"/>
                  <w:vAlign w:val="center"/>
                </w:tcPr>
                <w:p w14:paraId="3C74A2DD">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rPr>
                    <w:t>/</w:t>
                  </w:r>
                </w:p>
              </w:tc>
            </w:tr>
            <w:tr w14:paraId="04E32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395" w:type="pct"/>
                  <w:vMerge w:val="continue"/>
                  <w:vAlign w:val="center"/>
                </w:tcPr>
                <w:p w14:paraId="107230CF">
                  <w:pPr>
                    <w:adjustRightInd w:val="0"/>
                    <w:snapToGrid w:val="0"/>
                    <w:jc w:val="center"/>
                    <w:rPr>
                      <w:rFonts w:hint="default" w:ascii="Times New Roman" w:hAnsi="Times New Roman" w:eastAsia="宋体" w:cs="Times New Roman"/>
                      <w:color w:val="auto"/>
                      <w:kern w:val="24"/>
                      <w:sz w:val="21"/>
                      <w:szCs w:val="21"/>
                      <w:highlight w:val="none"/>
                    </w:rPr>
                  </w:pPr>
                </w:p>
              </w:tc>
              <w:tc>
                <w:tcPr>
                  <w:tcW w:w="675" w:type="pct"/>
                  <w:vAlign w:val="center"/>
                </w:tcPr>
                <w:p w14:paraId="5E5B42A9">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是否可行技术</w:t>
                  </w:r>
                </w:p>
              </w:tc>
              <w:tc>
                <w:tcPr>
                  <w:tcW w:w="1421" w:type="pct"/>
                  <w:gridSpan w:val="2"/>
                  <w:vAlign w:val="center"/>
                </w:tcPr>
                <w:p w14:paraId="4E802A08">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是</w:t>
                  </w:r>
                </w:p>
              </w:tc>
              <w:tc>
                <w:tcPr>
                  <w:tcW w:w="961" w:type="pct"/>
                  <w:vAlign w:val="center"/>
                </w:tcPr>
                <w:p w14:paraId="11894ACE">
                  <w:pPr>
                    <w:adjustRightInd w:val="0"/>
                    <w:snapToGrid w:val="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是</w:t>
                  </w:r>
                </w:p>
              </w:tc>
              <w:tc>
                <w:tcPr>
                  <w:tcW w:w="1028" w:type="pct"/>
                  <w:vAlign w:val="center"/>
                </w:tcPr>
                <w:p w14:paraId="2651A564">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w:t>
                  </w:r>
                </w:p>
              </w:tc>
              <w:tc>
                <w:tcPr>
                  <w:tcW w:w="518" w:type="pct"/>
                  <w:gridSpan w:val="2"/>
                  <w:shd w:val="clear" w:color="auto" w:fill="auto"/>
                  <w:vAlign w:val="center"/>
                </w:tcPr>
                <w:p w14:paraId="7775778A">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rPr>
                    <w:t>/</w:t>
                  </w:r>
                </w:p>
              </w:tc>
            </w:tr>
            <w:tr w14:paraId="2DB1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1070" w:type="pct"/>
                  <w:gridSpan w:val="2"/>
                  <w:vAlign w:val="center"/>
                </w:tcPr>
                <w:p w14:paraId="1C9F865C">
                  <w:pPr>
                    <w:adjustRightInd w:val="0"/>
                    <w:snapToGrid w:val="0"/>
                    <w:jc w:val="center"/>
                    <w:rPr>
                      <w:rFonts w:hint="default" w:ascii="Times New Roman" w:hAnsi="Times New Roman" w:eastAsia="宋体" w:cs="Times New Roman"/>
                      <w:color w:val="auto"/>
                      <w:kern w:val="24"/>
                      <w:sz w:val="21"/>
                      <w:szCs w:val="21"/>
                      <w:highlight w:val="none"/>
                      <w:lang w:eastAsia="zh-CN"/>
                    </w:rPr>
                  </w:pPr>
                  <w:r>
                    <w:rPr>
                      <w:rFonts w:hint="default" w:ascii="Times New Roman" w:hAnsi="Times New Roman" w:eastAsia="宋体" w:cs="Times New Roman"/>
                      <w:color w:val="auto"/>
                      <w:kern w:val="24"/>
                      <w:sz w:val="21"/>
                      <w:szCs w:val="21"/>
                      <w:highlight w:val="none"/>
                    </w:rPr>
                    <w:t>污染物排放浓度</w:t>
                  </w:r>
                  <w:r>
                    <w:rPr>
                      <w:rFonts w:hint="default" w:ascii="Times New Roman" w:hAnsi="Times New Roman" w:eastAsia="宋体" w:cs="Times New Roman"/>
                      <w:color w:val="auto"/>
                      <w:kern w:val="24"/>
                      <w:sz w:val="21"/>
                      <w:szCs w:val="21"/>
                      <w:highlight w:val="none"/>
                      <w:lang w:eastAsia="zh-CN"/>
                    </w:rPr>
                    <w:t>（</w:t>
                  </w:r>
                  <w:r>
                    <w:rPr>
                      <w:rFonts w:hint="default" w:ascii="Times New Roman" w:hAnsi="Times New Roman" w:eastAsia="宋体" w:cs="Times New Roman"/>
                      <w:color w:val="auto"/>
                      <w:kern w:val="24"/>
                      <w:sz w:val="21"/>
                      <w:szCs w:val="21"/>
                      <w:highlight w:val="none"/>
                    </w:rPr>
                    <w:t>mg/m</w:t>
                  </w:r>
                  <w:r>
                    <w:rPr>
                      <w:rFonts w:hint="default" w:ascii="Times New Roman" w:hAnsi="Times New Roman" w:eastAsia="宋体" w:cs="Times New Roman"/>
                      <w:color w:val="auto"/>
                      <w:kern w:val="24"/>
                      <w:sz w:val="21"/>
                      <w:szCs w:val="21"/>
                      <w:highlight w:val="none"/>
                      <w:vertAlign w:val="superscript"/>
                    </w:rPr>
                    <w:t>3</w:t>
                  </w:r>
                  <w:r>
                    <w:rPr>
                      <w:rFonts w:hint="default" w:ascii="Times New Roman" w:hAnsi="Times New Roman" w:eastAsia="宋体" w:cs="Times New Roman"/>
                      <w:color w:val="auto"/>
                      <w:kern w:val="24"/>
                      <w:sz w:val="21"/>
                      <w:szCs w:val="21"/>
                      <w:highlight w:val="none"/>
                      <w:lang w:eastAsia="zh-CN"/>
                    </w:rPr>
                    <w:t>）</w:t>
                  </w:r>
                </w:p>
              </w:tc>
              <w:tc>
                <w:tcPr>
                  <w:tcW w:w="1421" w:type="pct"/>
                  <w:gridSpan w:val="2"/>
                  <w:vAlign w:val="center"/>
                </w:tcPr>
                <w:p w14:paraId="47F4F1FA">
                  <w:pPr>
                    <w:pStyle w:val="24"/>
                    <w:keepNext w:val="0"/>
                    <w:keepLines w:val="0"/>
                    <w:pageBreakBefore w:val="0"/>
                    <w:kinsoku/>
                    <w:wordWrap/>
                    <w:overflowPunct/>
                    <w:topLinePunct w:val="0"/>
                    <w:autoSpaceDE/>
                    <w:autoSpaceDN/>
                    <w:bidi w:val="0"/>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53.5</w:t>
                  </w:r>
                </w:p>
              </w:tc>
              <w:tc>
                <w:tcPr>
                  <w:tcW w:w="961" w:type="pct"/>
                  <w:vAlign w:val="center"/>
                </w:tcPr>
                <w:p w14:paraId="5274BC44">
                  <w:pPr>
                    <w:pStyle w:val="24"/>
                    <w:keepNext w:val="0"/>
                    <w:keepLines w:val="0"/>
                    <w:pageBreakBefore w:val="0"/>
                    <w:kinsoku/>
                    <w:wordWrap/>
                    <w:overflowPunct/>
                    <w:topLinePunct w:val="0"/>
                    <w:autoSpaceDE/>
                    <w:autoSpaceDN/>
                    <w:bidi w:val="0"/>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46</w:t>
                  </w:r>
                </w:p>
              </w:tc>
              <w:tc>
                <w:tcPr>
                  <w:tcW w:w="1028" w:type="pct"/>
                  <w:vAlign w:val="center"/>
                </w:tcPr>
                <w:p w14:paraId="08CC7836">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w:t>
                  </w:r>
                </w:p>
              </w:tc>
              <w:tc>
                <w:tcPr>
                  <w:tcW w:w="518" w:type="pct"/>
                  <w:gridSpan w:val="2"/>
                  <w:vAlign w:val="center"/>
                </w:tcPr>
                <w:p w14:paraId="3B040549">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w:t>
                  </w:r>
                </w:p>
              </w:tc>
            </w:tr>
            <w:tr w14:paraId="4057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1070" w:type="pct"/>
                  <w:gridSpan w:val="2"/>
                  <w:vAlign w:val="center"/>
                </w:tcPr>
                <w:p w14:paraId="4A9E22EC">
                  <w:pPr>
                    <w:adjustRightInd w:val="0"/>
                    <w:snapToGrid w:val="0"/>
                    <w:jc w:val="center"/>
                    <w:rPr>
                      <w:rFonts w:hint="default" w:ascii="Times New Roman" w:hAnsi="Times New Roman" w:eastAsia="宋体" w:cs="Times New Roman"/>
                      <w:color w:val="auto"/>
                      <w:kern w:val="24"/>
                      <w:sz w:val="21"/>
                      <w:szCs w:val="21"/>
                      <w:highlight w:val="none"/>
                      <w:lang w:eastAsia="zh-CN"/>
                    </w:rPr>
                  </w:pPr>
                  <w:r>
                    <w:rPr>
                      <w:rFonts w:hint="default" w:ascii="Times New Roman" w:hAnsi="Times New Roman" w:eastAsia="宋体" w:cs="Times New Roman"/>
                      <w:color w:val="auto"/>
                      <w:kern w:val="24"/>
                      <w:sz w:val="21"/>
                      <w:szCs w:val="21"/>
                      <w:highlight w:val="none"/>
                    </w:rPr>
                    <w:t>污染物排放速率</w:t>
                  </w:r>
                  <w:r>
                    <w:rPr>
                      <w:rFonts w:hint="default" w:ascii="Times New Roman" w:hAnsi="Times New Roman" w:eastAsia="宋体" w:cs="Times New Roman"/>
                      <w:color w:val="auto"/>
                      <w:kern w:val="24"/>
                      <w:sz w:val="21"/>
                      <w:szCs w:val="21"/>
                      <w:highlight w:val="none"/>
                      <w:lang w:eastAsia="zh-CN"/>
                    </w:rPr>
                    <w:t>（</w:t>
                  </w:r>
                  <w:r>
                    <w:rPr>
                      <w:rFonts w:hint="default" w:ascii="Times New Roman" w:hAnsi="Times New Roman" w:eastAsia="宋体" w:cs="Times New Roman"/>
                      <w:color w:val="auto"/>
                      <w:kern w:val="24"/>
                      <w:sz w:val="21"/>
                      <w:szCs w:val="21"/>
                      <w:highlight w:val="none"/>
                    </w:rPr>
                    <w:t>kg/h</w:t>
                  </w:r>
                  <w:r>
                    <w:rPr>
                      <w:rFonts w:hint="default" w:ascii="Times New Roman" w:hAnsi="Times New Roman" w:eastAsia="宋体" w:cs="Times New Roman"/>
                      <w:color w:val="auto"/>
                      <w:kern w:val="24"/>
                      <w:sz w:val="21"/>
                      <w:szCs w:val="21"/>
                      <w:highlight w:val="none"/>
                      <w:lang w:eastAsia="zh-CN"/>
                    </w:rPr>
                    <w:t>）</w:t>
                  </w:r>
                </w:p>
              </w:tc>
              <w:tc>
                <w:tcPr>
                  <w:tcW w:w="1421" w:type="pct"/>
                  <w:gridSpan w:val="2"/>
                  <w:vAlign w:val="center"/>
                </w:tcPr>
                <w:p w14:paraId="02DCE3FE">
                  <w:pPr>
                    <w:pStyle w:val="24"/>
                    <w:keepNext w:val="0"/>
                    <w:keepLines w:val="0"/>
                    <w:pageBreakBefore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2.14</w:t>
                  </w:r>
                </w:p>
              </w:tc>
              <w:tc>
                <w:tcPr>
                  <w:tcW w:w="961" w:type="pct"/>
                  <w:vAlign w:val="center"/>
                </w:tcPr>
                <w:p w14:paraId="504A9682">
                  <w:pPr>
                    <w:pStyle w:val="24"/>
                    <w:keepNext w:val="0"/>
                    <w:keepLines w:val="0"/>
                    <w:pageBreakBefore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0.23</w:t>
                  </w:r>
                </w:p>
              </w:tc>
              <w:tc>
                <w:tcPr>
                  <w:tcW w:w="1028" w:type="pct"/>
                  <w:vAlign w:val="center"/>
                </w:tcPr>
                <w:p w14:paraId="30A6E34F">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w:t>
                  </w:r>
                </w:p>
              </w:tc>
              <w:tc>
                <w:tcPr>
                  <w:tcW w:w="518" w:type="pct"/>
                  <w:gridSpan w:val="2"/>
                  <w:vAlign w:val="center"/>
                </w:tcPr>
                <w:p w14:paraId="48F52581">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少量</w:t>
                  </w:r>
                </w:p>
              </w:tc>
            </w:tr>
            <w:tr w14:paraId="2DA9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c>
                <w:tcPr>
                  <w:tcW w:w="1070" w:type="pct"/>
                  <w:gridSpan w:val="2"/>
                  <w:vAlign w:val="center"/>
                </w:tcPr>
                <w:p w14:paraId="548BEC64">
                  <w:pPr>
                    <w:adjustRightInd w:val="0"/>
                    <w:snapToGrid w:val="0"/>
                    <w:jc w:val="center"/>
                    <w:rPr>
                      <w:rFonts w:hint="default" w:ascii="Times New Roman" w:hAnsi="Times New Roman" w:eastAsia="宋体" w:cs="Times New Roman"/>
                      <w:color w:val="auto"/>
                      <w:kern w:val="24"/>
                      <w:sz w:val="21"/>
                      <w:szCs w:val="21"/>
                      <w:highlight w:val="none"/>
                      <w:lang w:eastAsia="zh-CN"/>
                    </w:rPr>
                  </w:pPr>
                  <w:r>
                    <w:rPr>
                      <w:rFonts w:hint="default" w:ascii="Times New Roman" w:hAnsi="Times New Roman" w:eastAsia="宋体" w:cs="Times New Roman"/>
                      <w:color w:val="auto"/>
                      <w:kern w:val="24"/>
                      <w:sz w:val="21"/>
                      <w:szCs w:val="21"/>
                      <w:highlight w:val="none"/>
                    </w:rPr>
                    <w:t>污染物排放量</w:t>
                  </w:r>
                  <w:r>
                    <w:rPr>
                      <w:rFonts w:hint="default" w:ascii="Times New Roman" w:hAnsi="Times New Roman" w:eastAsia="宋体" w:cs="Times New Roman"/>
                      <w:color w:val="auto"/>
                      <w:kern w:val="24"/>
                      <w:sz w:val="21"/>
                      <w:szCs w:val="21"/>
                      <w:highlight w:val="none"/>
                      <w:lang w:eastAsia="zh-CN"/>
                    </w:rPr>
                    <w:t>（</w:t>
                  </w:r>
                  <w:r>
                    <w:rPr>
                      <w:rFonts w:hint="default" w:ascii="Times New Roman" w:hAnsi="Times New Roman" w:eastAsia="宋体" w:cs="Times New Roman"/>
                      <w:color w:val="auto"/>
                      <w:kern w:val="24"/>
                      <w:sz w:val="21"/>
                      <w:szCs w:val="21"/>
                      <w:highlight w:val="none"/>
                    </w:rPr>
                    <w:t>t/a</w:t>
                  </w:r>
                  <w:r>
                    <w:rPr>
                      <w:rFonts w:hint="default" w:ascii="Times New Roman" w:hAnsi="Times New Roman" w:eastAsia="宋体" w:cs="Times New Roman"/>
                      <w:color w:val="auto"/>
                      <w:kern w:val="24"/>
                      <w:sz w:val="21"/>
                      <w:szCs w:val="21"/>
                      <w:highlight w:val="none"/>
                      <w:lang w:eastAsia="zh-CN"/>
                    </w:rPr>
                    <w:t>）</w:t>
                  </w:r>
                </w:p>
              </w:tc>
              <w:tc>
                <w:tcPr>
                  <w:tcW w:w="1421" w:type="pct"/>
                  <w:gridSpan w:val="2"/>
                  <w:vAlign w:val="center"/>
                </w:tcPr>
                <w:p w14:paraId="55C910B0">
                  <w:pPr>
                    <w:keepNext w:val="0"/>
                    <w:keepLines w:val="0"/>
                    <w:pageBreakBefore w:val="0"/>
                    <w:widowControl/>
                    <w:kinsoku/>
                    <w:wordWrap/>
                    <w:overflowPunct/>
                    <w:topLinePunct w:val="0"/>
                    <w:autoSpaceDE/>
                    <w:autoSpaceDN/>
                    <w:bidi w:val="0"/>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15.44</w:t>
                  </w:r>
                </w:p>
              </w:tc>
              <w:tc>
                <w:tcPr>
                  <w:tcW w:w="961" w:type="pct"/>
                  <w:vAlign w:val="center"/>
                </w:tcPr>
                <w:p w14:paraId="350675A9">
                  <w:pPr>
                    <w:keepNext w:val="0"/>
                    <w:keepLines w:val="0"/>
                    <w:pageBreakBefore w:val="0"/>
                    <w:widowControl/>
                    <w:kinsoku/>
                    <w:wordWrap/>
                    <w:overflowPunct/>
                    <w:topLinePunct w:val="0"/>
                    <w:autoSpaceDE/>
                    <w:autoSpaceDN/>
                    <w:bidi w:val="0"/>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w:t>
                  </w:r>
                </w:p>
              </w:tc>
              <w:tc>
                <w:tcPr>
                  <w:tcW w:w="1028" w:type="pct"/>
                  <w:vAlign w:val="center"/>
                </w:tcPr>
                <w:p w14:paraId="16E446DF">
                  <w:pPr>
                    <w:adjustRightInd w:val="0"/>
                    <w:snapToGrid w:val="0"/>
                    <w:jc w:val="center"/>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19.44</w:t>
                  </w:r>
                </w:p>
              </w:tc>
              <w:tc>
                <w:tcPr>
                  <w:tcW w:w="518" w:type="pct"/>
                  <w:gridSpan w:val="2"/>
                  <w:vAlign w:val="center"/>
                </w:tcPr>
                <w:p w14:paraId="13E733A6">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少量</w:t>
                  </w:r>
                </w:p>
              </w:tc>
            </w:tr>
          </w:tbl>
          <w:p w14:paraId="620033B4">
            <w:pPr>
              <w:adjustRightInd w:val="0"/>
              <w:snapToGrid w:val="0"/>
              <w:spacing w:line="360" w:lineRule="auto"/>
              <w:ind w:firstLine="480" w:firstLineChars="200"/>
              <w:jc w:val="left"/>
              <w:rPr>
                <w:rFonts w:hint="eastAsia" w:ascii="Times New Roman" w:hAnsi="Times New Roman" w:eastAsia="宋体" w:cs="Times New Roman"/>
                <w:color w:val="auto"/>
                <w:kern w:val="24"/>
                <w:sz w:val="24"/>
                <w:szCs w:val="22"/>
                <w:highlight w:val="none"/>
              </w:rPr>
            </w:pPr>
            <w:r>
              <w:rPr>
                <w:rFonts w:hint="eastAsia" w:ascii="Times New Roman" w:hAnsi="Times New Roman" w:eastAsia="宋体" w:cs="Times New Roman"/>
                <w:color w:val="auto"/>
                <w:kern w:val="24"/>
                <w:sz w:val="24"/>
                <w:szCs w:val="22"/>
                <w:highlight w:val="none"/>
              </w:rPr>
              <w:t>本项目属于简化管理</w:t>
            </w:r>
            <w:r>
              <w:rPr>
                <w:rFonts w:hint="eastAsia" w:cs="Times New Roman"/>
                <w:color w:val="auto"/>
                <w:kern w:val="24"/>
                <w:sz w:val="24"/>
                <w:szCs w:val="22"/>
                <w:highlight w:val="none"/>
                <w:lang w:eastAsia="zh-CN"/>
              </w:rPr>
              <w:t>，根据《排污许可证申请与核发技术规范 橡胶和塑料制品工业》（HJ 1122-2020），本项目主要废气污染源排放口（</w:t>
            </w:r>
            <w:r>
              <w:rPr>
                <w:rFonts w:hint="eastAsia" w:cs="Times New Roman"/>
                <w:color w:val="auto"/>
                <w:kern w:val="24"/>
                <w:sz w:val="24"/>
                <w:szCs w:val="22"/>
                <w:highlight w:val="none"/>
                <w:lang w:val="en-US" w:eastAsia="zh-CN"/>
              </w:rPr>
              <w:t>DA001</w:t>
            </w:r>
            <w:r>
              <w:rPr>
                <w:rFonts w:hint="eastAsia" w:cs="Times New Roman"/>
                <w:color w:val="auto"/>
                <w:kern w:val="24"/>
                <w:sz w:val="24"/>
                <w:szCs w:val="22"/>
                <w:highlight w:val="none"/>
                <w:lang w:eastAsia="zh-CN"/>
              </w:rPr>
              <w:t>）为一般排放口</w:t>
            </w:r>
            <w:r>
              <w:rPr>
                <w:rFonts w:hint="eastAsia" w:ascii="Times New Roman" w:hAnsi="Times New Roman" w:eastAsia="宋体" w:cs="Times New Roman"/>
                <w:color w:val="auto"/>
                <w:kern w:val="24"/>
                <w:sz w:val="24"/>
                <w:szCs w:val="22"/>
                <w:highlight w:val="none"/>
              </w:rPr>
              <w:t>。</w:t>
            </w:r>
          </w:p>
          <w:p w14:paraId="73F71735">
            <w:pPr>
              <w:adjustRightInd w:val="0"/>
              <w:snapToGrid w:val="0"/>
              <w:spacing w:line="360" w:lineRule="auto"/>
              <w:ind w:firstLine="480" w:firstLineChars="200"/>
              <w:jc w:val="left"/>
              <w:rPr>
                <w:rFonts w:hint="eastAsia" w:ascii="Times New Roman" w:hAnsi="Times New Roman" w:eastAsia="宋体" w:cs="Times New Roman"/>
                <w:color w:val="auto"/>
                <w:kern w:val="24"/>
                <w:sz w:val="24"/>
                <w:szCs w:val="22"/>
                <w:highlight w:val="none"/>
                <w:lang w:eastAsia="zh-CN"/>
              </w:rPr>
            </w:pPr>
            <w:r>
              <w:rPr>
                <w:rFonts w:hint="eastAsia" w:ascii="Times New Roman" w:hAnsi="Times New Roman" w:eastAsia="宋体" w:cs="Times New Roman"/>
                <w:color w:val="auto"/>
                <w:kern w:val="24"/>
                <w:sz w:val="24"/>
                <w:szCs w:val="22"/>
                <w:highlight w:val="none"/>
              </w:rPr>
              <w:t>根据《排污许可证申请与核发技术规范 总则》</w:t>
            </w:r>
            <w:r>
              <w:rPr>
                <w:rFonts w:hint="eastAsia" w:cs="Times New Roman"/>
                <w:color w:val="auto"/>
                <w:kern w:val="24"/>
                <w:sz w:val="24"/>
                <w:szCs w:val="22"/>
                <w:highlight w:val="none"/>
                <w:lang w:eastAsia="zh-CN"/>
              </w:rPr>
              <w:t>（</w:t>
            </w:r>
            <w:r>
              <w:rPr>
                <w:rFonts w:hint="eastAsia" w:ascii="Times New Roman" w:hAnsi="Times New Roman" w:eastAsia="宋体" w:cs="Times New Roman"/>
                <w:color w:val="auto"/>
                <w:kern w:val="24"/>
                <w:sz w:val="24"/>
                <w:szCs w:val="22"/>
                <w:highlight w:val="none"/>
              </w:rPr>
              <w:t>HJ942-2018</w:t>
            </w:r>
            <w:r>
              <w:rPr>
                <w:rFonts w:hint="eastAsia" w:cs="Times New Roman"/>
                <w:color w:val="auto"/>
                <w:kern w:val="24"/>
                <w:sz w:val="24"/>
                <w:szCs w:val="22"/>
                <w:highlight w:val="none"/>
                <w:lang w:eastAsia="zh-CN"/>
              </w:rPr>
              <w:t>）</w:t>
            </w:r>
            <w:r>
              <w:rPr>
                <w:rFonts w:hint="eastAsia" w:ascii="Times New Roman" w:hAnsi="Times New Roman" w:eastAsia="宋体" w:cs="Times New Roman"/>
                <w:color w:val="auto"/>
                <w:kern w:val="24"/>
                <w:sz w:val="24"/>
                <w:szCs w:val="22"/>
                <w:highlight w:val="none"/>
              </w:rPr>
              <w:t>、《排污许可证申请与核发技术规范 印刷工业》（HJ 1066-2019），本项目主要废气污染源排放口</w:t>
            </w:r>
            <w:r>
              <w:rPr>
                <w:rFonts w:hint="eastAsia" w:cs="Times New Roman"/>
                <w:color w:val="auto"/>
                <w:kern w:val="24"/>
                <w:sz w:val="24"/>
                <w:szCs w:val="22"/>
                <w:highlight w:val="none"/>
                <w:lang w:eastAsia="zh-CN"/>
              </w:rPr>
              <w:t>（</w:t>
            </w:r>
            <w:r>
              <w:rPr>
                <w:rFonts w:hint="eastAsia" w:cs="Times New Roman"/>
                <w:color w:val="auto"/>
                <w:kern w:val="24"/>
                <w:sz w:val="24"/>
                <w:szCs w:val="22"/>
                <w:highlight w:val="none"/>
                <w:lang w:val="en-US" w:eastAsia="zh-CN"/>
              </w:rPr>
              <w:t>DA002</w:t>
            </w:r>
            <w:r>
              <w:rPr>
                <w:rFonts w:hint="eastAsia" w:cs="Times New Roman"/>
                <w:color w:val="auto"/>
                <w:kern w:val="24"/>
                <w:sz w:val="24"/>
                <w:szCs w:val="22"/>
                <w:highlight w:val="none"/>
                <w:lang w:eastAsia="zh-CN"/>
              </w:rPr>
              <w:t>）</w:t>
            </w:r>
            <w:r>
              <w:rPr>
                <w:rFonts w:hint="eastAsia" w:ascii="Times New Roman" w:hAnsi="Times New Roman" w:eastAsia="宋体" w:cs="Times New Roman"/>
                <w:color w:val="auto"/>
                <w:kern w:val="24"/>
                <w:sz w:val="24"/>
                <w:szCs w:val="22"/>
                <w:highlight w:val="none"/>
              </w:rPr>
              <w:t>为一般排放口</w:t>
            </w:r>
            <w:r>
              <w:rPr>
                <w:rFonts w:hint="eastAsia" w:cs="Times New Roman"/>
                <w:color w:val="auto"/>
                <w:kern w:val="24"/>
                <w:sz w:val="24"/>
                <w:szCs w:val="22"/>
                <w:highlight w:val="none"/>
                <w:lang w:eastAsia="zh-CN"/>
              </w:rPr>
              <w:t>。</w:t>
            </w:r>
          </w:p>
          <w:p w14:paraId="4A60DEB9">
            <w:pPr>
              <w:adjustRightInd w:val="0"/>
              <w:snapToGrid w:val="0"/>
              <w:spacing w:line="360" w:lineRule="auto"/>
              <w:ind w:firstLine="480" w:firstLineChars="200"/>
              <w:jc w:val="left"/>
              <w:rPr>
                <w:rFonts w:hint="eastAsia" w:ascii="Times New Roman" w:hAnsi="Times New Roman" w:eastAsia="宋体" w:cs="Times New Roman"/>
                <w:color w:val="auto"/>
                <w:kern w:val="24"/>
                <w:sz w:val="24"/>
                <w:szCs w:val="22"/>
                <w:highlight w:val="none"/>
              </w:rPr>
            </w:pPr>
            <w:r>
              <w:rPr>
                <w:rFonts w:hint="eastAsia" w:ascii="Times New Roman" w:hAnsi="Times New Roman" w:eastAsia="宋体" w:cs="Times New Roman"/>
                <w:color w:val="auto"/>
                <w:kern w:val="24"/>
                <w:sz w:val="24"/>
                <w:szCs w:val="22"/>
                <w:highlight w:val="none"/>
              </w:rPr>
              <w:t>主要废气污染源废气排放口基本情况见下表：</w:t>
            </w:r>
          </w:p>
          <w:p w14:paraId="7E08DBE0">
            <w:pPr>
              <w:adjustRightInd w:val="0"/>
              <w:snapToGrid w:val="0"/>
              <w:spacing w:line="360" w:lineRule="auto"/>
              <w:ind w:firstLine="482" w:firstLineChars="200"/>
              <w:jc w:val="center"/>
              <w:rPr>
                <w:b/>
                <w:bCs/>
                <w:color w:val="auto"/>
                <w:kern w:val="24"/>
                <w:sz w:val="24"/>
                <w:highlight w:val="none"/>
              </w:rPr>
            </w:pPr>
            <w:r>
              <w:rPr>
                <w:rFonts w:hint="eastAsia"/>
                <w:b/>
                <w:bCs/>
                <w:color w:val="auto"/>
                <w:kern w:val="24"/>
                <w:sz w:val="24"/>
                <w:highlight w:val="none"/>
              </w:rPr>
              <w:t>表4-2  主要废气污染源排放口基本情况表</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926"/>
              <w:gridCol w:w="1255"/>
              <w:gridCol w:w="1212"/>
              <w:gridCol w:w="1245"/>
              <w:gridCol w:w="948"/>
              <w:gridCol w:w="946"/>
              <w:gridCol w:w="865"/>
              <w:gridCol w:w="866"/>
            </w:tblGrid>
            <w:tr w14:paraId="557736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270" w:hRule="atLeast"/>
              </w:trPr>
              <w:tc>
                <w:tcPr>
                  <w:tcW w:w="560" w:type="pct"/>
                  <w:vMerge w:val="restart"/>
                  <w:tcBorders>
                    <w:tl2br w:val="nil"/>
                    <w:tr2bl w:val="nil"/>
                  </w:tcBorders>
                  <w:vAlign w:val="center"/>
                </w:tcPr>
                <w:p w14:paraId="646BB6FD">
                  <w:pPr>
                    <w:snapToGrid w:val="0"/>
                    <w:jc w:val="center"/>
                    <w:rPr>
                      <w:b/>
                      <w:bCs/>
                      <w:color w:val="auto"/>
                      <w:szCs w:val="21"/>
                      <w:highlight w:val="none"/>
                    </w:rPr>
                  </w:pPr>
                  <w:r>
                    <w:rPr>
                      <w:b/>
                      <w:bCs/>
                      <w:color w:val="auto"/>
                      <w:szCs w:val="21"/>
                      <w:highlight w:val="none"/>
                    </w:rPr>
                    <w:t>排放口</w:t>
                  </w:r>
                </w:p>
                <w:p w14:paraId="0B34C9E9">
                  <w:pPr>
                    <w:snapToGrid w:val="0"/>
                    <w:jc w:val="center"/>
                    <w:rPr>
                      <w:b/>
                      <w:bCs/>
                      <w:color w:val="auto"/>
                      <w:szCs w:val="21"/>
                      <w:highlight w:val="none"/>
                    </w:rPr>
                  </w:pPr>
                  <w:r>
                    <w:rPr>
                      <w:b/>
                      <w:bCs/>
                      <w:color w:val="auto"/>
                      <w:szCs w:val="21"/>
                      <w:highlight w:val="none"/>
                    </w:rPr>
                    <w:t>编号</w:t>
                  </w:r>
                </w:p>
              </w:tc>
              <w:tc>
                <w:tcPr>
                  <w:tcW w:w="759" w:type="pct"/>
                  <w:vMerge w:val="restart"/>
                  <w:tcBorders>
                    <w:tl2br w:val="nil"/>
                    <w:tr2bl w:val="nil"/>
                  </w:tcBorders>
                  <w:vAlign w:val="center"/>
                </w:tcPr>
                <w:p w14:paraId="475BD0F2">
                  <w:pPr>
                    <w:snapToGrid w:val="0"/>
                    <w:jc w:val="center"/>
                    <w:rPr>
                      <w:b/>
                      <w:bCs/>
                      <w:color w:val="auto"/>
                      <w:szCs w:val="21"/>
                      <w:highlight w:val="none"/>
                    </w:rPr>
                  </w:pPr>
                  <w:r>
                    <w:rPr>
                      <w:b/>
                      <w:bCs/>
                      <w:color w:val="auto"/>
                      <w:szCs w:val="21"/>
                      <w:highlight w:val="none"/>
                    </w:rPr>
                    <w:t>排放口</w:t>
                  </w:r>
                  <w:r>
                    <w:rPr>
                      <w:rFonts w:hint="eastAsia"/>
                      <w:b/>
                      <w:bCs/>
                      <w:color w:val="auto"/>
                      <w:szCs w:val="21"/>
                      <w:highlight w:val="none"/>
                    </w:rPr>
                    <w:t>类型</w:t>
                  </w:r>
                </w:p>
              </w:tc>
              <w:tc>
                <w:tcPr>
                  <w:tcW w:w="1486" w:type="pct"/>
                  <w:gridSpan w:val="2"/>
                  <w:tcBorders>
                    <w:tl2br w:val="nil"/>
                    <w:tr2bl w:val="nil"/>
                  </w:tcBorders>
                  <w:vAlign w:val="center"/>
                </w:tcPr>
                <w:p w14:paraId="198D9E3D">
                  <w:pPr>
                    <w:snapToGrid w:val="0"/>
                    <w:jc w:val="center"/>
                    <w:rPr>
                      <w:b/>
                      <w:bCs/>
                      <w:color w:val="auto"/>
                      <w:szCs w:val="21"/>
                      <w:highlight w:val="none"/>
                    </w:rPr>
                  </w:pPr>
                  <w:r>
                    <w:rPr>
                      <w:rFonts w:hint="eastAsia"/>
                      <w:b/>
                      <w:bCs/>
                      <w:color w:val="auto"/>
                      <w:szCs w:val="21"/>
                      <w:highlight w:val="none"/>
                    </w:rPr>
                    <w:t>地理</w:t>
                  </w:r>
                  <w:r>
                    <w:rPr>
                      <w:b/>
                      <w:bCs/>
                      <w:color w:val="auto"/>
                      <w:szCs w:val="21"/>
                      <w:highlight w:val="none"/>
                    </w:rPr>
                    <w:t>坐标</w:t>
                  </w:r>
                </w:p>
              </w:tc>
              <w:tc>
                <w:tcPr>
                  <w:tcW w:w="573" w:type="pct"/>
                  <w:vMerge w:val="restart"/>
                  <w:tcBorders>
                    <w:tl2br w:val="nil"/>
                    <w:tr2bl w:val="nil"/>
                  </w:tcBorders>
                  <w:vAlign w:val="center"/>
                </w:tcPr>
                <w:p w14:paraId="7BDA1E0B">
                  <w:pPr>
                    <w:snapToGrid w:val="0"/>
                    <w:jc w:val="center"/>
                    <w:rPr>
                      <w:b/>
                      <w:bCs/>
                      <w:color w:val="auto"/>
                      <w:szCs w:val="21"/>
                      <w:highlight w:val="none"/>
                    </w:rPr>
                  </w:pPr>
                  <w:r>
                    <w:rPr>
                      <w:rFonts w:hint="eastAsia"/>
                      <w:b/>
                      <w:bCs/>
                      <w:color w:val="auto"/>
                      <w:szCs w:val="21"/>
                      <w:highlight w:val="none"/>
                    </w:rPr>
                    <w:t>高度/m</w:t>
                  </w:r>
                </w:p>
              </w:tc>
              <w:tc>
                <w:tcPr>
                  <w:tcW w:w="572" w:type="pct"/>
                  <w:vMerge w:val="restart"/>
                  <w:tcBorders>
                    <w:tl2br w:val="nil"/>
                    <w:tr2bl w:val="nil"/>
                  </w:tcBorders>
                  <w:vAlign w:val="center"/>
                </w:tcPr>
                <w:p w14:paraId="0C5118E9">
                  <w:pPr>
                    <w:snapToGrid w:val="0"/>
                    <w:jc w:val="center"/>
                    <w:rPr>
                      <w:b/>
                      <w:bCs/>
                      <w:color w:val="auto"/>
                      <w:szCs w:val="21"/>
                      <w:highlight w:val="none"/>
                    </w:rPr>
                  </w:pPr>
                  <w:r>
                    <w:rPr>
                      <w:rFonts w:hint="eastAsia"/>
                      <w:b/>
                      <w:bCs/>
                      <w:color w:val="auto"/>
                      <w:szCs w:val="21"/>
                      <w:highlight w:val="none"/>
                    </w:rPr>
                    <w:t>内径/m</w:t>
                  </w:r>
                </w:p>
              </w:tc>
              <w:tc>
                <w:tcPr>
                  <w:tcW w:w="523" w:type="pct"/>
                  <w:vMerge w:val="restart"/>
                  <w:tcBorders>
                    <w:tl2br w:val="nil"/>
                    <w:tr2bl w:val="nil"/>
                  </w:tcBorders>
                  <w:vAlign w:val="center"/>
                </w:tcPr>
                <w:p w14:paraId="55D32D18">
                  <w:pPr>
                    <w:snapToGrid w:val="0"/>
                    <w:jc w:val="center"/>
                    <w:rPr>
                      <w:b/>
                      <w:bCs/>
                      <w:color w:val="auto"/>
                      <w:szCs w:val="21"/>
                      <w:highlight w:val="none"/>
                    </w:rPr>
                  </w:pPr>
                  <w:r>
                    <w:rPr>
                      <w:rFonts w:hint="eastAsia"/>
                      <w:b/>
                      <w:bCs/>
                      <w:color w:val="auto"/>
                      <w:szCs w:val="21"/>
                      <w:highlight w:val="none"/>
                    </w:rPr>
                    <w:t>温度/℃</w:t>
                  </w:r>
                </w:p>
              </w:tc>
              <w:tc>
                <w:tcPr>
                  <w:tcW w:w="524" w:type="pct"/>
                  <w:vMerge w:val="restart"/>
                  <w:tcBorders>
                    <w:tl2br w:val="nil"/>
                    <w:tr2bl w:val="nil"/>
                  </w:tcBorders>
                  <w:vAlign w:val="center"/>
                </w:tcPr>
                <w:p w14:paraId="167A9D77">
                  <w:pPr>
                    <w:snapToGrid w:val="0"/>
                    <w:jc w:val="center"/>
                    <w:rPr>
                      <w:rFonts w:hint="eastAsia" w:eastAsia="宋体"/>
                      <w:b/>
                      <w:bCs/>
                      <w:color w:val="auto"/>
                      <w:szCs w:val="21"/>
                      <w:highlight w:val="none"/>
                      <w:lang w:val="en-US" w:eastAsia="zh-CN"/>
                    </w:rPr>
                  </w:pPr>
                  <w:r>
                    <w:rPr>
                      <w:rFonts w:hint="eastAsia"/>
                      <w:b/>
                      <w:bCs/>
                      <w:color w:val="auto"/>
                      <w:szCs w:val="21"/>
                      <w:highlight w:val="none"/>
                      <w:lang w:val="en-US" w:eastAsia="zh-CN"/>
                    </w:rPr>
                    <w:t>污染物</w:t>
                  </w:r>
                </w:p>
              </w:tc>
            </w:tr>
            <w:tr w14:paraId="6EB9C8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c>
                <w:tcPr>
                  <w:tcW w:w="560" w:type="pct"/>
                  <w:vMerge w:val="continue"/>
                  <w:tcBorders>
                    <w:tl2br w:val="nil"/>
                    <w:tr2bl w:val="nil"/>
                  </w:tcBorders>
                  <w:vAlign w:val="center"/>
                </w:tcPr>
                <w:p w14:paraId="63B2D521">
                  <w:pPr>
                    <w:snapToGrid w:val="0"/>
                    <w:jc w:val="center"/>
                    <w:rPr>
                      <w:color w:val="auto"/>
                      <w:szCs w:val="21"/>
                      <w:highlight w:val="none"/>
                    </w:rPr>
                  </w:pPr>
                </w:p>
              </w:tc>
              <w:tc>
                <w:tcPr>
                  <w:tcW w:w="759" w:type="pct"/>
                  <w:vMerge w:val="continue"/>
                  <w:tcBorders>
                    <w:tl2br w:val="nil"/>
                    <w:tr2bl w:val="nil"/>
                  </w:tcBorders>
                  <w:vAlign w:val="center"/>
                </w:tcPr>
                <w:p w14:paraId="268D42B0">
                  <w:pPr>
                    <w:snapToGrid w:val="0"/>
                    <w:jc w:val="center"/>
                    <w:rPr>
                      <w:color w:val="auto"/>
                      <w:szCs w:val="21"/>
                      <w:highlight w:val="none"/>
                    </w:rPr>
                  </w:pPr>
                </w:p>
              </w:tc>
              <w:tc>
                <w:tcPr>
                  <w:tcW w:w="733" w:type="pct"/>
                  <w:tcBorders>
                    <w:tl2br w:val="nil"/>
                    <w:tr2bl w:val="nil"/>
                  </w:tcBorders>
                  <w:vAlign w:val="center"/>
                </w:tcPr>
                <w:p w14:paraId="7DEAE057">
                  <w:pPr>
                    <w:snapToGrid w:val="0"/>
                    <w:jc w:val="center"/>
                    <w:rPr>
                      <w:b/>
                      <w:bCs/>
                      <w:color w:val="auto"/>
                      <w:szCs w:val="21"/>
                      <w:highlight w:val="none"/>
                    </w:rPr>
                  </w:pPr>
                  <w:r>
                    <w:rPr>
                      <w:b/>
                      <w:bCs/>
                      <w:color w:val="auto"/>
                      <w:szCs w:val="21"/>
                      <w:highlight w:val="none"/>
                    </w:rPr>
                    <w:t>经度</w:t>
                  </w:r>
                </w:p>
              </w:tc>
              <w:tc>
                <w:tcPr>
                  <w:tcW w:w="753" w:type="pct"/>
                  <w:tcBorders>
                    <w:tl2br w:val="nil"/>
                    <w:tr2bl w:val="nil"/>
                  </w:tcBorders>
                  <w:vAlign w:val="center"/>
                </w:tcPr>
                <w:p w14:paraId="63421C8B">
                  <w:pPr>
                    <w:snapToGrid w:val="0"/>
                    <w:jc w:val="center"/>
                    <w:rPr>
                      <w:b/>
                      <w:bCs/>
                      <w:color w:val="auto"/>
                      <w:szCs w:val="21"/>
                      <w:highlight w:val="none"/>
                    </w:rPr>
                  </w:pPr>
                  <w:r>
                    <w:rPr>
                      <w:b/>
                      <w:bCs/>
                      <w:color w:val="auto"/>
                      <w:szCs w:val="21"/>
                      <w:highlight w:val="none"/>
                    </w:rPr>
                    <w:t>纬度</w:t>
                  </w:r>
                </w:p>
              </w:tc>
              <w:tc>
                <w:tcPr>
                  <w:tcW w:w="573" w:type="pct"/>
                  <w:vMerge w:val="continue"/>
                  <w:tcBorders>
                    <w:tl2br w:val="nil"/>
                    <w:tr2bl w:val="nil"/>
                  </w:tcBorders>
                  <w:vAlign w:val="center"/>
                </w:tcPr>
                <w:p w14:paraId="705B6723">
                  <w:pPr>
                    <w:snapToGrid w:val="0"/>
                    <w:jc w:val="center"/>
                    <w:rPr>
                      <w:color w:val="auto"/>
                      <w:szCs w:val="21"/>
                      <w:highlight w:val="none"/>
                    </w:rPr>
                  </w:pPr>
                </w:p>
              </w:tc>
              <w:tc>
                <w:tcPr>
                  <w:tcW w:w="572" w:type="pct"/>
                  <w:vMerge w:val="continue"/>
                  <w:tcBorders>
                    <w:tl2br w:val="nil"/>
                    <w:tr2bl w:val="nil"/>
                  </w:tcBorders>
                  <w:vAlign w:val="center"/>
                </w:tcPr>
                <w:p w14:paraId="35D56D9E">
                  <w:pPr>
                    <w:snapToGrid w:val="0"/>
                    <w:jc w:val="center"/>
                    <w:rPr>
                      <w:color w:val="auto"/>
                      <w:szCs w:val="21"/>
                      <w:highlight w:val="none"/>
                    </w:rPr>
                  </w:pPr>
                </w:p>
              </w:tc>
              <w:tc>
                <w:tcPr>
                  <w:tcW w:w="523" w:type="pct"/>
                  <w:vMerge w:val="continue"/>
                  <w:tcBorders>
                    <w:tl2br w:val="nil"/>
                    <w:tr2bl w:val="nil"/>
                  </w:tcBorders>
                  <w:vAlign w:val="center"/>
                </w:tcPr>
                <w:p w14:paraId="798CCF4E">
                  <w:pPr>
                    <w:snapToGrid w:val="0"/>
                    <w:jc w:val="center"/>
                    <w:rPr>
                      <w:color w:val="auto"/>
                      <w:szCs w:val="21"/>
                      <w:highlight w:val="none"/>
                    </w:rPr>
                  </w:pPr>
                </w:p>
              </w:tc>
              <w:tc>
                <w:tcPr>
                  <w:tcW w:w="524" w:type="pct"/>
                  <w:vMerge w:val="continue"/>
                  <w:tcBorders>
                    <w:tl2br w:val="nil"/>
                    <w:tr2bl w:val="nil"/>
                  </w:tcBorders>
                  <w:vAlign w:val="center"/>
                </w:tcPr>
                <w:p w14:paraId="069C6B50">
                  <w:pPr>
                    <w:snapToGrid w:val="0"/>
                    <w:jc w:val="center"/>
                    <w:rPr>
                      <w:color w:val="auto"/>
                      <w:szCs w:val="21"/>
                      <w:highlight w:val="none"/>
                    </w:rPr>
                  </w:pPr>
                </w:p>
              </w:tc>
            </w:tr>
            <w:tr w14:paraId="362CB6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434" w:hRule="atLeast"/>
              </w:trPr>
              <w:tc>
                <w:tcPr>
                  <w:tcW w:w="560" w:type="pct"/>
                  <w:tcBorders>
                    <w:tl2br w:val="nil"/>
                    <w:tr2bl w:val="nil"/>
                  </w:tcBorders>
                  <w:vAlign w:val="center"/>
                </w:tcPr>
                <w:p w14:paraId="7E84D98A">
                  <w:pPr>
                    <w:snapToGrid w:val="0"/>
                    <w:jc w:val="center"/>
                    <w:rPr>
                      <w:color w:val="auto"/>
                      <w:szCs w:val="21"/>
                      <w:highlight w:val="none"/>
                    </w:rPr>
                  </w:pPr>
                  <w:r>
                    <w:rPr>
                      <w:rFonts w:hint="eastAsia"/>
                      <w:color w:val="auto"/>
                      <w:szCs w:val="21"/>
                      <w:highlight w:val="none"/>
                      <w:lang w:val="en-US" w:eastAsia="zh-CN"/>
                    </w:rPr>
                    <w:t>排气筒</w:t>
                  </w:r>
                  <w:r>
                    <w:rPr>
                      <w:rFonts w:hint="eastAsia"/>
                      <w:color w:val="auto"/>
                      <w:szCs w:val="21"/>
                      <w:highlight w:val="none"/>
                    </w:rPr>
                    <w:t>DA001</w:t>
                  </w:r>
                </w:p>
              </w:tc>
              <w:tc>
                <w:tcPr>
                  <w:tcW w:w="759" w:type="pct"/>
                  <w:tcBorders>
                    <w:tl2br w:val="nil"/>
                    <w:tr2bl w:val="nil"/>
                  </w:tcBorders>
                  <w:vAlign w:val="center"/>
                </w:tcPr>
                <w:p w14:paraId="01492071">
                  <w:pPr>
                    <w:snapToGrid w:val="0"/>
                    <w:jc w:val="center"/>
                    <w:rPr>
                      <w:color w:val="auto"/>
                      <w:szCs w:val="21"/>
                      <w:highlight w:val="none"/>
                    </w:rPr>
                  </w:pPr>
                  <w:r>
                    <w:rPr>
                      <w:rFonts w:hint="eastAsia"/>
                      <w:color w:val="auto"/>
                      <w:szCs w:val="21"/>
                      <w:highlight w:val="none"/>
                    </w:rPr>
                    <w:t>一般排放口</w:t>
                  </w:r>
                </w:p>
              </w:tc>
              <w:tc>
                <w:tcPr>
                  <w:tcW w:w="733" w:type="pct"/>
                  <w:tcBorders>
                    <w:tl2br w:val="nil"/>
                    <w:tr2bl w:val="nil"/>
                  </w:tcBorders>
                  <w:vAlign w:val="center"/>
                </w:tcPr>
                <w:p w14:paraId="390FBCDA">
                  <w:pPr>
                    <w:snapToGrid w:val="0"/>
                    <w:jc w:val="center"/>
                    <w:rPr>
                      <w:rFonts w:hint="default" w:eastAsia="宋体"/>
                      <w:color w:val="auto"/>
                      <w:szCs w:val="21"/>
                      <w:highlight w:val="none"/>
                      <w:lang w:val="en-US" w:eastAsia="zh-CN"/>
                    </w:rPr>
                  </w:pPr>
                  <w:r>
                    <w:rPr>
                      <w:rFonts w:hint="eastAsia"/>
                      <w:color w:val="auto"/>
                      <w:szCs w:val="21"/>
                      <w:highlight w:val="none"/>
                    </w:rPr>
                    <w:t>102.</w:t>
                  </w:r>
                  <w:r>
                    <w:rPr>
                      <w:rFonts w:hint="eastAsia"/>
                      <w:color w:val="auto"/>
                      <w:szCs w:val="21"/>
                      <w:highlight w:val="none"/>
                      <w:lang w:val="en-US" w:eastAsia="zh-CN"/>
                    </w:rPr>
                    <w:t>513546</w:t>
                  </w:r>
                </w:p>
              </w:tc>
              <w:tc>
                <w:tcPr>
                  <w:tcW w:w="753" w:type="pct"/>
                  <w:tcBorders>
                    <w:tl2br w:val="nil"/>
                    <w:tr2bl w:val="nil"/>
                  </w:tcBorders>
                  <w:vAlign w:val="center"/>
                </w:tcPr>
                <w:p w14:paraId="39048C89">
                  <w:pPr>
                    <w:snapToGrid w:val="0"/>
                    <w:jc w:val="center"/>
                    <w:rPr>
                      <w:rFonts w:hint="default" w:eastAsia="宋体"/>
                      <w:color w:val="auto"/>
                      <w:szCs w:val="21"/>
                      <w:highlight w:val="none"/>
                      <w:lang w:val="en-US" w:eastAsia="zh-CN"/>
                    </w:rPr>
                  </w:pPr>
                  <w:r>
                    <w:rPr>
                      <w:rFonts w:hint="eastAsia"/>
                      <w:color w:val="auto"/>
                      <w:szCs w:val="21"/>
                      <w:highlight w:val="none"/>
                    </w:rPr>
                    <w:t>24.</w:t>
                  </w:r>
                  <w:r>
                    <w:rPr>
                      <w:rFonts w:hint="eastAsia"/>
                      <w:color w:val="auto"/>
                      <w:szCs w:val="21"/>
                      <w:highlight w:val="none"/>
                      <w:lang w:val="en-US" w:eastAsia="zh-CN"/>
                    </w:rPr>
                    <w:t>283600</w:t>
                  </w:r>
                </w:p>
              </w:tc>
              <w:tc>
                <w:tcPr>
                  <w:tcW w:w="573" w:type="pct"/>
                  <w:tcBorders>
                    <w:tl2br w:val="nil"/>
                    <w:tr2bl w:val="nil"/>
                  </w:tcBorders>
                  <w:vAlign w:val="center"/>
                </w:tcPr>
                <w:p w14:paraId="4FF50947">
                  <w:pPr>
                    <w:snapToGrid w:val="0"/>
                    <w:jc w:val="center"/>
                    <w:rPr>
                      <w:rFonts w:hint="default" w:eastAsia="宋体"/>
                      <w:color w:val="auto"/>
                      <w:szCs w:val="21"/>
                      <w:highlight w:val="none"/>
                      <w:lang w:val="en-US" w:eastAsia="zh-CN"/>
                    </w:rPr>
                  </w:pPr>
                  <w:r>
                    <w:rPr>
                      <w:rFonts w:hint="eastAsia"/>
                      <w:color w:val="auto"/>
                      <w:szCs w:val="21"/>
                      <w:highlight w:val="none"/>
                      <w:lang w:val="en-US" w:eastAsia="zh-CN"/>
                    </w:rPr>
                    <w:t>20</w:t>
                  </w:r>
                </w:p>
              </w:tc>
              <w:tc>
                <w:tcPr>
                  <w:tcW w:w="572" w:type="pct"/>
                  <w:tcBorders>
                    <w:tl2br w:val="nil"/>
                    <w:tr2bl w:val="nil"/>
                  </w:tcBorders>
                  <w:vAlign w:val="center"/>
                </w:tcPr>
                <w:p w14:paraId="1F63375C">
                  <w:pPr>
                    <w:snapToGrid w:val="0"/>
                    <w:jc w:val="center"/>
                    <w:rPr>
                      <w:rFonts w:hint="default" w:eastAsia="宋体"/>
                      <w:color w:val="auto"/>
                      <w:szCs w:val="21"/>
                      <w:highlight w:val="none"/>
                      <w:lang w:val="en-US" w:eastAsia="zh-CN"/>
                    </w:rPr>
                  </w:pPr>
                  <w:r>
                    <w:rPr>
                      <w:rFonts w:hint="eastAsia"/>
                      <w:color w:val="auto"/>
                      <w:szCs w:val="21"/>
                      <w:highlight w:val="none"/>
                      <w:lang w:val="en-US" w:eastAsia="zh-CN"/>
                    </w:rPr>
                    <w:t>0.6</w:t>
                  </w:r>
                </w:p>
              </w:tc>
              <w:tc>
                <w:tcPr>
                  <w:tcW w:w="523" w:type="pct"/>
                  <w:tcBorders>
                    <w:tl2br w:val="nil"/>
                    <w:tr2bl w:val="nil"/>
                  </w:tcBorders>
                  <w:vAlign w:val="center"/>
                </w:tcPr>
                <w:p w14:paraId="4ADF4D4A">
                  <w:pPr>
                    <w:snapToGrid w:val="0"/>
                    <w:jc w:val="center"/>
                    <w:rPr>
                      <w:rFonts w:hint="default" w:eastAsia="宋体"/>
                      <w:color w:val="auto"/>
                      <w:szCs w:val="21"/>
                      <w:highlight w:val="none"/>
                      <w:lang w:val="en-US" w:eastAsia="zh-CN"/>
                    </w:rPr>
                  </w:pPr>
                  <w:r>
                    <w:rPr>
                      <w:rFonts w:hint="eastAsia"/>
                      <w:color w:val="auto"/>
                      <w:szCs w:val="21"/>
                      <w:highlight w:val="none"/>
                      <w:lang w:val="en-US" w:eastAsia="zh-CN"/>
                    </w:rPr>
                    <w:t>25</w:t>
                  </w:r>
                </w:p>
              </w:tc>
              <w:tc>
                <w:tcPr>
                  <w:tcW w:w="524" w:type="pct"/>
                  <w:tcBorders>
                    <w:tl2br w:val="nil"/>
                    <w:tr2bl w:val="nil"/>
                  </w:tcBorders>
                  <w:vAlign w:val="center"/>
                </w:tcPr>
                <w:p w14:paraId="67FDA263">
                  <w:pPr>
                    <w:snapToGrid w:val="0"/>
                    <w:jc w:val="center"/>
                    <w:rPr>
                      <w:rFonts w:hint="default"/>
                      <w:color w:val="auto"/>
                      <w:szCs w:val="21"/>
                      <w:highlight w:val="none"/>
                      <w:lang w:val="en-US" w:eastAsia="zh-CN"/>
                    </w:rPr>
                  </w:pPr>
                  <w:r>
                    <w:rPr>
                      <w:rFonts w:hint="eastAsia"/>
                      <w:color w:val="auto"/>
                      <w:szCs w:val="21"/>
                      <w:highlight w:val="none"/>
                      <w:lang w:val="en-US" w:eastAsia="zh-CN"/>
                    </w:rPr>
                    <w:t>非甲烷总烃</w:t>
                  </w:r>
                </w:p>
              </w:tc>
            </w:tr>
            <w:tr w14:paraId="7C89C9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434" w:hRule="atLeast"/>
              </w:trPr>
              <w:tc>
                <w:tcPr>
                  <w:tcW w:w="560" w:type="pct"/>
                  <w:tcBorders>
                    <w:tl2br w:val="nil"/>
                    <w:tr2bl w:val="nil"/>
                  </w:tcBorders>
                  <w:shd w:val="clear" w:color="auto" w:fill="auto"/>
                  <w:vAlign w:val="center"/>
                </w:tcPr>
                <w:p w14:paraId="7C8DD5EE">
                  <w:pPr>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排气筒</w:t>
                  </w:r>
                  <w:r>
                    <w:rPr>
                      <w:rFonts w:hint="eastAsia"/>
                      <w:color w:val="auto"/>
                      <w:szCs w:val="21"/>
                      <w:highlight w:val="none"/>
                    </w:rPr>
                    <w:t>DA00</w:t>
                  </w:r>
                  <w:r>
                    <w:rPr>
                      <w:rFonts w:hint="eastAsia"/>
                      <w:color w:val="auto"/>
                      <w:szCs w:val="21"/>
                      <w:highlight w:val="none"/>
                      <w:lang w:val="en-US" w:eastAsia="zh-CN"/>
                    </w:rPr>
                    <w:t>2</w:t>
                  </w:r>
                </w:p>
              </w:tc>
              <w:tc>
                <w:tcPr>
                  <w:tcW w:w="759" w:type="pct"/>
                  <w:tcBorders>
                    <w:tl2br w:val="nil"/>
                    <w:tr2bl w:val="nil"/>
                  </w:tcBorders>
                  <w:shd w:val="clear" w:color="auto" w:fill="auto"/>
                  <w:vAlign w:val="center"/>
                </w:tcPr>
                <w:p w14:paraId="3A42335C">
                  <w:pPr>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一般排放口</w:t>
                  </w:r>
                </w:p>
              </w:tc>
              <w:tc>
                <w:tcPr>
                  <w:tcW w:w="733" w:type="pct"/>
                  <w:tcBorders>
                    <w:tl2br w:val="nil"/>
                    <w:tr2bl w:val="nil"/>
                  </w:tcBorders>
                  <w:shd w:val="clear" w:color="auto" w:fill="auto"/>
                  <w:vAlign w:val="center"/>
                </w:tcPr>
                <w:p w14:paraId="0CDDC165">
                  <w:pPr>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102.514164</w:t>
                  </w:r>
                </w:p>
              </w:tc>
              <w:tc>
                <w:tcPr>
                  <w:tcW w:w="753" w:type="pct"/>
                  <w:tcBorders>
                    <w:tl2br w:val="nil"/>
                    <w:tr2bl w:val="nil"/>
                  </w:tcBorders>
                  <w:shd w:val="clear" w:color="auto" w:fill="auto"/>
                  <w:vAlign w:val="center"/>
                </w:tcPr>
                <w:p w14:paraId="710EB2B3">
                  <w:pPr>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24.283618</w:t>
                  </w:r>
                </w:p>
              </w:tc>
              <w:tc>
                <w:tcPr>
                  <w:tcW w:w="573" w:type="pct"/>
                  <w:tcBorders>
                    <w:tl2br w:val="nil"/>
                    <w:tr2bl w:val="nil"/>
                  </w:tcBorders>
                  <w:shd w:val="clear" w:color="auto" w:fill="auto"/>
                  <w:vAlign w:val="center"/>
                </w:tcPr>
                <w:p w14:paraId="470424BC">
                  <w:pPr>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kern w:val="2"/>
                      <w:sz w:val="21"/>
                      <w:szCs w:val="21"/>
                      <w:highlight w:val="none"/>
                      <w:lang w:val="en-US" w:eastAsia="zh-CN" w:bidi="ar-SA"/>
                    </w:rPr>
                    <w:t>20</w:t>
                  </w:r>
                </w:p>
              </w:tc>
              <w:tc>
                <w:tcPr>
                  <w:tcW w:w="572" w:type="pct"/>
                  <w:tcBorders>
                    <w:tl2br w:val="nil"/>
                    <w:tr2bl w:val="nil"/>
                  </w:tcBorders>
                  <w:shd w:val="clear" w:color="auto" w:fill="auto"/>
                  <w:vAlign w:val="center"/>
                </w:tcPr>
                <w:p w14:paraId="4E752FEE">
                  <w:pPr>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0.6</w:t>
                  </w:r>
                </w:p>
              </w:tc>
              <w:tc>
                <w:tcPr>
                  <w:tcW w:w="523" w:type="pct"/>
                  <w:tcBorders>
                    <w:tl2br w:val="nil"/>
                    <w:tr2bl w:val="nil"/>
                  </w:tcBorders>
                  <w:shd w:val="clear" w:color="auto" w:fill="auto"/>
                  <w:vAlign w:val="center"/>
                </w:tcPr>
                <w:p w14:paraId="293292CF">
                  <w:pPr>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25</w:t>
                  </w:r>
                </w:p>
              </w:tc>
              <w:tc>
                <w:tcPr>
                  <w:tcW w:w="524" w:type="pct"/>
                  <w:tcBorders>
                    <w:tl2br w:val="nil"/>
                    <w:tr2bl w:val="nil"/>
                  </w:tcBorders>
                  <w:shd w:val="clear" w:color="auto" w:fill="auto"/>
                  <w:vAlign w:val="center"/>
                </w:tcPr>
                <w:p w14:paraId="77E668E8">
                  <w:pPr>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非甲烷总烃</w:t>
                  </w:r>
                </w:p>
              </w:tc>
            </w:tr>
          </w:tbl>
          <w:p w14:paraId="474734AE">
            <w:pPr>
              <w:adjustRightInd w:val="0"/>
              <w:snapToGrid w:val="0"/>
              <w:spacing w:line="360" w:lineRule="auto"/>
              <w:ind w:firstLine="480" w:firstLineChars="200"/>
              <w:jc w:val="left"/>
              <w:rPr>
                <w:rFonts w:hint="eastAsia" w:ascii="Times New Roman" w:hAnsi="Times New Roman" w:eastAsia="宋体" w:cs="Times New Roman"/>
                <w:color w:val="auto"/>
                <w:kern w:val="24"/>
                <w:sz w:val="24"/>
                <w:szCs w:val="22"/>
                <w:highlight w:val="none"/>
              </w:rPr>
            </w:pPr>
            <w:r>
              <w:rPr>
                <w:rFonts w:hint="eastAsia" w:ascii="Times New Roman" w:hAnsi="Times New Roman" w:eastAsia="宋体" w:cs="Times New Roman"/>
                <w:color w:val="auto"/>
                <w:kern w:val="24"/>
                <w:sz w:val="24"/>
                <w:szCs w:val="22"/>
                <w:highlight w:val="none"/>
              </w:rPr>
              <w:t>本项目运营后，全厂污染物有组织和无组织排放量核算见下表。</w:t>
            </w:r>
          </w:p>
          <w:p w14:paraId="02CF0F03">
            <w:pPr>
              <w:adjustRightInd w:val="0"/>
              <w:snapToGrid w:val="0"/>
              <w:spacing w:line="360" w:lineRule="auto"/>
              <w:ind w:firstLine="482" w:firstLineChars="200"/>
              <w:jc w:val="center"/>
              <w:rPr>
                <w:b/>
                <w:bCs/>
                <w:color w:val="auto"/>
                <w:kern w:val="24"/>
                <w:sz w:val="24"/>
                <w:highlight w:val="none"/>
              </w:rPr>
            </w:pPr>
            <w:r>
              <w:rPr>
                <w:rFonts w:hint="eastAsia"/>
                <w:b/>
                <w:bCs/>
                <w:color w:val="auto"/>
                <w:kern w:val="24"/>
                <w:sz w:val="24"/>
                <w:highlight w:val="none"/>
              </w:rPr>
              <w:t>表4-3  大气污染物有组织排放量核算表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642"/>
              <w:gridCol w:w="1336"/>
              <w:gridCol w:w="1587"/>
              <w:gridCol w:w="895"/>
              <w:gridCol w:w="1326"/>
              <w:gridCol w:w="1313"/>
              <w:gridCol w:w="1164"/>
            </w:tblGrid>
            <w:tr w14:paraId="7CE61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trPr>
              <w:tc>
                <w:tcPr>
                  <w:tcW w:w="388" w:type="pct"/>
                  <w:vAlign w:val="center"/>
                </w:tcPr>
                <w:p w14:paraId="699B14E6">
                  <w:pPr>
                    <w:pStyle w:val="24"/>
                    <w:keepNext w:val="0"/>
                    <w:keepLines w:val="0"/>
                    <w:pageBreakBefore w:val="0"/>
                    <w:kinsoku/>
                    <w:wordWrap/>
                    <w:overflowPunct/>
                    <w:topLinePunct w:val="0"/>
                    <w:autoSpaceDE/>
                    <w:autoSpaceDN/>
                    <w:bidi w:val="0"/>
                    <w:spacing w:after="0"/>
                    <w:ind w:left="0" w:lef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808" w:type="pct"/>
                  <w:vAlign w:val="center"/>
                </w:tcPr>
                <w:p w14:paraId="057AABE2">
                  <w:pPr>
                    <w:pStyle w:val="24"/>
                    <w:keepNext w:val="0"/>
                    <w:keepLines w:val="0"/>
                    <w:pageBreakBefore w:val="0"/>
                    <w:kinsoku/>
                    <w:wordWrap/>
                    <w:overflowPunct/>
                    <w:topLinePunct w:val="0"/>
                    <w:autoSpaceDE/>
                    <w:autoSpaceDN/>
                    <w:bidi w:val="0"/>
                    <w:spacing w:after="0"/>
                    <w:ind w:left="0" w:lef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排放口</w:t>
                  </w:r>
                </w:p>
                <w:p w14:paraId="2AFF0B24">
                  <w:pPr>
                    <w:pStyle w:val="24"/>
                    <w:keepNext w:val="0"/>
                    <w:keepLines w:val="0"/>
                    <w:pageBreakBefore w:val="0"/>
                    <w:kinsoku/>
                    <w:wordWrap/>
                    <w:overflowPunct/>
                    <w:topLinePunct w:val="0"/>
                    <w:autoSpaceDE/>
                    <w:autoSpaceDN/>
                    <w:bidi w:val="0"/>
                    <w:spacing w:after="0"/>
                    <w:ind w:left="0" w:lef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编号</w:t>
                  </w:r>
                </w:p>
              </w:tc>
              <w:tc>
                <w:tcPr>
                  <w:tcW w:w="960" w:type="pct"/>
                  <w:vAlign w:val="center"/>
                </w:tcPr>
                <w:p w14:paraId="7D0ADDE9">
                  <w:pPr>
                    <w:pStyle w:val="24"/>
                    <w:keepNext w:val="0"/>
                    <w:keepLines w:val="0"/>
                    <w:pageBreakBefore w:val="0"/>
                    <w:kinsoku/>
                    <w:wordWrap/>
                    <w:overflowPunct/>
                    <w:topLinePunct w:val="0"/>
                    <w:autoSpaceDE/>
                    <w:autoSpaceDN/>
                    <w:bidi w:val="0"/>
                    <w:spacing w:after="0"/>
                    <w:ind w:left="0" w:lef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产排污环节</w:t>
                  </w:r>
                </w:p>
              </w:tc>
              <w:tc>
                <w:tcPr>
                  <w:tcW w:w="541" w:type="pct"/>
                  <w:vAlign w:val="center"/>
                </w:tcPr>
                <w:p w14:paraId="7E33B4C5">
                  <w:pPr>
                    <w:pStyle w:val="24"/>
                    <w:keepNext w:val="0"/>
                    <w:keepLines w:val="0"/>
                    <w:pageBreakBefore w:val="0"/>
                    <w:kinsoku/>
                    <w:wordWrap/>
                    <w:overflowPunct/>
                    <w:topLinePunct w:val="0"/>
                    <w:autoSpaceDE/>
                    <w:autoSpaceDN/>
                    <w:bidi w:val="0"/>
                    <w:spacing w:after="0"/>
                    <w:ind w:left="0" w:lef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w:t>
                  </w:r>
                </w:p>
              </w:tc>
              <w:tc>
                <w:tcPr>
                  <w:tcW w:w="802" w:type="pct"/>
                  <w:vAlign w:val="center"/>
                </w:tcPr>
                <w:p w14:paraId="5163E38F">
                  <w:pPr>
                    <w:keepNext w:val="0"/>
                    <w:keepLines w:val="0"/>
                    <w:pageBreakBefore w:val="0"/>
                    <w:kinsoku/>
                    <w:wordWrap/>
                    <w:overflowPunct/>
                    <w:topLinePunct w:val="0"/>
                    <w:autoSpaceDE/>
                    <w:autoSpaceDN/>
                    <w:bidi w:val="0"/>
                    <w:ind w:left="0" w:left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核算排放浓度/</w:t>
                  </w: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mg/m</w:t>
                  </w:r>
                  <w:r>
                    <w:rPr>
                      <w:rFonts w:hint="default" w:ascii="Times New Roman" w:hAnsi="Times New Roman" w:eastAsia="宋体" w:cs="Times New Roman"/>
                      <w:b/>
                      <w:bCs/>
                      <w:color w:val="auto"/>
                      <w:sz w:val="21"/>
                      <w:szCs w:val="21"/>
                      <w:highlight w:val="none"/>
                      <w:vertAlign w:val="superscript"/>
                    </w:rPr>
                    <w:t>3</w:t>
                  </w:r>
                  <w:r>
                    <w:rPr>
                      <w:rFonts w:hint="default" w:ascii="Times New Roman" w:hAnsi="Times New Roman" w:eastAsia="宋体" w:cs="Times New Roman"/>
                      <w:b/>
                      <w:bCs/>
                      <w:color w:val="auto"/>
                      <w:sz w:val="21"/>
                      <w:szCs w:val="21"/>
                      <w:highlight w:val="none"/>
                      <w:lang w:eastAsia="zh-CN"/>
                    </w:rPr>
                    <w:t>）</w:t>
                  </w:r>
                </w:p>
              </w:tc>
              <w:tc>
                <w:tcPr>
                  <w:tcW w:w="794" w:type="pct"/>
                  <w:vAlign w:val="center"/>
                </w:tcPr>
                <w:p w14:paraId="50568705">
                  <w:pPr>
                    <w:keepNext w:val="0"/>
                    <w:keepLines w:val="0"/>
                    <w:pageBreakBefore w:val="0"/>
                    <w:kinsoku/>
                    <w:wordWrap/>
                    <w:overflowPunct/>
                    <w:topLinePunct w:val="0"/>
                    <w:autoSpaceDE/>
                    <w:autoSpaceDN/>
                    <w:bidi w:val="0"/>
                    <w:ind w:left="0" w:left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核算排放速率/</w:t>
                  </w: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kg/h</w:t>
                  </w:r>
                  <w:r>
                    <w:rPr>
                      <w:rFonts w:hint="default" w:ascii="Times New Roman" w:hAnsi="Times New Roman" w:eastAsia="宋体" w:cs="Times New Roman"/>
                      <w:b/>
                      <w:bCs/>
                      <w:color w:val="auto"/>
                      <w:sz w:val="21"/>
                      <w:szCs w:val="21"/>
                      <w:highlight w:val="none"/>
                      <w:lang w:eastAsia="zh-CN"/>
                    </w:rPr>
                    <w:t>）</w:t>
                  </w:r>
                </w:p>
              </w:tc>
              <w:tc>
                <w:tcPr>
                  <w:tcW w:w="704" w:type="pct"/>
                  <w:vAlign w:val="center"/>
                </w:tcPr>
                <w:p w14:paraId="6D50A4F2">
                  <w:pPr>
                    <w:keepNext w:val="0"/>
                    <w:keepLines w:val="0"/>
                    <w:pageBreakBefore w:val="0"/>
                    <w:kinsoku/>
                    <w:wordWrap/>
                    <w:overflowPunct/>
                    <w:topLinePunct w:val="0"/>
                    <w:autoSpaceDE/>
                    <w:autoSpaceDN/>
                    <w:bidi w:val="0"/>
                    <w:ind w:left="0" w:left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核算年排放量/</w:t>
                  </w: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t/a</w:t>
                  </w:r>
                  <w:r>
                    <w:rPr>
                      <w:rFonts w:hint="default" w:ascii="Times New Roman" w:hAnsi="Times New Roman" w:eastAsia="宋体" w:cs="Times New Roman"/>
                      <w:b/>
                      <w:bCs/>
                      <w:color w:val="auto"/>
                      <w:sz w:val="21"/>
                      <w:szCs w:val="21"/>
                      <w:highlight w:val="none"/>
                      <w:lang w:eastAsia="zh-CN"/>
                    </w:rPr>
                    <w:t>）</w:t>
                  </w:r>
                </w:p>
              </w:tc>
            </w:tr>
            <w:tr w14:paraId="6DCA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trPr>
              <w:tc>
                <w:tcPr>
                  <w:tcW w:w="388" w:type="pct"/>
                  <w:vAlign w:val="center"/>
                </w:tcPr>
                <w:p w14:paraId="28A0F8D7">
                  <w:pPr>
                    <w:pStyle w:val="24"/>
                    <w:keepNext w:val="0"/>
                    <w:keepLines w:val="0"/>
                    <w:pageBreakBefore w:val="0"/>
                    <w:kinsoku/>
                    <w:wordWrap/>
                    <w:overflowPunct/>
                    <w:topLinePunct w:val="0"/>
                    <w:autoSpaceDE/>
                    <w:autoSpaceDN/>
                    <w:bidi w:val="0"/>
                    <w:spacing w:after="0"/>
                    <w:ind w:left="0" w:lef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808" w:type="pct"/>
                  <w:vAlign w:val="center"/>
                </w:tcPr>
                <w:p w14:paraId="26E0CEF8">
                  <w:pPr>
                    <w:keepNext w:val="0"/>
                    <w:keepLines w:val="0"/>
                    <w:pageBreakBefore w:val="0"/>
                    <w:kinsoku/>
                    <w:wordWrap/>
                    <w:overflowPunct/>
                    <w:topLinePunct w:val="0"/>
                    <w:autoSpaceDE/>
                    <w:autoSpaceDN/>
                    <w:bidi w:val="0"/>
                    <w:snapToGrid w:val="0"/>
                    <w:ind w:left="0" w:left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排气筒</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DA001</w:t>
                  </w:r>
                  <w:r>
                    <w:rPr>
                      <w:rFonts w:hint="default" w:ascii="Times New Roman" w:hAnsi="Times New Roman" w:eastAsia="宋体" w:cs="Times New Roman"/>
                      <w:color w:val="auto"/>
                      <w:sz w:val="21"/>
                      <w:szCs w:val="21"/>
                      <w:highlight w:val="none"/>
                      <w:lang w:eastAsia="zh-CN"/>
                    </w:rPr>
                    <w:t>）</w:t>
                  </w:r>
                </w:p>
              </w:tc>
              <w:tc>
                <w:tcPr>
                  <w:tcW w:w="960" w:type="pct"/>
                  <w:vAlign w:val="center"/>
                </w:tcPr>
                <w:p w14:paraId="1C2E33B5">
                  <w:pPr>
                    <w:keepNext w:val="0"/>
                    <w:keepLines w:val="0"/>
                    <w:pageBreakBefore w:val="0"/>
                    <w:kinsoku/>
                    <w:wordWrap/>
                    <w:overflowPunct/>
                    <w:topLinePunct w:val="0"/>
                    <w:autoSpaceDE/>
                    <w:autoSpaceDN/>
                    <w:bidi w:val="0"/>
                    <w:snapToGrid w:val="0"/>
                    <w:ind w:left="0" w:lef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G1模具成型</w:t>
                  </w:r>
                </w:p>
                <w:p w14:paraId="51028940">
                  <w:pPr>
                    <w:keepNext w:val="0"/>
                    <w:keepLines w:val="0"/>
                    <w:pageBreakBefore w:val="0"/>
                    <w:kinsoku/>
                    <w:wordWrap/>
                    <w:overflowPunct/>
                    <w:topLinePunct w:val="0"/>
                    <w:autoSpaceDE/>
                    <w:autoSpaceDN/>
                    <w:bidi w:val="0"/>
                    <w:snapToGrid w:val="0"/>
                    <w:ind w:left="0" w:leftChars="0"/>
                    <w:jc w:val="center"/>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废气</w:t>
                  </w:r>
                  <w:r>
                    <w:rPr>
                      <w:rFonts w:hint="eastAsia" w:cs="Times New Roman"/>
                      <w:color w:val="auto"/>
                      <w:sz w:val="21"/>
                      <w:szCs w:val="21"/>
                      <w:highlight w:val="none"/>
                      <w:lang w:eastAsia="zh-CN"/>
                    </w:rPr>
                    <w:t>、G2焊接废气</w:t>
                  </w:r>
                </w:p>
              </w:tc>
              <w:tc>
                <w:tcPr>
                  <w:tcW w:w="541" w:type="pct"/>
                  <w:vAlign w:val="center"/>
                </w:tcPr>
                <w:p w14:paraId="6E8B1443">
                  <w:pPr>
                    <w:keepNext w:val="0"/>
                    <w:keepLines w:val="0"/>
                    <w:pageBreakBefore w:val="0"/>
                    <w:kinsoku/>
                    <w:wordWrap/>
                    <w:overflowPunct/>
                    <w:topLinePunct w:val="0"/>
                    <w:autoSpaceDE/>
                    <w:autoSpaceDN/>
                    <w:bidi w:val="0"/>
                    <w:snapToGrid w:val="0"/>
                    <w:ind w:left="0" w:lef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非甲烷</w:t>
                  </w:r>
                </w:p>
                <w:p w14:paraId="0FD70E84">
                  <w:pPr>
                    <w:keepNext w:val="0"/>
                    <w:keepLines w:val="0"/>
                    <w:pageBreakBefore w:val="0"/>
                    <w:kinsoku/>
                    <w:wordWrap/>
                    <w:overflowPunct/>
                    <w:topLinePunct w:val="0"/>
                    <w:autoSpaceDE/>
                    <w:autoSpaceDN/>
                    <w:bidi w:val="0"/>
                    <w:snapToGrid w:val="0"/>
                    <w:ind w:left="0" w:lef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总烃</w:t>
                  </w:r>
                </w:p>
              </w:tc>
              <w:tc>
                <w:tcPr>
                  <w:tcW w:w="802" w:type="pct"/>
                  <w:vAlign w:val="center"/>
                </w:tcPr>
                <w:p w14:paraId="407A6D2F">
                  <w:pPr>
                    <w:pStyle w:val="24"/>
                    <w:keepNext w:val="0"/>
                    <w:keepLines w:val="0"/>
                    <w:pageBreakBefore w:val="0"/>
                    <w:kinsoku/>
                    <w:wordWrap/>
                    <w:overflowPunct/>
                    <w:topLinePunct w:val="0"/>
                    <w:autoSpaceDE/>
                    <w:autoSpaceDN/>
                    <w:bidi w:val="0"/>
                    <w:spacing w:after="0"/>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53.5</w:t>
                  </w:r>
                </w:p>
              </w:tc>
              <w:tc>
                <w:tcPr>
                  <w:tcW w:w="794" w:type="pct"/>
                  <w:vAlign w:val="center"/>
                </w:tcPr>
                <w:p w14:paraId="4D2D9587">
                  <w:pPr>
                    <w:pStyle w:val="24"/>
                    <w:keepNext w:val="0"/>
                    <w:keepLines w:val="0"/>
                    <w:pageBreakBefore w:val="0"/>
                    <w:kinsoku/>
                    <w:wordWrap/>
                    <w:overflowPunct/>
                    <w:topLinePunct w:val="0"/>
                    <w:autoSpaceDE/>
                    <w:autoSpaceDN/>
                    <w:bidi w:val="0"/>
                    <w:adjustRightInd w:val="0"/>
                    <w:snapToGrid w:val="0"/>
                    <w:spacing w:after="0"/>
                    <w:ind w:left="0" w:leftChars="0" w:firstLine="0" w:firstLine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2.14</w:t>
                  </w:r>
                </w:p>
              </w:tc>
              <w:tc>
                <w:tcPr>
                  <w:tcW w:w="704" w:type="pct"/>
                  <w:vAlign w:val="center"/>
                </w:tcPr>
                <w:p w14:paraId="393C2D76">
                  <w:pPr>
                    <w:keepNext w:val="0"/>
                    <w:keepLines w:val="0"/>
                    <w:pageBreakBefore w:val="0"/>
                    <w:widowControl/>
                    <w:kinsoku/>
                    <w:wordWrap/>
                    <w:overflowPunct/>
                    <w:topLinePunct w:val="0"/>
                    <w:autoSpaceDE/>
                    <w:autoSpaceDN/>
                    <w:bidi w:val="0"/>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15.44</w:t>
                  </w:r>
                </w:p>
              </w:tc>
            </w:tr>
            <w:tr w14:paraId="1BEF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trPr>
              <w:tc>
                <w:tcPr>
                  <w:tcW w:w="388" w:type="pct"/>
                  <w:vAlign w:val="center"/>
                </w:tcPr>
                <w:p w14:paraId="66045057">
                  <w:pPr>
                    <w:pStyle w:val="24"/>
                    <w:keepNext w:val="0"/>
                    <w:keepLines w:val="0"/>
                    <w:pageBreakBefore w:val="0"/>
                    <w:kinsoku/>
                    <w:wordWrap/>
                    <w:overflowPunct/>
                    <w:topLinePunct w:val="0"/>
                    <w:autoSpaceDE/>
                    <w:autoSpaceDN/>
                    <w:bidi w:val="0"/>
                    <w:spacing w:after="0"/>
                    <w:ind w:left="0" w:lef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c>
                <w:tcPr>
                  <w:tcW w:w="808" w:type="pct"/>
                  <w:vAlign w:val="center"/>
                </w:tcPr>
                <w:p w14:paraId="0948F9DE">
                  <w:pPr>
                    <w:keepNext w:val="0"/>
                    <w:keepLines w:val="0"/>
                    <w:pageBreakBefore w:val="0"/>
                    <w:kinsoku/>
                    <w:wordWrap/>
                    <w:overflowPunct/>
                    <w:topLinePunct w:val="0"/>
                    <w:autoSpaceDE/>
                    <w:autoSpaceDN/>
                    <w:bidi w:val="0"/>
                    <w:snapToGrid w:val="0"/>
                    <w:ind w:left="0" w:lef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排气筒（DA00</w:t>
                  </w:r>
                  <w:r>
                    <w:rPr>
                      <w:rFonts w:hint="eastAsia"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w:t>
                  </w:r>
                </w:p>
              </w:tc>
              <w:tc>
                <w:tcPr>
                  <w:tcW w:w="960" w:type="pct"/>
                  <w:vAlign w:val="center"/>
                </w:tcPr>
                <w:p w14:paraId="265518B8">
                  <w:pPr>
                    <w:keepNext w:val="0"/>
                    <w:keepLines w:val="0"/>
                    <w:pageBreakBefore w:val="0"/>
                    <w:kinsoku/>
                    <w:wordWrap/>
                    <w:overflowPunct/>
                    <w:topLinePunct w:val="0"/>
                    <w:autoSpaceDE/>
                    <w:autoSpaceDN/>
                    <w:bidi w:val="0"/>
                    <w:snapToGrid w:val="0"/>
                    <w:ind w:left="0" w:lef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G3印刷废气</w:t>
                  </w:r>
                </w:p>
              </w:tc>
              <w:tc>
                <w:tcPr>
                  <w:tcW w:w="541" w:type="pct"/>
                  <w:vAlign w:val="center"/>
                </w:tcPr>
                <w:p w14:paraId="4EA546F1">
                  <w:pPr>
                    <w:keepNext w:val="0"/>
                    <w:keepLines w:val="0"/>
                    <w:pageBreakBefore w:val="0"/>
                    <w:kinsoku/>
                    <w:wordWrap/>
                    <w:overflowPunct/>
                    <w:topLinePunct w:val="0"/>
                    <w:autoSpaceDE/>
                    <w:autoSpaceDN/>
                    <w:bidi w:val="0"/>
                    <w:snapToGrid w:val="0"/>
                    <w:ind w:left="0" w:lef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非甲烷</w:t>
                  </w:r>
                </w:p>
                <w:p w14:paraId="3E4F0C9E">
                  <w:pPr>
                    <w:keepNext w:val="0"/>
                    <w:keepLines w:val="0"/>
                    <w:pageBreakBefore w:val="0"/>
                    <w:kinsoku/>
                    <w:wordWrap/>
                    <w:overflowPunct/>
                    <w:topLinePunct w:val="0"/>
                    <w:autoSpaceDE/>
                    <w:autoSpaceDN/>
                    <w:bidi w:val="0"/>
                    <w:snapToGrid w:val="0"/>
                    <w:ind w:left="0" w:lef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总烃</w:t>
                  </w:r>
                </w:p>
              </w:tc>
              <w:tc>
                <w:tcPr>
                  <w:tcW w:w="802" w:type="pct"/>
                  <w:vAlign w:val="center"/>
                </w:tcPr>
                <w:p w14:paraId="56E549D1">
                  <w:pPr>
                    <w:pStyle w:val="24"/>
                    <w:keepNext w:val="0"/>
                    <w:keepLines w:val="0"/>
                    <w:pageBreakBefore w:val="0"/>
                    <w:kinsoku/>
                    <w:wordWrap/>
                    <w:overflowPunct/>
                    <w:topLinePunct w:val="0"/>
                    <w:autoSpaceDE/>
                    <w:autoSpaceDN/>
                    <w:bidi w:val="0"/>
                    <w:spacing w:after="0"/>
                    <w:ind w:left="0" w:lef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46</w:t>
                  </w:r>
                </w:p>
              </w:tc>
              <w:tc>
                <w:tcPr>
                  <w:tcW w:w="794" w:type="pct"/>
                  <w:vAlign w:val="center"/>
                </w:tcPr>
                <w:p w14:paraId="1ADA29B1">
                  <w:pPr>
                    <w:pStyle w:val="24"/>
                    <w:keepNext w:val="0"/>
                    <w:keepLines w:val="0"/>
                    <w:pageBreakBefore w:val="0"/>
                    <w:kinsoku/>
                    <w:wordWrap/>
                    <w:overflowPunct/>
                    <w:topLinePunct w:val="0"/>
                    <w:autoSpaceDE/>
                    <w:autoSpaceDN/>
                    <w:bidi w:val="0"/>
                    <w:adjustRightInd w:val="0"/>
                    <w:snapToGrid w:val="0"/>
                    <w:spacing w:after="0"/>
                    <w:ind w:left="0" w:leftChars="0" w:firstLine="0" w:firstLineChars="0"/>
                    <w:jc w:val="center"/>
                    <w:textAlignment w:val="auto"/>
                    <w:rPr>
                      <w:rFonts w:hint="default"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0.23</w:t>
                  </w:r>
                </w:p>
              </w:tc>
              <w:tc>
                <w:tcPr>
                  <w:tcW w:w="704" w:type="pct"/>
                  <w:vAlign w:val="center"/>
                </w:tcPr>
                <w:p w14:paraId="134E7C25">
                  <w:pPr>
                    <w:keepNext w:val="0"/>
                    <w:keepLines w:val="0"/>
                    <w:pageBreakBefore w:val="0"/>
                    <w:widowControl/>
                    <w:kinsoku/>
                    <w:wordWrap/>
                    <w:overflowPunct/>
                    <w:topLinePunct w:val="0"/>
                    <w:autoSpaceDE/>
                    <w:autoSpaceDN/>
                    <w:bidi w:val="0"/>
                    <w:ind w:left="0" w:leftChars="0"/>
                    <w:jc w:val="center"/>
                    <w:textAlignment w:val="auto"/>
                    <w:rPr>
                      <w:rFonts w:hint="default"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0.2</w:t>
                  </w:r>
                </w:p>
              </w:tc>
            </w:tr>
            <w:tr w14:paraId="07F5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trPr>
              <w:tc>
                <w:tcPr>
                  <w:tcW w:w="4295" w:type="pct"/>
                  <w:gridSpan w:val="6"/>
                  <w:vAlign w:val="center"/>
                </w:tcPr>
                <w:p w14:paraId="4A09AE4A">
                  <w:pPr>
                    <w:pStyle w:val="24"/>
                    <w:keepNext w:val="0"/>
                    <w:keepLines w:val="0"/>
                    <w:pageBreakBefore w:val="0"/>
                    <w:kinsoku/>
                    <w:wordWrap/>
                    <w:overflowPunct/>
                    <w:topLinePunct w:val="0"/>
                    <w:autoSpaceDE/>
                    <w:autoSpaceDN/>
                    <w:bidi w:val="0"/>
                    <w:adjustRightInd w:val="0"/>
                    <w:snapToGrid w:val="0"/>
                    <w:spacing w:after="0"/>
                    <w:ind w:left="0" w:leftChars="0" w:firstLine="0" w:firstLineChars="0"/>
                    <w:jc w:val="center"/>
                    <w:textAlignment w:val="auto"/>
                    <w:rPr>
                      <w:rFonts w:hint="default"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合计</w:t>
                  </w:r>
                </w:p>
              </w:tc>
              <w:tc>
                <w:tcPr>
                  <w:tcW w:w="704" w:type="pct"/>
                  <w:vAlign w:val="center"/>
                </w:tcPr>
                <w:p w14:paraId="61CAC7BB">
                  <w:pPr>
                    <w:keepNext w:val="0"/>
                    <w:keepLines w:val="0"/>
                    <w:pageBreakBefore w:val="0"/>
                    <w:widowControl/>
                    <w:kinsoku/>
                    <w:wordWrap/>
                    <w:overflowPunct/>
                    <w:topLinePunct w:val="0"/>
                    <w:autoSpaceDE/>
                    <w:autoSpaceDN/>
                    <w:bidi w:val="0"/>
                    <w:ind w:left="0" w:leftChars="0"/>
                    <w:jc w:val="center"/>
                    <w:textAlignment w:val="auto"/>
                    <w:rPr>
                      <w:rFonts w:hint="default"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15.64</w:t>
                  </w:r>
                </w:p>
              </w:tc>
            </w:tr>
          </w:tbl>
          <w:p w14:paraId="0BE58893">
            <w:pPr>
              <w:adjustRightInd w:val="0"/>
              <w:snapToGrid w:val="0"/>
              <w:spacing w:line="360" w:lineRule="auto"/>
              <w:ind w:firstLine="482" w:firstLineChars="200"/>
              <w:jc w:val="center"/>
              <w:rPr>
                <w:rFonts w:hint="eastAsia"/>
                <w:b/>
                <w:bCs/>
                <w:color w:val="auto"/>
                <w:kern w:val="24"/>
                <w:sz w:val="24"/>
                <w:highlight w:val="none"/>
              </w:rPr>
            </w:pPr>
          </w:p>
          <w:p w14:paraId="1557E941">
            <w:pPr>
              <w:adjustRightInd w:val="0"/>
              <w:snapToGrid w:val="0"/>
              <w:spacing w:line="360" w:lineRule="auto"/>
              <w:ind w:firstLine="482" w:firstLineChars="200"/>
              <w:jc w:val="center"/>
              <w:rPr>
                <w:b/>
                <w:bCs/>
                <w:color w:val="auto"/>
                <w:kern w:val="24"/>
                <w:sz w:val="24"/>
                <w:highlight w:val="none"/>
              </w:rPr>
            </w:pPr>
            <w:r>
              <w:rPr>
                <w:rFonts w:hint="eastAsia"/>
                <w:b/>
                <w:bCs/>
                <w:color w:val="auto"/>
                <w:kern w:val="24"/>
                <w:sz w:val="24"/>
                <w:highlight w:val="none"/>
              </w:rPr>
              <w:t>表4-4  大气污染物无组织排放量核算表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42"/>
              <w:gridCol w:w="2373"/>
              <w:gridCol w:w="1343"/>
              <w:gridCol w:w="2238"/>
              <w:gridCol w:w="1567"/>
            </w:tblGrid>
            <w:tr w14:paraId="24AC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trPr>
              <w:tc>
                <w:tcPr>
                  <w:tcW w:w="448" w:type="pct"/>
                  <w:vAlign w:val="center"/>
                </w:tcPr>
                <w:p w14:paraId="26ECB650">
                  <w:pPr>
                    <w:pStyle w:val="24"/>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1435" w:type="pct"/>
                  <w:vAlign w:val="center"/>
                </w:tcPr>
                <w:p w14:paraId="24CC8EC2">
                  <w:pPr>
                    <w:pStyle w:val="24"/>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产污环节</w:t>
                  </w:r>
                </w:p>
              </w:tc>
              <w:tc>
                <w:tcPr>
                  <w:tcW w:w="812" w:type="pct"/>
                  <w:vAlign w:val="center"/>
                </w:tcPr>
                <w:p w14:paraId="7549071A">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w:t>
                  </w:r>
                </w:p>
              </w:tc>
              <w:tc>
                <w:tcPr>
                  <w:tcW w:w="1354" w:type="pct"/>
                  <w:vAlign w:val="center"/>
                </w:tcPr>
                <w:p w14:paraId="6B279009">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主要污染防治措施</w:t>
                  </w:r>
                </w:p>
              </w:tc>
              <w:tc>
                <w:tcPr>
                  <w:tcW w:w="948" w:type="pct"/>
                  <w:vAlign w:val="center"/>
                </w:tcPr>
                <w:p w14:paraId="436F88EB">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年排放量/</w:t>
                  </w: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t/a</w:t>
                  </w:r>
                  <w:r>
                    <w:rPr>
                      <w:rFonts w:hint="default" w:ascii="Times New Roman" w:hAnsi="Times New Roman" w:eastAsia="宋体" w:cs="Times New Roman"/>
                      <w:b/>
                      <w:bCs/>
                      <w:color w:val="auto"/>
                      <w:sz w:val="21"/>
                      <w:szCs w:val="21"/>
                      <w:highlight w:val="none"/>
                      <w:lang w:eastAsia="zh-CN"/>
                    </w:rPr>
                    <w:t>）</w:t>
                  </w:r>
                </w:p>
              </w:tc>
            </w:tr>
            <w:tr w14:paraId="7E0F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trPr>
              <w:tc>
                <w:tcPr>
                  <w:tcW w:w="448" w:type="pct"/>
                  <w:vAlign w:val="center"/>
                </w:tcPr>
                <w:p w14:paraId="38D21F35">
                  <w:pPr>
                    <w:pStyle w:val="24"/>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1435" w:type="pct"/>
                  <w:vAlign w:val="center"/>
                </w:tcPr>
                <w:p w14:paraId="6473B951">
                  <w:pPr>
                    <w:pStyle w:val="24"/>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eastAsia" w:ascii="Times New Roman" w:hAnsi="Times New Roman" w:eastAsia="宋体" w:cs="Times New Roman"/>
                      <w:color w:val="auto"/>
                      <w:kern w:val="24"/>
                      <w:sz w:val="21"/>
                      <w:szCs w:val="21"/>
                      <w:highlight w:val="none"/>
                      <w:lang w:eastAsia="zh-CN"/>
                    </w:rPr>
                  </w:pPr>
                  <w:r>
                    <w:rPr>
                      <w:rFonts w:hint="default" w:ascii="Times New Roman" w:hAnsi="Times New Roman" w:eastAsia="宋体" w:cs="Times New Roman"/>
                      <w:color w:val="auto"/>
                      <w:kern w:val="24"/>
                      <w:sz w:val="21"/>
                      <w:szCs w:val="21"/>
                      <w:highlight w:val="none"/>
                      <w:lang w:val="en-US" w:eastAsia="zh-CN"/>
                    </w:rPr>
                    <w:t>未收集</w:t>
                  </w:r>
                  <w:r>
                    <w:rPr>
                      <w:rFonts w:hint="default" w:ascii="Times New Roman" w:hAnsi="Times New Roman" w:eastAsia="宋体" w:cs="Times New Roman"/>
                      <w:color w:val="auto"/>
                      <w:kern w:val="24"/>
                      <w:sz w:val="21"/>
                      <w:szCs w:val="21"/>
                      <w:highlight w:val="none"/>
                    </w:rPr>
                    <w:t>G1模具</w:t>
                  </w:r>
                  <w:r>
                    <w:rPr>
                      <w:rFonts w:hint="eastAsia" w:cs="Times New Roman"/>
                      <w:color w:val="auto"/>
                      <w:kern w:val="24"/>
                      <w:sz w:val="21"/>
                      <w:szCs w:val="21"/>
                      <w:highlight w:val="none"/>
                      <w:lang w:val="en-US" w:eastAsia="zh-CN"/>
                    </w:rPr>
                    <w:t>成型</w:t>
                  </w:r>
                  <w:r>
                    <w:rPr>
                      <w:rFonts w:hint="default" w:ascii="Times New Roman" w:hAnsi="Times New Roman" w:eastAsia="宋体" w:cs="Times New Roman"/>
                      <w:color w:val="auto"/>
                      <w:kern w:val="24"/>
                      <w:sz w:val="21"/>
                      <w:szCs w:val="21"/>
                      <w:highlight w:val="none"/>
                    </w:rPr>
                    <w:t>废气、未收集G2印刷废气</w:t>
                  </w:r>
                  <w:r>
                    <w:rPr>
                      <w:rFonts w:hint="eastAsia" w:cs="Times New Roman"/>
                      <w:color w:val="auto"/>
                      <w:kern w:val="24"/>
                      <w:sz w:val="21"/>
                      <w:szCs w:val="21"/>
                      <w:highlight w:val="none"/>
                      <w:lang w:eastAsia="zh-CN"/>
                    </w:rPr>
                    <w:t>、未收集G3焊接废气</w:t>
                  </w:r>
                </w:p>
              </w:tc>
              <w:tc>
                <w:tcPr>
                  <w:tcW w:w="812" w:type="pct"/>
                  <w:vAlign w:val="center"/>
                </w:tcPr>
                <w:p w14:paraId="678C0615">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sz w:val="21"/>
                      <w:szCs w:val="21"/>
                      <w:highlight w:val="none"/>
                    </w:rPr>
                    <w:t>非甲烷总烃</w:t>
                  </w:r>
                </w:p>
              </w:tc>
              <w:tc>
                <w:tcPr>
                  <w:tcW w:w="1354" w:type="pct"/>
                  <w:vAlign w:val="center"/>
                </w:tcPr>
                <w:p w14:paraId="4FC65538">
                  <w:pPr>
                    <w:pStyle w:val="24"/>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sz w:val="21"/>
                      <w:szCs w:val="21"/>
                      <w:highlight w:val="none"/>
                    </w:rPr>
                    <w:t>加强车间密闭管理，提高收集效率</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车间通风</w:t>
                  </w:r>
                </w:p>
              </w:tc>
              <w:tc>
                <w:tcPr>
                  <w:tcW w:w="948" w:type="pct"/>
                  <w:vAlign w:val="center"/>
                </w:tcPr>
                <w:p w14:paraId="72BB6E2D">
                  <w:pPr>
                    <w:pStyle w:val="24"/>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19.44</w:t>
                  </w:r>
                </w:p>
              </w:tc>
            </w:tr>
            <w:tr w14:paraId="5AA6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trPr>
              <w:tc>
                <w:tcPr>
                  <w:tcW w:w="448" w:type="pct"/>
                  <w:vAlign w:val="center"/>
                </w:tcPr>
                <w:p w14:paraId="3203307C">
                  <w:pPr>
                    <w:pStyle w:val="24"/>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1435" w:type="pct"/>
                  <w:vAlign w:val="center"/>
                </w:tcPr>
                <w:p w14:paraId="10804FAF">
                  <w:pPr>
                    <w:pStyle w:val="24"/>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破碎粉尘</w:t>
                  </w:r>
                </w:p>
              </w:tc>
              <w:tc>
                <w:tcPr>
                  <w:tcW w:w="812" w:type="pct"/>
                  <w:vAlign w:val="center"/>
                </w:tcPr>
                <w:p w14:paraId="1A73B90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1354" w:type="pct"/>
                  <w:vAlign w:val="center"/>
                </w:tcPr>
                <w:p w14:paraId="7FF3C76D">
                  <w:pPr>
                    <w:pStyle w:val="24"/>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加强通风</w:t>
                  </w:r>
                </w:p>
              </w:tc>
              <w:tc>
                <w:tcPr>
                  <w:tcW w:w="948" w:type="pct"/>
                  <w:vAlign w:val="center"/>
                </w:tcPr>
                <w:p w14:paraId="18C3E341">
                  <w:pPr>
                    <w:pStyle w:val="24"/>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少量</w:t>
                  </w:r>
                </w:p>
              </w:tc>
            </w:tr>
          </w:tbl>
          <w:p w14:paraId="1ADA424C">
            <w:pPr>
              <w:adjustRightInd w:val="0"/>
              <w:snapToGrid w:val="0"/>
              <w:spacing w:line="360" w:lineRule="auto"/>
              <w:ind w:firstLine="480" w:firstLineChars="200"/>
              <w:jc w:val="left"/>
              <w:rPr>
                <w:rFonts w:hint="eastAsia" w:ascii="Times New Roman" w:hAnsi="Times New Roman" w:eastAsia="宋体" w:cs="Times New Roman"/>
                <w:color w:val="auto"/>
                <w:kern w:val="24"/>
                <w:sz w:val="24"/>
                <w:szCs w:val="22"/>
                <w:highlight w:val="none"/>
              </w:rPr>
            </w:pPr>
            <w:r>
              <w:rPr>
                <w:rFonts w:hint="eastAsia" w:ascii="Times New Roman" w:hAnsi="Times New Roman" w:eastAsia="宋体" w:cs="Times New Roman"/>
                <w:color w:val="auto"/>
                <w:kern w:val="24"/>
                <w:sz w:val="24"/>
                <w:szCs w:val="22"/>
                <w:highlight w:val="none"/>
              </w:rPr>
              <w:t>项目大气污染物年排放量核算详见下表。</w:t>
            </w:r>
          </w:p>
          <w:p w14:paraId="50ACA8DE">
            <w:pPr>
              <w:adjustRightInd w:val="0"/>
              <w:snapToGrid w:val="0"/>
              <w:spacing w:line="360" w:lineRule="auto"/>
              <w:ind w:firstLine="482" w:firstLineChars="200"/>
              <w:jc w:val="center"/>
              <w:rPr>
                <w:rFonts w:hint="eastAsia" w:ascii="Times New Roman" w:hAnsi="Times New Roman" w:eastAsia="宋体" w:cs="Times New Roman"/>
                <w:b/>
                <w:bCs/>
                <w:color w:val="auto"/>
                <w:kern w:val="24"/>
                <w:sz w:val="24"/>
                <w:highlight w:val="none"/>
              </w:rPr>
            </w:pPr>
            <w:r>
              <w:rPr>
                <w:rFonts w:hint="eastAsia" w:ascii="Times New Roman" w:hAnsi="Times New Roman" w:eastAsia="宋体" w:cs="Times New Roman"/>
                <w:b/>
                <w:bCs/>
                <w:color w:val="auto"/>
                <w:kern w:val="24"/>
                <w:sz w:val="24"/>
                <w:highlight w:val="none"/>
              </w:rPr>
              <w:t>表4-5  大气污染物年排放量核算表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9"/>
              <w:gridCol w:w="2740"/>
              <w:gridCol w:w="2787"/>
            </w:tblGrid>
            <w:tr w14:paraId="0E9D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656" w:type="pct"/>
                  <w:vAlign w:val="center"/>
                </w:tcPr>
                <w:p w14:paraId="3EDBE898">
                  <w:pPr>
                    <w:pStyle w:val="24"/>
                    <w:keepNext w:val="0"/>
                    <w:keepLines w:val="0"/>
                    <w:pageBreakBefore w:val="0"/>
                    <w:kinsoku/>
                    <w:wordWrap/>
                    <w:overflowPunct/>
                    <w:topLinePunct w:val="0"/>
                    <w:autoSpaceDE/>
                    <w:autoSpaceDN/>
                    <w:bidi w:val="0"/>
                    <w:adjustRightInd/>
                    <w:spacing w:after="0"/>
                    <w:ind w:left="0" w:leftChars="0" w:firstLine="0" w:firstLineChars="0"/>
                    <w:jc w:val="center"/>
                    <w:textAlignment w:val="auto"/>
                    <w:rPr>
                      <w:rFonts w:hint="default" w:ascii="Times New Roman" w:hAnsi="Times New Roman" w:eastAsia="宋体" w:cs="Times New Roman"/>
                      <w:b/>
                      <w:bCs/>
                      <w:color w:val="auto"/>
                      <w:kern w:val="24"/>
                      <w:sz w:val="21"/>
                      <w:szCs w:val="21"/>
                      <w:highlight w:val="none"/>
                    </w:rPr>
                  </w:pPr>
                  <w:r>
                    <w:rPr>
                      <w:rFonts w:hint="default" w:ascii="Times New Roman" w:hAnsi="Times New Roman" w:eastAsia="宋体" w:cs="Times New Roman"/>
                      <w:b/>
                      <w:bCs/>
                      <w:color w:val="auto"/>
                      <w:kern w:val="24"/>
                      <w:sz w:val="21"/>
                      <w:szCs w:val="21"/>
                      <w:highlight w:val="none"/>
                    </w:rPr>
                    <w:t>序号</w:t>
                  </w:r>
                </w:p>
              </w:tc>
              <w:tc>
                <w:tcPr>
                  <w:tcW w:w="1657" w:type="pct"/>
                  <w:vAlign w:val="center"/>
                </w:tcPr>
                <w:p w14:paraId="18381C16">
                  <w:pPr>
                    <w:pStyle w:val="24"/>
                    <w:keepNext w:val="0"/>
                    <w:keepLines w:val="0"/>
                    <w:pageBreakBefore w:val="0"/>
                    <w:kinsoku/>
                    <w:wordWrap/>
                    <w:overflowPunct/>
                    <w:topLinePunct w:val="0"/>
                    <w:autoSpaceDE/>
                    <w:autoSpaceDN/>
                    <w:bidi w:val="0"/>
                    <w:adjustRightInd/>
                    <w:spacing w:after="0"/>
                    <w:ind w:left="0" w:leftChars="0" w:firstLine="0" w:firstLineChars="0"/>
                    <w:jc w:val="center"/>
                    <w:textAlignment w:val="auto"/>
                    <w:rPr>
                      <w:rFonts w:hint="default" w:ascii="Times New Roman" w:hAnsi="Times New Roman" w:eastAsia="宋体" w:cs="Times New Roman"/>
                      <w:b/>
                      <w:bCs/>
                      <w:color w:val="auto"/>
                      <w:kern w:val="24"/>
                      <w:sz w:val="21"/>
                      <w:szCs w:val="21"/>
                      <w:highlight w:val="none"/>
                    </w:rPr>
                  </w:pPr>
                  <w:r>
                    <w:rPr>
                      <w:rFonts w:hint="default" w:ascii="Times New Roman" w:hAnsi="Times New Roman" w:eastAsia="宋体" w:cs="Times New Roman"/>
                      <w:b/>
                      <w:bCs/>
                      <w:color w:val="auto"/>
                      <w:kern w:val="24"/>
                      <w:sz w:val="21"/>
                      <w:szCs w:val="21"/>
                      <w:highlight w:val="none"/>
                    </w:rPr>
                    <w:t>污染物</w:t>
                  </w:r>
                </w:p>
              </w:tc>
              <w:tc>
                <w:tcPr>
                  <w:tcW w:w="1685" w:type="pct"/>
                  <w:vAlign w:val="center"/>
                </w:tcPr>
                <w:p w14:paraId="468071B7">
                  <w:pPr>
                    <w:pStyle w:val="24"/>
                    <w:keepNext w:val="0"/>
                    <w:keepLines w:val="0"/>
                    <w:pageBreakBefore w:val="0"/>
                    <w:kinsoku/>
                    <w:wordWrap/>
                    <w:overflowPunct/>
                    <w:topLinePunct w:val="0"/>
                    <w:autoSpaceDE/>
                    <w:autoSpaceDN/>
                    <w:bidi w:val="0"/>
                    <w:adjustRightInd/>
                    <w:spacing w:after="0"/>
                    <w:ind w:left="0" w:leftChars="0" w:firstLine="0" w:firstLineChars="0"/>
                    <w:jc w:val="center"/>
                    <w:textAlignment w:val="auto"/>
                    <w:rPr>
                      <w:rFonts w:hint="default" w:ascii="Times New Roman" w:hAnsi="Times New Roman" w:eastAsia="宋体" w:cs="Times New Roman"/>
                      <w:b/>
                      <w:bCs/>
                      <w:color w:val="auto"/>
                      <w:kern w:val="24"/>
                      <w:sz w:val="21"/>
                      <w:szCs w:val="21"/>
                      <w:highlight w:val="none"/>
                      <w:lang w:eastAsia="zh-CN"/>
                    </w:rPr>
                  </w:pPr>
                  <w:r>
                    <w:rPr>
                      <w:rFonts w:hint="default" w:ascii="Times New Roman" w:hAnsi="Times New Roman" w:eastAsia="宋体" w:cs="Times New Roman"/>
                      <w:b/>
                      <w:bCs/>
                      <w:color w:val="auto"/>
                      <w:kern w:val="24"/>
                      <w:sz w:val="21"/>
                      <w:szCs w:val="21"/>
                      <w:highlight w:val="none"/>
                    </w:rPr>
                    <w:t>年排放量/</w:t>
                  </w:r>
                  <w:r>
                    <w:rPr>
                      <w:rFonts w:hint="default" w:ascii="Times New Roman" w:hAnsi="Times New Roman" w:eastAsia="宋体" w:cs="Times New Roman"/>
                      <w:b/>
                      <w:bCs/>
                      <w:color w:val="auto"/>
                      <w:kern w:val="24"/>
                      <w:sz w:val="21"/>
                      <w:szCs w:val="21"/>
                      <w:highlight w:val="none"/>
                      <w:lang w:eastAsia="zh-CN"/>
                    </w:rPr>
                    <w:t>（</w:t>
                  </w:r>
                  <w:r>
                    <w:rPr>
                      <w:rFonts w:hint="default" w:ascii="Times New Roman" w:hAnsi="Times New Roman" w:eastAsia="宋体" w:cs="Times New Roman"/>
                      <w:b/>
                      <w:bCs/>
                      <w:color w:val="auto"/>
                      <w:kern w:val="24"/>
                      <w:sz w:val="21"/>
                      <w:szCs w:val="21"/>
                      <w:highlight w:val="none"/>
                    </w:rPr>
                    <w:t>t/a</w:t>
                  </w:r>
                  <w:r>
                    <w:rPr>
                      <w:rFonts w:hint="default" w:ascii="Times New Roman" w:hAnsi="Times New Roman" w:eastAsia="宋体" w:cs="Times New Roman"/>
                      <w:b/>
                      <w:bCs/>
                      <w:color w:val="auto"/>
                      <w:kern w:val="24"/>
                      <w:sz w:val="21"/>
                      <w:szCs w:val="21"/>
                      <w:highlight w:val="none"/>
                      <w:lang w:eastAsia="zh-CN"/>
                    </w:rPr>
                    <w:t>）</w:t>
                  </w:r>
                </w:p>
              </w:tc>
            </w:tr>
            <w:tr w14:paraId="5272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656" w:type="pct"/>
                  <w:vAlign w:val="center"/>
                </w:tcPr>
                <w:p w14:paraId="2F18DC63">
                  <w:pPr>
                    <w:pStyle w:val="24"/>
                    <w:keepNext w:val="0"/>
                    <w:keepLines w:val="0"/>
                    <w:pageBreakBefore w:val="0"/>
                    <w:kinsoku/>
                    <w:wordWrap/>
                    <w:overflowPunct/>
                    <w:topLinePunct w:val="0"/>
                    <w:autoSpaceDE/>
                    <w:autoSpaceDN/>
                    <w:bidi w:val="0"/>
                    <w:adjustRightInd/>
                    <w:spacing w:after="0"/>
                    <w:ind w:left="0" w:leftChars="0"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1</w:t>
                  </w:r>
                </w:p>
              </w:tc>
              <w:tc>
                <w:tcPr>
                  <w:tcW w:w="1657" w:type="pct"/>
                  <w:vAlign w:val="center"/>
                </w:tcPr>
                <w:p w14:paraId="64BCA73E">
                  <w:pPr>
                    <w:keepNext w:val="0"/>
                    <w:keepLines w:val="0"/>
                    <w:pageBreakBefore w:val="0"/>
                    <w:kinsoku/>
                    <w:wordWrap/>
                    <w:overflowPunct/>
                    <w:topLinePunct w:val="0"/>
                    <w:autoSpaceDE/>
                    <w:autoSpaceDN/>
                    <w:bidi w:val="0"/>
                    <w:adjustRightInd/>
                    <w:snapToGrid w:val="0"/>
                    <w:ind w:left="0" w:lef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非甲烷总烃</w:t>
                  </w:r>
                </w:p>
              </w:tc>
              <w:tc>
                <w:tcPr>
                  <w:tcW w:w="1685" w:type="pct"/>
                  <w:vAlign w:val="center"/>
                </w:tcPr>
                <w:p w14:paraId="7E5D6611">
                  <w:pPr>
                    <w:keepNext w:val="0"/>
                    <w:keepLines w:val="0"/>
                    <w:pageBreakBefore w:val="0"/>
                    <w:widowControl/>
                    <w:kinsoku/>
                    <w:wordWrap/>
                    <w:overflowPunct/>
                    <w:topLinePunct w:val="0"/>
                    <w:autoSpaceDE/>
                    <w:autoSpaceDN/>
                    <w:bidi w:val="0"/>
                    <w:adjustRightInd/>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35.08</w:t>
                  </w:r>
                </w:p>
              </w:tc>
            </w:tr>
          </w:tbl>
          <w:p w14:paraId="70EDE2FA">
            <w:pPr>
              <w:adjustRightInd w:val="0"/>
              <w:snapToGrid w:val="0"/>
              <w:spacing w:line="360" w:lineRule="auto"/>
              <w:ind w:firstLine="482" w:firstLineChars="200"/>
              <w:jc w:val="left"/>
              <w:rPr>
                <w:rFonts w:hint="default"/>
                <w:b/>
                <w:bCs/>
                <w:color w:val="auto"/>
                <w:sz w:val="24"/>
                <w:highlight w:val="none"/>
                <w:lang w:val="en-US" w:eastAsia="zh-CN"/>
              </w:rPr>
            </w:pPr>
            <w:r>
              <w:rPr>
                <w:rFonts w:hint="eastAsia"/>
                <w:b/>
                <w:bCs/>
                <w:color w:val="auto"/>
                <w:sz w:val="24"/>
                <w:highlight w:val="none"/>
                <w:lang w:val="en-US" w:eastAsia="zh-CN"/>
              </w:rPr>
              <w:t>1.1源强核算过程</w:t>
            </w:r>
          </w:p>
          <w:p w14:paraId="41864054">
            <w:pPr>
              <w:keepNext w:val="0"/>
              <w:keepLines w:val="0"/>
              <w:pageBreakBefore w:val="0"/>
              <w:tabs>
                <w:tab w:val="left" w:pos="3540"/>
              </w:tabs>
              <w:kinsoku/>
              <w:wordWrap/>
              <w:overflowPunct/>
              <w:topLinePunct w:val="0"/>
              <w:bidi w:val="0"/>
              <w:adjustRightInd w:val="0"/>
              <w:snapToGrid w:val="0"/>
              <w:spacing w:line="360" w:lineRule="auto"/>
              <w:ind w:firstLine="482" w:firstLineChars="200"/>
              <w:rPr>
                <w:rFonts w:hint="default" w:cs="Times New Roman"/>
                <w:b/>
                <w:bCs/>
                <w:color w:val="auto"/>
                <w:sz w:val="24"/>
                <w:szCs w:val="24"/>
                <w:highlight w:val="none"/>
                <w:u w:val="none"/>
                <w:lang w:val="en-US" w:eastAsia="zh-CN"/>
              </w:rPr>
            </w:pPr>
            <w:r>
              <w:rPr>
                <w:rFonts w:hint="eastAsia" w:cs="Times New Roman"/>
                <w:b/>
                <w:bCs/>
                <w:color w:val="auto"/>
                <w:sz w:val="24"/>
                <w:szCs w:val="24"/>
                <w:highlight w:val="none"/>
                <w:u w:val="none"/>
                <w:lang w:val="en-US" w:eastAsia="zh-CN"/>
              </w:rPr>
              <w:t>1、塑料废气</w:t>
            </w:r>
          </w:p>
          <w:p w14:paraId="1FF7F55C">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default" w:cs="Times New Roman"/>
                <w:b w:val="0"/>
                <w:bCs w:val="0"/>
                <w:color w:val="auto"/>
                <w:sz w:val="24"/>
                <w:szCs w:val="24"/>
                <w:highlight w:val="none"/>
                <w:u w:val="none"/>
                <w:lang w:val="en-US" w:eastAsia="zh-CN"/>
              </w:rPr>
            </w:pPr>
            <w:r>
              <w:rPr>
                <w:rFonts w:hint="default" w:cs="Times New Roman"/>
                <w:b w:val="0"/>
                <w:bCs w:val="0"/>
                <w:color w:val="auto"/>
                <w:sz w:val="24"/>
                <w:szCs w:val="24"/>
                <w:highlight w:val="none"/>
                <w:u w:val="none"/>
                <w:lang w:val="en-US" w:eastAsia="zh-CN"/>
              </w:rPr>
              <w:t>本项目塑料废气主要来源于模具成型、超声波焊接两大生产工序，具体产污核算情况如下</w:t>
            </w:r>
            <w:r>
              <w:rPr>
                <w:rFonts w:hint="eastAsia" w:cs="Times New Roman"/>
                <w:b w:val="0"/>
                <w:bCs w:val="0"/>
                <w:color w:val="auto"/>
                <w:sz w:val="24"/>
                <w:szCs w:val="24"/>
                <w:highlight w:val="none"/>
                <w:u w:val="none"/>
                <w:lang w:val="en-US" w:eastAsia="zh-CN"/>
              </w:rPr>
              <w:t>：</w:t>
            </w:r>
          </w:p>
          <w:p w14:paraId="768DF58A">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eastAsia"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1）G1模具成型废气</w:t>
            </w:r>
          </w:p>
          <w:p w14:paraId="5D294553">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default"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原料颗粒经加热挤出后熔化为熔融状态，高温环境下少量塑料单体挥发，产生有机废气。挤出、液压换网工序均在密闭设备内完成，废气仅在物料进入模具环节逸散，污染因子以非甲烷总烃计。本环节生产物料为塑料板材，并非成品包装箱，为保障产污核算结果严谨准确，本次废气</w:t>
            </w:r>
            <w:r>
              <w:rPr>
                <w:rFonts w:hint="eastAsia" w:cs="Times New Roman"/>
                <w:b w:val="0"/>
                <w:bCs w:val="0"/>
                <w:color w:val="auto"/>
                <w:sz w:val="24"/>
                <w:szCs w:val="24"/>
                <w:highlight w:val="none"/>
                <w:u w:val="none"/>
                <w:lang w:val="en-US" w:eastAsia="zh-CN"/>
              </w:rPr>
              <w:t>核算</w:t>
            </w:r>
            <w:r>
              <w:rPr>
                <w:rFonts w:hint="default" w:ascii="Times New Roman" w:hAnsi="Times New Roman" w:eastAsia="宋体" w:cs="Times New Roman"/>
                <w:b w:val="0"/>
                <w:bCs w:val="0"/>
                <w:color w:val="auto"/>
                <w:sz w:val="24"/>
                <w:szCs w:val="24"/>
                <w:highlight w:val="none"/>
                <w:u w:val="none"/>
                <w:lang w:val="en-US" w:eastAsia="zh-CN"/>
              </w:rPr>
              <w:t>产污系数参照《排放源统计调查产排污核算方法和系数手册》</w:t>
            </w:r>
            <w:r>
              <w:rPr>
                <w:rFonts w:hint="eastAsia" w:cs="Times New Roman"/>
                <w:b w:val="0"/>
                <w:bCs w:val="0"/>
                <w:color w:val="auto"/>
                <w:sz w:val="24"/>
                <w:szCs w:val="24"/>
                <w:highlight w:val="none"/>
                <w:u w:val="none"/>
                <w:lang w:val="en-US" w:eastAsia="zh-CN"/>
              </w:rPr>
              <w:t>—292塑料制品行业系数手册—</w:t>
            </w:r>
            <w:r>
              <w:rPr>
                <w:rFonts w:hint="default" w:ascii="Times New Roman" w:hAnsi="Times New Roman" w:eastAsia="宋体" w:cs="Times New Roman"/>
                <w:b w:val="0"/>
                <w:bCs w:val="0"/>
                <w:color w:val="auto"/>
                <w:sz w:val="24"/>
                <w:szCs w:val="24"/>
                <w:highlight w:val="none"/>
                <w:u w:val="none"/>
                <w:lang w:val="en-US" w:eastAsia="zh-CN"/>
              </w:rPr>
              <w:t>2922塑料板、管、型材制造相关系数执行</w:t>
            </w:r>
            <w:r>
              <w:rPr>
                <w:rFonts w:hint="eastAsia" w:cs="Times New Roman"/>
                <w:b w:val="0"/>
                <w:bCs w:val="0"/>
                <w:color w:val="auto"/>
                <w:sz w:val="24"/>
                <w:szCs w:val="24"/>
                <w:highlight w:val="none"/>
                <w:u w:val="none"/>
                <w:lang w:val="en-US" w:eastAsia="zh-CN"/>
              </w:rPr>
              <w:t>，见下表：</w:t>
            </w:r>
          </w:p>
          <w:p w14:paraId="1F1DAAF8">
            <w:pPr>
              <w:keepNext w:val="0"/>
              <w:keepLines w:val="0"/>
              <w:widowControl w:val="0"/>
              <w:suppressLineNumbers w:val="0"/>
              <w:spacing w:before="0" w:beforeAutospacing="0" w:after="0" w:afterAutospacing="0" w:line="360" w:lineRule="auto"/>
              <w:ind w:left="0" w:right="0"/>
              <w:jc w:val="center"/>
              <w:rPr>
                <w:rFonts w:hint="default" w:ascii="Times New Roman" w:hAnsi="Times New Roman" w:eastAsia="宋体" w:cs="Times New Roman"/>
                <w:b/>
                <w:bCs/>
                <w:color w:val="auto"/>
                <w:spacing w:val="6"/>
                <w:sz w:val="24"/>
                <w:szCs w:val="24"/>
                <w:highlight w:val="none"/>
                <w:lang w:val="en-US" w:eastAsia="zh-CN"/>
              </w:rPr>
            </w:pPr>
            <w:r>
              <w:rPr>
                <w:rFonts w:hint="default" w:ascii="Times New Roman" w:hAnsi="Times New Roman" w:eastAsia="宋体" w:cs="Times New Roman"/>
                <w:b/>
                <w:bCs/>
                <w:color w:val="auto"/>
                <w:spacing w:val="6"/>
                <w:sz w:val="24"/>
                <w:szCs w:val="24"/>
                <w:highlight w:val="none"/>
              </w:rPr>
              <w:t>表</w:t>
            </w:r>
            <w:r>
              <w:rPr>
                <w:rFonts w:hint="default" w:ascii="Times New Roman" w:hAnsi="Times New Roman" w:eastAsia="宋体" w:cs="Times New Roman"/>
                <w:b/>
                <w:bCs/>
                <w:color w:val="auto"/>
                <w:spacing w:val="6"/>
                <w:sz w:val="24"/>
                <w:szCs w:val="24"/>
                <w:highlight w:val="none"/>
                <w:lang w:val="en-US" w:eastAsia="zh-CN"/>
              </w:rPr>
              <w:t>4</w:t>
            </w:r>
            <w:r>
              <w:rPr>
                <w:rFonts w:hint="eastAsia" w:cs="Times New Roman"/>
                <w:b/>
                <w:bCs/>
                <w:color w:val="auto"/>
                <w:spacing w:val="6"/>
                <w:sz w:val="24"/>
                <w:szCs w:val="24"/>
                <w:highlight w:val="none"/>
                <w:lang w:val="en-US" w:eastAsia="zh-CN"/>
              </w:rPr>
              <w:t>-6</w:t>
            </w:r>
            <w:r>
              <w:rPr>
                <w:rFonts w:hint="default" w:ascii="Times New Roman" w:hAnsi="Times New Roman" w:eastAsia="宋体" w:cs="Times New Roman"/>
                <w:b/>
                <w:bCs/>
                <w:color w:val="auto"/>
                <w:spacing w:val="6"/>
                <w:sz w:val="24"/>
                <w:szCs w:val="24"/>
                <w:highlight w:val="none"/>
              </w:rPr>
              <w:t xml:space="preserve"> </w:t>
            </w:r>
            <w:r>
              <w:rPr>
                <w:rFonts w:hint="default" w:ascii="Times New Roman" w:hAnsi="Times New Roman" w:eastAsia="宋体" w:cs="Times New Roman"/>
                <w:b/>
                <w:bCs/>
                <w:color w:val="auto"/>
                <w:spacing w:val="6"/>
                <w:sz w:val="24"/>
                <w:szCs w:val="24"/>
                <w:highlight w:val="none"/>
                <w:lang w:val="en-US" w:eastAsia="zh-CN"/>
              </w:rPr>
              <w:t xml:space="preserve"> </w:t>
            </w:r>
            <w:r>
              <w:rPr>
                <w:rFonts w:hint="eastAsia" w:ascii="Times New Roman" w:hAnsi="Times New Roman" w:eastAsia="宋体" w:cs="Times New Roman"/>
                <w:b/>
                <w:bCs/>
                <w:color w:val="auto"/>
                <w:spacing w:val="6"/>
                <w:sz w:val="24"/>
                <w:szCs w:val="24"/>
                <w:highlight w:val="none"/>
                <w:lang w:val="en-US" w:eastAsia="zh-CN"/>
              </w:rPr>
              <w:t>产污系数</w:t>
            </w:r>
            <w:r>
              <w:rPr>
                <w:rFonts w:hint="default" w:ascii="Times New Roman" w:hAnsi="Times New Roman" w:eastAsia="宋体" w:cs="Times New Roman"/>
                <w:b/>
                <w:bCs/>
                <w:color w:val="auto"/>
                <w:spacing w:val="6"/>
                <w:sz w:val="24"/>
                <w:szCs w:val="24"/>
                <w:highlight w:val="none"/>
                <w:lang w:val="en-US" w:eastAsia="zh-CN"/>
              </w:rPr>
              <w:t>表</w:t>
            </w:r>
            <w:r>
              <w:rPr>
                <w:rFonts w:hint="eastAsia" w:ascii="Times New Roman" w:hAnsi="Times New Roman" w:eastAsia="宋体" w:cs="Times New Roman"/>
                <w:b/>
                <w:bCs/>
                <w:color w:val="auto"/>
                <w:spacing w:val="6"/>
                <w:sz w:val="24"/>
                <w:szCs w:val="24"/>
                <w:highlight w:val="none"/>
                <w:lang w:val="en-US" w:eastAsia="zh-CN"/>
              </w:rPr>
              <w:t>（摘录）</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3"/>
              <w:gridCol w:w="1215"/>
              <w:gridCol w:w="1159"/>
              <w:gridCol w:w="1159"/>
              <w:gridCol w:w="1429"/>
              <w:gridCol w:w="987"/>
              <w:gridCol w:w="1061"/>
            </w:tblGrid>
            <w:tr w14:paraId="4814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pct"/>
                  <w:vAlign w:val="center"/>
                </w:tcPr>
                <w:p w14:paraId="1173574A">
                  <w:pPr>
                    <w:keepNext w:val="0"/>
                    <w:keepLines w:val="0"/>
                    <w:pageBreakBefore w:val="0"/>
                    <w:widowControl w:val="0"/>
                    <w:tabs>
                      <w:tab w:val="left" w:pos="3540"/>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u w:val="none"/>
                      <w:vertAlign w:val="baseline"/>
                      <w:lang w:val="en-US" w:eastAsia="zh-CN"/>
                    </w:rPr>
                  </w:pPr>
                  <w:r>
                    <w:rPr>
                      <w:rFonts w:hint="eastAsia" w:ascii="Times New Roman" w:hAnsi="Times New Roman" w:eastAsia="宋体" w:cs="Times New Roman"/>
                      <w:b/>
                      <w:bCs/>
                      <w:color w:val="auto"/>
                      <w:sz w:val="21"/>
                      <w:szCs w:val="21"/>
                      <w:highlight w:val="none"/>
                      <w:u w:val="none"/>
                      <w:vertAlign w:val="baseline"/>
                      <w:lang w:val="en-US" w:eastAsia="zh-CN"/>
                    </w:rPr>
                    <w:t>产品名称</w:t>
                  </w:r>
                </w:p>
              </w:tc>
              <w:tc>
                <w:tcPr>
                  <w:tcW w:w="735" w:type="pct"/>
                  <w:vAlign w:val="center"/>
                </w:tcPr>
                <w:p w14:paraId="16C477C4">
                  <w:pPr>
                    <w:keepNext w:val="0"/>
                    <w:keepLines w:val="0"/>
                    <w:pageBreakBefore w:val="0"/>
                    <w:widowControl w:val="0"/>
                    <w:tabs>
                      <w:tab w:val="left" w:pos="3540"/>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u w:val="none"/>
                      <w:vertAlign w:val="baseline"/>
                      <w:lang w:val="en-US" w:eastAsia="zh-CN"/>
                    </w:rPr>
                  </w:pPr>
                  <w:r>
                    <w:rPr>
                      <w:rFonts w:hint="eastAsia" w:ascii="Times New Roman" w:hAnsi="Times New Roman" w:eastAsia="宋体" w:cs="Times New Roman"/>
                      <w:b/>
                      <w:bCs/>
                      <w:color w:val="auto"/>
                      <w:sz w:val="21"/>
                      <w:szCs w:val="21"/>
                      <w:highlight w:val="none"/>
                      <w:u w:val="none"/>
                      <w:vertAlign w:val="baseline"/>
                      <w:lang w:val="en-US" w:eastAsia="zh-CN"/>
                    </w:rPr>
                    <w:t>原料名称</w:t>
                  </w:r>
                </w:p>
              </w:tc>
              <w:tc>
                <w:tcPr>
                  <w:tcW w:w="701" w:type="pct"/>
                  <w:vAlign w:val="center"/>
                </w:tcPr>
                <w:p w14:paraId="7E8CFC72">
                  <w:pPr>
                    <w:keepNext w:val="0"/>
                    <w:keepLines w:val="0"/>
                    <w:pageBreakBefore w:val="0"/>
                    <w:widowControl w:val="0"/>
                    <w:tabs>
                      <w:tab w:val="left" w:pos="3540"/>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u w:val="none"/>
                      <w:vertAlign w:val="baseline"/>
                      <w:lang w:val="en-US" w:eastAsia="zh-CN"/>
                    </w:rPr>
                  </w:pPr>
                  <w:r>
                    <w:rPr>
                      <w:rFonts w:hint="eastAsia" w:ascii="Times New Roman" w:hAnsi="Times New Roman" w:eastAsia="宋体" w:cs="Times New Roman"/>
                      <w:b/>
                      <w:bCs/>
                      <w:color w:val="auto"/>
                      <w:sz w:val="21"/>
                      <w:szCs w:val="21"/>
                      <w:highlight w:val="none"/>
                      <w:u w:val="none"/>
                      <w:vertAlign w:val="baseline"/>
                      <w:lang w:val="en-US" w:eastAsia="zh-CN"/>
                    </w:rPr>
                    <w:t>工艺名称</w:t>
                  </w:r>
                </w:p>
              </w:tc>
              <w:tc>
                <w:tcPr>
                  <w:tcW w:w="701" w:type="pct"/>
                  <w:vAlign w:val="center"/>
                </w:tcPr>
                <w:p w14:paraId="0C71010E">
                  <w:pPr>
                    <w:keepNext w:val="0"/>
                    <w:keepLines w:val="0"/>
                    <w:pageBreakBefore w:val="0"/>
                    <w:widowControl w:val="0"/>
                    <w:tabs>
                      <w:tab w:val="left" w:pos="3540"/>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u w:val="none"/>
                      <w:vertAlign w:val="baseline"/>
                      <w:lang w:val="en-US" w:eastAsia="zh-CN"/>
                    </w:rPr>
                  </w:pPr>
                  <w:r>
                    <w:rPr>
                      <w:rFonts w:hint="eastAsia" w:ascii="Times New Roman" w:hAnsi="Times New Roman" w:eastAsia="宋体" w:cs="Times New Roman"/>
                      <w:b/>
                      <w:bCs/>
                      <w:color w:val="auto"/>
                      <w:sz w:val="21"/>
                      <w:szCs w:val="21"/>
                      <w:highlight w:val="none"/>
                      <w:u w:val="none"/>
                      <w:vertAlign w:val="baseline"/>
                      <w:lang w:val="en-US" w:eastAsia="zh-CN"/>
                    </w:rPr>
                    <w:t>规模等级</w:t>
                  </w:r>
                </w:p>
              </w:tc>
              <w:tc>
                <w:tcPr>
                  <w:tcW w:w="864" w:type="pct"/>
                  <w:vAlign w:val="center"/>
                </w:tcPr>
                <w:p w14:paraId="03682668">
                  <w:pPr>
                    <w:keepNext w:val="0"/>
                    <w:keepLines w:val="0"/>
                    <w:pageBreakBefore w:val="0"/>
                    <w:widowControl w:val="0"/>
                    <w:tabs>
                      <w:tab w:val="left" w:pos="3540"/>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u w:val="none"/>
                      <w:vertAlign w:val="baseline"/>
                      <w:lang w:val="en-US" w:eastAsia="zh-CN"/>
                    </w:rPr>
                  </w:pPr>
                  <w:r>
                    <w:rPr>
                      <w:rFonts w:hint="eastAsia" w:ascii="Times New Roman" w:hAnsi="Times New Roman" w:eastAsia="宋体" w:cs="Times New Roman"/>
                      <w:b/>
                      <w:bCs/>
                      <w:color w:val="auto"/>
                      <w:sz w:val="21"/>
                      <w:szCs w:val="21"/>
                      <w:highlight w:val="none"/>
                      <w:u w:val="none"/>
                      <w:vertAlign w:val="baseline"/>
                      <w:lang w:val="en-US" w:eastAsia="zh-CN"/>
                    </w:rPr>
                    <w:t>污染物指标</w:t>
                  </w:r>
                </w:p>
              </w:tc>
              <w:tc>
                <w:tcPr>
                  <w:tcW w:w="597" w:type="pct"/>
                  <w:vAlign w:val="center"/>
                </w:tcPr>
                <w:p w14:paraId="26E6C510">
                  <w:pPr>
                    <w:keepNext w:val="0"/>
                    <w:keepLines w:val="0"/>
                    <w:pageBreakBefore w:val="0"/>
                    <w:widowControl w:val="0"/>
                    <w:tabs>
                      <w:tab w:val="left" w:pos="3540"/>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u w:val="none"/>
                      <w:vertAlign w:val="baseline"/>
                      <w:lang w:val="en-US" w:eastAsia="zh-CN"/>
                    </w:rPr>
                  </w:pPr>
                  <w:r>
                    <w:rPr>
                      <w:rFonts w:hint="eastAsia" w:ascii="Times New Roman" w:hAnsi="Times New Roman" w:eastAsia="宋体" w:cs="Times New Roman"/>
                      <w:b/>
                      <w:bCs/>
                      <w:color w:val="auto"/>
                      <w:sz w:val="21"/>
                      <w:szCs w:val="21"/>
                      <w:highlight w:val="none"/>
                      <w:u w:val="none"/>
                      <w:vertAlign w:val="baseline"/>
                      <w:lang w:val="en-US" w:eastAsia="zh-CN"/>
                    </w:rPr>
                    <w:t>单位</w:t>
                  </w:r>
                </w:p>
              </w:tc>
              <w:tc>
                <w:tcPr>
                  <w:tcW w:w="641" w:type="pct"/>
                  <w:vAlign w:val="center"/>
                </w:tcPr>
                <w:p w14:paraId="52852F15">
                  <w:pPr>
                    <w:keepNext w:val="0"/>
                    <w:keepLines w:val="0"/>
                    <w:pageBreakBefore w:val="0"/>
                    <w:widowControl w:val="0"/>
                    <w:tabs>
                      <w:tab w:val="left" w:pos="3540"/>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u w:val="none"/>
                      <w:vertAlign w:val="baseline"/>
                      <w:lang w:val="en-US" w:eastAsia="zh-CN"/>
                    </w:rPr>
                  </w:pPr>
                  <w:r>
                    <w:rPr>
                      <w:rFonts w:hint="eastAsia" w:ascii="Times New Roman" w:hAnsi="Times New Roman" w:eastAsia="宋体" w:cs="Times New Roman"/>
                      <w:b/>
                      <w:bCs/>
                      <w:color w:val="auto"/>
                      <w:sz w:val="21"/>
                      <w:szCs w:val="21"/>
                      <w:highlight w:val="none"/>
                      <w:u w:val="none"/>
                      <w:vertAlign w:val="baseline"/>
                      <w:lang w:val="en-US" w:eastAsia="zh-CN"/>
                    </w:rPr>
                    <w:t>产污系数</w:t>
                  </w:r>
                </w:p>
              </w:tc>
            </w:tr>
            <w:tr w14:paraId="53A53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pct"/>
                  <w:vAlign w:val="center"/>
                </w:tcPr>
                <w:p w14:paraId="7AA8E696">
                  <w:pPr>
                    <w:keepNext w:val="0"/>
                    <w:keepLines w:val="0"/>
                    <w:pageBreakBefore w:val="0"/>
                    <w:widowControl w:val="0"/>
                    <w:tabs>
                      <w:tab w:val="left" w:pos="3540"/>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default" w:ascii="Times New Roman" w:hAnsi="Times New Roman" w:eastAsia="宋体" w:cs="Times New Roman"/>
                      <w:b w:val="0"/>
                      <w:bCs w:val="0"/>
                      <w:color w:val="auto"/>
                      <w:sz w:val="21"/>
                      <w:szCs w:val="21"/>
                      <w:highlight w:val="none"/>
                      <w:u w:val="none"/>
                      <w:vertAlign w:val="baseline"/>
                      <w:lang w:val="en-US" w:eastAsia="zh-CN"/>
                    </w:rPr>
                    <w:t>塑料板、管、型材</w:t>
                  </w:r>
                </w:p>
              </w:tc>
              <w:tc>
                <w:tcPr>
                  <w:tcW w:w="735" w:type="pct"/>
                  <w:vAlign w:val="center"/>
                </w:tcPr>
                <w:p w14:paraId="1A13C11A">
                  <w:pPr>
                    <w:keepNext w:val="0"/>
                    <w:keepLines w:val="0"/>
                    <w:pageBreakBefore w:val="0"/>
                    <w:widowControl w:val="0"/>
                    <w:tabs>
                      <w:tab w:val="left" w:pos="3540"/>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eastAsia="宋体" w:cs="Times New Roman"/>
                      <w:b w:val="0"/>
                      <w:bCs w:val="0"/>
                      <w:color w:val="auto"/>
                      <w:sz w:val="21"/>
                      <w:szCs w:val="21"/>
                      <w:highlight w:val="none"/>
                      <w:u w:val="none"/>
                      <w:vertAlign w:val="baseline"/>
                      <w:lang w:val="en-US" w:eastAsia="zh-CN"/>
                    </w:rPr>
                    <w:t>树脂、助剂</w:t>
                  </w:r>
                </w:p>
              </w:tc>
              <w:tc>
                <w:tcPr>
                  <w:tcW w:w="701" w:type="pct"/>
                  <w:vAlign w:val="center"/>
                </w:tcPr>
                <w:p w14:paraId="41D41D0A">
                  <w:pPr>
                    <w:keepNext w:val="0"/>
                    <w:keepLines w:val="0"/>
                    <w:pageBreakBefore w:val="0"/>
                    <w:widowControl w:val="0"/>
                    <w:tabs>
                      <w:tab w:val="left" w:pos="3540"/>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eastAsia="宋体" w:cs="Times New Roman"/>
                      <w:b w:val="0"/>
                      <w:bCs w:val="0"/>
                      <w:color w:val="auto"/>
                      <w:sz w:val="21"/>
                      <w:szCs w:val="21"/>
                      <w:highlight w:val="none"/>
                      <w:u w:val="none"/>
                      <w:vertAlign w:val="baseline"/>
                      <w:lang w:val="en-US" w:eastAsia="zh-CN"/>
                    </w:rPr>
                    <w:t>配料-混合-挤出</w:t>
                  </w:r>
                </w:p>
              </w:tc>
              <w:tc>
                <w:tcPr>
                  <w:tcW w:w="701" w:type="pct"/>
                  <w:vAlign w:val="center"/>
                </w:tcPr>
                <w:p w14:paraId="7DDA4083">
                  <w:pPr>
                    <w:keepNext w:val="0"/>
                    <w:keepLines w:val="0"/>
                    <w:pageBreakBefore w:val="0"/>
                    <w:widowControl w:val="0"/>
                    <w:tabs>
                      <w:tab w:val="left" w:pos="3540"/>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eastAsia="宋体" w:cs="Times New Roman"/>
                      <w:b w:val="0"/>
                      <w:bCs w:val="0"/>
                      <w:color w:val="auto"/>
                      <w:sz w:val="21"/>
                      <w:szCs w:val="21"/>
                      <w:highlight w:val="none"/>
                      <w:u w:val="none"/>
                      <w:vertAlign w:val="baseline"/>
                      <w:lang w:val="en-US" w:eastAsia="zh-CN"/>
                    </w:rPr>
                    <w:t>所有规模</w:t>
                  </w:r>
                </w:p>
              </w:tc>
              <w:tc>
                <w:tcPr>
                  <w:tcW w:w="864" w:type="pct"/>
                  <w:vAlign w:val="center"/>
                </w:tcPr>
                <w:p w14:paraId="074C67D0">
                  <w:pPr>
                    <w:keepNext w:val="0"/>
                    <w:keepLines w:val="0"/>
                    <w:pageBreakBefore w:val="0"/>
                    <w:widowControl w:val="0"/>
                    <w:tabs>
                      <w:tab w:val="left" w:pos="3540"/>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eastAsia="宋体" w:cs="Times New Roman"/>
                      <w:b w:val="0"/>
                      <w:bCs w:val="0"/>
                      <w:color w:val="auto"/>
                      <w:sz w:val="21"/>
                      <w:szCs w:val="21"/>
                      <w:highlight w:val="none"/>
                      <w:u w:val="none"/>
                      <w:vertAlign w:val="baseline"/>
                      <w:lang w:val="en-US" w:eastAsia="zh-CN"/>
                    </w:rPr>
                    <w:t>挥发性有机物（以非甲烷总烃计）</w:t>
                  </w:r>
                </w:p>
              </w:tc>
              <w:tc>
                <w:tcPr>
                  <w:tcW w:w="597" w:type="pct"/>
                  <w:vAlign w:val="center"/>
                </w:tcPr>
                <w:p w14:paraId="0A7C27D5">
                  <w:pPr>
                    <w:keepNext w:val="0"/>
                    <w:keepLines w:val="0"/>
                    <w:pageBreakBefore w:val="0"/>
                    <w:widowControl w:val="0"/>
                    <w:tabs>
                      <w:tab w:val="left" w:pos="3540"/>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eastAsia="宋体" w:cs="Times New Roman"/>
                      <w:b w:val="0"/>
                      <w:bCs w:val="0"/>
                      <w:color w:val="auto"/>
                      <w:sz w:val="21"/>
                      <w:szCs w:val="21"/>
                      <w:highlight w:val="none"/>
                      <w:u w:val="none"/>
                      <w:vertAlign w:val="baseline"/>
                      <w:lang w:val="en-US" w:eastAsia="zh-CN"/>
                    </w:rPr>
                    <w:t>千克/吨—产品</w:t>
                  </w:r>
                </w:p>
              </w:tc>
              <w:tc>
                <w:tcPr>
                  <w:tcW w:w="641" w:type="pct"/>
                  <w:vAlign w:val="center"/>
                </w:tcPr>
                <w:p w14:paraId="0951A2DC">
                  <w:pPr>
                    <w:keepNext w:val="0"/>
                    <w:keepLines w:val="0"/>
                    <w:pageBreakBefore w:val="0"/>
                    <w:widowControl w:val="0"/>
                    <w:tabs>
                      <w:tab w:val="left" w:pos="3540"/>
                    </w:tabs>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1.50</w:t>
                  </w:r>
                </w:p>
              </w:tc>
            </w:tr>
          </w:tbl>
          <w:p w14:paraId="71B01AD6">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default" w:ascii="Times New Roman" w:hAnsi="Times New Roman" w:eastAsia="宋体"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项目建成后年产49500吨新型材料环保石塑箱，故项目G1模具成型废气的产生量约74.25t/a（10.31kg/h）</w:t>
            </w:r>
            <w:r>
              <w:rPr>
                <w:rFonts w:hint="default" w:ascii="Times New Roman" w:hAnsi="Times New Roman" w:eastAsia="宋体" w:cs="Times New Roman"/>
                <w:b w:val="0"/>
                <w:bCs w:val="0"/>
                <w:color w:val="auto"/>
                <w:sz w:val="24"/>
                <w:szCs w:val="24"/>
                <w:highlight w:val="none"/>
                <w:u w:val="none"/>
                <w:lang w:val="en-US" w:eastAsia="zh-CN"/>
              </w:rPr>
              <w:t>。</w:t>
            </w:r>
          </w:p>
          <w:p w14:paraId="644DE054">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default" w:eastAsia="宋体"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2</w:t>
            </w:r>
            <w:r>
              <w:rPr>
                <w:rFonts w:hint="eastAsia" w:eastAsia="宋体" w:cs="Times New Roman"/>
                <w:b w:val="0"/>
                <w:bCs w:val="0"/>
                <w:color w:val="auto"/>
                <w:sz w:val="24"/>
                <w:szCs w:val="24"/>
                <w:highlight w:val="none"/>
                <w:u w:val="none"/>
                <w:lang w:val="en-US" w:eastAsia="zh-CN"/>
              </w:rPr>
              <w:t>）G</w:t>
            </w:r>
            <w:r>
              <w:rPr>
                <w:rFonts w:hint="eastAsia" w:cs="Times New Roman"/>
                <w:b w:val="0"/>
                <w:bCs w:val="0"/>
                <w:color w:val="auto"/>
                <w:sz w:val="24"/>
                <w:szCs w:val="24"/>
                <w:highlight w:val="none"/>
                <w:u w:val="none"/>
                <w:lang w:val="en-US" w:eastAsia="zh-CN"/>
              </w:rPr>
              <w:t>3</w:t>
            </w:r>
            <w:r>
              <w:rPr>
                <w:rFonts w:hint="eastAsia" w:eastAsia="宋体" w:cs="Times New Roman"/>
                <w:b w:val="0"/>
                <w:bCs w:val="0"/>
                <w:color w:val="auto"/>
                <w:sz w:val="24"/>
                <w:szCs w:val="24"/>
                <w:highlight w:val="none"/>
                <w:u w:val="none"/>
                <w:lang w:val="en-US" w:eastAsia="zh-CN"/>
              </w:rPr>
              <w:t>超声波焊接废气</w:t>
            </w:r>
          </w:p>
          <w:p w14:paraId="369F2E88">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default" w:eastAsia="宋体" w:cs="Times New Roman"/>
                <w:b w:val="0"/>
                <w:bCs w:val="0"/>
                <w:color w:val="auto"/>
                <w:sz w:val="24"/>
                <w:szCs w:val="24"/>
                <w:highlight w:val="none"/>
                <w:u w:val="none"/>
                <w:lang w:val="en-US" w:eastAsia="zh-CN"/>
              </w:rPr>
            </w:pPr>
            <w:r>
              <w:rPr>
                <w:rFonts w:hint="default" w:eastAsia="宋体" w:cs="Times New Roman"/>
                <w:b w:val="0"/>
                <w:bCs w:val="0"/>
                <w:color w:val="auto"/>
                <w:sz w:val="24"/>
                <w:szCs w:val="24"/>
                <w:highlight w:val="none"/>
                <w:u w:val="none"/>
                <w:lang w:val="en-US" w:eastAsia="zh-CN"/>
              </w:rPr>
              <w:t>项目产品生产过程中，需采用超声波焊接工艺对成型后的塑料部件进行拼接，超声波振动使塑料接触面产生高频摩擦，转化为局部高温，导致接触面瞬间熔融实现焊接，熔融过程中少量塑料单体及残留助剂会挥发，产生</w:t>
            </w:r>
            <w:r>
              <w:rPr>
                <w:rFonts w:hint="eastAsia" w:eastAsia="宋体" w:cs="Times New Roman"/>
                <w:b w:val="0"/>
                <w:bCs w:val="0"/>
                <w:color w:val="auto"/>
                <w:sz w:val="24"/>
                <w:szCs w:val="24"/>
                <w:highlight w:val="none"/>
                <w:u w:val="none"/>
                <w:lang w:val="en-US" w:eastAsia="zh-CN"/>
              </w:rPr>
              <w:t>G</w:t>
            </w:r>
            <w:r>
              <w:rPr>
                <w:rFonts w:hint="eastAsia" w:cs="Times New Roman"/>
                <w:b w:val="0"/>
                <w:bCs w:val="0"/>
                <w:color w:val="auto"/>
                <w:sz w:val="24"/>
                <w:szCs w:val="24"/>
                <w:highlight w:val="none"/>
                <w:u w:val="none"/>
                <w:lang w:val="en-US" w:eastAsia="zh-CN"/>
              </w:rPr>
              <w:t>3</w:t>
            </w:r>
            <w:r>
              <w:rPr>
                <w:rFonts w:hint="eastAsia" w:eastAsia="宋体" w:cs="Times New Roman"/>
                <w:b w:val="0"/>
                <w:bCs w:val="0"/>
                <w:color w:val="auto"/>
                <w:sz w:val="24"/>
                <w:szCs w:val="24"/>
                <w:highlight w:val="none"/>
                <w:u w:val="none"/>
                <w:lang w:val="en-US" w:eastAsia="zh-CN"/>
              </w:rPr>
              <w:t>焊接</w:t>
            </w:r>
            <w:r>
              <w:rPr>
                <w:rFonts w:hint="default" w:eastAsia="宋体" w:cs="Times New Roman"/>
                <w:b w:val="0"/>
                <w:bCs w:val="0"/>
                <w:color w:val="auto"/>
                <w:sz w:val="24"/>
                <w:szCs w:val="24"/>
                <w:highlight w:val="none"/>
                <w:u w:val="none"/>
                <w:lang w:val="en-US" w:eastAsia="zh-CN"/>
              </w:rPr>
              <w:t>废气，该废气主要污染物为非甲烷总烃。</w:t>
            </w:r>
          </w:p>
          <w:p w14:paraId="5C9D892D">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default" w:eastAsia="宋体" w:cs="Times New Roman"/>
                <w:b w:val="0"/>
                <w:bCs w:val="0"/>
                <w:color w:val="auto"/>
                <w:sz w:val="24"/>
                <w:szCs w:val="24"/>
                <w:highlight w:val="none"/>
                <w:u w:val="none"/>
                <w:lang w:val="en-US" w:eastAsia="zh-CN"/>
              </w:rPr>
            </w:pPr>
            <w:r>
              <w:rPr>
                <w:rFonts w:hint="default" w:eastAsia="宋体" w:cs="Times New Roman"/>
                <w:b w:val="0"/>
                <w:bCs w:val="0"/>
                <w:color w:val="auto"/>
                <w:sz w:val="24"/>
                <w:szCs w:val="24"/>
                <w:highlight w:val="none"/>
                <w:u w:val="none"/>
                <w:lang w:val="en-US" w:eastAsia="zh-CN"/>
              </w:rPr>
              <w:t>目前《排放源统计调查产排污核算方法和系数手册》中未明确超声波焊接工序专属产污系数，结合项目生产工艺，塑料部件超声波焊接工艺原理为塑料熔融，与挤出工艺类似</w:t>
            </w:r>
            <w:r>
              <w:rPr>
                <w:rFonts w:hint="eastAsia" w:cs="Times New Roman"/>
                <w:b w:val="0"/>
                <w:bCs w:val="0"/>
                <w:color w:val="auto"/>
                <w:sz w:val="24"/>
                <w:szCs w:val="24"/>
                <w:highlight w:val="none"/>
                <w:u w:val="none"/>
                <w:lang w:val="en-US" w:eastAsia="zh-CN"/>
              </w:rPr>
              <w:t>，</w:t>
            </w:r>
            <w:r>
              <w:rPr>
                <w:rFonts w:hint="default" w:eastAsia="宋体" w:cs="Times New Roman"/>
                <w:b w:val="0"/>
                <w:bCs w:val="0"/>
                <w:color w:val="auto"/>
                <w:sz w:val="24"/>
                <w:szCs w:val="24"/>
                <w:highlight w:val="none"/>
                <w:u w:val="none"/>
                <w:lang w:val="en-US" w:eastAsia="zh-CN"/>
              </w:rPr>
              <w:t>因此本次废气核算产污系数参照《排放源统计调查产排污核算方法和系数手册》—292塑料制品行业系数手册—2922塑料板、管、型材制造相关系数执行</w:t>
            </w:r>
            <w:r>
              <w:rPr>
                <w:rFonts w:hint="eastAsia" w:cs="Times New Roman"/>
                <w:b w:val="0"/>
                <w:bCs w:val="0"/>
                <w:color w:val="auto"/>
                <w:sz w:val="24"/>
                <w:szCs w:val="24"/>
                <w:highlight w:val="none"/>
                <w:u w:val="none"/>
                <w:lang w:val="en-US" w:eastAsia="zh-CN"/>
              </w:rPr>
              <w:t>，即1.5千克/吨-产品。根据建设单位提供数据，</w:t>
            </w:r>
            <w:r>
              <w:rPr>
                <w:rFonts w:hint="default" w:eastAsia="宋体" w:cs="Times New Roman"/>
                <w:b w:val="0"/>
                <w:bCs w:val="0"/>
                <w:color w:val="auto"/>
                <w:sz w:val="24"/>
                <w:szCs w:val="24"/>
                <w:highlight w:val="none"/>
                <w:u w:val="none"/>
                <w:lang w:val="en-US" w:eastAsia="zh-CN"/>
              </w:rPr>
              <w:t>项目年产49500吨新型材料环保石塑箱，其中30%产品需进行超声波焊接处理</w:t>
            </w:r>
            <w:r>
              <w:rPr>
                <w:rFonts w:hint="eastAsia" w:cs="Times New Roman"/>
                <w:b w:val="0"/>
                <w:bCs w:val="0"/>
                <w:color w:val="auto"/>
                <w:sz w:val="24"/>
                <w:szCs w:val="24"/>
                <w:highlight w:val="none"/>
                <w:u w:val="none"/>
                <w:lang w:val="en-US" w:eastAsia="zh-CN"/>
              </w:rPr>
              <w:t>，</w:t>
            </w:r>
            <w:r>
              <w:rPr>
                <w:rFonts w:hint="default" w:eastAsia="宋体" w:cs="Times New Roman"/>
                <w:b w:val="0"/>
                <w:bCs w:val="0"/>
                <w:color w:val="auto"/>
                <w:sz w:val="24"/>
                <w:szCs w:val="24"/>
                <w:highlight w:val="none"/>
                <w:u w:val="none"/>
                <w:lang w:val="en-US" w:eastAsia="zh-CN"/>
              </w:rPr>
              <w:t>焊接产品量</w:t>
            </w:r>
            <w:r>
              <w:rPr>
                <w:rFonts w:hint="eastAsia" w:cs="Times New Roman"/>
                <w:b w:val="0"/>
                <w:bCs w:val="0"/>
                <w:color w:val="auto"/>
                <w:sz w:val="24"/>
                <w:szCs w:val="24"/>
                <w:highlight w:val="none"/>
                <w:u w:val="none"/>
                <w:lang w:val="en-US" w:eastAsia="zh-CN"/>
              </w:rPr>
              <w:t>为</w:t>
            </w:r>
            <w:r>
              <w:rPr>
                <w:rFonts w:hint="default" w:eastAsia="宋体" w:cs="Times New Roman"/>
                <w:b w:val="0"/>
                <w:bCs w:val="0"/>
                <w:color w:val="auto"/>
                <w:sz w:val="24"/>
                <w:szCs w:val="24"/>
                <w:highlight w:val="none"/>
                <w:u w:val="none"/>
                <w:lang w:val="en-US" w:eastAsia="zh-CN"/>
              </w:rPr>
              <w:t>14850吨，超声波焊接机每天工作时间为</w:t>
            </w:r>
            <w:r>
              <w:rPr>
                <w:rFonts w:hint="eastAsia" w:cs="Times New Roman"/>
                <w:b w:val="0"/>
                <w:bCs w:val="0"/>
                <w:color w:val="auto"/>
                <w:sz w:val="24"/>
                <w:szCs w:val="24"/>
                <w:highlight w:val="none"/>
                <w:u w:val="none"/>
                <w:lang w:val="en-US" w:eastAsia="zh-CN"/>
              </w:rPr>
              <w:t>6</w:t>
            </w:r>
            <w:r>
              <w:rPr>
                <w:rFonts w:hint="default" w:eastAsia="宋体" w:cs="Times New Roman"/>
                <w:b w:val="0"/>
                <w:bCs w:val="0"/>
                <w:color w:val="auto"/>
                <w:sz w:val="24"/>
                <w:szCs w:val="24"/>
                <w:highlight w:val="none"/>
                <w:u w:val="none"/>
                <w:lang w:val="en-US" w:eastAsia="zh-CN"/>
              </w:rPr>
              <w:t>小时，年工作300天，年工作时间</w:t>
            </w:r>
            <w:r>
              <w:rPr>
                <w:rFonts w:hint="eastAsia" w:cs="Times New Roman"/>
                <w:b w:val="0"/>
                <w:bCs w:val="0"/>
                <w:color w:val="auto"/>
                <w:sz w:val="24"/>
                <w:szCs w:val="24"/>
                <w:highlight w:val="none"/>
                <w:u w:val="none"/>
                <w:lang w:val="en-US" w:eastAsia="zh-CN"/>
              </w:rPr>
              <w:t>18</w:t>
            </w:r>
            <w:r>
              <w:rPr>
                <w:rFonts w:hint="default" w:eastAsia="宋体" w:cs="Times New Roman"/>
                <w:b w:val="0"/>
                <w:bCs w:val="0"/>
                <w:color w:val="auto"/>
                <w:sz w:val="24"/>
                <w:szCs w:val="24"/>
                <w:highlight w:val="none"/>
                <w:u w:val="none"/>
                <w:lang w:val="en-US" w:eastAsia="zh-CN"/>
              </w:rPr>
              <w:t>00小时</w:t>
            </w:r>
            <w:r>
              <w:rPr>
                <w:rFonts w:hint="eastAsia" w:cs="Times New Roman"/>
                <w:b w:val="0"/>
                <w:bCs w:val="0"/>
                <w:color w:val="auto"/>
                <w:sz w:val="24"/>
                <w:szCs w:val="24"/>
                <w:highlight w:val="none"/>
                <w:u w:val="none"/>
                <w:lang w:val="en-US" w:eastAsia="zh-CN"/>
              </w:rPr>
              <w:t>。则G3</w:t>
            </w:r>
            <w:r>
              <w:rPr>
                <w:rFonts w:hint="default" w:eastAsia="宋体" w:cs="Times New Roman"/>
                <w:b w:val="0"/>
                <w:bCs w:val="0"/>
                <w:color w:val="auto"/>
                <w:sz w:val="24"/>
                <w:szCs w:val="24"/>
                <w:highlight w:val="none"/>
                <w:u w:val="none"/>
                <w:lang w:val="en-US" w:eastAsia="zh-CN"/>
              </w:rPr>
              <w:t>超声波焊接废气（以非甲烷总烃计）产生量</w:t>
            </w:r>
            <w:r>
              <w:rPr>
                <w:rFonts w:hint="eastAsia" w:cs="Times New Roman"/>
                <w:b w:val="0"/>
                <w:bCs w:val="0"/>
                <w:color w:val="auto"/>
                <w:sz w:val="24"/>
                <w:szCs w:val="24"/>
                <w:highlight w:val="none"/>
                <w:u w:val="none"/>
                <w:lang w:val="en-US" w:eastAsia="zh-CN"/>
              </w:rPr>
              <w:t>为22.28</w:t>
            </w:r>
            <w:r>
              <w:rPr>
                <w:rFonts w:hint="default" w:eastAsia="宋体" w:cs="Times New Roman"/>
                <w:b w:val="0"/>
                <w:bCs w:val="0"/>
                <w:color w:val="auto"/>
                <w:sz w:val="24"/>
                <w:szCs w:val="24"/>
                <w:highlight w:val="none"/>
                <w:u w:val="none"/>
                <w:lang w:val="en-US" w:eastAsia="zh-CN"/>
              </w:rPr>
              <w:t>t/a</w:t>
            </w:r>
            <w:r>
              <w:rPr>
                <w:rFonts w:hint="eastAsia" w:cs="Times New Roman"/>
                <w:b w:val="0"/>
                <w:bCs w:val="0"/>
                <w:color w:val="auto"/>
                <w:sz w:val="24"/>
                <w:szCs w:val="24"/>
                <w:highlight w:val="none"/>
                <w:u w:val="none"/>
                <w:lang w:val="en-US" w:eastAsia="zh-CN"/>
              </w:rPr>
              <w:t>（12.38</w:t>
            </w:r>
            <w:r>
              <w:rPr>
                <w:rFonts w:hint="default" w:eastAsia="宋体" w:cs="Times New Roman"/>
                <w:b w:val="0"/>
                <w:bCs w:val="0"/>
                <w:color w:val="auto"/>
                <w:sz w:val="24"/>
                <w:szCs w:val="24"/>
                <w:highlight w:val="none"/>
                <w:u w:val="none"/>
                <w:lang w:val="en-US" w:eastAsia="zh-CN"/>
              </w:rPr>
              <w:t>kg/h）。</w:t>
            </w:r>
          </w:p>
          <w:p w14:paraId="60C240CD">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default"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3）废气收集系统</w:t>
            </w:r>
          </w:p>
          <w:p w14:paraId="1B26506B">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eastAsia"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项目塑料废气产污节点主要为模具成型、超声波焊接工序，共设置8套包围型集气罩（含软帘），对各产污点位实行废气收集，收集后的废气经管道汇总进入1套废气处理设施（活性炭吸附浓缩+CO处理工艺）（TA001）进行处理，处理后通过1根20m高排气筒排放（DA001）。</w:t>
            </w:r>
          </w:p>
          <w:p w14:paraId="765D4A38">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eastAsia"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根据《云南省重点行业挥发性有机物综合治理实施方案》，采用局部集气罩的，距集气罩开口面最远处的VOCs无组织排放位置，控制风速应不低于0.5米/秒。根据本项目生产设备实际情况，单个模具集气罩投影面积按1.5㎡计，则单个模具集气罩风量不低于2700m³/h，5个模具集气罩风量不低于13500m³/h。超声波焊接机单台成型设备集气罩投影面积按2㎡计，则单个集气罩风量不低于3600m³/h，3台超声波焊接机集气罩配套总风机风量为10800m³/h，则DA001风机设计总风量应不低于24300m³/h，综合考虑管道阻力、预留设计余量等因素，项目DA001设计总风量为40000m³/h。</w:t>
            </w:r>
          </w:p>
          <w:p w14:paraId="7CFE0529">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eastAsia"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本项目塑料废气收集效率以80%计，活性炭吸附+催化燃烧（CO）处理工艺处理效率以80%计。</w:t>
            </w:r>
          </w:p>
          <w:p w14:paraId="4BD941A4">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default"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则本项目塑料废气（以非甲烷总烃计）（DA001）有组织产生量为77.22t/a、产生速率为10.73kg/h、产生浓度为268.25mg/m³；有组织排放量为15.44t/a、排放速率为2.14kg/h、排放浓度为53.5mg/m³。</w:t>
            </w:r>
          </w:p>
          <w:p w14:paraId="0B28652D">
            <w:pPr>
              <w:keepNext w:val="0"/>
              <w:keepLines w:val="0"/>
              <w:pageBreakBefore w:val="0"/>
              <w:tabs>
                <w:tab w:val="left" w:pos="3540"/>
              </w:tabs>
              <w:kinsoku/>
              <w:wordWrap/>
              <w:overflowPunct/>
              <w:topLinePunct w:val="0"/>
              <w:bidi w:val="0"/>
              <w:adjustRightInd w:val="0"/>
              <w:snapToGrid w:val="0"/>
              <w:spacing w:line="360" w:lineRule="auto"/>
              <w:ind w:firstLine="482" w:firstLineChars="200"/>
              <w:rPr>
                <w:rFonts w:hint="default" w:cs="Times New Roman"/>
                <w:b/>
                <w:bCs/>
                <w:color w:val="auto"/>
                <w:sz w:val="24"/>
                <w:szCs w:val="24"/>
                <w:highlight w:val="none"/>
                <w:u w:val="none"/>
                <w:lang w:val="en-US" w:eastAsia="zh-CN"/>
              </w:rPr>
            </w:pPr>
            <w:r>
              <w:rPr>
                <w:rFonts w:hint="eastAsia" w:cs="Times New Roman"/>
                <w:b/>
                <w:bCs/>
                <w:color w:val="auto"/>
                <w:sz w:val="24"/>
                <w:szCs w:val="24"/>
                <w:highlight w:val="none"/>
                <w:u w:val="none"/>
                <w:lang w:val="en-US" w:eastAsia="zh-CN"/>
              </w:rPr>
              <w:t>2、印刷废气</w:t>
            </w:r>
          </w:p>
          <w:p w14:paraId="3C3F80B4">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default" w:eastAsia="宋体"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1</w:t>
            </w:r>
            <w:r>
              <w:rPr>
                <w:rFonts w:hint="eastAsia" w:eastAsia="宋体" w:cs="Times New Roman"/>
                <w:b w:val="0"/>
                <w:bCs w:val="0"/>
                <w:color w:val="auto"/>
                <w:sz w:val="24"/>
                <w:szCs w:val="24"/>
                <w:highlight w:val="none"/>
                <w:u w:val="none"/>
                <w:lang w:val="en-US" w:eastAsia="zh-CN"/>
              </w:rPr>
              <w:t>）G</w:t>
            </w:r>
            <w:r>
              <w:rPr>
                <w:rFonts w:hint="eastAsia" w:cs="Times New Roman"/>
                <w:b w:val="0"/>
                <w:bCs w:val="0"/>
                <w:color w:val="auto"/>
                <w:sz w:val="24"/>
                <w:szCs w:val="24"/>
                <w:highlight w:val="none"/>
                <w:u w:val="none"/>
                <w:lang w:val="en-US" w:eastAsia="zh-CN"/>
              </w:rPr>
              <w:t>2</w:t>
            </w:r>
            <w:r>
              <w:rPr>
                <w:rFonts w:hint="eastAsia" w:eastAsia="宋体" w:cs="Times New Roman"/>
                <w:b w:val="0"/>
                <w:bCs w:val="0"/>
                <w:color w:val="auto"/>
                <w:sz w:val="24"/>
                <w:szCs w:val="24"/>
                <w:highlight w:val="none"/>
                <w:u w:val="none"/>
                <w:lang w:val="en-US" w:eastAsia="zh-CN"/>
              </w:rPr>
              <w:t>印刷废气</w:t>
            </w:r>
          </w:p>
          <w:p w14:paraId="1C4275D6">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eastAsia" w:eastAsia="宋体" w:cs="Times New Roman"/>
                <w:b w:val="0"/>
                <w:bCs w:val="0"/>
                <w:color w:val="auto"/>
                <w:sz w:val="24"/>
                <w:szCs w:val="24"/>
                <w:highlight w:val="none"/>
                <w:u w:val="none"/>
                <w:lang w:val="en-US" w:eastAsia="zh-CN"/>
              </w:rPr>
            </w:pPr>
            <w:r>
              <w:rPr>
                <w:rFonts w:hint="eastAsia" w:eastAsia="宋体" w:cs="Times New Roman"/>
                <w:b w:val="0"/>
                <w:bCs w:val="0"/>
                <w:color w:val="auto"/>
                <w:sz w:val="24"/>
                <w:szCs w:val="24"/>
                <w:highlight w:val="none"/>
                <w:u w:val="none"/>
                <w:lang w:val="en-US" w:eastAsia="zh-CN"/>
              </w:rPr>
              <w:t>根据建设单位提供的MSDS技术说明书，项目使用的辅料胶印油墨在使用过程中会产生G</w:t>
            </w:r>
            <w:r>
              <w:rPr>
                <w:rFonts w:hint="eastAsia" w:cs="Times New Roman"/>
                <w:b w:val="0"/>
                <w:bCs w:val="0"/>
                <w:color w:val="auto"/>
                <w:sz w:val="24"/>
                <w:szCs w:val="24"/>
                <w:highlight w:val="none"/>
                <w:u w:val="none"/>
                <w:lang w:val="en-US" w:eastAsia="zh-CN"/>
              </w:rPr>
              <w:t>2</w:t>
            </w:r>
            <w:r>
              <w:rPr>
                <w:rFonts w:hint="eastAsia" w:eastAsia="宋体" w:cs="Times New Roman"/>
                <w:b w:val="0"/>
                <w:bCs w:val="0"/>
                <w:color w:val="auto"/>
                <w:sz w:val="24"/>
                <w:szCs w:val="24"/>
                <w:highlight w:val="none"/>
                <w:u w:val="none"/>
                <w:lang w:val="en-US" w:eastAsia="zh-CN"/>
              </w:rPr>
              <w:t>印刷废气。依据使用量和挥发性原料组分含量核算G</w:t>
            </w:r>
            <w:r>
              <w:rPr>
                <w:rFonts w:hint="eastAsia" w:cs="Times New Roman"/>
                <w:b w:val="0"/>
                <w:bCs w:val="0"/>
                <w:color w:val="auto"/>
                <w:sz w:val="24"/>
                <w:szCs w:val="24"/>
                <w:highlight w:val="none"/>
                <w:u w:val="none"/>
                <w:lang w:val="en-US" w:eastAsia="zh-CN"/>
              </w:rPr>
              <w:t>2</w:t>
            </w:r>
            <w:r>
              <w:rPr>
                <w:rFonts w:hint="eastAsia" w:eastAsia="宋体" w:cs="Times New Roman"/>
                <w:b w:val="0"/>
                <w:bCs w:val="0"/>
                <w:color w:val="auto"/>
                <w:sz w:val="24"/>
                <w:szCs w:val="24"/>
                <w:highlight w:val="none"/>
                <w:u w:val="none"/>
                <w:lang w:val="en-US" w:eastAsia="zh-CN"/>
              </w:rPr>
              <w:t>印刷废气产生量</w:t>
            </w:r>
            <w:r>
              <w:rPr>
                <w:rFonts w:hint="eastAsia" w:cs="Times New Roman"/>
                <w:b w:val="0"/>
                <w:bCs w:val="0"/>
                <w:color w:val="auto"/>
                <w:sz w:val="24"/>
                <w:szCs w:val="24"/>
                <w:highlight w:val="none"/>
                <w:u w:val="none"/>
                <w:lang w:val="en-US" w:eastAsia="zh-CN"/>
              </w:rPr>
              <w:t>，本次评价采用物料衡算法，以辅料中挥发性有机物（以非甲烷总烃计）成分全部挥发计。</w:t>
            </w:r>
          </w:p>
          <w:p w14:paraId="5252D06B">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eastAsia" w:eastAsia="宋体" w:cs="Times New Roman"/>
                <w:b w:val="0"/>
                <w:bCs w:val="0"/>
                <w:color w:val="auto"/>
                <w:sz w:val="24"/>
                <w:szCs w:val="24"/>
                <w:highlight w:val="none"/>
                <w:u w:val="none"/>
                <w:lang w:val="en-US" w:eastAsia="zh-CN"/>
              </w:rPr>
            </w:pPr>
            <w:r>
              <w:rPr>
                <w:rFonts w:hint="eastAsia" w:eastAsia="宋体" w:cs="Times New Roman"/>
                <w:b w:val="0"/>
                <w:bCs w:val="0"/>
                <w:color w:val="auto"/>
                <w:sz w:val="24"/>
                <w:szCs w:val="24"/>
                <w:highlight w:val="none"/>
                <w:u w:val="none"/>
                <w:lang w:val="en-US" w:eastAsia="zh-CN"/>
              </w:rPr>
              <w:t>详见下表4-</w:t>
            </w:r>
            <w:r>
              <w:rPr>
                <w:rFonts w:hint="eastAsia" w:cs="Times New Roman"/>
                <w:b w:val="0"/>
                <w:bCs w:val="0"/>
                <w:color w:val="auto"/>
                <w:sz w:val="24"/>
                <w:szCs w:val="24"/>
                <w:highlight w:val="none"/>
                <w:u w:val="none"/>
                <w:lang w:val="en-US" w:eastAsia="zh-CN"/>
              </w:rPr>
              <w:t>7</w:t>
            </w:r>
            <w:r>
              <w:rPr>
                <w:rFonts w:hint="eastAsia" w:eastAsia="宋体" w:cs="Times New Roman"/>
                <w:b w:val="0"/>
                <w:bCs w:val="0"/>
                <w:color w:val="auto"/>
                <w:sz w:val="24"/>
                <w:szCs w:val="24"/>
                <w:highlight w:val="none"/>
                <w:u w:val="none"/>
                <w:lang w:val="en-US" w:eastAsia="zh-CN"/>
              </w:rPr>
              <w:t>。</w:t>
            </w:r>
          </w:p>
          <w:p w14:paraId="677BBB51">
            <w:pPr>
              <w:keepNext w:val="0"/>
              <w:keepLines w:val="0"/>
              <w:widowControl w:val="0"/>
              <w:suppressLineNumbers w:val="0"/>
              <w:spacing w:before="0" w:beforeAutospacing="0" w:after="0" w:afterAutospacing="0" w:line="360" w:lineRule="auto"/>
              <w:ind w:left="0" w:right="0"/>
              <w:jc w:val="center"/>
              <w:rPr>
                <w:rFonts w:hint="default" w:ascii="Times New Roman" w:hAnsi="Times New Roman" w:eastAsia="宋体" w:cs="Times New Roman"/>
                <w:b/>
                <w:bCs/>
                <w:color w:val="auto"/>
                <w:spacing w:val="6"/>
                <w:sz w:val="24"/>
                <w:szCs w:val="24"/>
                <w:highlight w:val="none"/>
              </w:rPr>
            </w:pPr>
            <w:r>
              <w:rPr>
                <w:rFonts w:hint="eastAsia" w:ascii="Times New Roman" w:hAnsi="Times New Roman" w:eastAsia="宋体" w:cs="Times New Roman"/>
                <w:b/>
                <w:bCs/>
                <w:color w:val="auto"/>
                <w:spacing w:val="6"/>
                <w:sz w:val="24"/>
                <w:szCs w:val="24"/>
                <w:highlight w:val="none"/>
              </w:rPr>
              <w:t>表4-</w:t>
            </w:r>
            <w:r>
              <w:rPr>
                <w:rFonts w:hint="eastAsia" w:cs="Times New Roman"/>
                <w:b/>
                <w:bCs/>
                <w:color w:val="auto"/>
                <w:spacing w:val="6"/>
                <w:sz w:val="24"/>
                <w:szCs w:val="24"/>
                <w:highlight w:val="none"/>
                <w:lang w:val="en-US" w:eastAsia="zh-CN"/>
              </w:rPr>
              <w:t>7</w:t>
            </w:r>
            <w:r>
              <w:rPr>
                <w:rFonts w:hint="eastAsia" w:ascii="Times New Roman" w:hAnsi="Times New Roman" w:eastAsia="宋体" w:cs="Times New Roman"/>
                <w:b/>
                <w:bCs/>
                <w:color w:val="auto"/>
                <w:spacing w:val="6"/>
                <w:sz w:val="24"/>
                <w:szCs w:val="24"/>
                <w:highlight w:val="none"/>
              </w:rPr>
              <w:t xml:space="preserve">  挥发性有机废气</w:t>
            </w:r>
            <w:r>
              <w:rPr>
                <w:rFonts w:hint="eastAsia" w:ascii="Times New Roman" w:hAnsi="Times New Roman" w:eastAsia="宋体" w:cs="Times New Roman"/>
                <w:b/>
                <w:bCs/>
                <w:color w:val="auto"/>
                <w:spacing w:val="6"/>
                <w:sz w:val="24"/>
                <w:szCs w:val="24"/>
                <w:highlight w:val="none"/>
                <w:lang w:eastAsia="zh-CN"/>
              </w:rPr>
              <w:t>（非甲烷总烃）</w:t>
            </w:r>
            <w:r>
              <w:rPr>
                <w:rFonts w:hint="eastAsia" w:ascii="Times New Roman" w:hAnsi="Times New Roman" w:eastAsia="宋体" w:cs="Times New Roman"/>
                <w:b/>
                <w:bCs/>
                <w:color w:val="auto"/>
                <w:spacing w:val="6"/>
                <w:sz w:val="24"/>
                <w:szCs w:val="24"/>
                <w:highlight w:val="none"/>
              </w:rPr>
              <w:t>产生量核算表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257"/>
              <w:gridCol w:w="1675"/>
              <w:gridCol w:w="1175"/>
              <w:gridCol w:w="1300"/>
              <w:gridCol w:w="1074"/>
              <w:gridCol w:w="1074"/>
            </w:tblGrid>
            <w:tr w14:paraId="312C4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vAlign w:val="center"/>
                </w:tcPr>
                <w:p w14:paraId="66E879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序号</w:t>
                  </w:r>
                </w:p>
              </w:tc>
              <w:tc>
                <w:tcPr>
                  <w:tcW w:w="760" w:type="pct"/>
                  <w:vAlign w:val="center"/>
                </w:tcPr>
                <w:p w14:paraId="6961CD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名称</w:t>
                  </w:r>
                </w:p>
              </w:tc>
              <w:tc>
                <w:tcPr>
                  <w:tcW w:w="1013" w:type="pct"/>
                  <w:vAlign w:val="center"/>
                </w:tcPr>
                <w:p w14:paraId="25B7A0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成分</w:t>
                  </w:r>
                </w:p>
              </w:tc>
              <w:tc>
                <w:tcPr>
                  <w:tcW w:w="711" w:type="pct"/>
                  <w:vAlign w:val="center"/>
                </w:tcPr>
                <w:p w14:paraId="2207B9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产污环节</w:t>
                  </w:r>
                </w:p>
              </w:tc>
              <w:tc>
                <w:tcPr>
                  <w:tcW w:w="786" w:type="pct"/>
                  <w:vAlign w:val="center"/>
                </w:tcPr>
                <w:p w14:paraId="2C080E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含量（%）</w:t>
                  </w:r>
                </w:p>
              </w:tc>
              <w:tc>
                <w:tcPr>
                  <w:tcW w:w="649" w:type="pct"/>
                  <w:vAlign w:val="center"/>
                </w:tcPr>
                <w:p w14:paraId="16000A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使用量（t/a）</w:t>
                  </w:r>
                </w:p>
              </w:tc>
              <w:tc>
                <w:tcPr>
                  <w:tcW w:w="649" w:type="pct"/>
                  <w:vAlign w:val="center"/>
                </w:tcPr>
                <w:p w14:paraId="2EF504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产生量（t/a）</w:t>
                  </w:r>
                </w:p>
              </w:tc>
            </w:tr>
            <w:tr w14:paraId="2D19B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vAlign w:val="center"/>
                </w:tcPr>
                <w:p w14:paraId="52B08C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1</w:t>
                  </w:r>
                </w:p>
              </w:tc>
              <w:tc>
                <w:tcPr>
                  <w:tcW w:w="760" w:type="pct"/>
                  <w:vMerge w:val="restart"/>
                  <w:vAlign w:val="center"/>
                </w:tcPr>
                <w:p w14:paraId="18EC93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ascii="Times New Roman" w:hAnsi="Times New Roman" w:eastAsia="宋体" w:cs="Times New Roman"/>
                      <w:bCs/>
                      <w:color w:val="auto"/>
                      <w:sz w:val="21"/>
                      <w:szCs w:val="21"/>
                      <w:highlight w:val="none"/>
                    </w:rPr>
                  </w:pPr>
                  <w:r>
                    <w:rPr>
                      <w:rFonts w:hint="eastAsia" w:ascii="Times New Roman" w:hAnsi="Times New Roman" w:eastAsia="宋体" w:cs="Times New Roman"/>
                      <w:bCs/>
                      <w:color w:val="auto"/>
                      <w:sz w:val="21"/>
                      <w:szCs w:val="21"/>
                      <w:highlight w:val="none"/>
                      <w:lang w:val="en-US" w:eastAsia="zh-CN"/>
                    </w:rPr>
                    <w:t>水性</w:t>
                  </w:r>
                  <w:r>
                    <w:rPr>
                      <w:rFonts w:hint="default" w:ascii="Times New Roman" w:hAnsi="Times New Roman" w:eastAsia="宋体" w:cs="Times New Roman"/>
                      <w:bCs/>
                      <w:color w:val="auto"/>
                      <w:sz w:val="21"/>
                      <w:szCs w:val="21"/>
                      <w:highlight w:val="none"/>
                    </w:rPr>
                    <w:t>油墨</w:t>
                  </w:r>
                </w:p>
              </w:tc>
              <w:tc>
                <w:tcPr>
                  <w:tcW w:w="1013" w:type="pct"/>
                  <w:vAlign w:val="center"/>
                </w:tcPr>
                <w:p w14:paraId="6AB2A9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松香改性酚醛树脂</w:t>
                  </w:r>
                </w:p>
              </w:tc>
              <w:tc>
                <w:tcPr>
                  <w:tcW w:w="711" w:type="pct"/>
                  <w:vAlign w:val="center"/>
                </w:tcPr>
                <w:p w14:paraId="2AC361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印刷</w:t>
                  </w:r>
                </w:p>
              </w:tc>
              <w:tc>
                <w:tcPr>
                  <w:tcW w:w="786" w:type="pct"/>
                  <w:vAlign w:val="center"/>
                </w:tcPr>
                <w:p w14:paraId="5D1304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35</w:t>
                  </w:r>
                </w:p>
              </w:tc>
              <w:tc>
                <w:tcPr>
                  <w:tcW w:w="649" w:type="pct"/>
                  <w:vMerge w:val="restart"/>
                  <w:vAlign w:val="center"/>
                </w:tcPr>
                <w:p w14:paraId="5DCAD3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eastAsia" w:ascii="Times New Roman" w:hAnsi="Times New Roman" w:eastAsia="宋体" w:cs="Times New Roman"/>
                      <w:bCs/>
                      <w:color w:val="auto"/>
                      <w:sz w:val="21"/>
                      <w:szCs w:val="21"/>
                      <w:highlight w:val="none"/>
                      <w:lang w:eastAsia="zh-CN"/>
                    </w:rPr>
                  </w:pPr>
                  <w:r>
                    <w:rPr>
                      <w:rFonts w:hint="eastAsia" w:cs="Times New Roman"/>
                      <w:bCs/>
                      <w:color w:val="auto"/>
                      <w:sz w:val="21"/>
                      <w:szCs w:val="21"/>
                      <w:highlight w:val="none"/>
                      <w:lang w:val="en-US" w:eastAsia="zh-CN"/>
                    </w:rPr>
                    <w:t>1</w:t>
                  </w:r>
                </w:p>
              </w:tc>
              <w:tc>
                <w:tcPr>
                  <w:tcW w:w="649" w:type="pct"/>
                  <w:vMerge w:val="restart"/>
                  <w:vAlign w:val="center"/>
                </w:tcPr>
                <w:p w14:paraId="1E922B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0.63</w:t>
                  </w:r>
                </w:p>
              </w:tc>
            </w:tr>
            <w:tr w14:paraId="71B38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vAlign w:val="center"/>
                </w:tcPr>
                <w:p w14:paraId="0E6F95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2</w:t>
                  </w:r>
                </w:p>
              </w:tc>
              <w:tc>
                <w:tcPr>
                  <w:tcW w:w="760" w:type="pct"/>
                  <w:vMerge w:val="continue"/>
                  <w:vAlign w:val="center"/>
                </w:tcPr>
                <w:p w14:paraId="385964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eastAsia" w:ascii="Times New Roman" w:hAnsi="Times New Roman" w:eastAsia="宋体" w:cs="Times New Roman"/>
                      <w:bCs/>
                      <w:color w:val="auto"/>
                      <w:sz w:val="21"/>
                      <w:szCs w:val="21"/>
                      <w:highlight w:val="none"/>
                      <w:lang w:val="en-US" w:eastAsia="zh-CN"/>
                    </w:rPr>
                  </w:pPr>
                </w:p>
              </w:tc>
              <w:tc>
                <w:tcPr>
                  <w:tcW w:w="1013" w:type="pct"/>
                  <w:vAlign w:val="center"/>
                </w:tcPr>
                <w:p w14:paraId="590EF0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矿物油（石油加氢轻馏分）</w:t>
                  </w:r>
                </w:p>
              </w:tc>
              <w:tc>
                <w:tcPr>
                  <w:tcW w:w="711" w:type="pct"/>
                  <w:vAlign w:val="center"/>
                </w:tcPr>
                <w:p w14:paraId="787AED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印刷</w:t>
                  </w:r>
                </w:p>
              </w:tc>
              <w:tc>
                <w:tcPr>
                  <w:tcW w:w="786" w:type="pct"/>
                  <w:vAlign w:val="center"/>
                </w:tcPr>
                <w:p w14:paraId="66892D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25</w:t>
                  </w:r>
                </w:p>
              </w:tc>
              <w:tc>
                <w:tcPr>
                  <w:tcW w:w="649" w:type="pct"/>
                  <w:vMerge w:val="continue"/>
                  <w:vAlign w:val="center"/>
                </w:tcPr>
                <w:p w14:paraId="51C49C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eastAsia" w:cs="Times New Roman"/>
                      <w:bCs/>
                      <w:color w:val="auto"/>
                      <w:sz w:val="21"/>
                      <w:szCs w:val="21"/>
                      <w:highlight w:val="none"/>
                      <w:lang w:val="en-US" w:eastAsia="zh-CN"/>
                    </w:rPr>
                  </w:pPr>
                </w:p>
              </w:tc>
              <w:tc>
                <w:tcPr>
                  <w:tcW w:w="649" w:type="pct"/>
                  <w:vMerge w:val="continue"/>
                  <w:vAlign w:val="center"/>
                </w:tcPr>
                <w:p w14:paraId="0C25D4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ascii="Times New Roman" w:hAnsi="Times New Roman" w:eastAsia="宋体" w:cs="Times New Roman"/>
                      <w:bCs/>
                      <w:color w:val="auto"/>
                      <w:sz w:val="21"/>
                      <w:szCs w:val="21"/>
                      <w:highlight w:val="none"/>
                      <w:lang w:val="en-US" w:eastAsia="zh-CN"/>
                    </w:rPr>
                  </w:pPr>
                </w:p>
              </w:tc>
            </w:tr>
            <w:tr w14:paraId="4CBF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vAlign w:val="center"/>
                </w:tcPr>
                <w:p w14:paraId="548740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3</w:t>
                  </w:r>
                </w:p>
              </w:tc>
              <w:tc>
                <w:tcPr>
                  <w:tcW w:w="760" w:type="pct"/>
                  <w:vMerge w:val="continue"/>
                  <w:vAlign w:val="center"/>
                </w:tcPr>
                <w:p w14:paraId="3E735A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eastAsia" w:ascii="Times New Roman" w:hAnsi="Times New Roman" w:eastAsia="宋体" w:cs="Times New Roman"/>
                      <w:bCs/>
                      <w:color w:val="auto"/>
                      <w:sz w:val="21"/>
                      <w:szCs w:val="21"/>
                      <w:highlight w:val="none"/>
                      <w:lang w:val="en-US" w:eastAsia="zh-CN"/>
                    </w:rPr>
                  </w:pPr>
                </w:p>
              </w:tc>
              <w:tc>
                <w:tcPr>
                  <w:tcW w:w="1013" w:type="pct"/>
                  <w:vAlign w:val="center"/>
                </w:tcPr>
                <w:p w14:paraId="16B53B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助剂（2-乙基己酸锰）</w:t>
                  </w:r>
                </w:p>
              </w:tc>
              <w:tc>
                <w:tcPr>
                  <w:tcW w:w="711" w:type="pct"/>
                  <w:vAlign w:val="center"/>
                </w:tcPr>
                <w:p w14:paraId="340E7B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印刷</w:t>
                  </w:r>
                </w:p>
              </w:tc>
              <w:tc>
                <w:tcPr>
                  <w:tcW w:w="786" w:type="pct"/>
                  <w:vAlign w:val="center"/>
                </w:tcPr>
                <w:p w14:paraId="7E7B15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2.5</w:t>
                  </w:r>
                </w:p>
              </w:tc>
              <w:tc>
                <w:tcPr>
                  <w:tcW w:w="649" w:type="pct"/>
                  <w:vMerge w:val="continue"/>
                  <w:vAlign w:val="center"/>
                </w:tcPr>
                <w:p w14:paraId="779171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eastAsia" w:cs="Times New Roman"/>
                      <w:bCs/>
                      <w:color w:val="auto"/>
                      <w:sz w:val="21"/>
                      <w:szCs w:val="21"/>
                      <w:highlight w:val="none"/>
                      <w:lang w:val="en-US" w:eastAsia="zh-CN"/>
                    </w:rPr>
                  </w:pPr>
                </w:p>
              </w:tc>
              <w:tc>
                <w:tcPr>
                  <w:tcW w:w="649" w:type="pct"/>
                  <w:vMerge w:val="continue"/>
                  <w:vAlign w:val="center"/>
                </w:tcPr>
                <w:p w14:paraId="18ACC2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default" w:ascii="Times New Roman" w:hAnsi="Times New Roman" w:eastAsia="宋体" w:cs="Times New Roman"/>
                      <w:bCs/>
                      <w:color w:val="auto"/>
                      <w:sz w:val="21"/>
                      <w:szCs w:val="21"/>
                      <w:highlight w:val="none"/>
                      <w:lang w:val="en-US" w:eastAsia="zh-CN"/>
                    </w:rPr>
                  </w:pPr>
                </w:p>
              </w:tc>
            </w:tr>
          </w:tbl>
          <w:p w14:paraId="0E7B1425">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default" w:eastAsia="宋体"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根据建设单位提供数据，</w:t>
            </w:r>
            <w:r>
              <w:rPr>
                <w:rFonts w:hint="eastAsia" w:eastAsia="宋体" w:cs="Times New Roman"/>
                <w:b w:val="0"/>
                <w:bCs w:val="0"/>
                <w:color w:val="auto"/>
                <w:sz w:val="24"/>
                <w:szCs w:val="24"/>
                <w:highlight w:val="none"/>
                <w:u w:val="none"/>
                <w:lang w:val="en-US" w:eastAsia="zh-CN"/>
              </w:rPr>
              <w:t>柔板水墨印刷机每天工作时间为3小时，年工作290天，年工作时间870小时</w:t>
            </w:r>
            <w:r>
              <w:rPr>
                <w:rFonts w:hint="eastAsia" w:cs="Times New Roman"/>
                <w:b w:val="0"/>
                <w:bCs w:val="0"/>
                <w:color w:val="auto"/>
                <w:sz w:val="24"/>
                <w:szCs w:val="24"/>
                <w:highlight w:val="none"/>
                <w:u w:val="none"/>
                <w:lang w:val="en-US" w:eastAsia="zh-CN"/>
              </w:rPr>
              <w:t>，则</w:t>
            </w:r>
            <w:r>
              <w:rPr>
                <w:rFonts w:hint="eastAsia" w:eastAsia="宋体" w:cs="Times New Roman"/>
                <w:b w:val="0"/>
                <w:bCs w:val="0"/>
                <w:color w:val="auto"/>
                <w:sz w:val="24"/>
                <w:szCs w:val="24"/>
                <w:highlight w:val="none"/>
                <w:u w:val="none"/>
                <w:lang w:val="en-US" w:eastAsia="zh-CN"/>
              </w:rPr>
              <w:t>G</w:t>
            </w:r>
            <w:r>
              <w:rPr>
                <w:rFonts w:hint="eastAsia" w:cs="Times New Roman"/>
                <w:b w:val="0"/>
                <w:bCs w:val="0"/>
                <w:color w:val="auto"/>
                <w:sz w:val="24"/>
                <w:szCs w:val="24"/>
                <w:highlight w:val="none"/>
                <w:u w:val="none"/>
                <w:lang w:val="en-US" w:eastAsia="zh-CN"/>
              </w:rPr>
              <w:t>2印刷</w:t>
            </w:r>
            <w:r>
              <w:rPr>
                <w:rFonts w:hint="eastAsia" w:eastAsia="宋体" w:cs="Times New Roman"/>
                <w:b w:val="0"/>
                <w:bCs w:val="0"/>
                <w:color w:val="auto"/>
                <w:sz w:val="24"/>
                <w:szCs w:val="24"/>
                <w:highlight w:val="none"/>
                <w:u w:val="none"/>
                <w:lang w:val="en-US" w:eastAsia="zh-CN"/>
              </w:rPr>
              <w:t>废气的产生量约</w:t>
            </w:r>
            <w:r>
              <w:rPr>
                <w:rFonts w:hint="eastAsia" w:cs="Times New Roman"/>
                <w:b w:val="0"/>
                <w:bCs w:val="0"/>
                <w:color w:val="auto"/>
                <w:sz w:val="24"/>
                <w:szCs w:val="24"/>
                <w:highlight w:val="none"/>
                <w:u w:val="none"/>
                <w:lang w:val="en-US" w:eastAsia="zh-CN"/>
              </w:rPr>
              <w:t>为0.63</w:t>
            </w:r>
            <w:r>
              <w:rPr>
                <w:rFonts w:hint="eastAsia" w:eastAsia="宋体" w:cs="Times New Roman"/>
                <w:b w:val="0"/>
                <w:bCs w:val="0"/>
                <w:color w:val="auto"/>
                <w:sz w:val="24"/>
                <w:szCs w:val="24"/>
                <w:highlight w:val="none"/>
                <w:u w:val="none"/>
                <w:lang w:val="en-US" w:eastAsia="zh-CN"/>
              </w:rPr>
              <w:t>t/a</w:t>
            </w:r>
            <w:r>
              <w:rPr>
                <w:rFonts w:hint="eastAsia" w:cs="Times New Roman"/>
                <w:b w:val="0"/>
                <w:bCs w:val="0"/>
                <w:color w:val="auto"/>
                <w:sz w:val="24"/>
                <w:szCs w:val="24"/>
                <w:highlight w:val="none"/>
                <w:u w:val="none"/>
                <w:lang w:val="en-US" w:eastAsia="zh-CN"/>
              </w:rPr>
              <w:t>、产生速率为0.72</w:t>
            </w:r>
            <w:r>
              <w:rPr>
                <w:rFonts w:hint="eastAsia" w:eastAsia="宋体" w:cs="Times New Roman"/>
                <w:b w:val="0"/>
                <w:bCs w:val="0"/>
                <w:color w:val="auto"/>
                <w:sz w:val="24"/>
                <w:szCs w:val="24"/>
                <w:highlight w:val="none"/>
                <w:u w:val="none"/>
                <w:lang w:val="en-US" w:eastAsia="zh-CN"/>
              </w:rPr>
              <w:t>kg/h</w:t>
            </w:r>
            <w:r>
              <w:rPr>
                <w:rFonts w:hint="eastAsia" w:cs="Times New Roman"/>
                <w:b w:val="0"/>
                <w:bCs w:val="0"/>
                <w:color w:val="auto"/>
                <w:sz w:val="24"/>
                <w:szCs w:val="24"/>
                <w:highlight w:val="none"/>
                <w:u w:val="none"/>
                <w:lang w:val="en-US" w:eastAsia="zh-CN"/>
              </w:rPr>
              <w:t>。</w:t>
            </w:r>
          </w:p>
          <w:p w14:paraId="3CC6D0AF">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default"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2）废气收集系统</w:t>
            </w:r>
          </w:p>
          <w:p w14:paraId="297DEB85">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eastAsia"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项目印刷废气产污节点为印刷工序，共设置1套包围型集气罩（含软帘），对产污点位实行废气收集，收集后的印刷废气经管道进入1套废气处理设施“二级活性炭吸附”（TA002）进行处理，处理后通过1根20m高排气筒（DA002）排放。</w:t>
            </w:r>
          </w:p>
          <w:p w14:paraId="7C4C2E3B">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eastAsia"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根据《云南省重点行业挥发性有机物综合治理实施方案》，采用局部集气罩的，距集气罩开口面最远处的VOCs无组织排放位置，控制风速应不低于0.5米/秒。根据本项目生产设备实际情况，1台柔板水墨印刷机投影面积按2㎡计，则柔板水墨印刷机单个集气罩风量不低于3600m³/h，则DA002风机设计总风量应不低于3600m³/h，综合考虑管道阻力、预留设计余量等因素，项目DA002设计总风量为5000m³/h。</w:t>
            </w:r>
          </w:p>
          <w:p w14:paraId="5D08F34E">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eastAsia"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本项目塑料废气收集效率以80%计，二级活性炭吸附处理工艺处理效率以60%计。</w:t>
            </w:r>
          </w:p>
          <w:p w14:paraId="3C0160B7">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eastAsia"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本项目印刷废气（以非甲烷总烃计）（DA002）有组织产生量为0.5t/a、产生速率为0.57kg/h、产生浓度为114mg/m³；有组织排放量为0.2t/a、排放速率为0.23kg/h、排放浓度为46mg/m³。</w:t>
            </w:r>
          </w:p>
          <w:p w14:paraId="62C32BD2">
            <w:pPr>
              <w:keepNext w:val="0"/>
              <w:keepLines w:val="0"/>
              <w:pageBreakBefore w:val="0"/>
              <w:tabs>
                <w:tab w:val="left" w:pos="3540"/>
              </w:tabs>
              <w:kinsoku/>
              <w:wordWrap/>
              <w:overflowPunct/>
              <w:topLinePunct w:val="0"/>
              <w:bidi w:val="0"/>
              <w:adjustRightInd w:val="0"/>
              <w:snapToGrid w:val="0"/>
              <w:spacing w:line="360" w:lineRule="auto"/>
              <w:ind w:firstLine="482" w:firstLineChars="200"/>
              <w:rPr>
                <w:rFonts w:hint="default" w:cs="Times New Roman"/>
                <w:b/>
                <w:bCs/>
                <w:color w:val="auto"/>
                <w:sz w:val="24"/>
                <w:szCs w:val="24"/>
                <w:highlight w:val="none"/>
                <w:u w:val="none"/>
                <w:lang w:val="en-US" w:eastAsia="zh-CN"/>
              </w:rPr>
            </w:pPr>
            <w:r>
              <w:rPr>
                <w:rFonts w:hint="eastAsia" w:cs="Times New Roman"/>
                <w:b/>
                <w:bCs/>
                <w:color w:val="auto"/>
                <w:sz w:val="24"/>
                <w:szCs w:val="24"/>
                <w:highlight w:val="none"/>
                <w:u w:val="none"/>
                <w:lang w:val="en-US" w:eastAsia="zh-CN"/>
              </w:rPr>
              <w:t>3、臭气浓度</w:t>
            </w:r>
          </w:p>
          <w:p w14:paraId="648F3884">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eastAsia"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根据调查，项目生产产生的废气中挥发性有机物（以非甲烷总烃计）成分会表现为恶臭。恶臭为人们对恶臭物质所感知的一种污染指标，其主要物质种类达上万种之多。由于各种物质之间的相互作用（相加、协同、抵消及掩饰作用等），加之人类的嗅觉功能和恶臭物质取样分析等因素，迄今还难以对大多数恶臭物质作出浓度标准。</w:t>
            </w:r>
          </w:p>
          <w:p w14:paraId="71C8D461">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eastAsia"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本项目VOCs成分不属于《恶臭污染物排放标准》（GB 14554-93）中的恶臭污染物，因此本项目VOCs成分以复合恶臭物质的臭气浓度进行评价。臭气浓度难以进行定量分析，本次评价仅进行定性分析。</w:t>
            </w:r>
          </w:p>
          <w:p w14:paraId="75DD5C94">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eastAsia"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臭气浓度无量纲，臭气浓度是根据嗅觉器官试验法对臭气气味的大小予以数量化表示的指标，用无臭的清洁空气对臭气样品连续稀释至嗅辨员阈值时的稀释倍数叫作臭气浓度。</w:t>
            </w:r>
          </w:p>
          <w:p w14:paraId="13DBDFCE">
            <w:pPr>
              <w:keepNext w:val="0"/>
              <w:keepLines w:val="0"/>
              <w:pageBreakBefore w:val="0"/>
              <w:tabs>
                <w:tab w:val="left" w:pos="3540"/>
              </w:tabs>
              <w:kinsoku/>
              <w:wordWrap/>
              <w:overflowPunct/>
              <w:topLinePunct w:val="0"/>
              <w:bidi w:val="0"/>
              <w:adjustRightInd w:val="0"/>
              <w:snapToGrid w:val="0"/>
              <w:spacing w:line="360" w:lineRule="auto"/>
              <w:ind w:firstLine="480" w:firstLineChars="200"/>
              <w:rPr>
                <w:rFonts w:hint="eastAsia"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本项目产生的有机废气通过采取包围型集气罩（含软帘）收集后，分别经管道引入各自废气处理设施进行处理，处理后分别通过20m高排气筒排放。本项目废气处理工艺采用“活性炭吸附+催化燃烧（CO）处理工艺）”“二级活性炭吸附工艺”，均对臭气浓度有较高的处理效率。因此，生产过程有组织废气中臭气浓度执行《恶臭污染物排放标准》（GB 14554-93）表2恶臭污染物排放标准值中臭气浓度25m排气筒标准值（本项目排气筒高度为20m，采用四舍五入方法计算，排气筒排放标准执行25m高度标准值）。经大气稀释扩散后，厂界无组织排放的臭气浓度可以达到《恶臭污染物排放标准》（GB 14554-93）表1 恶臭污染物厂界标准值中的“二级新扩改建”标准限值（20（无量纲））。项目厂界外500m范围内无大气环境保护目标，因此项目臭气浓度对周边环境影响较小。</w:t>
            </w:r>
          </w:p>
          <w:p w14:paraId="1DD6F046">
            <w:pPr>
              <w:adjustRightInd w:val="0"/>
              <w:snapToGrid w:val="0"/>
              <w:spacing w:line="360" w:lineRule="auto"/>
              <w:ind w:firstLine="482" w:firstLineChars="200"/>
              <w:rPr>
                <w:b/>
                <w:bCs/>
                <w:color w:val="auto"/>
                <w:kern w:val="24"/>
                <w:sz w:val="24"/>
                <w:highlight w:val="none"/>
              </w:rPr>
            </w:pPr>
            <w:r>
              <w:rPr>
                <w:rFonts w:hint="eastAsia"/>
                <w:b/>
                <w:bCs/>
                <w:color w:val="auto"/>
                <w:kern w:val="24"/>
                <w:sz w:val="24"/>
                <w:highlight w:val="none"/>
                <w:lang w:val="en-US" w:eastAsia="zh-CN"/>
              </w:rPr>
              <w:t>1.2</w:t>
            </w:r>
            <w:r>
              <w:rPr>
                <w:rFonts w:hint="eastAsia"/>
                <w:b/>
                <w:bCs/>
                <w:color w:val="auto"/>
                <w:kern w:val="24"/>
                <w:sz w:val="24"/>
                <w:highlight w:val="none"/>
              </w:rPr>
              <w:t>非正常排放</w:t>
            </w:r>
          </w:p>
          <w:p w14:paraId="08E28234">
            <w:pPr>
              <w:adjustRightInd w:val="0"/>
              <w:snapToGrid w:val="0"/>
              <w:spacing w:line="360" w:lineRule="auto"/>
              <w:ind w:firstLine="480" w:firstLineChars="200"/>
              <w:rPr>
                <w:rFonts w:hint="eastAsia"/>
                <w:color w:val="auto"/>
                <w:kern w:val="24"/>
                <w:sz w:val="24"/>
                <w:highlight w:val="none"/>
              </w:rPr>
            </w:pPr>
            <w:r>
              <w:rPr>
                <w:rFonts w:hint="eastAsia"/>
                <w:color w:val="auto"/>
                <w:kern w:val="24"/>
                <w:sz w:val="24"/>
                <w:highlight w:val="none"/>
              </w:rPr>
              <w:t>本项目非正常排放主要产生于废气处理设施发生故障时，出现非正常排放。本次评价非正常排放情况设定为废气处理设施出现故障，处理效率为0。</w:t>
            </w:r>
          </w:p>
          <w:p w14:paraId="4170AD0B">
            <w:pPr>
              <w:adjustRightInd w:val="0"/>
              <w:snapToGrid w:val="0"/>
              <w:spacing w:line="360" w:lineRule="auto"/>
              <w:ind w:firstLine="480" w:firstLineChars="200"/>
              <w:rPr>
                <w:rFonts w:hint="eastAsia"/>
                <w:color w:val="auto"/>
                <w:kern w:val="24"/>
                <w:sz w:val="24"/>
                <w:highlight w:val="none"/>
              </w:rPr>
            </w:pPr>
            <w:r>
              <w:rPr>
                <w:rFonts w:hint="eastAsia"/>
                <w:color w:val="auto"/>
                <w:kern w:val="24"/>
                <w:sz w:val="24"/>
                <w:highlight w:val="none"/>
              </w:rPr>
              <w:t>则污染源非正常排放统计见下表</w:t>
            </w:r>
            <w:r>
              <w:rPr>
                <w:rFonts w:hint="eastAsia"/>
                <w:color w:val="auto"/>
                <w:kern w:val="24"/>
                <w:sz w:val="24"/>
                <w:highlight w:val="none"/>
                <w:lang w:val="en-US" w:eastAsia="zh-CN"/>
              </w:rPr>
              <w:t>4-8</w:t>
            </w:r>
            <w:r>
              <w:rPr>
                <w:rFonts w:hint="eastAsia"/>
                <w:color w:val="auto"/>
                <w:kern w:val="24"/>
                <w:sz w:val="24"/>
                <w:highlight w:val="none"/>
              </w:rPr>
              <w:t>。</w:t>
            </w:r>
          </w:p>
          <w:p w14:paraId="52E8217D">
            <w:pPr>
              <w:adjustRightInd w:val="0"/>
              <w:snapToGrid w:val="0"/>
              <w:spacing w:line="360" w:lineRule="auto"/>
              <w:ind w:firstLine="482" w:firstLineChars="200"/>
              <w:jc w:val="center"/>
              <w:rPr>
                <w:b/>
                <w:bCs/>
                <w:color w:val="auto"/>
                <w:kern w:val="24"/>
                <w:sz w:val="24"/>
                <w:highlight w:val="none"/>
              </w:rPr>
            </w:pPr>
            <w:r>
              <w:rPr>
                <w:rFonts w:hint="eastAsia"/>
                <w:b/>
                <w:bCs/>
                <w:color w:val="auto"/>
                <w:kern w:val="24"/>
                <w:sz w:val="24"/>
                <w:highlight w:val="none"/>
              </w:rPr>
              <w:t>表4-</w:t>
            </w:r>
            <w:r>
              <w:rPr>
                <w:rFonts w:hint="eastAsia"/>
                <w:b/>
                <w:bCs/>
                <w:color w:val="auto"/>
                <w:kern w:val="24"/>
                <w:sz w:val="24"/>
                <w:highlight w:val="none"/>
                <w:lang w:val="en-US" w:eastAsia="zh-CN"/>
              </w:rPr>
              <w:t>8</w:t>
            </w:r>
            <w:r>
              <w:rPr>
                <w:rFonts w:hint="eastAsia"/>
                <w:b/>
                <w:bCs/>
                <w:color w:val="auto"/>
                <w:kern w:val="24"/>
                <w:sz w:val="24"/>
                <w:highlight w:val="none"/>
              </w:rPr>
              <w:t xml:space="preserve">  污染源非正常排放量核算表</w:t>
            </w:r>
          </w:p>
          <w:tbl>
            <w:tblPr>
              <w:tblStyle w:val="2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1115"/>
              <w:gridCol w:w="920"/>
              <w:gridCol w:w="1209"/>
              <w:gridCol w:w="1053"/>
              <w:gridCol w:w="941"/>
              <w:gridCol w:w="756"/>
              <w:gridCol w:w="1363"/>
            </w:tblGrid>
            <w:tr w14:paraId="1C22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7" w:type="pct"/>
                  <w:vAlign w:val="center"/>
                </w:tcPr>
                <w:p w14:paraId="43F52F86">
                  <w:pPr>
                    <w:adjustRightInd w:val="0"/>
                    <w:snapToGrid w:val="0"/>
                    <w:spacing w:line="320" w:lineRule="exact"/>
                    <w:jc w:val="center"/>
                    <w:rPr>
                      <w:b/>
                      <w:bCs/>
                      <w:color w:val="auto"/>
                      <w:kern w:val="24"/>
                      <w:szCs w:val="21"/>
                      <w:highlight w:val="none"/>
                    </w:rPr>
                  </w:pPr>
                  <w:r>
                    <w:rPr>
                      <w:b/>
                      <w:bCs/>
                      <w:color w:val="auto"/>
                      <w:kern w:val="24"/>
                      <w:szCs w:val="21"/>
                      <w:highlight w:val="none"/>
                    </w:rPr>
                    <w:t>污染源</w:t>
                  </w:r>
                </w:p>
              </w:tc>
              <w:tc>
                <w:tcPr>
                  <w:tcW w:w="674" w:type="pct"/>
                  <w:vAlign w:val="center"/>
                </w:tcPr>
                <w:p w14:paraId="4DA90E0B">
                  <w:pPr>
                    <w:adjustRightInd w:val="0"/>
                    <w:snapToGrid w:val="0"/>
                    <w:spacing w:line="320" w:lineRule="exact"/>
                    <w:jc w:val="center"/>
                    <w:rPr>
                      <w:b/>
                      <w:bCs/>
                      <w:color w:val="auto"/>
                      <w:kern w:val="24"/>
                      <w:szCs w:val="21"/>
                      <w:highlight w:val="none"/>
                    </w:rPr>
                  </w:pPr>
                  <w:r>
                    <w:rPr>
                      <w:b/>
                      <w:bCs/>
                      <w:color w:val="auto"/>
                      <w:kern w:val="24"/>
                      <w:szCs w:val="21"/>
                      <w:highlight w:val="none"/>
                    </w:rPr>
                    <w:t>非正常排放原因</w:t>
                  </w:r>
                </w:p>
              </w:tc>
              <w:tc>
                <w:tcPr>
                  <w:tcW w:w="556" w:type="pct"/>
                  <w:vAlign w:val="center"/>
                </w:tcPr>
                <w:p w14:paraId="66391015">
                  <w:pPr>
                    <w:adjustRightInd w:val="0"/>
                    <w:snapToGrid w:val="0"/>
                    <w:spacing w:line="320" w:lineRule="exact"/>
                    <w:jc w:val="center"/>
                    <w:rPr>
                      <w:b/>
                      <w:bCs/>
                      <w:color w:val="auto"/>
                      <w:kern w:val="24"/>
                      <w:szCs w:val="21"/>
                      <w:highlight w:val="none"/>
                    </w:rPr>
                  </w:pPr>
                  <w:r>
                    <w:rPr>
                      <w:b/>
                      <w:bCs/>
                      <w:color w:val="auto"/>
                      <w:kern w:val="24"/>
                      <w:szCs w:val="21"/>
                      <w:highlight w:val="none"/>
                    </w:rPr>
                    <w:t>污染物</w:t>
                  </w:r>
                </w:p>
              </w:tc>
              <w:tc>
                <w:tcPr>
                  <w:tcW w:w="731" w:type="pct"/>
                  <w:vAlign w:val="center"/>
                </w:tcPr>
                <w:p w14:paraId="699E6AC4">
                  <w:pPr>
                    <w:adjustRightInd w:val="0"/>
                    <w:snapToGrid w:val="0"/>
                    <w:spacing w:line="320" w:lineRule="exact"/>
                    <w:jc w:val="center"/>
                    <w:rPr>
                      <w:b/>
                      <w:bCs/>
                      <w:color w:val="auto"/>
                      <w:kern w:val="24"/>
                      <w:szCs w:val="21"/>
                      <w:highlight w:val="none"/>
                    </w:rPr>
                  </w:pPr>
                  <w:r>
                    <w:rPr>
                      <w:b/>
                      <w:bCs/>
                      <w:color w:val="auto"/>
                      <w:kern w:val="24"/>
                      <w:szCs w:val="21"/>
                      <w:highlight w:val="none"/>
                    </w:rPr>
                    <w:t>非正常排放浓度（mg/m</w:t>
                  </w:r>
                  <w:r>
                    <w:rPr>
                      <w:b/>
                      <w:bCs/>
                      <w:color w:val="auto"/>
                      <w:kern w:val="24"/>
                      <w:szCs w:val="21"/>
                      <w:highlight w:val="none"/>
                      <w:vertAlign w:val="superscript"/>
                    </w:rPr>
                    <w:t>3</w:t>
                  </w:r>
                  <w:r>
                    <w:rPr>
                      <w:b/>
                      <w:bCs/>
                      <w:color w:val="auto"/>
                      <w:kern w:val="24"/>
                      <w:szCs w:val="21"/>
                      <w:highlight w:val="none"/>
                    </w:rPr>
                    <w:t>）</w:t>
                  </w:r>
                </w:p>
              </w:tc>
              <w:tc>
                <w:tcPr>
                  <w:tcW w:w="637" w:type="pct"/>
                  <w:vAlign w:val="center"/>
                </w:tcPr>
                <w:p w14:paraId="37BDBEE5">
                  <w:pPr>
                    <w:adjustRightInd w:val="0"/>
                    <w:snapToGrid w:val="0"/>
                    <w:spacing w:line="320" w:lineRule="exact"/>
                    <w:jc w:val="center"/>
                    <w:rPr>
                      <w:b/>
                      <w:bCs/>
                      <w:color w:val="auto"/>
                      <w:kern w:val="24"/>
                      <w:szCs w:val="21"/>
                      <w:highlight w:val="none"/>
                    </w:rPr>
                  </w:pPr>
                  <w:r>
                    <w:rPr>
                      <w:b/>
                      <w:bCs/>
                      <w:color w:val="auto"/>
                      <w:kern w:val="24"/>
                      <w:szCs w:val="21"/>
                      <w:highlight w:val="none"/>
                    </w:rPr>
                    <w:t>非正常排放速率（kg/h）</w:t>
                  </w:r>
                </w:p>
              </w:tc>
              <w:tc>
                <w:tcPr>
                  <w:tcW w:w="569" w:type="pct"/>
                  <w:vAlign w:val="center"/>
                </w:tcPr>
                <w:p w14:paraId="0EFCC755">
                  <w:pPr>
                    <w:adjustRightInd w:val="0"/>
                    <w:snapToGrid w:val="0"/>
                    <w:spacing w:line="320" w:lineRule="exact"/>
                    <w:jc w:val="center"/>
                    <w:rPr>
                      <w:b/>
                      <w:bCs/>
                      <w:color w:val="auto"/>
                      <w:kern w:val="24"/>
                      <w:szCs w:val="21"/>
                      <w:highlight w:val="none"/>
                    </w:rPr>
                  </w:pPr>
                  <w:r>
                    <w:rPr>
                      <w:b/>
                      <w:bCs/>
                      <w:color w:val="auto"/>
                      <w:kern w:val="24"/>
                      <w:szCs w:val="21"/>
                      <w:highlight w:val="none"/>
                    </w:rPr>
                    <w:t>单次持续时间/h</w:t>
                  </w:r>
                </w:p>
              </w:tc>
              <w:tc>
                <w:tcPr>
                  <w:tcW w:w="457" w:type="pct"/>
                  <w:vAlign w:val="center"/>
                </w:tcPr>
                <w:p w14:paraId="35B6DB02">
                  <w:pPr>
                    <w:adjustRightInd w:val="0"/>
                    <w:snapToGrid w:val="0"/>
                    <w:spacing w:line="320" w:lineRule="exact"/>
                    <w:jc w:val="center"/>
                    <w:rPr>
                      <w:b/>
                      <w:bCs/>
                      <w:color w:val="auto"/>
                      <w:kern w:val="24"/>
                      <w:szCs w:val="21"/>
                      <w:highlight w:val="none"/>
                    </w:rPr>
                  </w:pPr>
                  <w:r>
                    <w:rPr>
                      <w:b/>
                      <w:bCs/>
                      <w:color w:val="auto"/>
                      <w:kern w:val="24"/>
                      <w:szCs w:val="21"/>
                      <w:highlight w:val="none"/>
                    </w:rPr>
                    <w:t>年发生频次/次</w:t>
                  </w:r>
                </w:p>
              </w:tc>
              <w:tc>
                <w:tcPr>
                  <w:tcW w:w="824" w:type="pct"/>
                  <w:vAlign w:val="center"/>
                </w:tcPr>
                <w:p w14:paraId="6C7FFE28">
                  <w:pPr>
                    <w:adjustRightInd w:val="0"/>
                    <w:snapToGrid w:val="0"/>
                    <w:spacing w:line="320" w:lineRule="exact"/>
                    <w:jc w:val="center"/>
                    <w:rPr>
                      <w:b/>
                      <w:bCs/>
                      <w:color w:val="auto"/>
                      <w:kern w:val="24"/>
                      <w:szCs w:val="21"/>
                      <w:highlight w:val="none"/>
                    </w:rPr>
                  </w:pPr>
                  <w:r>
                    <w:rPr>
                      <w:b/>
                      <w:bCs/>
                      <w:color w:val="auto"/>
                      <w:kern w:val="24"/>
                      <w:szCs w:val="21"/>
                      <w:highlight w:val="none"/>
                    </w:rPr>
                    <w:t>应对措施</w:t>
                  </w:r>
                </w:p>
              </w:tc>
            </w:tr>
            <w:tr w14:paraId="41A7C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47" w:type="pct"/>
                  <w:vAlign w:val="center"/>
                </w:tcPr>
                <w:p w14:paraId="5902200C">
                  <w:pPr>
                    <w:adjustRightInd w:val="0"/>
                    <w:snapToGrid w:val="0"/>
                    <w:spacing w:line="320" w:lineRule="exact"/>
                    <w:jc w:val="center"/>
                    <w:rPr>
                      <w:rFonts w:hint="default" w:eastAsia="宋体"/>
                      <w:color w:val="auto"/>
                      <w:kern w:val="24"/>
                      <w:szCs w:val="21"/>
                      <w:highlight w:val="none"/>
                      <w:lang w:val="en-US" w:eastAsia="zh-CN"/>
                    </w:rPr>
                  </w:pPr>
                  <w:r>
                    <w:rPr>
                      <w:rFonts w:hint="eastAsia"/>
                      <w:color w:val="auto"/>
                      <w:kern w:val="24"/>
                      <w:szCs w:val="21"/>
                      <w:highlight w:val="none"/>
                    </w:rPr>
                    <w:t>排气筒</w:t>
                  </w:r>
                  <w:r>
                    <w:rPr>
                      <w:rFonts w:hint="eastAsia"/>
                      <w:color w:val="auto"/>
                      <w:kern w:val="24"/>
                      <w:szCs w:val="21"/>
                      <w:highlight w:val="none"/>
                      <w:lang w:val="en-US" w:eastAsia="zh-CN"/>
                    </w:rPr>
                    <w:t>DA001</w:t>
                  </w:r>
                </w:p>
              </w:tc>
              <w:tc>
                <w:tcPr>
                  <w:tcW w:w="674" w:type="pct"/>
                  <w:vMerge w:val="restart"/>
                  <w:vAlign w:val="center"/>
                </w:tcPr>
                <w:p w14:paraId="7381220F">
                  <w:pPr>
                    <w:adjustRightInd w:val="0"/>
                    <w:snapToGrid w:val="0"/>
                    <w:spacing w:line="320" w:lineRule="exact"/>
                    <w:jc w:val="center"/>
                    <w:rPr>
                      <w:color w:val="auto"/>
                      <w:kern w:val="24"/>
                      <w:szCs w:val="21"/>
                      <w:highlight w:val="none"/>
                    </w:rPr>
                  </w:pPr>
                  <w:r>
                    <w:rPr>
                      <w:rFonts w:hint="eastAsia"/>
                      <w:color w:val="auto"/>
                      <w:kern w:val="24"/>
                      <w:szCs w:val="21"/>
                      <w:highlight w:val="none"/>
                    </w:rPr>
                    <w:t>出现故障，处理效率为0</w:t>
                  </w:r>
                </w:p>
              </w:tc>
              <w:tc>
                <w:tcPr>
                  <w:tcW w:w="556" w:type="pct"/>
                  <w:vAlign w:val="center"/>
                </w:tcPr>
                <w:p w14:paraId="30FB4BA4">
                  <w:pPr>
                    <w:adjustRightInd w:val="0"/>
                    <w:snapToGrid w:val="0"/>
                    <w:spacing w:line="320" w:lineRule="exact"/>
                    <w:jc w:val="center"/>
                    <w:rPr>
                      <w:rFonts w:hint="default" w:eastAsia="宋体"/>
                      <w:color w:val="auto"/>
                      <w:kern w:val="24"/>
                      <w:szCs w:val="21"/>
                      <w:highlight w:val="none"/>
                      <w:lang w:val="en-US" w:eastAsia="zh-CN"/>
                    </w:rPr>
                  </w:pPr>
                  <w:r>
                    <w:rPr>
                      <w:rFonts w:hint="eastAsia"/>
                      <w:color w:val="auto"/>
                      <w:kern w:val="24"/>
                      <w:szCs w:val="21"/>
                      <w:highlight w:val="none"/>
                      <w:lang w:val="en-US" w:eastAsia="zh-CN"/>
                    </w:rPr>
                    <w:t>非甲烷总烃</w:t>
                  </w:r>
                </w:p>
              </w:tc>
              <w:tc>
                <w:tcPr>
                  <w:tcW w:w="731" w:type="pct"/>
                  <w:shd w:val="clear" w:color="auto" w:fill="auto"/>
                  <w:vAlign w:val="center"/>
                </w:tcPr>
                <w:p w14:paraId="4A288EE8">
                  <w:pPr>
                    <w:widowControl/>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268.25</w:t>
                  </w:r>
                </w:p>
              </w:tc>
              <w:tc>
                <w:tcPr>
                  <w:tcW w:w="637" w:type="pct"/>
                  <w:vAlign w:val="center"/>
                </w:tcPr>
                <w:p w14:paraId="16A516BC">
                  <w:pPr>
                    <w:adjustRightInd w:val="0"/>
                    <w:snapToGrid w:val="0"/>
                    <w:spacing w:line="320" w:lineRule="exact"/>
                    <w:jc w:val="center"/>
                    <w:rPr>
                      <w:rFonts w:hint="default" w:eastAsia="宋体"/>
                      <w:color w:val="auto"/>
                      <w:kern w:val="24"/>
                      <w:szCs w:val="21"/>
                      <w:highlight w:val="none"/>
                      <w:lang w:val="en-US" w:eastAsia="zh-CN"/>
                    </w:rPr>
                  </w:pPr>
                  <w:r>
                    <w:rPr>
                      <w:rFonts w:hint="eastAsia" w:cs="Times New Roman"/>
                      <w:color w:val="auto"/>
                      <w:kern w:val="24"/>
                      <w:sz w:val="21"/>
                      <w:szCs w:val="21"/>
                      <w:highlight w:val="none"/>
                      <w:lang w:val="en-US" w:eastAsia="zh-CN" w:bidi="ar-SA"/>
                    </w:rPr>
                    <w:t>10.73</w:t>
                  </w:r>
                </w:p>
              </w:tc>
              <w:tc>
                <w:tcPr>
                  <w:tcW w:w="569" w:type="pct"/>
                  <w:vAlign w:val="center"/>
                </w:tcPr>
                <w:p w14:paraId="6777E8CE">
                  <w:pPr>
                    <w:adjustRightInd w:val="0"/>
                    <w:snapToGrid w:val="0"/>
                    <w:spacing w:line="320" w:lineRule="exact"/>
                    <w:jc w:val="center"/>
                    <w:rPr>
                      <w:rFonts w:hint="default" w:eastAsia="宋体"/>
                      <w:color w:val="auto"/>
                      <w:kern w:val="24"/>
                      <w:szCs w:val="21"/>
                      <w:highlight w:val="none"/>
                      <w:lang w:val="en-US" w:eastAsia="zh-CN"/>
                    </w:rPr>
                  </w:pPr>
                  <w:r>
                    <w:rPr>
                      <w:rFonts w:hint="eastAsia"/>
                      <w:color w:val="auto"/>
                      <w:kern w:val="24"/>
                      <w:szCs w:val="21"/>
                      <w:highlight w:val="none"/>
                      <w:lang w:val="en-US" w:eastAsia="zh-CN"/>
                    </w:rPr>
                    <w:t>0.5</w:t>
                  </w:r>
                </w:p>
              </w:tc>
              <w:tc>
                <w:tcPr>
                  <w:tcW w:w="457" w:type="pct"/>
                  <w:vAlign w:val="center"/>
                </w:tcPr>
                <w:p w14:paraId="3D064B8B">
                  <w:pPr>
                    <w:adjustRightInd w:val="0"/>
                    <w:snapToGrid w:val="0"/>
                    <w:spacing w:line="320" w:lineRule="exact"/>
                    <w:jc w:val="center"/>
                    <w:rPr>
                      <w:rFonts w:hint="eastAsia" w:eastAsia="宋体"/>
                      <w:color w:val="auto"/>
                      <w:kern w:val="24"/>
                      <w:szCs w:val="21"/>
                      <w:highlight w:val="none"/>
                      <w:lang w:val="en-US" w:eastAsia="zh-CN"/>
                    </w:rPr>
                  </w:pPr>
                  <w:r>
                    <w:rPr>
                      <w:rFonts w:hint="eastAsia"/>
                      <w:color w:val="auto"/>
                      <w:kern w:val="24"/>
                      <w:szCs w:val="21"/>
                      <w:highlight w:val="none"/>
                      <w:lang w:val="en-US" w:eastAsia="zh-CN"/>
                    </w:rPr>
                    <w:t>1</w:t>
                  </w:r>
                </w:p>
              </w:tc>
              <w:tc>
                <w:tcPr>
                  <w:tcW w:w="824" w:type="pct"/>
                  <w:vAlign w:val="center"/>
                </w:tcPr>
                <w:p w14:paraId="679E7D73">
                  <w:pPr>
                    <w:adjustRightInd w:val="0"/>
                    <w:snapToGrid w:val="0"/>
                    <w:spacing w:line="320" w:lineRule="exact"/>
                    <w:jc w:val="center"/>
                    <w:rPr>
                      <w:color w:val="auto"/>
                      <w:kern w:val="24"/>
                      <w:szCs w:val="21"/>
                      <w:highlight w:val="none"/>
                    </w:rPr>
                  </w:pPr>
                  <w:r>
                    <w:rPr>
                      <w:rFonts w:hint="eastAsia"/>
                      <w:color w:val="auto"/>
                      <w:kern w:val="24"/>
                      <w:szCs w:val="21"/>
                      <w:highlight w:val="none"/>
                    </w:rPr>
                    <w:t>立即停止生产，修复废气治理设施；定期对废气处理设施进行检修和更换</w:t>
                  </w:r>
                </w:p>
              </w:tc>
            </w:tr>
            <w:tr w14:paraId="72DD3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47" w:type="pct"/>
                  <w:vAlign w:val="center"/>
                </w:tcPr>
                <w:p w14:paraId="3049AEAA">
                  <w:pPr>
                    <w:adjustRightInd w:val="0"/>
                    <w:snapToGrid w:val="0"/>
                    <w:spacing w:line="320" w:lineRule="exact"/>
                    <w:jc w:val="center"/>
                    <w:rPr>
                      <w:rFonts w:hint="default" w:eastAsia="宋体"/>
                      <w:color w:val="auto"/>
                      <w:kern w:val="24"/>
                      <w:szCs w:val="21"/>
                      <w:highlight w:val="none"/>
                      <w:lang w:val="en-US" w:eastAsia="zh-CN"/>
                    </w:rPr>
                  </w:pPr>
                  <w:r>
                    <w:rPr>
                      <w:rFonts w:hint="eastAsia"/>
                      <w:color w:val="auto"/>
                      <w:kern w:val="24"/>
                      <w:szCs w:val="21"/>
                      <w:highlight w:val="none"/>
                      <w:lang w:val="en-US" w:eastAsia="zh-CN"/>
                    </w:rPr>
                    <w:t>排气筒DA002</w:t>
                  </w:r>
                </w:p>
              </w:tc>
              <w:tc>
                <w:tcPr>
                  <w:tcW w:w="674" w:type="pct"/>
                  <w:vMerge w:val="continue"/>
                  <w:vAlign w:val="center"/>
                </w:tcPr>
                <w:p w14:paraId="266B923D">
                  <w:pPr>
                    <w:adjustRightInd w:val="0"/>
                    <w:snapToGrid w:val="0"/>
                    <w:spacing w:line="320" w:lineRule="exact"/>
                    <w:jc w:val="center"/>
                    <w:rPr>
                      <w:rFonts w:hint="eastAsia"/>
                      <w:color w:val="auto"/>
                      <w:kern w:val="24"/>
                      <w:szCs w:val="21"/>
                      <w:highlight w:val="none"/>
                    </w:rPr>
                  </w:pPr>
                </w:p>
              </w:tc>
              <w:tc>
                <w:tcPr>
                  <w:tcW w:w="556" w:type="pct"/>
                  <w:vAlign w:val="center"/>
                </w:tcPr>
                <w:p w14:paraId="6829B067">
                  <w:pPr>
                    <w:adjustRightInd w:val="0"/>
                    <w:snapToGrid w:val="0"/>
                    <w:spacing w:line="320" w:lineRule="exact"/>
                    <w:jc w:val="center"/>
                    <w:rPr>
                      <w:rFonts w:hint="eastAsia"/>
                      <w:color w:val="auto"/>
                      <w:kern w:val="24"/>
                      <w:szCs w:val="21"/>
                      <w:highlight w:val="none"/>
                      <w:lang w:val="en-US" w:eastAsia="zh-CN"/>
                    </w:rPr>
                  </w:pPr>
                  <w:r>
                    <w:rPr>
                      <w:rFonts w:hint="eastAsia"/>
                      <w:color w:val="auto"/>
                      <w:kern w:val="24"/>
                      <w:szCs w:val="21"/>
                      <w:highlight w:val="none"/>
                      <w:lang w:val="en-US" w:eastAsia="zh-CN"/>
                    </w:rPr>
                    <w:t>非甲烷总烃</w:t>
                  </w:r>
                </w:p>
              </w:tc>
              <w:tc>
                <w:tcPr>
                  <w:tcW w:w="731" w:type="pct"/>
                  <w:shd w:val="clear" w:color="auto" w:fill="auto"/>
                  <w:vAlign w:val="center"/>
                </w:tcPr>
                <w:p w14:paraId="6640183B">
                  <w:pPr>
                    <w:jc w:val="center"/>
                    <w:rPr>
                      <w:rFonts w:hint="default" w:ascii="Times New Roman" w:hAnsi="Times New Roman" w:eastAsia="宋体" w:cs="Times New Roman"/>
                      <w:color w:val="auto"/>
                      <w:kern w:val="24"/>
                      <w:sz w:val="21"/>
                      <w:szCs w:val="21"/>
                      <w:highlight w:val="none"/>
                      <w:lang w:val="en-US" w:eastAsia="zh-CN" w:bidi="ar-SA"/>
                    </w:rPr>
                  </w:pPr>
                  <w:r>
                    <w:rPr>
                      <w:rFonts w:hint="eastAsia" w:ascii="Times New Roman" w:hAnsi="Times New Roman" w:eastAsia="宋体" w:cs="Times New Roman"/>
                      <w:color w:val="auto"/>
                      <w:kern w:val="24"/>
                      <w:sz w:val="21"/>
                      <w:szCs w:val="21"/>
                      <w:highlight w:val="none"/>
                      <w:lang w:val="en-US" w:eastAsia="zh-CN" w:bidi="ar-SA"/>
                    </w:rPr>
                    <w:t>114</w:t>
                  </w:r>
                </w:p>
              </w:tc>
              <w:tc>
                <w:tcPr>
                  <w:tcW w:w="637" w:type="pct"/>
                  <w:vAlign w:val="center"/>
                </w:tcPr>
                <w:p w14:paraId="57E02646">
                  <w:pPr>
                    <w:adjustRightInd w:val="0"/>
                    <w:snapToGrid w:val="0"/>
                    <w:spacing w:line="320" w:lineRule="exact"/>
                    <w:jc w:val="center"/>
                    <w:rPr>
                      <w:rFonts w:hint="default"/>
                      <w:color w:val="auto"/>
                      <w:kern w:val="24"/>
                      <w:szCs w:val="21"/>
                      <w:highlight w:val="none"/>
                      <w:lang w:val="en-US" w:eastAsia="zh-CN"/>
                    </w:rPr>
                  </w:pPr>
                  <w:r>
                    <w:rPr>
                      <w:rFonts w:hint="eastAsia"/>
                      <w:color w:val="auto"/>
                      <w:kern w:val="24"/>
                      <w:szCs w:val="21"/>
                      <w:highlight w:val="none"/>
                      <w:lang w:val="en-US" w:eastAsia="zh-CN"/>
                    </w:rPr>
                    <w:t>0.57</w:t>
                  </w:r>
                </w:p>
              </w:tc>
              <w:tc>
                <w:tcPr>
                  <w:tcW w:w="569" w:type="pct"/>
                  <w:vAlign w:val="center"/>
                </w:tcPr>
                <w:p w14:paraId="1E987F81">
                  <w:pPr>
                    <w:adjustRightInd w:val="0"/>
                    <w:snapToGrid w:val="0"/>
                    <w:spacing w:line="320" w:lineRule="exact"/>
                    <w:jc w:val="center"/>
                    <w:rPr>
                      <w:rFonts w:hint="default"/>
                      <w:color w:val="auto"/>
                      <w:kern w:val="24"/>
                      <w:szCs w:val="21"/>
                      <w:highlight w:val="none"/>
                      <w:lang w:val="en-US" w:eastAsia="zh-CN"/>
                    </w:rPr>
                  </w:pPr>
                  <w:r>
                    <w:rPr>
                      <w:rFonts w:hint="eastAsia"/>
                      <w:color w:val="auto"/>
                      <w:kern w:val="24"/>
                      <w:szCs w:val="21"/>
                      <w:highlight w:val="none"/>
                      <w:lang w:val="en-US" w:eastAsia="zh-CN"/>
                    </w:rPr>
                    <w:t>0.5</w:t>
                  </w:r>
                </w:p>
              </w:tc>
              <w:tc>
                <w:tcPr>
                  <w:tcW w:w="457" w:type="pct"/>
                  <w:vAlign w:val="center"/>
                </w:tcPr>
                <w:p w14:paraId="3802941C">
                  <w:pPr>
                    <w:adjustRightInd w:val="0"/>
                    <w:snapToGrid w:val="0"/>
                    <w:spacing w:line="320" w:lineRule="exact"/>
                    <w:jc w:val="center"/>
                    <w:rPr>
                      <w:rFonts w:hint="default"/>
                      <w:color w:val="auto"/>
                      <w:kern w:val="24"/>
                      <w:szCs w:val="21"/>
                      <w:highlight w:val="none"/>
                      <w:lang w:val="en-US" w:eastAsia="zh-CN"/>
                    </w:rPr>
                  </w:pPr>
                  <w:r>
                    <w:rPr>
                      <w:rFonts w:hint="eastAsia"/>
                      <w:color w:val="auto"/>
                      <w:kern w:val="24"/>
                      <w:szCs w:val="21"/>
                      <w:highlight w:val="none"/>
                      <w:lang w:val="en-US" w:eastAsia="zh-CN"/>
                    </w:rPr>
                    <w:t>1</w:t>
                  </w:r>
                </w:p>
              </w:tc>
              <w:tc>
                <w:tcPr>
                  <w:tcW w:w="824" w:type="pct"/>
                  <w:vAlign w:val="center"/>
                </w:tcPr>
                <w:p w14:paraId="7017834C">
                  <w:pPr>
                    <w:adjustRightInd w:val="0"/>
                    <w:snapToGrid w:val="0"/>
                    <w:spacing w:line="320" w:lineRule="exact"/>
                    <w:jc w:val="center"/>
                    <w:rPr>
                      <w:rFonts w:hint="eastAsia"/>
                      <w:color w:val="auto"/>
                      <w:kern w:val="24"/>
                      <w:szCs w:val="21"/>
                      <w:highlight w:val="none"/>
                    </w:rPr>
                  </w:pPr>
                  <w:r>
                    <w:rPr>
                      <w:rFonts w:hint="eastAsia"/>
                      <w:color w:val="auto"/>
                      <w:kern w:val="24"/>
                      <w:szCs w:val="21"/>
                      <w:highlight w:val="none"/>
                    </w:rPr>
                    <w:t>定期对废气处理设施进行检修和更换</w:t>
                  </w:r>
                </w:p>
              </w:tc>
            </w:tr>
          </w:tbl>
          <w:p w14:paraId="06B34FFB">
            <w:pPr>
              <w:adjustRightInd w:val="0"/>
              <w:snapToGrid w:val="0"/>
              <w:spacing w:line="360" w:lineRule="auto"/>
              <w:ind w:firstLine="480" w:firstLineChars="200"/>
              <w:textAlignment w:val="baseline"/>
              <w:rPr>
                <w:rFonts w:hint="eastAsia"/>
                <w:color w:val="auto"/>
                <w:sz w:val="24"/>
                <w:highlight w:val="none"/>
              </w:rPr>
            </w:pPr>
            <w:r>
              <w:rPr>
                <w:rFonts w:hint="eastAsia"/>
                <w:color w:val="auto"/>
                <w:sz w:val="24"/>
                <w:highlight w:val="none"/>
                <w:lang w:val="en-US" w:eastAsia="zh-CN"/>
              </w:rPr>
              <w:t>由上表可知，</w:t>
            </w:r>
            <w:r>
              <w:rPr>
                <w:rFonts w:hint="eastAsia"/>
                <w:color w:val="auto"/>
                <w:sz w:val="24"/>
                <w:highlight w:val="none"/>
              </w:rPr>
              <w:t>废气处理设施故障出现事故非正常排放时，</w:t>
            </w:r>
            <w:r>
              <w:rPr>
                <w:rFonts w:hint="eastAsia"/>
                <w:color w:val="auto"/>
                <w:sz w:val="24"/>
                <w:highlight w:val="none"/>
                <w:lang w:val="en-US" w:eastAsia="zh-CN"/>
              </w:rPr>
              <w:t>废气排放口DA001、DA002均将</w:t>
            </w:r>
            <w:r>
              <w:rPr>
                <w:rFonts w:hint="eastAsia"/>
                <w:color w:val="auto"/>
                <w:sz w:val="24"/>
                <w:highlight w:val="none"/>
              </w:rPr>
              <w:t>出现</w:t>
            </w:r>
            <w:r>
              <w:rPr>
                <w:rFonts w:hint="eastAsia"/>
                <w:color w:val="auto"/>
                <w:sz w:val="24"/>
                <w:highlight w:val="none"/>
                <w:lang w:val="en-US" w:eastAsia="zh-CN"/>
              </w:rPr>
              <w:t>废气污染物非甲烷总烃</w:t>
            </w:r>
            <w:r>
              <w:rPr>
                <w:rFonts w:hint="eastAsia"/>
                <w:color w:val="auto"/>
                <w:sz w:val="24"/>
                <w:highlight w:val="none"/>
              </w:rPr>
              <w:t>超标排放</w:t>
            </w:r>
            <w:r>
              <w:rPr>
                <w:rFonts w:hint="eastAsia"/>
                <w:color w:val="auto"/>
                <w:sz w:val="24"/>
                <w:highlight w:val="none"/>
                <w:lang w:val="en-US" w:eastAsia="zh-CN"/>
              </w:rPr>
              <w:t>的情况</w:t>
            </w:r>
            <w:r>
              <w:rPr>
                <w:rFonts w:hint="eastAsia"/>
                <w:color w:val="auto"/>
                <w:sz w:val="24"/>
                <w:highlight w:val="none"/>
              </w:rPr>
              <w:t>，非正常排放量增加，可能会导致区域大气环境质量的下降。运营期为了尽可能减轻废气对周围环境的影响，避免非正常排放情况发生，需对废气治理设施配置一定量的易损备件及维护保养专用工具，并设专门技术人员进行管理及维修</w:t>
            </w:r>
            <w:r>
              <w:rPr>
                <w:rFonts w:hint="eastAsia"/>
                <w:color w:val="auto"/>
                <w:sz w:val="24"/>
                <w:highlight w:val="none"/>
                <w:lang w:eastAsia="zh-CN"/>
              </w:rPr>
              <w:t>，</w:t>
            </w:r>
            <w:r>
              <w:rPr>
                <w:rFonts w:hint="eastAsia"/>
                <w:color w:val="auto"/>
                <w:sz w:val="24"/>
                <w:highlight w:val="none"/>
                <w:lang w:val="en-US" w:eastAsia="zh-CN"/>
              </w:rPr>
              <w:t>及时、定期更换活性炭。</w:t>
            </w:r>
            <w:r>
              <w:rPr>
                <w:rFonts w:hint="eastAsia"/>
                <w:color w:val="auto"/>
                <w:sz w:val="24"/>
                <w:highlight w:val="none"/>
              </w:rPr>
              <w:t>当发生故障出现非正常排放时，应立即停止生产，及时排除和抢修，待废气处理系统恢复正常后，方可继续生产。</w:t>
            </w:r>
          </w:p>
          <w:p w14:paraId="5A44C166">
            <w:pPr>
              <w:adjustRightInd w:val="0"/>
              <w:snapToGrid w:val="0"/>
              <w:spacing w:line="360" w:lineRule="auto"/>
              <w:ind w:firstLine="482" w:firstLineChars="200"/>
              <w:jc w:val="left"/>
              <w:rPr>
                <w:rFonts w:hint="default"/>
                <w:b/>
                <w:bCs/>
                <w:color w:val="auto"/>
                <w:sz w:val="24"/>
                <w:highlight w:val="none"/>
                <w:lang w:val="en-US" w:eastAsia="zh-CN"/>
              </w:rPr>
            </w:pPr>
            <w:r>
              <w:rPr>
                <w:rFonts w:hint="eastAsia"/>
                <w:b/>
                <w:bCs/>
                <w:color w:val="auto"/>
                <w:sz w:val="24"/>
                <w:highlight w:val="none"/>
                <w:lang w:val="en-US" w:eastAsia="zh-CN"/>
              </w:rPr>
              <w:t>2、废气防治措施可行性分析</w:t>
            </w:r>
          </w:p>
          <w:p w14:paraId="0473D56C">
            <w:pPr>
              <w:adjustRightInd w:val="0"/>
              <w:snapToGrid w:val="0"/>
              <w:spacing w:line="360" w:lineRule="auto"/>
              <w:ind w:firstLine="480" w:firstLineChars="200"/>
              <w:textAlignment w:val="baseline"/>
              <w:rPr>
                <w:rFonts w:hint="eastAsia"/>
                <w:color w:val="auto"/>
                <w:sz w:val="24"/>
                <w:highlight w:val="none"/>
                <w:lang w:val="en-US" w:eastAsia="zh-CN"/>
              </w:rPr>
            </w:pPr>
            <w:r>
              <w:rPr>
                <w:rFonts w:hint="eastAsia"/>
                <w:color w:val="auto"/>
                <w:sz w:val="24"/>
                <w:highlight w:val="none"/>
              </w:rPr>
              <w:t>根据《排污许可证申请与核发技术规范 橡胶和塑料制品工业》（HJ</w:t>
            </w:r>
            <w:r>
              <w:rPr>
                <w:rFonts w:hint="eastAsia"/>
                <w:color w:val="auto"/>
                <w:sz w:val="24"/>
                <w:highlight w:val="none"/>
                <w:lang w:val="en-US" w:eastAsia="zh-CN"/>
              </w:rPr>
              <w:t xml:space="preserve"> </w:t>
            </w:r>
            <w:r>
              <w:rPr>
                <w:rFonts w:hint="eastAsia"/>
                <w:color w:val="auto"/>
                <w:sz w:val="24"/>
                <w:highlight w:val="none"/>
              </w:rPr>
              <w:t>1122-2020）</w:t>
            </w:r>
            <w:r>
              <w:rPr>
                <w:rFonts w:hint="eastAsia"/>
                <w:color w:val="auto"/>
                <w:sz w:val="24"/>
                <w:highlight w:val="none"/>
                <w:lang w:val="en-US" w:eastAsia="zh-CN"/>
              </w:rPr>
              <w:t>附录A表A.2塑料制品工业排污单位废气污染防治可行技术参考表，“喷淋；吸附；吸附浓缩+热力燃烧/催化燃烧”属于挥发性有机物处理可行技术。因此，本项目塑料废气（DA001）“活性炭吸附浓缩+催化氧化（CO）”废气防治措施属于污染防治可行技术。</w:t>
            </w:r>
          </w:p>
          <w:p w14:paraId="509B3575">
            <w:pPr>
              <w:adjustRightInd w:val="0"/>
              <w:snapToGrid w:val="0"/>
              <w:spacing w:line="360" w:lineRule="auto"/>
              <w:ind w:firstLine="480" w:firstLineChars="200"/>
              <w:textAlignment w:val="baseline"/>
              <w:rPr>
                <w:rFonts w:hint="eastAsia"/>
                <w:color w:val="auto"/>
                <w:sz w:val="24"/>
                <w:highlight w:val="none"/>
                <w:lang w:val="en-US" w:eastAsia="zh-CN"/>
              </w:rPr>
            </w:pPr>
            <w:r>
              <w:rPr>
                <w:rFonts w:hint="eastAsia"/>
                <w:color w:val="auto"/>
                <w:sz w:val="24"/>
                <w:highlight w:val="none"/>
                <w:lang w:val="en-US" w:eastAsia="zh-CN"/>
              </w:rPr>
              <w:t>根据《排污许可证申请与核发技术规范 印刷工业》（HJ 1066-2019）附录A.1废气治理可行技术参考表，活性炭吸附属于挥发性有机物处理可行技术。因此，本项目印刷废气（DA002）“二级活性炭吸附”废气防治措施属于污染防治可行技术。</w:t>
            </w:r>
          </w:p>
          <w:p w14:paraId="138F2362">
            <w:pPr>
              <w:adjustRightInd w:val="0"/>
              <w:snapToGrid w:val="0"/>
              <w:spacing w:line="360" w:lineRule="auto"/>
              <w:ind w:firstLine="482" w:firstLineChars="200"/>
              <w:jc w:val="center"/>
              <w:rPr>
                <w:b/>
                <w:bCs/>
                <w:color w:val="auto"/>
                <w:kern w:val="24"/>
                <w:sz w:val="24"/>
                <w:highlight w:val="none"/>
              </w:rPr>
            </w:pPr>
            <w:r>
              <w:rPr>
                <w:rFonts w:hint="eastAsia"/>
                <w:b/>
                <w:bCs/>
                <w:color w:val="auto"/>
                <w:kern w:val="24"/>
                <w:sz w:val="24"/>
                <w:highlight w:val="none"/>
              </w:rPr>
              <w:t>表4-</w:t>
            </w:r>
            <w:r>
              <w:rPr>
                <w:rFonts w:hint="eastAsia"/>
                <w:b/>
                <w:bCs/>
                <w:color w:val="auto"/>
                <w:kern w:val="24"/>
                <w:sz w:val="24"/>
                <w:highlight w:val="none"/>
                <w:lang w:val="en-US" w:eastAsia="zh-CN"/>
              </w:rPr>
              <w:t>9</w:t>
            </w:r>
            <w:r>
              <w:rPr>
                <w:rFonts w:hint="eastAsia"/>
                <w:b/>
                <w:bCs/>
                <w:color w:val="auto"/>
                <w:kern w:val="24"/>
                <w:sz w:val="24"/>
                <w:highlight w:val="none"/>
              </w:rPr>
              <w:t xml:space="preserve">  废气污染防治推荐可行技术</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3"/>
              <w:gridCol w:w="1312"/>
              <w:gridCol w:w="2600"/>
              <w:gridCol w:w="1200"/>
              <w:gridCol w:w="698"/>
            </w:tblGrid>
            <w:tr w14:paraId="7F8C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4" w:type="pct"/>
                  <w:vMerge w:val="restart"/>
                  <w:vAlign w:val="center"/>
                </w:tcPr>
                <w:p w14:paraId="71BB39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产污环节</w:t>
                  </w:r>
                </w:p>
              </w:tc>
              <w:tc>
                <w:tcPr>
                  <w:tcW w:w="793" w:type="pct"/>
                  <w:vMerge w:val="restart"/>
                  <w:vAlign w:val="center"/>
                </w:tcPr>
                <w:p w14:paraId="7C766F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污染物种类</w:t>
                  </w:r>
                </w:p>
              </w:tc>
              <w:tc>
                <w:tcPr>
                  <w:tcW w:w="1573" w:type="pct"/>
                  <w:vAlign w:val="center"/>
                </w:tcPr>
                <w:p w14:paraId="7070E2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《排污许可证申请与核发技术规范 橡胶和塑料制品工业》（HJ1122-2020）</w:t>
                  </w:r>
                </w:p>
              </w:tc>
              <w:tc>
                <w:tcPr>
                  <w:tcW w:w="726" w:type="pct"/>
                  <w:vMerge w:val="restart"/>
                  <w:vAlign w:val="center"/>
                </w:tcPr>
                <w:p w14:paraId="473727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本项目</w:t>
                  </w:r>
                </w:p>
              </w:tc>
              <w:tc>
                <w:tcPr>
                  <w:tcW w:w="422" w:type="pct"/>
                  <w:vMerge w:val="restart"/>
                  <w:vAlign w:val="center"/>
                </w:tcPr>
                <w:p w14:paraId="40554D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是否可行</w:t>
                  </w:r>
                </w:p>
              </w:tc>
            </w:tr>
            <w:tr w14:paraId="6FB5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4" w:type="pct"/>
                  <w:vMerge w:val="continue"/>
                  <w:vAlign w:val="center"/>
                </w:tcPr>
                <w:p w14:paraId="54381C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p>
              </w:tc>
              <w:tc>
                <w:tcPr>
                  <w:tcW w:w="793" w:type="pct"/>
                  <w:vMerge w:val="continue"/>
                  <w:vAlign w:val="center"/>
                </w:tcPr>
                <w:p w14:paraId="7CE0E3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p>
              </w:tc>
              <w:tc>
                <w:tcPr>
                  <w:tcW w:w="1573" w:type="pct"/>
                  <w:vAlign w:val="center"/>
                </w:tcPr>
                <w:p w14:paraId="066532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可行技术</w:t>
                  </w:r>
                </w:p>
              </w:tc>
              <w:tc>
                <w:tcPr>
                  <w:tcW w:w="726" w:type="pct"/>
                  <w:vMerge w:val="continue"/>
                  <w:vAlign w:val="center"/>
                </w:tcPr>
                <w:p w14:paraId="0E1719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p>
              </w:tc>
              <w:tc>
                <w:tcPr>
                  <w:tcW w:w="422" w:type="pct"/>
                  <w:vMerge w:val="continue"/>
                  <w:vAlign w:val="center"/>
                </w:tcPr>
                <w:p w14:paraId="45597C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p>
              </w:tc>
            </w:tr>
            <w:tr w14:paraId="1AFC2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4" w:type="pct"/>
                  <w:vAlign w:val="center"/>
                </w:tcPr>
                <w:p w14:paraId="3AB231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塑料薄膜制造，塑料板、管、型材制造，塑料丝、绳及编制品制造，泡沫塑料制造，塑料包装箱及容器制造，日用塑料制品制造，人造草坪制造，塑料零件及其他塑料制品制造废气</w:t>
                  </w:r>
                </w:p>
              </w:tc>
              <w:tc>
                <w:tcPr>
                  <w:tcW w:w="793" w:type="pct"/>
                  <w:vAlign w:val="center"/>
                </w:tcPr>
                <w:p w14:paraId="167E80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非甲烷总烃</w:t>
                  </w:r>
                </w:p>
              </w:tc>
              <w:tc>
                <w:tcPr>
                  <w:tcW w:w="1573" w:type="pct"/>
                  <w:vAlign w:val="center"/>
                </w:tcPr>
                <w:p w14:paraId="2762C6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喷淋；吸附；吸附浓缩+热力燃烧/催化燃烧</w:t>
                  </w:r>
                </w:p>
              </w:tc>
              <w:tc>
                <w:tcPr>
                  <w:tcW w:w="726" w:type="pct"/>
                  <w:vAlign w:val="center"/>
                </w:tcPr>
                <w:p w14:paraId="23EA0F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活性炭吸附浓缩+催化氧化（CO）</w:t>
                  </w:r>
                </w:p>
              </w:tc>
              <w:tc>
                <w:tcPr>
                  <w:tcW w:w="422" w:type="pct"/>
                  <w:vAlign w:val="center"/>
                </w:tcPr>
                <w:p w14:paraId="4B24FA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可行</w:t>
                  </w:r>
                </w:p>
              </w:tc>
            </w:tr>
            <w:tr w14:paraId="4984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4" w:type="pct"/>
                  <w:vMerge w:val="restart"/>
                  <w:shd w:val="clear" w:color="auto" w:fill="auto"/>
                  <w:vAlign w:val="center"/>
                </w:tcPr>
                <w:p w14:paraId="16A2A6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ascii="Times New Roman" w:hAnsi="Times New Roman" w:eastAsia="宋体" w:cs="Times New Roman"/>
                      <w:b/>
                      <w:bCs/>
                      <w:color w:val="auto"/>
                      <w:sz w:val="21"/>
                      <w:szCs w:val="21"/>
                      <w:highlight w:val="none"/>
                      <w:vertAlign w:val="baseline"/>
                      <w:lang w:val="en-US" w:eastAsia="zh-CN"/>
                    </w:rPr>
                    <w:t>产污环节</w:t>
                  </w:r>
                </w:p>
              </w:tc>
              <w:tc>
                <w:tcPr>
                  <w:tcW w:w="793" w:type="pct"/>
                  <w:vMerge w:val="restart"/>
                  <w:shd w:val="clear" w:color="auto" w:fill="auto"/>
                  <w:vAlign w:val="center"/>
                </w:tcPr>
                <w:p w14:paraId="207231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ascii="Times New Roman" w:hAnsi="Times New Roman" w:eastAsia="宋体" w:cs="Times New Roman"/>
                      <w:b/>
                      <w:bCs/>
                      <w:color w:val="auto"/>
                      <w:sz w:val="21"/>
                      <w:szCs w:val="21"/>
                      <w:highlight w:val="none"/>
                      <w:vertAlign w:val="baseline"/>
                      <w:lang w:val="en-US" w:eastAsia="zh-CN"/>
                    </w:rPr>
                    <w:t>污染物种类</w:t>
                  </w:r>
                </w:p>
              </w:tc>
              <w:tc>
                <w:tcPr>
                  <w:tcW w:w="1573" w:type="pct"/>
                  <w:shd w:val="clear" w:color="auto" w:fill="auto"/>
                  <w:vAlign w:val="center"/>
                </w:tcPr>
                <w:p w14:paraId="20B72F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eastAsia="宋体" w:cs="Times New Roman"/>
                      <w:b/>
                      <w:bCs/>
                      <w:color w:val="auto"/>
                      <w:kern w:val="2"/>
                      <w:sz w:val="21"/>
                      <w:szCs w:val="21"/>
                      <w:highlight w:val="none"/>
                      <w:vertAlign w:val="baseline"/>
                      <w:lang w:val="en-US" w:eastAsia="zh-CN" w:bidi="ar-SA"/>
                    </w:rPr>
                    <w:t>《排污许可证申请与核发技术规范 印刷工业》（HJ 1066-2019）</w:t>
                  </w:r>
                </w:p>
              </w:tc>
              <w:tc>
                <w:tcPr>
                  <w:tcW w:w="726" w:type="pct"/>
                  <w:vMerge w:val="restart"/>
                  <w:shd w:val="clear" w:color="auto" w:fill="auto"/>
                  <w:vAlign w:val="center"/>
                </w:tcPr>
                <w:p w14:paraId="7CC78C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ascii="Times New Roman" w:hAnsi="Times New Roman" w:eastAsia="宋体" w:cs="Times New Roman"/>
                      <w:b/>
                      <w:bCs/>
                      <w:color w:val="auto"/>
                      <w:sz w:val="21"/>
                      <w:szCs w:val="21"/>
                      <w:highlight w:val="none"/>
                      <w:vertAlign w:val="baseline"/>
                      <w:lang w:val="en-US" w:eastAsia="zh-CN"/>
                    </w:rPr>
                    <w:t>本项目</w:t>
                  </w:r>
                </w:p>
              </w:tc>
              <w:tc>
                <w:tcPr>
                  <w:tcW w:w="422" w:type="pct"/>
                  <w:vMerge w:val="restart"/>
                  <w:shd w:val="clear" w:color="auto" w:fill="auto"/>
                  <w:vAlign w:val="center"/>
                </w:tcPr>
                <w:p w14:paraId="237462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eastAsia" w:ascii="Times New Roman" w:hAnsi="Times New Roman" w:eastAsia="宋体" w:cs="Times New Roman"/>
                      <w:b/>
                      <w:bCs/>
                      <w:color w:val="auto"/>
                      <w:kern w:val="2"/>
                      <w:sz w:val="21"/>
                      <w:szCs w:val="21"/>
                      <w:highlight w:val="none"/>
                      <w:vertAlign w:val="baseline"/>
                      <w:lang w:val="en-US" w:eastAsia="zh-CN" w:bidi="ar-SA"/>
                    </w:rPr>
                  </w:pPr>
                  <w:r>
                    <w:rPr>
                      <w:rFonts w:hint="eastAsia" w:ascii="Times New Roman" w:hAnsi="Times New Roman" w:eastAsia="宋体" w:cs="Times New Roman"/>
                      <w:b/>
                      <w:bCs/>
                      <w:color w:val="auto"/>
                      <w:sz w:val="21"/>
                      <w:szCs w:val="21"/>
                      <w:highlight w:val="none"/>
                      <w:vertAlign w:val="baseline"/>
                      <w:lang w:val="en-US" w:eastAsia="zh-CN"/>
                    </w:rPr>
                    <w:t>是否可行</w:t>
                  </w:r>
                </w:p>
              </w:tc>
            </w:tr>
            <w:tr w14:paraId="799BD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4" w:type="pct"/>
                  <w:vMerge w:val="continue"/>
                  <w:vAlign w:val="center"/>
                </w:tcPr>
                <w:p w14:paraId="39248B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p>
              </w:tc>
              <w:tc>
                <w:tcPr>
                  <w:tcW w:w="793" w:type="pct"/>
                  <w:vMerge w:val="continue"/>
                  <w:vAlign w:val="center"/>
                </w:tcPr>
                <w:p w14:paraId="668D18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p>
              </w:tc>
              <w:tc>
                <w:tcPr>
                  <w:tcW w:w="1573" w:type="pct"/>
                  <w:vAlign w:val="center"/>
                </w:tcPr>
                <w:p w14:paraId="393181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可行技术</w:t>
                  </w:r>
                </w:p>
              </w:tc>
              <w:tc>
                <w:tcPr>
                  <w:tcW w:w="726" w:type="pct"/>
                  <w:vMerge w:val="continue"/>
                  <w:vAlign w:val="center"/>
                </w:tcPr>
                <w:p w14:paraId="17F761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p>
              </w:tc>
              <w:tc>
                <w:tcPr>
                  <w:tcW w:w="422" w:type="pct"/>
                  <w:vMerge w:val="continue"/>
                  <w:vAlign w:val="center"/>
                </w:tcPr>
                <w:p w14:paraId="168871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eastAsia" w:ascii="Times New Roman" w:hAnsi="Times New Roman" w:eastAsia="宋体" w:cs="Times New Roman"/>
                      <w:color w:val="auto"/>
                      <w:sz w:val="21"/>
                      <w:szCs w:val="21"/>
                      <w:highlight w:val="none"/>
                      <w:vertAlign w:val="baseline"/>
                      <w:lang w:val="en-US" w:eastAsia="zh-CN"/>
                    </w:rPr>
                  </w:pPr>
                </w:p>
              </w:tc>
            </w:tr>
            <w:tr w14:paraId="3BD6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4" w:type="pct"/>
                  <w:vAlign w:val="center"/>
                </w:tcPr>
                <w:p w14:paraId="7161DE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印刷</w:t>
                  </w:r>
                </w:p>
              </w:tc>
              <w:tc>
                <w:tcPr>
                  <w:tcW w:w="793" w:type="pct"/>
                  <w:vAlign w:val="center"/>
                </w:tcPr>
                <w:p w14:paraId="4FB819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挥发性有机物、特征污染物</w:t>
                  </w:r>
                </w:p>
              </w:tc>
              <w:tc>
                <w:tcPr>
                  <w:tcW w:w="1573" w:type="pct"/>
                  <w:vAlign w:val="center"/>
                </w:tcPr>
                <w:p w14:paraId="1A8172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集气设施或密闭车间、活性炭吸附（现场再生）、浓缩+热力（催化）氧化技术、直接热力（催化）氧化技术、其他</w:t>
                  </w:r>
                </w:p>
              </w:tc>
              <w:tc>
                <w:tcPr>
                  <w:tcW w:w="726" w:type="pct"/>
                  <w:vAlign w:val="center"/>
                </w:tcPr>
                <w:p w14:paraId="1FFB41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二级活性炭吸附</w:t>
                  </w:r>
                </w:p>
              </w:tc>
              <w:tc>
                <w:tcPr>
                  <w:tcW w:w="422" w:type="pct"/>
                  <w:vAlign w:val="center"/>
                </w:tcPr>
                <w:p w14:paraId="52B193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可行</w:t>
                  </w:r>
                </w:p>
              </w:tc>
            </w:tr>
          </w:tbl>
          <w:p w14:paraId="4CAF82C0">
            <w:pPr>
              <w:adjustRightInd w:val="0"/>
              <w:snapToGrid w:val="0"/>
              <w:spacing w:line="360" w:lineRule="auto"/>
              <w:ind w:firstLine="482" w:firstLineChars="200"/>
              <w:textAlignment w:val="baseline"/>
              <w:rPr>
                <w:b/>
                <w:bCs/>
                <w:color w:val="auto"/>
                <w:sz w:val="24"/>
                <w:highlight w:val="none"/>
              </w:rPr>
            </w:pPr>
            <w:r>
              <w:rPr>
                <w:rFonts w:hint="eastAsia"/>
                <w:b/>
                <w:bCs/>
                <w:color w:val="auto"/>
                <w:sz w:val="24"/>
                <w:highlight w:val="none"/>
                <w:lang w:val="en-US" w:eastAsia="zh-CN"/>
              </w:rPr>
              <w:t>3、</w:t>
            </w:r>
            <w:r>
              <w:rPr>
                <w:rFonts w:hint="eastAsia"/>
                <w:b/>
                <w:bCs/>
                <w:color w:val="auto"/>
                <w:sz w:val="24"/>
                <w:highlight w:val="none"/>
              </w:rPr>
              <w:t>排气筒高度合理性分析</w:t>
            </w:r>
          </w:p>
          <w:p w14:paraId="6F345EC4">
            <w:pPr>
              <w:adjustRightInd w:val="0"/>
              <w:snapToGrid w:val="0"/>
              <w:spacing w:line="360" w:lineRule="auto"/>
              <w:ind w:firstLine="480" w:firstLineChars="200"/>
              <w:textAlignment w:val="baseline"/>
              <w:rPr>
                <w:rFonts w:hint="default" w:eastAsia="宋体"/>
                <w:color w:val="auto"/>
                <w:sz w:val="24"/>
                <w:highlight w:val="none"/>
                <w:lang w:val="en-US" w:eastAsia="zh-CN"/>
              </w:rPr>
            </w:pPr>
            <w:r>
              <w:rPr>
                <w:rFonts w:hint="eastAsia"/>
                <w:color w:val="auto"/>
                <w:sz w:val="24"/>
                <w:highlight w:val="none"/>
              </w:rPr>
              <w:t>根据《合成树脂工业污染物排放标准》（GB 31572-2015及2024年修改单）中“5.4.2 废气收集系统与处理装置应符合相关安全技术要求。排气筒高度不低于15m（因安全考虑或有特殊工艺要求的，以及装置区污水池处理设施除外），具体高度以及与周围建筑物的相对高度关系应根据环境影响评价文件确定”</w:t>
            </w:r>
            <w:r>
              <w:rPr>
                <w:rFonts w:hint="eastAsia"/>
                <w:color w:val="auto"/>
                <w:sz w:val="24"/>
                <w:highlight w:val="none"/>
                <w:lang w:val="en-US" w:eastAsia="zh-CN"/>
              </w:rPr>
              <w:t>和《印刷工业大气污染物排放标准》（GB 41616-2022）中“4.5 排气筒高度不低于15m（因安全考虑或有特殊工艺要求的除外），具体高度以及与周围建筑物的相对高度关系应根据环境影响评价文件确定”。</w:t>
            </w:r>
          </w:p>
          <w:p w14:paraId="3E05901E">
            <w:pPr>
              <w:adjustRightInd w:val="0"/>
              <w:snapToGrid w:val="0"/>
              <w:spacing w:line="360" w:lineRule="auto"/>
              <w:ind w:firstLine="480" w:firstLineChars="200"/>
              <w:textAlignment w:val="baseline"/>
              <w:rPr>
                <w:rFonts w:hint="eastAsia"/>
                <w:color w:val="auto"/>
                <w:sz w:val="24"/>
                <w:highlight w:val="none"/>
              </w:rPr>
            </w:pPr>
            <w:r>
              <w:rPr>
                <w:rFonts w:hint="eastAsia"/>
                <w:color w:val="auto"/>
                <w:sz w:val="24"/>
                <w:highlight w:val="none"/>
              </w:rPr>
              <w:t>根据现场调查情况，项目排气筒周围200m内最高建筑物为15m的云南三缘电缆有限公司办公楼，本项目排放口高度设置为20m，符合标准要求。</w:t>
            </w:r>
          </w:p>
          <w:p w14:paraId="4EC8411F">
            <w:pPr>
              <w:adjustRightInd w:val="0"/>
              <w:snapToGrid w:val="0"/>
              <w:spacing w:line="360" w:lineRule="auto"/>
              <w:ind w:firstLine="482" w:firstLineChars="200"/>
              <w:rPr>
                <w:b/>
                <w:bCs/>
                <w:color w:val="auto"/>
                <w:sz w:val="24"/>
                <w:highlight w:val="none"/>
              </w:rPr>
            </w:pPr>
            <w:r>
              <w:rPr>
                <w:rFonts w:hint="eastAsia"/>
                <w:b/>
                <w:bCs/>
                <w:color w:val="auto"/>
                <w:sz w:val="24"/>
                <w:highlight w:val="none"/>
                <w:lang w:val="en-US" w:eastAsia="zh-CN"/>
              </w:rPr>
              <w:t>4</w:t>
            </w:r>
            <w:r>
              <w:rPr>
                <w:rFonts w:hint="eastAsia"/>
                <w:b/>
                <w:bCs/>
                <w:color w:val="auto"/>
                <w:sz w:val="24"/>
                <w:highlight w:val="none"/>
              </w:rPr>
              <w:t>、大气环境影响分析</w:t>
            </w:r>
          </w:p>
          <w:p w14:paraId="19A47C9F">
            <w:pPr>
              <w:adjustRightInd w:val="0"/>
              <w:snapToGrid w:val="0"/>
              <w:spacing w:line="360" w:lineRule="auto"/>
              <w:ind w:firstLine="480" w:firstLineChars="200"/>
              <w:textAlignment w:val="baseline"/>
              <w:rPr>
                <w:rFonts w:hint="eastAsia"/>
                <w:color w:val="auto"/>
                <w:sz w:val="24"/>
                <w:highlight w:val="none"/>
              </w:rPr>
            </w:pPr>
            <w:r>
              <w:rPr>
                <w:rFonts w:hint="eastAsia"/>
                <w:color w:val="auto"/>
                <w:sz w:val="24"/>
                <w:highlight w:val="none"/>
              </w:rPr>
              <w:t>项目所在区域环境空气质量现状为达标区，符合城市环境空气质量功能二类区</w:t>
            </w:r>
            <w:r>
              <w:rPr>
                <w:rFonts w:hint="eastAsia"/>
                <w:color w:val="auto"/>
                <w:sz w:val="24"/>
                <w:highlight w:val="none"/>
                <w:lang w:val="en-US" w:eastAsia="zh-CN"/>
              </w:rPr>
              <w:t>功能</w:t>
            </w:r>
            <w:r>
              <w:rPr>
                <w:rFonts w:hint="eastAsia"/>
                <w:color w:val="auto"/>
                <w:sz w:val="24"/>
                <w:highlight w:val="none"/>
              </w:rPr>
              <w:t>要求，空气质量状况良好。项目厂界外500m范围内无大气环境保护目标。</w:t>
            </w:r>
          </w:p>
          <w:p w14:paraId="7B39E740">
            <w:pPr>
              <w:adjustRightInd w:val="0"/>
              <w:snapToGrid w:val="0"/>
              <w:spacing w:line="360" w:lineRule="auto"/>
              <w:ind w:firstLine="480" w:firstLineChars="200"/>
              <w:textAlignment w:val="baseline"/>
              <w:rPr>
                <w:rFonts w:hint="eastAsia"/>
                <w:color w:val="auto"/>
                <w:sz w:val="24"/>
                <w:highlight w:val="none"/>
              </w:rPr>
            </w:pPr>
            <w:r>
              <w:rPr>
                <w:rFonts w:hint="eastAsia"/>
                <w:color w:val="auto"/>
                <w:sz w:val="24"/>
                <w:highlight w:val="none"/>
              </w:rPr>
              <w:t>项目运营期的废气主要为G1模具</w:t>
            </w:r>
            <w:r>
              <w:rPr>
                <w:rFonts w:hint="eastAsia"/>
                <w:color w:val="auto"/>
                <w:sz w:val="24"/>
                <w:highlight w:val="none"/>
                <w:lang w:val="en-US" w:eastAsia="zh-CN"/>
              </w:rPr>
              <w:t>成型</w:t>
            </w:r>
            <w:r>
              <w:rPr>
                <w:rFonts w:hint="eastAsia"/>
                <w:color w:val="auto"/>
                <w:sz w:val="24"/>
                <w:highlight w:val="none"/>
              </w:rPr>
              <w:t>废气、G2</w:t>
            </w:r>
            <w:r>
              <w:rPr>
                <w:rFonts w:hint="eastAsia"/>
                <w:color w:val="auto"/>
                <w:sz w:val="24"/>
                <w:highlight w:val="none"/>
                <w:lang w:val="en-US" w:eastAsia="zh-CN"/>
              </w:rPr>
              <w:t>印刷</w:t>
            </w:r>
            <w:r>
              <w:rPr>
                <w:rFonts w:hint="eastAsia"/>
                <w:color w:val="auto"/>
                <w:sz w:val="24"/>
                <w:highlight w:val="none"/>
              </w:rPr>
              <w:t>废气、G</w:t>
            </w:r>
            <w:r>
              <w:rPr>
                <w:rFonts w:hint="eastAsia"/>
                <w:color w:val="auto"/>
                <w:sz w:val="24"/>
                <w:highlight w:val="none"/>
                <w:lang w:val="en-US" w:eastAsia="zh-CN"/>
              </w:rPr>
              <w:t>3</w:t>
            </w:r>
            <w:r>
              <w:rPr>
                <w:rFonts w:hint="eastAsia"/>
                <w:color w:val="auto"/>
                <w:sz w:val="24"/>
                <w:highlight w:val="none"/>
              </w:rPr>
              <w:t>焊接废气</w:t>
            </w:r>
            <w:r>
              <w:rPr>
                <w:rFonts w:hint="eastAsia"/>
                <w:color w:val="auto"/>
                <w:sz w:val="24"/>
                <w:highlight w:val="none"/>
                <w:lang w:eastAsia="zh-CN"/>
              </w:rPr>
              <w:t>、</w:t>
            </w:r>
            <w:r>
              <w:rPr>
                <w:rFonts w:hint="eastAsia"/>
                <w:color w:val="auto"/>
                <w:sz w:val="24"/>
                <w:highlight w:val="none"/>
                <w:lang w:val="en-US" w:eastAsia="zh-CN"/>
              </w:rPr>
              <w:t>少量</w:t>
            </w:r>
            <w:r>
              <w:rPr>
                <w:rFonts w:hint="eastAsia"/>
                <w:color w:val="auto"/>
                <w:sz w:val="24"/>
                <w:highlight w:val="none"/>
              </w:rPr>
              <w:t>破碎粉尘。</w:t>
            </w:r>
          </w:p>
          <w:p w14:paraId="575BCF96">
            <w:pPr>
              <w:adjustRightInd w:val="0"/>
              <w:snapToGrid w:val="0"/>
              <w:spacing w:line="360" w:lineRule="auto"/>
              <w:ind w:firstLine="480" w:firstLineChars="200"/>
              <w:textAlignment w:val="baseline"/>
              <w:rPr>
                <w:rFonts w:hint="eastAsia"/>
                <w:color w:val="auto"/>
                <w:sz w:val="24"/>
                <w:highlight w:val="none"/>
              </w:rPr>
            </w:pPr>
            <w:r>
              <w:rPr>
                <w:rFonts w:hint="eastAsia"/>
                <w:color w:val="auto"/>
                <w:sz w:val="24"/>
                <w:highlight w:val="none"/>
              </w:rPr>
              <w:t>项目产生的G1模具废气、G</w:t>
            </w:r>
            <w:r>
              <w:rPr>
                <w:rFonts w:hint="eastAsia"/>
                <w:color w:val="auto"/>
                <w:sz w:val="24"/>
                <w:highlight w:val="none"/>
                <w:lang w:val="en-US" w:eastAsia="zh-CN"/>
              </w:rPr>
              <w:t>3</w:t>
            </w:r>
            <w:r>
              <w:rPr>
                <w:rFonts w:hint="eastAsia"/>
                <w:color w:val="auto"/>
                <w:sz w:val="24"/>
                <w:highlight w:val="none"/>
              </w:rPr>
              <w:t>焊接废气分别</w:t>
            </w:r>
            <w:r>
              <w:rPr>
                <w:rFonts w:hint="eastAsia"/>
                <w:color w:val="auto"/>
                <w:sz w:val="24"/>
                <w:highlight w:val="none"/>
                <w:lang w:val="en-US" w:eastAsia="zh-CN"/>
              </w:rPr>
              <w:t>经包围型集气罩（含软帘）</w:t>
            </w:r>
            <w:r>
              <w:rPr>
                <w:rFonts w:hint="eastAsia"/>
                <w:color w:val="auto"/>
                <w:sz w:val="24"/>
                <w:highlight w:val="none"/>
              </w:rPr>
              <w:t>收集后，经</w:t>
            </w:r>
            <w:r>
              <w:rPr>
                <w:rFonts w:hint="eastAsia"/>
                <w:color w:val="auto"/>
                <w:sz w:val="24"/>
                <w:highlight w:val="none"/>
                <w:lang w:val="en-US" w:eastAsia="zh-CN"/>
              </w:rPr>
              <w:t>引风</w:t>
            </w:r>
            <w:r>
              <w:rPr>
                <w:rFonts w:hint="eastAsia"/>
                <w:color w:val="auto"/>
                <w:sz w:val="24"/>
                <w:highlight w:val="none"/>
              </w:rPr>
              <w:t>管道引入1套废气处理设施</w:t>
            </w:r>
            <w:r>
              <w:rPr>
                <w:rFonts w:hint="eastAsia"/>
                <w:color w:val="auto"/>
                <w:sz w:val="24"/>
                <w:highlight w:val="none"/>
                <w:lang w:eastAsia="zh-CN"/>
              </w:rPr>
              <w:t>“</w:t>
            </w:r>
            <w:r>
              <w:rPr>
                <w:rFonts w:hint="eastAsia"/>
                <w:color w:val="auto"/>
                <w:sz w:val="24"/>
                <w:highlight w:val="none"/>
              </w:rPr>
              <w:t>活性炭吸附浓缩+催化氧化（CO）（TA001）</w:t>
            </w:r>
            <w:r>
              <w:rPr>
                <w:rFonts w:hint="eastAsia"/>
                <w:color w:val="auto"/>
                <w:sz w:val="24"/>
                <w:highlight w:val="none"/>
                <w:lang w:eastAsia="zh-CN"/>
              </w:rPr>
              <w:t>”</w:t>
            </w:r>
            <w:r>
              <w:rPr>
                <w:rFonts w:hint="eastAsia"/>
                <w:color w:val="auto"/>
                <w:sz w:val="24"/>
                <w:highlight w:val="none"/>
              </w:rPr>
              <w:t>进行处理，处理后通过1根</w:t>
            </w:r>
            <w:r>
              <w:rPr>
                <w:rFonts w:hint="eastAsia"/>
                <w:color w:val="auto"/>
                <w:sz w:val="24"/>
                <w:highlight w:val="none"/>
                <w:lang w:val="en-US" w:eastAsia="zh-CN"/>
              </w:rPr>
              <w:t>20</w:t>
            </w:r>
            <w:r>
              <w:rPr>
                <w:rFonts w:hint="eastAsia"/>
                <w:color w:val="auto"/>
                <w:sz w:val="24"/>
                <w:highlight w:val="none"/>
              </w:rPr>
              <w:t>m高排气筒排放（DA001）。</w:t>
            </w:r>
          </w:p>
          <w:p w14:paraId="1E769DC3">
            <w:pPr>
              <w:adjustRightInd w:val="0"/>
              <w:snapToGrid w:val="0"/>
              <w:spacing w:line="360" w:lineRule="auto"/>
              <w:ind w:firstLine="480" w:firstLineChars="200"/>
              <w:textAlignment w:val="baseline"/>
              <w:rPr>
                <w:rFonts w:hint="eastAsia"/>
                <w:color w:val="auto"/>
                <w:sz w:val="24"/>
                <w:highlight w:val="none"/>
              </w:rPr>
            </w:pPr>
            <w:r>
              <w:rPr>
                <w:rFonts w:hint="eastAsia"/>
                <w:color w:val="auto"/>
                <w:sz w:val="24"/>
                <w:highlight w:val="none"/>
              </w:rPr>
              <w:t>项目产生的G</w:t>
            </w:r>
            <w:r>
              <w:rPr>
                <w:rFonts w:hint="eastAsia"/>
                <w:color w:val="auto"/>
                <w:sz w:val="24"/>
                <w:highlight w:val="none"/>
                <w:lang w:val="en-US" w:eastAsia="zh-CN"/>
              </w:rPr>
              <w:t>2印刷</w:t>
            </w:r>
            <w:r>
              <w:rPr>
                <w:rFonts w:hint="eastAsia"/>
                <w:color w:val="auto"/>
                <w:sz w:val="24"/>
                <w:highlight w:val="none"/>
              </w:rPr>
              <w:t>废气</w:t>
            </w:r>
            <w:r>
              <w:rPr>
                <w:rFonts w:hint="eastAsia"/>
                <w:color w:val="auto"/>
                <w:sz w:val="24"/>
                <w:highlight w:val="none"/>
                <w:lang w:val="en-US" w:eastAsia="zh-CN"/>
              </w:rPr>
              <w:t>经包围型集气罩（含软帘）</w:t>
            </w:r>
            <w:r>
              <w:rPr>
                <w:rFonts w:hint="eastAsia"/>
                <w:color w:val="auto"/>
                <w:sz w:val="24"/>
                <w:highlight w:val="none"/>
              </w:rPr>
              <w:t>收集后，经</w:t>
            </w:r>
            <w:r>
              <w:rPr>
                <w:rFonts w:hint="eastAsia"/>
                <w:color w:val="auto"/>
                <w:sz w:val="24"/>
                <w:highlight w:val="none"/>
                <w:lang w:val="en-US" w:eastAsia="zh-CN"/>
              </w:rPr>
              <w:t>引风</w:t>
            </w:r>
            <w:r>
              <w:rPr>
                <w:rFonts w:hint="eastAsia"/>
                <w:color w:val="auto"/>
                <w:sz w:val="24"/>
                <w:highlight w:val="none"/>
              </w:rPr>
              <w:t>管道引入1套废气处理设施</w:t>
            </w:r>
            <w:r>
              <w:rPr>
                <w:rFonts w:hint="eastAsia"/>
                <w:color w:val="auto"/>
                <w:sz w:val="24"/>
                <w:highlight w:val="none"/>
                <w:lang w:eastAsia="zh-CN"/>
              </w:rPr>
              <w:t>“</w:t>
            </w:r>
            <w:r>
              <w:rPr>
                <w:rFonts w:hint="eastAsia"/>
                <w:color w:val="auto"/>
                <w:sz w:val="24"/>
                <w:highlight w:val="none"/>
                <w:lang w:val="en-US" w:eastAsia="zh-CN"/>
              </w:rPr>
              <w:t>二级</w:t>
            </w:r>
            <w:r>
              <w:rPr>
                <w:rFonts w:hint="eastAsia"/>
                <w:color w:val="auto"/>
                <w:sz w:val="24"/>
                <w:highlight w:val="none"/>
              </w:rPr>
              <w:t>活性炭吸附</w:t>
            </w:r>
            <w:r>
              <w:rPr>
                <w:rFonts w:hint="eastAsia"/>
                <w:color w:val="auto"/>
                <w:sz w:val="24"/>
                <w:highlight w:val="none"/>
                <w:lang w:eastAsia="zh-CN"/>
              </w:rPr>
              <w:t>”</w:t>
            </w:r>
            <w:r>
              <w:rPr>
                <w:rFonts w:hint="eastAsia"/>
                <w:color w:val="auto"/>
                <w:sz w:val="24"/>
                <w:highlight w:val="none"/>
              </w:rPr>
              <w:t>（TA00</w:t>
            </w:r>
            <w:r>
              <w:rPr>
                <w:rFonts w:hint="eastAsia"/>
                <w:color w:val="auto"/>
                <w:sz w:val="24"/>
                <w:highlight w:val="none"/>
                <w:lang w:val="en-US" w:eastAsia="zh-CN"/>
              </w:rPr>
              <w:t>2</w:t>
            </w:r>
            <w:r>
              <w:rPr>
                <w:rFonts w:hint="eastAsia"/>
                <w:color w:val="auto"/>
                <w:sz w:val="24"/>
                <w:highlight w:val="none"/>
              </w:rPr>
              <w:t>）进行处理，处理后通过1根</w:t>
            </w:r>
            <w:r>
              <w:rPr>
                <w:rFonts w:hint="eastAsia"/>
                <w:color w:val="auto"/>
                <w:sz w:val="24"/>
                <w:highlight w:val="none"/>
                <w:lang w:val="en-US" w:eastAsia="zh-CN"/>
              </w:rPr>
              <w:t>20</w:t>
            </w:r>
            <w:r>
              <w:rPr>
                <w:rFonts w:hint="eastAsia"/>
                <w:color w:val="auto"/>
                <w:sz w:val="24"/>
                <w:highlight w:val="none"/>
              </w:rPr>
              <w:t>m高排气筒排放（DA00</w:t>
            </w:r>
            <w:r>
              <w:rPr>
                <w:rFonts w:hint="eastAsia"/>
                <w:color w:val="auto"/>
                <w:sz w:val="24"/>
                <w:highlight w:val="none"/>
                <w:lang w:val="en-US" w:eastAsia="zh-CN"/>
              </w:rPr>
              <w:t>2</w:t>
            </w:r>
            <w:r>
              <w:rPr>
                <w:rFonts w:hint="eastAsia"/>
                <w:color w:val="auto"/>
                <w:sz w:val="24"/>
                <w:highlight w:val="none"/>
              </w:rPr>
              <w:t>）。</w:t>
            </w:r>
          </w:p>
          <w:p w14:paraId="65DF7BF5">
            <w:pPr>
              <w:adjustRightInd w:val="0"/>
              <w:snapToGrid w:val="0"/>
              <w:spacing w:line="360" w:lineRule="auto"/>
              <w:ind w:firstLine="480" w:firstLineChars="200"/>
              <w:textAlignment w:val="baseline"/>
              <w:rPr>
                <w:rFonts w:hint="eastAsia"/>
                <w:color w:val="auto"/>
                <w:sz w:val="24"/>
                <w:highlight w:val="none"/>
              </w:rPr>
            </w:pPr>
            <w:r>
              <w:rPr>
                <w:rFonts w:hint="eastAsia"/>
                <w:color w:val="auto"/>
                <w:sz w:val="24"/>
                <w:highlight w:val="none"/>
              </w:rPr>
              <w:t>根据源强核算，项目有组织废气经处理后，可以达标排放。</w:t>
            </w:r>
          </w:p>
          <w:p w14:paraId="08852AB1">
            <w:pPr>
              <w:adjustRightInd w:val="0"/>
              <w:snapToGrid w:val="0"/>
              <w:spacing w:line="360" w:lineRule="auto"/>
              <w:ind w:firstLine="480" w:firstLineChars="200"/>
              <w:textAlignment w:val="baseline"/>
              <w:rPr>
                <w:rFonts w:hint="eastAsia"/>
                <w:color w:val="auto"/>
                <w:sz w:val="24"/>
                <w:highlight w:val="none"/>
              </w:rPr>
            </w:pPr>
            <w:r>
              <w:rPr>
                <w:rFonts w:hint="eastAsia"/>
                <w:color w:val="auto"/>
                <w:sz w:val="24"/>
                <w:highlight w:val="none"/>
              </w:rPr>
              <w:t>本项目有组织排放的臭气浓度可以达到《恶臭污染物排放标准》（GB</w:t>
            </w:r>
            <w:r>
              <w:rPr>
                <w:rFonts w:hint="eastAsia"/>
                <w:color w:val="auto"/>
                <w:sz w:val="24"/>
                <w:highlight w:val="none"/>
                <w:lang w:val="en-US" w:eastAsia="zh-CN"/>
              </w:rPr>
              <w:t xml:space="preserve"> </w:t>
            </w:r>
            <w:r>
              <w:rPr>
                <w:rFonts w:hint="eastAsia"/>
                <w:color w:val="auto"/>
                <w:sz w:val="24"/>
                <w:highlight w:val="none"/>
              </w:rPr>
              <w:t>14554-93）表2恶臭污染物排放标准值中臭气浓度25m排气筒标准值；经大气稀释扩散后，厂界无组织排放的臭气浓度可以达到《恶臭污染物排放标准》（GB</w:t>
            </w:r>
            <w:r>
              <w:rPr>
                <w:rFonts w:hint="eastAsia"/>
                <w:color w:val="auto"/>
                <w:sz w:val="24"/>
                <w:highlight w:val="none"/>
                <w:lang w:val="en-US" w:eastAsia="zh-CN"/>
              </w:rPr>
              <w:t xml:space="preserve"> </w:t>
            </w:r>
            <w:r>
              <w:rPr>
                <w:rFonts w:hint="eastAsia"/>
                <w:color w:val="auto"/>
                <w:sz w:val="24"/>
                <w:highlight w:val="none"/>
              </w:rPr>
              <w:t>14554-93）表1 恶臭污染物厂界标准值中的“二级新扩改建”标准限值。项目厂界外500m范围内无大气环境保护目标，因此项目臭气浓度对周边环境影响较小。</w:t>
            </w:r>
          </w:p>
          <w:p w14:paraId="304E70D5">
            <w:pPr>
              <w:adjustRightInd w:val="0"/>
              <w:snapToGrid w:val="0"/>
              <w:spacing w:line="360" w:lineRule="auto"/>
              <w:ind w:firstLine="480" w:firstLineChars="200"/>
              <w:textAlignment w:val="baseline"/>
              <w:rPr>
                <w:rFonts w:hint="eastAsia"/>
                <w:color w:val="auto"/>
                <w:sz w:val="24"/>
                <w:highlight w:val="none"/>
              </w:rPr>
            </w:pPr>
            <w:r>
              <w:rPr>
                <w:rFonts w:hint="eastAsia"/>
                <w:color w:val="auto"/>
                <w:sz w:val="24"/>
                <w:highlight w:val="none"/>
              </w:rPr>
              <w:t>根据《排污许可证申请与核发技术规范 橡胶和塑料制品工业》（HJ</w:t>
            </w:r>
            <w:r>
              <w:rPr>
                <w:rFonts w:hint="eastAsia"/>
                <w:color w:val="auto"/>
                <w:sz w:val="24"/>
                <w:highlight w:val="none"/>
                <w:lang w:val="en-US" w:eastAsia="zh-CN"/>
              </w:rPr>
              <w:t xml:space="preserve"> </w:t>
            </w:r>
            <w:r>
              <w:rPr>
                <w:rFonts w:hint="eastAsia"/>
                <w:color w:val="auto"/>
                <w:sz w:val="24"/>
                <w:highlight w:val="none"/>
              </w:rPr>
              <w:t>1122-2020）附录A表A.2塑料制品工业排污单位废气污染防治可行技术参考表，本项目“活性炭吸附浓缩+催化氧化（CO）”废气防治措施属于污染防治可行技术。根据《排污许可证申请与核发技术规范 印刷工业》（HJ 1066-2019）附录A.1废气治理可行技术参考表，本项目“二级活性炭吸附”废气防治措施属于污染防治可行技术。</w:t>
            </w:r>
          </w:p>
          <w:p w14:paraId="6FC3699B">
            <w:pPr>
              <w:adjustRightInd w:val="0"/>
              <w:snapToGrid w:val="0"/>
              <w:spacing w:line="360" w:lineRule="auto"/>
              <w:ind w:firstLine="480" w:firstLineChars="200"/>
              <w:textAlignment w:val="baseline"/>
              <w:rPr>
                <w:rFonts w:hint="eastAsia"/>
                <w:color w:val="auto"/>
                <w:sz w:val="24"/>
                <w:highlight w:val="none"/>
              </w:rPr>
            </w:pPr>
            <w:r>
              <w:rPr>
                <w:rFonts w:hint="eastAsia"/>
                <w:color w:val="auto"/>
                <w:sz w:val="24"/>
                <w:highlight w:val="none"/>
              </w:rPr>
              <w:t>综上所述，项目所在区域属于环境空气质量达标区。项目厂界外500m范围内无大气环境保护目标。项目废气经处理后满足达标排放，因此项目废气对周边环境影响较小，对环境空气质量影响可以接受。</w:t>
            </w:r>
          </w:p>
          <w:p w14:paraId="7561B575">
            <w:pPr>
              <w:snapToGrid w:val="0"/>
              <w:spacing w:line="360" w:lineRule="auto"/>
              <w:ind w:firstLine="482" w:firstLineChars="200"/>
              <w:rPr>
                <w:b/>
                <w:bCs/>
                <w:color w:val="auto"/>
                <w:sz w:val="24"/>
                <w:highlight w:val="none"/>
              </w:rPr>
            </w:pPr>
            <w:r>
              <w:rPr>
                <w:rFonts w:hint="eastAsia"/>
                <w:b/>
                <w:bCs/>
                <w:color w:val="auto"/>
                <w:sz w:val="24"/>
                <w:highlight w:val="none"/>
                <w:lang w:val="en-US" w:eastAsia="zh-CN"/>
              </w:rPr>
              <w:t>5</w:t>
            </w:r>
            <w:r>
              <w:rPr>
                <w:rFonts w:hint="eastAsia"/>
                <w:b/>
                <w:bCs/>
                <w:color w:val="auto"/>
                <w:sz w:val="24"/>
                <w:highlight w:val="none"/>
              </w:rPr>
              <w:t>、监测要求</w:t>
            </w:r>
          </w:p>
          <w:p w14:paraId="2933FF32">
            <w:pPr>
              <w:widowControl/>
              <w:spacing w:line="360" w:lineRule="auto"/>
              <w:ind w:firstLine="480" w:firstLineChars="200"/>
              <w:rPr>
                <w:color w:val="auto"/>
                <w:kern w:val="0"/>
                <w:sz w:val="24"/>
                <w:highlight w:val="none"/>
                <w:lang w:bidi="ar"/>
              </w:rPr>
            </w:pPr>
            <w:r>
              <w:rPr>
                <w:rFonts w:hint="eastAsia"/>
                <w:color w:val="auto"/>
                <w:kern w:val="0"/>
                <w:sz w:val="24"/>
                <w:highlight w:val="none"/>
                <w:lang w:bidi="ar"/>
              </w:rPr>
              <w:t>参照《排污单位自行监测技术指南 总则》</w:t>
            </w:r>
            <w:r>
              <w:rPr>
                <w:rFonts w:hint="eastAsia"/>
                <w:color w:val="auto"/>
                <w:kern w:val="0"/>
                <w:sz w:val="24"/>
                <w:highlight w:val="none"/>
                <w:lang w:eastAsia="zh-CN" w:bidi="ar"/>
              </w:rPr>
              <w:t>（</w:t>
            </w:r>
            <w:r>
              <w:rPr>
                <w:rFonts w:hint="eastAsia"/>
                <w:color w:val="auto"/>
                <w:kern w:val="0"/>
                <w:sz w:val="24"/>
                <w:highlight w:val="none"/>
                <w:lang w:bidi="ar"/>
              </w:rPr>
              <w:t>HJ 819-2017</w:t>
            </w:r>
            <w:r>
              <w:rPr>
                <w:rFonts w:hint="eastAsia"/>
                <w:color w:val="auto"/>
                <w:kern w:val="0"/>
                <w:sz w:val="24"/>
                <w:highlight w:val="none"/>
                <w:lang w:eastAsia="zh-CN" w:bidi="ar"/>
              </w:rPr>
              <w:t>）</w:t>
            </w:r>
            <w:r>
              <w:rPr>
                <w:rFonts w:hint="eastAsia"/>
                <w:color w:val="auto"/>
                <w:kern w:val="0"/>
                <w:sz w:val="24"/>
                <w:highlight w:val="none"/>
                <w:lang w:bidi="ar"/>
              </w:rPr>
              <w:t xml:space="preserve">、《排污单位自行监测技术指南 </w:t>
            </w:r>
            <w:r>
              <w:rPr>
                <w:rFonts w:hint="eastAsia"/>
                <w:color w:val="auto"/>
                <w:kern w:val="0"/>
                <w:sz w:val="24"/>
                <w:highlight w:val="none"/>
                <w:lang w:val="en-US" w:eastAsia="zh-CN" w:bidi="ar"/>
              </w:rPr>
              <w:t>橡胶和塑料制品</w:t>
            </w:r>
            <w:r>
              <w:rPr>
                <w:rFonts w:hint="eastAsia"/>
                <w:color w:val="auto"/>
                <w:kern w:val="0"/>
                <w:sz w:val="24"/>
                <w:highlight w:val="none"/>
                <w:lang w:bidi="ar"/>
              </w:rPr>
              <w:t>》（HJ 12</w:t>
            </w:r>
            <w:r>
              <w:rPr>
                <w:rFonts w:hint="eastAsia"/>
                <w:color w:val="auto"/>
                <w:kern w:val="0"/>
                <w:sz w:val="24"/>
                <w:highlight w:val="none"/>
                <w:lang w:val="en-US" w:eastAsia="zh-CN" w:bidi="ar"/>
              </w:rPr>
              <w:t>07</w:t>
            </w:r>
            <w:r>
              <w:rPr>
                <w:rFonts w:hint="eastAsia"/>
                <w:color w:val="auto"/>
                <w:kern w:val="0"/>
                <w:sz w:val="24"/>
                <w:highlight w:val="none"/>
                <w:lang w:bidi="ar"/>
              </w:rPr>
              <w:t>-202</w:t>
            </w:r>
            <w:r>
              <w:rPr>
                <w:rFonts w:hint="eastAsia"/>
                <w:color w:val="auto"/>
                <w:kern w:val="0"/>
                <w:sz w:val="24"/>
                <w:highlight w:val="none"/>
                <w:lang w:val="en-US" w:eastAsia="zh-CN" w:bidi="ar"/>
              </w:rPr>
              <w:t>1</w:t>
            </w:r>
            <w:r>
              <w:rPr>
                <w:rFonts w:hint="eastAsia"/>
                <w:color w:val="auto"/>
                <w:kern w:val="0"/>
                <w:sz w:val="24"/>
                <w:highlight w:val="none"/>
                <w:lang w:bidi="ar"/>
              </w:rPr>
              <w:t>）</w:t>
            </w:r>
            <w:r>
              <w:rPr>
                <w:rFonts w:hint="eastAsia"/>
                <w:color w:val="auto"/>
                <w:kern w:val="0"/>
                <w:sz w:val="24"/>
                <w:highlight w:val="none"/>
                <w:lang w:eastAsia="zh-CN" w:bidi="ar"/>
              </w:rPr>
              <w:t>、《排污单位自行监测技术指南 印刷工业》（HJ 1246-2022）</w:t>
            </w:r>
            <w:r>
              <w:rPr>
                <w:rFonts w:hint="eastAsia"/>
                <w:color w:val="auto"/>
                <w:kern w:val="0"/>
                <w:sz w:val="24"/>
                <w:highlight w:val="none"/>
                <w:lang w:bidi="ar"/>
              </w:rPr>
              <w:t>中相关要求，本项目运营期废气监测要求如下表</w:t>
            </w:r>
            <w:r>
              <w:rPr>
                <w:color w:val="auto"/>
                <w:kern w:val="0"/>
                <w:sz w:val="24"/>
                <w:highlight w:val="none"/>
                <w:lang w:bidi="ar"/>
              </w:rPr>
              <w:t>。</w:t>
            </w:r>
          </w:p>
          <w:p w14:paraId="24CAC956">
            <w:pPr>
              <w:adjustRightInd w:val="0"/>
              <w:snapToGrid w:val="0"/>
              <w:spacing w:line="360" w:lineRule="auto"/>
              <w:ind w:firstLine="482" w:firstLineChars="200"/>
              <w:jc w:val="center"/>
              <w:rPr>
                <w:rFonts w:hint="eastAsia"/>
                <w:b/>
                <w:bCs/>
                <w:color w:val="auto"/>
                <w:kern w:val="24"/>
                <w:sz w:val="24"/>
                <w:highlight w:val="none"/>
              </w:rPr>
            </w:pPr>
            <w:r>
              <w:rPr>
                <w:b/>
                <w:bCs/>
                <w:color w:val="auto"/>
                <w:kern w:val="24"/>
                <w:sz w:val="24"/>
                <w:highlight w:val="none"/>
                <w:lang w:val="zh-CN"/>
              </w:rPr>
              <w:t>表</w:t>
            </w:r>
            <w:r>
              <w:rPr>
                <w:b/>
                <w:bCs/>
                <w:color w:val="auto"/>
                <w:kern w:val="24"/>
                <w:sz w:val="24"/>
                <w:highlight w:val="none"/>
              </w:rPr>
              <w:t>4-</w:t>
            </w:r>
            <w:r>
              <w:rPr>
                <w:rFonts w:hint="eastAsia"/>
                <w:b/>
                <w:bCs/>
                <w:color w:val="auto"/>
                <w:kern w:val="24"/>
                <w:sz w:val="24"/>
                <w:highlight w:val="none"/>
                <w:lang w:val="en-US" w:eastAsia="zh-CN"/>
              </w:rPr>
              <w:t xml:space="preserve">10 </w:t>
            </w:r>
            <w:r>
              <w:rPr>
                <w:b/>
                <w:bCs/>
                <w:color w:val="auto"/>
                <w:kern w:val="24"/>
                <w:sz w:val="24"/>
                <w:highlight w:val="none"/>
              </w:rPr>
              <w:t xml:space="preserve"> </w:t>
            </w:r>
            <w:r>
              <w:rPr>
                <w:rFonts w:hint="eastAsia"/>
                <w:b/>
                <w:bCs/>
                <w:color w:val="auto"/>
                <w:kern w:val="24"/>
                <w:sz w:val="24"/>
                <w:highlight w:val="none"/>
              </w:rPr>
              <w:t>项目运营期废气</w:t>
            </w:r>
            <w:r>
              <w:rPr>
                <w:b/>
                <w:bCs/>
                <w:color w:val="auto"/>
                <w:kern w:val="24"/>
                <w:sz w:val="24"/>
                <w:highlight w:val="none"/>
              </w:rPr>
              <w:t>监测</w:t>
            </w:r>
            <w:r>
              <w:rPr>
                <w:rFonts w:hint="eastAsia"/>
                <w:b/>
                <w:bCs/>
                <w:color w:val="auto"/>
                <w:kern w:val="24"/>
                <w:sz w:val="24"/>
                <w:highlight w:val="none"/>
              </w:rPr>
              <w:t>要求</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6"/>
              <w:gridCol w:w="1786"/>
              <w:gridCol w:w="1300"/>
              <w:gridCol w:w="1125"/>
              <w:gridCol w:w="2736"/>
            </w:tblGrid>
            <w:tr w14:paraId="5375B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pct"/>
                  <w:vAlign w:val="center"/>
                </w:tcPr>
                <w:p w14:paraId="2CEF7805">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排放类型</w:t>
                  </w:r>
                </w:p>
              </w:tc>
              <w:tc>
                <w:tcPr>
                  <w:tcW w:w="1080" w:type="pct"/>
                  <w:vAlign w:val="center"/>
                </w:tcPr>
                <w:p w14:paraId="79DC2B95">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监测点位</w:t>
                  </w:r>
                </w:p>
              </w:tc>
              <w:tc>
                <w:tcPr>
                  <w:tcW w:w="786" w:type="pct"/>
                  <w:vAlign w:val="center"/>
                </w:tcPr>
                <w:p w14:paraId="0E80F62F">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监测因子</w:t>
                  </w:r>
                </w:p>
              </w:tc>
              <w:tc>
                <w:tcPr>
                  <w:tcW w:w="680" w:type="pct"/>
                  <w:vAlign w:val="center"/>
                </w:tcPr>
                <w:p w14:paraId="047110B7">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监测频次</w:t>
                  </w:r>
                </w:p>
              </w:tc>
              <w:tc>
                <w:tcPr>
                  <w:tcW w:w="1655" w:type="pct"/>
                  <w:vAlign w:val="center"/>
                </w:tcPr>
                <w:p w14:paraId="009AF355">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执行标准</w:t>
                  </w:r>
                </w:p>
              </w:tc>
            </w:tr>
            <w:tr w14:paraId="2E91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pct"/>
                  <w:vMerge w:val="restart"/>
                  <w:vAlign w:val="center"/>
                </w:tcPr>
                <w:p w14:paraId="65CE7251">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有组织废气</w:t>
                  </w:r>
                  <w:r>
                    <w:rPr>
                      <w:rFonts w:hint="default" w:ascii="Times New Roman" w:hAnsi="Times New Roman" w:eastAsia="宋体" w:cs="Times New Roman"/>
                      <w:color w:val="auto"/>
                      <w:sz w:val="21"/>
                      <w:szCs w:val="21"/>
                      <w:highlight w:val="none"/>
                      <w:lang w:val="en-US" w:eastAsia="zh-CN"/>
                    </w:rPr>
                    <w:t>排放口（DA001）</w:t>
                  </w:r>
                </w:p>
              </w:tc>
              <w:tc>
                <w:tcPr>
                  <w:tcW w:w="1080" w:type="pct"/>
                  <w:vMerge w:val="restart"/>
                  <w:vAlign w:val="center"/>
                </w:tcPr>
                <w:p w14:paraId="3C0477F9">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4"/>
                      <w:sz w:val="21"/>
                      <w:szCs w:val="21"/>
                      <w:highlight w:val="none"/>
                    </w:rPr>
                    <w:t>排气筒（DA001）</w:t>
                  </w:r>
                </w:p>
              </w:tc>
              <w:tc>
                <w:tcPr>
                  <w:tcW w:w="786" w:type="pct"/>
                  <w:vAlign w:val="center"/>
                </w:tcPr>
                <w:p w14:paraId="249912E2">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非甲烷总烃</w:t>
                  </w:r>
                </w:p>
              </w:tc>
              <w:tc>
                <w:tcPr>
                  <w:tcW w:w="680" w:type="pct"/>
                  <w:vAlign w:val="center"/>
                </w:tcPr>
                <w:p w14:paraId="1F763D2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1次/</w:t>
                  </w:r>
                  <w:r>
                    <w:rPr>
                      <w:rFonts w:hint="eastAsia" w:cs="Times New Roman"/>
                      <w:color w:val="auto"/>
                      <w:sz w:val="21"/>
                      <w:szCs w:val="21"/>
                      <w:highlight w:val="none"/>
                      <w:lang w:val="en-US" w:eastAsia="zh-CN"/>
                    </w:rPr>
                    <w:t>半</w:t>
                  </w:r>
                  <w:r>
                    <w:rPr>
                      <w:rFonts w:hint="default" w:ascii="Times New Roman" w:hAnsi="Times New Roman" w:eastAsia="宋体" w:cs="Times New Roman"/>
                      <w:color w:val="auto"/>
                      <w:sz w:val="21"/>
                      <w:szCs w:val="21"/>
                      <w:highlight w:val="none"/>
                    </w:rPr>
                    <w:t>年</w:t>
                  </w:r>
                </w:p>
              </w:tc>
              <w:tc>
                <w:tcPr>
                  <w:tcW w:w="1655" w:type="pct"/>
                  <w:vAlign w:val="center"/>
                </w:tcPr>
                <w:p w14:paraId="16149481">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kern w:val="0"/>
                      <w:sz w:val="21"/>
                      <w:szCs w:val="21"/>
                      <w:highlight w:val="none"/>
                      <w:lang w:bidi="ar"/>
                    </w:rPr>
                    <w:t>《合成树脂工业污染物排放标准》（GB 31572-2015及2024年修改单）</w:t>
                  </w:r>
                  <w:r>
                    <w:rPr>
                      <w:rFonts w:hint="default" w:ascii="Times New Roman" w:hAnsi="Times New Roman" w:eastAsia="宋体" w:cs="Times New Roman"/>
                      <w:color w:val="auto"/>
                      <w:kern w:val="0"/>
                      <w:sz w:val="21"/>
                      <w:szCs w:val="21"/>
                      <w:highlight w:val="none"/>
                      <w:lang w:val="en-US" w:eastAsia="zh-CN" w:bidi="ar"/>
                    </w:rPr>
                    <w:t>表4排放浓度限</w:t>
                  </w:r>
                  <w:r>
                    <w:rPr>
                      <w:rFonts w:hint="default" w:ascii="Times New Roman" w:hAnsi="Times New Roman" w:eastAsia="宋体" w:cs="Times New Roman"/>
                      <w:color w:val="auto"/>
                      <w:kern w:val="0"/>
                      <w:sz w:val="21"/>
                      <w:szCs w:val="21"/>
                      <w:highlight w:val="none"/>
                      <w:lang w:bidi="ar"/>
                    </w:rPr>
                    <w:t>值</w:t>
                  </w:r>
                </w:p>
              </w:tc>
            </w:tr>
            <w:tr w14:paraId="48876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pct"/>
                  <w:vMerge w:val="continue"/>
                  <w:vAlign w:val="center"/>
                </w:tcPr>
                <w:p w14:paraId="3EE4A29A">
                  <w:pPr>
                    <w:jc w:val="center"/>
                    <w:rPr>
                      <w:rFonts w:hint="default" w:ascii="Times New Roman" w:hAnsi="Times New Roman" w:eastAsia="宋体" w:cs="Times New Roman"/>
                      <w:color w:val="auto"/>
                      <w:sz w:val="21"/>
                      <w:szCs w:val="21"/>
                      <w:highlight w:val="none"/>
                    </w:rPr>
                  </w:pPr>
                </w:p>
              </w:tc>
              <w:tc>
                <w:tcPr>
                  <w:tcW w:w="1080" w:type="pct"/>
                  <w:vMerge w:val="continue"/>
                  <w:vAlign w:val="center"/>
                </w:tcPr>
                <w:p w14:paraId="6C69A137">
                  <w:pPr>
                    <w:jc w:val="center"/>
                    <w:rPr>
                      <w:rFonts w:hint="default" w:ascii="Times New Roman" w:hAnsi="Times New Roman" w:eastAsia="宋体" w:cs="Times New Roman"/>
                      <w:color w:val="auto"/>
                      <w:kern w:val="24"/>
                      <w:sz w:val="21"/>
                      <w:szCs w:val="21"/>
                      <w:highlight w:val="none"/>
                    </w:rPr>
                  </w:pPr>
                </w:p>
              </w:tc>
              <w:tc>
                <w:tcPr>
                  <w:tcW w:w="786" w:type="pct"/>
                  <w:vAlign w:val="center"/>
                </w:tcPr>
                <w:p w14:paraId="03617438">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臭气浓度</w:t>
                  </w:r>
                </w:p>
              </w:tc>
              <w:tc>
                <w:tcPr>
                  <w:tcW w:w="680" w:type="pct"/>
                  <w:vAlign w:val="center"/>
                </w:tcPr>
                <w:p w14:paraId="443ECBE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1次/</w:t>
                  </w:r>
                  <w:r>
                    <w:rPr>
                      <w:rFonts w:hint="eastAsia" w:cs="Times New Roman"/>
                      <w:color w:val="auto"/>
                      <w:sz w:val="21"/>
                      <w:szCs w:val="21"/>
                      <w:highlight w:val="none"/>
                      <w:lang w:val="en-US" w:eastAsia="zh-CN"/>
                    </w:rPr>
                    <w:t>半</w:t>
                  </w:r>
                  <w:r>
                    <w:rPr>
                      <w:rFonts w:hint="default" w:ascii="Times New Roman" w:hAnsi="Times New Roman" w:eastAsia="宋体" w:cs="Times New Roman"/>
                      <w:color w:val="auto"/>
                      <w:sz w:val="21"/>
                      <w:szCs w:val="21"/>
                      <w:highlight w:val="none"/>
                    </w:rPr>
                    <w:t>年</w:t>
                  </w:r>
                </w:p>
              </w:tc>
              <w:tc>
                <w:tcPr>
                  <w:tcW w:w="1655" w:type="pct"/>
                  <w:vAlign w:val="center"/>
                </w:tcPr>
                <w:p w14:paraId="30F46C5B">
                  <w:pPr>
                    <w:jc w:val="center"/>
                    <w:rPr>
                      <w:rFonts w:hint="default" w:ascii="Times New Roman" w:hAnsi="Times New Roman" w:eastAsia="宋体" w:cs="Times New Roman"/>
                      <w:color w:val="auto"/>
                      <w:kern w:val="0"/>
                      <w:sz w:val="21"/>
                      <w:szCs w:val="21"/>
                      <w:highlight w:val="none"/>
                      <w:lang w:bidi="ar"/>
                    </w:rPr>
                  </w:pPr>
                  <w:r>
                    <w:rPr>
                      <w:rFonts w:hint="default" w:ascii="Times New Roman" w:hAnsi="Times New Roman" w:eastAsia="宋体" w:cs="Times New Roman"/>
                      <w:color w:val="auto"/>
                      <w:kern w:val="0"/>
                      <w:sz w:val="21"/>
                      <w:szCs w:val="21"/>
                      <w:highlight w:val="none"/>
                      <w:lang w:bidi="ar"/>
                    </w:rPr>
                    <w:t>《恶臭污染物排放标准》（GB</w:t>
                  </w:r>
                  <w:r>
                    <w:rPr>
                      <w:rFonts w:hint="default" w:ascii="Times New Roman" w:hAnsi="Times New Roman" w:eastAsia="宋体" w:cs="Times New Roman"/>
                      <w:color w:val="auto"/>
                      <w:kern w:val="0"/>
                      <w:sz w:val="21"/>
                      <w:szCs w:val="21"/>
                      <w:highlight w:val="none"/>
                      <w:lang w:val="en-US" w:eastAsia="zh-CN" w:bidi="ar"/>
                    </w:rPr>
                    <w:t xml:space="preserve"> </w:t>
                  </w:r>
                  <w:r>
                    <w:rPr>
                      <w:rFonts w:hint="default" w:ascii="Times New Roman" w:hAnsi="Times New Roman" w:eastAsia="宋体" w:cs="Times New Roman"/>
                      <w:color w:val="auto"/>
                      <w:kern w:val="0"/>
                      <w:sz w:val="21"/>
                      <w:szCs w:val="21"/>
                      <w:highlight w:val="none"/>
                      <w:lang w:bidi="ar"/>
                    </w:rPr>
                    <w:t>14554-93）表2恶臭污染物排放标准值中臭气浓度</w:t>
                  </w:r>
                  <w:r>
                    <w:rPr>
                      <w:rFonts w:hint="eastAsia" w:ascii="Times New Roman" w:hAnsi="Times New Roman" w:cs="Times New Roman"/>
                      <w:color w:val="auto"/>
                      <w:kern w:val="0"/>
                      <w:sz w:val="21"/>
                      <w:szCs w:val="21"/>
                      <w:highlight w:val="none"/>
                      <w:lang w:val="en-US" w:eastAsia="zh-CN" w:bidi="ar"/>
                    </w:rPr>
                    <w:t>2</w:t>
                  </w:r>
                  <w:r>
                    <w:rPr>
                      <w:rFonts w:hint="eastAsia" w:cs="Times New Roman"/>
                      <w:color w:val="auto"/>
                      <w:kern w:val="0"/>
                      <w:sz w:val="21"/>
                      <w:szCs w:val="21"/>
                      <w:highlight w:val="none"/>
                      <w:lang w:val="en-US" w:eastAsia="zh-CN" w:bidi="ar"/>
                    </w:rPr>
                    <w:t>5</w:t>
                  </w:r>
                  <w:r>
                    <w:rPr>
                      <w:rFonts w:hint="default" w:ascii="Times New Roman" w:hAnsi="Times New Roman" w:eastAsia="宋体" w:cs="Times New Roman"/>
                      <w:color w:val="auto"/>
                      <w:kern w:val="0"/>
                      <w:sz w:val="21"/>
                      <w:szCs w:val="21"/>
                      <w:highlight w:val="none"/>
                      <w:lang w:bidi="ar"/>
                    </w:rPr>
                    <w:t>m排气筒标准值</w:t>
                  </w:r>
                </w:p>
              </w:tc>
            </w:tr>
            <w:tr w14:paraId="175B0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pct"/>
                  <w:vMerge w:val="restart"/>
                  <w:shd w:val="clear" w:color="auto" w:fill="auto"/>
                  <w:vAlign w:val="center"/>
                </w:tcPr>
                <w:p w14:paraId="5D7F043A">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有组织废气</w:t>
                  </w:r>
                  <w:r>
                    <w:rPr>
                      <w:rFonts w:hint="default" w:ascii="Times New Roman" w:hAnsi="Times New Roman" w:eastAsia="宋体" w:cs="Times New Roman"/>
                      <w:color w:val="auto"/>
                      <w:sz w:val="21"/>
                      <w:szCs w:val="21"/>
                      <w:highlight w:val="none"/>
                      <w:lang w:val="en-US" w:eastAsia="zh-CN"/>
                    </w:rPr>
                    <w:t>排放口（DA00</w:t>
                  </w:r>
                  <w:r>
                    <w:rPr>
                      <w:rFonts w:hint="eastAsia" w:ascii="Times New Roman" w:hAnsi="Times New Roman"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w:t>
                  </w:r>
                </w:p>
              </w:tc>
              <w:tc>
                <w:tcPr>
                  <w:tcW w:w="1080" w:type="pct"/>
                  <w:vMerge w:val="restart"/>
                  <w:shd w:val="clear" w:color="auto" w:fill="auto"/>
                  <w:vAlign w:val="center"/>
                </w:tcPr>
                <w:p w14:paraId="4CE7FC9F">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4"/>
                      <w:sz w:val="21"/>
                      <w:szCs w:val="21"/>
                      <w:highlight w:val="none"/>
                    </w:rPr>
                    <w:t>排气筒（DA00</w:t>
                  </w:r>
                  <w:r>
                    <w:rPr>
                      <w:rFonts w:hint="eastAsia" w:ascii="Times New Roman" w:hAnsi="Times New Roman" w:cs="Times New Roman"/>
                      <w:color w:val="auto"/>
                      <w:kern w:val="24"/>
                      <w:sz w:val="21"/>
                      <w:szCs w:val="21"/>
                      <w:highlight w:val="none"/>
                      <w:lang w:val="en-US" w:eastAsia="zh-CN"/>
                    </w:rPr>
                    <w:t>2</w:t>
                  </w:r>
                  <w:r>
                    <w:rPr>
                      <w:rFonts w:hint="default" w:ascii="Times New Roman" w:hAnsi="Times New Roman" w:eastAsia="宋体" w:cs="Times New Roman"/>
                      <w:color w:val="auto"/>
                      <w:kern w:val="24"/>
                      <w:sz w:val="21"/>
                      <w:szCs w:val="21"/>
                      <w:highlight w:val="none"/>
                    </w:rPr>
                    <w:t>）</w:t>
                  </w:r>
                </w:p>
              </w:tc>
              <w:tc>
                <w:tcPr>
                  <w:tcW w:w="786" w:type="pct"/>
                  <w:shd w:val="clear" w:color="auto" w:fill="auto"/>
                  <w:vAlign w:val="center"/>
                </w:tcPr>
                <w:p w14:paraId="2F763659">
                  <w:pPr>
                    <w:jc w:val="center"/>
                    <w:rPr>
                      <w:rFonts w:hint="eastAsia" w:ascii="Times New Roman" w:hAnsi="Times New Roman" w:eastAsia="宋体" w:cs="Times New Roman"/>
                      <w:color w:val="auto"/>
                      <w:kern w:val="0"/>
                      <w:sz w:val="21"/>
                      <w:szCs w:val="21"/>
                      <w:lang w:val="en-US" w:eastAsia="zh-CN" w:bidi="ar"/>
                    </w:rPr>
                  </w:pPr>
                  <w:r>
                    <w:rPr>
                      <w:rFonts w:hint="eastAsia" w:eastAsiaTheme="minorEastAsia"/>
                      <w:color w:val="auto"/>
                      <w:kern w:val="24"/>
                      <w:szCs w:val="21"/>
                    </w:rPr>
                    <w:t>非甲烷总烃</w:t>
                  </w:r>
                </w:p>
              </w:tc>
              <w:tc>
                <w:tcPr>
                  <w:tcW w:w="680" w:type="pct"/>
                  <w:shd w:val="clear" w:color="auto" w:fill="auto"/>
                  <w:vAlign w:val="center"/>
                </w:tcPr>
                <w:p w14:paraId="3003332A">
                  <w:pPr>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rPr>
                    <w:t>1次/半年</w:t>
                  </w:r>
                </w:p>
              </w:tc>
              <w:tc>
                <w:tcPr>
                  <w:tcW w:w="1655" w:type="pct"/>
                  <w:shd w:val="clear" w:color="auto" w:fill="auto"/>
                  <w:vAlign w:val="center"/>
                </w:tcPr>
                <w:p w14:paraId="0FD24C8B">
                  <w:pPr>
                    <w:jc w:val="center"/>
                    <w:rPr>
                      <w:rFonts w:hint="default" w:ascii="Times New Roman" w:hAnsi="Times New Roman" w:eastAsia="宋体" w:cs="Times New Roman"/>
                      <w:color w:val="auto"/>
                      <w:kern w:val="0"/>
                      <w:sz w:val="21"/>
                      <w:szCs w:val="21"/>
                      <w:lang w:val="en-US" w:eastAsia="zh-CN" w:bidi="ar"/>
                    </w:rPr>
                  </w:pPr>
                  <w:r>
                    <w:rPr>
                      <w:rFonts w:hint="eastAsia" w:eastAsiaTheme="minorEastAsia"/>
                      <w:color w:val="auto"/>
                    </w:rPr>
                    <w:t>《印刷工业大气污染物排放标准》（GB41616-2022）表1 中的大气污染物排放限值</w:t>
                  </w:r>
                </w:p>
              </w:tc>
            </w:tr>
            <w:tr w14:paraId="43EA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pct"/>
                  <w:vMerge w:val="continue"/>
                  <w:vAlign w:val="center"/>
                </w:tcPr>
                <w:p w14:paraId="0AA137D3">
                  <w:pPr>
                    <w:jc w:val="center"/>
                    <w:rPr>
                      <w:rFonts w:hint="default" w:ascii="Times New Roman" w:hAnsi="Times New Roman" w:eastAsia="宋体" w:cs="Times New Roman"/>
                      <w:color w:val="auto"/>
                      <w:sz w:val="21"/>
                      <w:szCs w:val="21"/>
                      <w:highlight w:val="none"/>
                    </w:rPr>
                  </w:pPr>
                </w:p>
              </w:tc>
              <w:tc>
                <w:tcPr>
                  <w:tcW w:w="1080" w:type="pct"/>
                  <w:vMerge w:val="continue"/>
                  <w:vAlign w:val="center"/>
                </w:tcPr>
                <w:p w14:paraId="2D3C49D1">
                  <w:pPr>
                    <w:jc w:val="center"/>
                    <w:rPr>
                      <w:rFonts w:hint="default" w:ascii="Times New Roman" w:hAnsi="Times New Roman" w:eastAsia="宋体" w:cs="Times New Roman"/>
                      <w:color w:val="auto"/>
                      <w:kern w:val="24"/>
                      <w:sz w:val="21"/>
                      <w:szCs w:val="21"/>
                      <w:highlight w:val="none"/>
                    </w:rPr>
                  </w:pPr>
                </w:p>
              </w:tc>
              <w:tc>
                <w:tcPr>
                  <w:tcW w:w="786" w:type="pct"/>
                  <w:shd w:val="clear" w:color="auto" w:fill="auto"/>
                  <w:vAlign w:val="center"/>
                </w:tcPr>
                <w:p w14:paraId="5EE9544F">
                  <w:pPr>
                    <w:jc w:val="center"/>
                    <w:rPr>
                      <w:rFonts w:hint="eastAsia" w:ascii="Times New Roman" w:hAnsi="Times New Roman" w:cs="Times New Roman" w:eastAsiaTheme="minorEastAsia"/>
                      <w:color w:val="auto"/>
                      <w:kern w:val="24"/>
                      <w:sz w:val="21"/>
                      <w:szCs w:val="21"/>
                      <w:lang w:val="en-US" w:eastAsia="zh-CN" w:bidi="ar-SA"/>
                    </w:rPr>
                  </w:pPr>
                  <w:r>
                    <w:rPr>
                      <w:rFonts w:hint="eastAsia" w:eastAsiaTheme="minorEastAsia"/>
                      <w:color w:val="auto"/>
                      <w:kern w:val="24"/>
                      <w:szCs w:val="21"/>
                    </w:rPr>
                    <w:t>臭气浓度</w:t>
                  </w:r>
                </w:p>
              </w:tc>
              <w:tc>
                <w:tcPr>
                  <w:tcW w:w="680" w:type="pct"/>
                  <w:shd w:val="clear" w:color="auto" w:fill="auto"/>
                  <w:vAlign w:val="center"/>
                </w:tcPr>
                <w:p w14:paraId="5C022A86">
                  <w:pPr>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rPr>
                    <w:t>1次/半年</w:t>
                  </w:r>
                </w:p>
              </w:tc>
              <w:tc>
                <w:tcPr>
                  <w:tcW w:w="1655" w:type="pct"/>
                  <w:shd w:val="clear" w:color="auto" w:fill="auto"/>
                  <w:vAlign w:val="center"/>
                </w:tcPr>
                <w:p w14:paraId="7F0AC6AD">
                  <w:pPr>
                    <w:jc w:val="center"/>
                    <w:rPr>
                      <w:rFonts w:hint="default" w:ascii="Times New Roman" w:hAnsi="Times New Roman" w:cs="Times New Roman" w:eastAsiaTheme="minorEastAsia"/>
                      <w:color w:val="auto"/>
                      <w:kern w:val="2"/>
                      <w:sz w:val="21"/>
                      <w:szCs w:val="24"/>
                      <w:lang w:val="en-US" w:eastAsia="zh-CN" w:bidi="ar-SA"/>
                    </w:rPr>
                  </w:pPr>
                  <w:r>
                    <w:rPr>
                      <w:rFonts w:hint="eastAsia" w:eastAsiaTheme="minorEastAsia"/>
                      <w:color w:val="auto"/>
                    </w:rPr>
                    <w:t>《恶臭污染物排放标准》（GB</w:t>
                  </w:r>
                  <w:r>
                    <w:rPr>
                      <w:rFonts w:hint="eastAsia" w:eastAsiaTheme="minorEastAsia"/>
                      <w:color w:val="auto"/>
                      <w:lang w:val="en-US" w:eastAsia="zh-CN"/>
                    </w:rPr>
                    <w:t xml:space="preserve"> </w:t>
                  </w:r>
                  <w:r>
                    <w:rPr>
                      <w:rFonts w:hint="eastAsia" w:eastAsiaTheme="minorEastAsia"/>
                      <w:color w:val="auto"/>
                    </w:rPr>
                    <w:t>14554-93）表2恶臭污染物排放标准值中臭气浓度2</w:t>
                  </w:r>
                  <w:r>
                    <w:rPr>
                      <w:rFonts w:hint="eastAsia" w:eastAsiaTheme="minorEastAsia"/>
                      <w:color w:val="auto"/>
                      <w:lang w:val="en-US" w:eastAsia="zh-CN"/>
                    </w:rPr>
                    <w:t>5</w:t>
                  </w:r>
                  <w:r>
                    <w:rPr>
                      <w:rFonts w:hint="eastAsia" w:eastAsiaTheme="minorEastAsia"/>
                      <w:color w:val="auto"/>
                    </w:rPr>
                    <w:t>m排气筒标准值</w:t>
                  </w:r>
                </w:p>
              </w:tc>
            </w:tr>
            <w:tr w14:paraId="3E2B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pct"/>
                  <w:vMerge w:val="restart"/>
                  <w:vAlign w:val="center"/>
                </w:tcPr>
                <w:p w14:paraId="0AD243D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无组织废气</w:t>
                  </w:r>
                </w:p>
              </w:tc>
              <w:tc>
                <w:tcPr>
                  <w:tcW w:w="1080" w:type="pct"/>
                  <w:vMerge w:val="restart"/>
                  <w:vAlign w:val="center"/>
                </w:tcPr>
                <w:p w14:paraId="3F81431B">
                  <w:pPr>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项目厂界上风向设置1个，项目厂界下风向设置3个</w:t>
                  </w:r>
                </w:p>
              </w:tc>
              <w:tc>
                <w:tcPr>
                  <w:tcW w:w="786" w:type="pct"/>
                  <w:shd w:val="clear" w:color="auto" w:fill="auto"/>
                  <w:vAlign w:val="center"/>
                </w:tcPr>
                <w:p w14:paraId="7F82FDA4">
                  <w:pPr>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rPr>
                    <w:t>非甲烷总烃</w:t>
                  </w:r>
                </w:p>
              </w:tc>
              <w:tc>
                <w:tcPr>
                  <w:tcW w:w="680" w:type="pct"/>
                  <w:shd w:val="clear" w:color="auto" w:fill="auto"/>
                  <w:vAlign w:val="center"/>
                </w:tcPr>
                <w:p w14:paraId="3A91BA19">
                  <w:pPr>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bidi="ar"/>
                    </w:rPr>
                    <w:t>1次/年</w:t>
                  </w:r>
                </w:p>
              </w:tc>
              <w:tc>
                <w:tcPr>
                  <w:tcW w:w="1655" w:type="pct"/>
                  <w:vMerge w:val="restart"/>
                  <w:vAlign w:val="center"/>
                </w:tcPr>
                <w:p w14:paraId="039D21E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《合成树脂工业污染物排放标准》（GB 31572-2015及2024年修改单）表9中企业边界大气污染物浓度限值</w:t>
                  </w:r>
                </w:p>
              </w:tc>
            </w:tr>
            <w:tr w14:paraId="2A17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pct"/>
                  <w:vMerge w:val="continue"/>
                  <w:vAlign w:val="center"/>
                </w:tcPr>
                <w:p w14:paraId="54FE0FA6">
                  <w:pPr>
                    <w:jc w:val="center"/>
                    <w:rPr>
                      <w:rFonts w:hint="default" w:ascii="Times New Roman" w:hAnsi="Times New Roman" w:eastAsia="宋体" w:cs="Times New Roman"/>
                      <w:color w:val="auto"/>
                      <w:sz w:val="21"/>
                      <w:szCs w:val="21"/>
                      <w:highlight w:val="none"/>
                    </w:rPr>
                  </w:pPr>
                </w:p>
              </w:tc>
              <w:tc>
                <w:tcPr>
                  <w:tcW w:w="1080" w:type="pct"/>
                  <w:vMerge w:val="continue"/>
                  <w:vAlign w:val="center"/>
                </w:tcPr>
                <w:p w14:paraId="382565AC">
                  <w:pPr>
                    <w:jc w:val="center"/>
                    <w:rPr>
                      <w:rFonts w:hint="default" w:ascii="Times New Roman" w:hAnsi="Times New Roman" w:eastAsia="宋体" w:cs="Times New Roman"/>
                      <w:color w:val="auto"/>
                      <w:kern w:val="24"/>
                      <w:sz w:val="21"/>
                      <w:szCs w:val="21"/>
                      <w:highlight w:val="none"/>
                    </w:rPr>
                  </w:pPr>
                </w:p>
              </w:tc>
              <w:tc>
                <w:tcPr>
                  <w:tcW w:w="786" w:type="pct"/>
                  <w:shd w:val="clear" w:color="auto" w:fill="auto"/>
                  <w:vAlign w:val="center"/>
                </w:tcPr>
                <w:p w14:paraId="2F444411">
                  <w:pPr>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颗粒物</w:t>
                  </w:r>
                </w:p>
              </w:tc>
              <w:tc>
                <w:tcPr>
                  <w:tcW w:w="680" w:type="pct"/>
                  <w:shd w:val="clear" w:color="auto" w:fill="auto"/>
                  <w:vAlign w:val="center"/>
                </w:tcPr>
                <w:p w14:paraId="1D7B9439">
                  <w:pPr>
                    <w:jc w:val="center"/>
                    <w:rPr>
                      <w:rFonts w:hint="default" w:ascii="Times New Roman" w:hAnsi="Times New Roman" w:eastAsia="宋体" w:cs="Times New Roman"/>
                      <w:color w:val="auto"/>
                      <w:kern w:val="0"/>
                      <w:sz w:val="21"/>
                      <w:szCs w:val="21"/>
                      <w:highlight w:val="none"/>
                      <w:lang w:bidi="ar"/>
                    </w:rPr>
                  </w:pPr>
                  <w:r>
                    <w:rPr>
                      <w:rFonts w:hint="default" w:ascii="Times New Roman" w:hAnsi="Times New Roman" w:eastAsia="宋体" w:cs="Times New Roman"/>
                      <w:color w:val="auto"/>
                      <w:kern w:val="0"/>
                      <w:sz w:val="21"/>
                      <w:szCs w:val="21"/>
                      <w:highlight w:val="none"/>
                      <w:lang w:bidi="ar"/>
                    </w:rPr>
                    <w:t>1次/年</w:t>
                  </w:r>
                </w:p>
              </w:tc>
              <w:tc>
                <w:tcPr>
                  <w:tcW w:w="1655" w:type="pct"/>
                  <w:vMerge w:val="continue"/>
                  <w:vAlign w:val="center"/>
                </w:tcPr>
                <w:p w14:paraId="538E8195">
                  <w:pPr>
                    <w:jc w:val="center"/>
                    <w:rPr>
                      <w:rFonts w:hint="default" w:ascii="Times New Roman" w:hAnsi="Times New Roman" w:eastAsia="宋体" w:cs="Times New Roman"/>
                      <w:color w:val="auto"/>
                      <w:sz w:val="21"/>
                      <w:szCs w:val="21"/>
                      <w:highlight w:val="none"/>
                    </w:rPr>
                  </w:pPr>
                </w:p>
              </w:tc>
            </w:tr>
            <w:tr w14:paraId="1AEA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pct"/>
                  <w:vMerge w:val="continue"/>
                  <w:vAlign w:val="center"/>
                </w:tcPr>
                <w:p w14:paraId="1F5F0768">
                  <w:pPr>
                    <w:jc w:val="center"/>
                    <w:rPr>
                      <w:rFonts w:hint="default" w:ascii="Times New Roman" w:hAnsi="Times New Roman" w:eastAsia="宋体" w:cs="Times New Roman"/>
                      <w:color w:val="auto"/>
                      <w:sz w:val="21"/>
                      <w:szCs w:val="21"/>
                      <w:highlight w:val="none"/>
                    </w:rPr>
                  </w:pPr>
                </w:p>
              </w:tc>
              <w:tc>
                <w:tcPr>
                  <w:tcW w:w="1080" w:type="pct"/>
                  <w:vMerge w:val="continue"/>
                  <w:vAlign w:val="center"/>
                </w:tcPr>
                <w:p w14:paraId="000D8E0B">
                  <w:pPr>
                    <w:jc w:val="center"/>
                    <w:rPr>
                      <w:rFonts w:hint="default" w:ascii="Times New Roman" w:hAnsi="Times New Roman" w:eastAsia="宋体" w:cs="Times New Roman"/>
                      <w:color w:val="auto"/>
                      <w:kern w:val="24"/>
                      <w:sz w:val="21"/>
                      <w:szCs w:val="21"/>
                      <w:highlight w:val="none"/>
                    </w:rPr>
                  </w:pPr>
                </w:p>
              </w:tc>
              <w:tc>
                <w:tcPr>
                  <w:tcW w:w="786" w:type="pct"/>
                  <w:shd w:val="clear" w:color="auto" w:fill="auto"/>
                  <w:vAlign w:val="center"/>
                </w:tcPr>
                <w:p w14:paraId="584116EF">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臭气浓度</w:t>
                  </w:r>
                </w:p>
              </w:tc>
              <w:tc>
                <w:tcPr>
                  <w:tcW w:w="680" w:type="pct"/>
                  <w:shd w:val="clear" w:color="auto" w:fill="auto"/>
                  <w:vAlign w:val="center"/>
                </w:tcPr>
                <w:p w14:paraId="4FD55DCB">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1次/年</w:t>
                  </w:r>
                </w:p>
              </w:tc>
              <w:tc>
                <w:tcPr>
                  <w:tcW w:w="1655" w:type="pct"/>
                  <w:shd w:val="clear" w:color="auto" w:fill="auto"/>
                  <w:vAlign w:val="center"/>
                </w:tcPr>
                <w:p w14:paraId="19A46EC1">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《恶臭污染物排放标准》（GB</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14554-93）表1 恶臭污染物厂界标准值中的</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二级新扩改建</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标准限值</w:t>
                  </w:r>
                </w:p>
              </w:tc>
            </w:tr>
            <w:tr w14:paraId="0DF3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pct"/>
                  <w:vMerge w:val="continue"/>
                  <w:vAlign w:val="center"/>
                </w:tcPr>
                <w:p w14:paraId="018431AC">
                  <w:pPr>
                    <w:jc w:val="center"/>
                    <w:rPr>
                      <w:rFonts w:hint="default" w:ascii="Times New Roman" w:hAnsi="Times New Roman" w:eastAsia="宋体" w:cs="Times New Roman"/>
                      <w:color w:val="auto"/>
                      <w:sz w:val="21"/>
                      <w:szCs w:val="21"/>
                      <w:highlight w:val="none"/>
                    </w:rPr>
                  </w:pPr>
                </w:p>
              </w:tc>
              <w:tc>
                <w:tcPr>
                  <w:tcW w:w="1080" w:type="pct"/>
                  <w:vAlign w:val="center"/>
                </w:tcPr>
                <w:p w14:paraId="15226951">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厂界内（在厂房外设置监控点）</w:t>
                  </w:r>
                </w:p>
              </w:tc>
              <w:tc>
                <w:tcPr>
                  <w:tcW w:w="786" w:type="pct"/>
                  <w:shd w:val="clear" w:color="auto" w:fill="auto"/>
                  <w:vAlign w:val="center"/>
                </w:tcPr>
                <w:p w14:paraId="5A006B0F">
                  <w:pPr>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非甲烷总烃</w:t>
                  </w:r>
                </w:p>
              </w:tc>
              <w:tc>
                <w:tcPr>
                  <w:tcW w:w="680" w:type="pct"/>
                  <w:shd w:val="clear" w:color="auto" w:fill="auto"/>
                  <w:vAlign w:val="center"/>
                </w:tcPr>
                <w:p w14:paraId="0F08C2B8">
                  <w:pPr>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bidi="ar"/>
                    </w:rPr>
                    <w:t>1次/年</w:t>
                  </w:r>
                </w:p>
              </w:tc>
              <w:tc>
                <w:tcPr>
                  <w:tcW w:w="1655" w:type="pct"/>
                  <w:shd w:val="clear" w:color="auto" w:fill="auto"/>
                  <w:vAlign w:val="center"/>
                </w:tcPr>
                <w:p w14:paraId="55454429">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挥发性有机物无组织排放控制标准》（GB</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37822-2019）表A.1厂区内VOCs 无组织排放限值要求</w:t>
                  </w:r>
                </w:p>
              </w:tc>
            </w:tr>
          </w:tbl>
          <w:p w14:paraId="62B8B88E">
            <w:pPr>
              <w:numPr>
                <w:ilvl w:val="0"/>
                <w:numId w:val="0"/>
              </w:numPr>
              <w:adjustRightInd w:val="0"/>
              <w:snapToGrid w:val="0"/>
              <w:spacing w:line="360" w:lineRule="auto"/>
              <w:ind w:firstLine="482" w:firstLineChars="200"/>
              <w:jc w:val="left"/>
              <w:rPr>
                <w:rFonts w:hint="eastAsia"/>
                <w:b/>
                <w:bCs/>
                <w:color w:val="auto"/>
                <w:sz w:val="24"/>
                <w:highlight w:val="none"/>
              </w:rPr>
            </w:pPr>
            <w:r>
              <w:rPr>
                <w:rFonts w:hint="eastAsia" w:ascii="Times New Roman" w:hAnsi="Times New Roman" w:eastAsia="宋体" w:cs="Times New Roman"/>
                <w:b/>
                <w:bCs/>
                <w:color w:val="auto"/>
                <w:kern w:val="2"/>
                <w:sz w:val="24"/>
                <w:szCs w:val="24"/>
                <w:highlight w:val="none"/>
                <w:lang w:val="en-US" w:eastAsia="zh-CN" w:bidi="ar-SA"/>
              </w:rPr>
              <w:t>二、</w:t>
            </w:r>
            <w:r>
              <w:rPr>
                <w:rFonts w:hint="eastAsia"/>
                <w:b/>
                <w:bCs/>
                <w:color w:val="auto"/>
                <w:sz w:val="24"/>
                <w:highlight w:val="none"/>
              </w:rPr>
              <w:t>运营期废水环境影响和保护措施</w:t>
            </w:r>
          </w:p>
          <w:p w14:paraId="7B8341AE">
            <w:pPr>
              <w:spacing w:line="360" w:lineRule="auto"/>
              <w:ind w:firstLine="482" w:firstLineChars="200"/>
              <w:rPr>
                <w:rFonts w:hAnsi="宋体" w:cs="宋体"/>
                <w:b/>
                <w:color w:val="auto"/>
                <w:sz w:val="24"/>
                <w:highlight w:val="none"/>
              </w:rPr>
            </w:pPr>
            <w:r>
              <w:rPr>
                <w:rFonts w:hint="eastAsia" w:hAnsi="宋体" w:cs="宋体"/>
                <w:b/>
                <w:color w:val="auto"/>
                <w:sz w:val="24"/>
                <w:highlight w:val="none"/>
              </w:rPr>
              <w:t>1、</w:t>
            </w:r>
            <w:r>
              <w:rPr>
                <w:rFonts w:hint="eastAsia"/>
                <w:b/>
                <w:bCs/>
                <w:color w:val="auto"/>
                <w:sz w:val="24"/>
                <w:highlight w:val="none"/>
              </w:rPr>
              <w:t>污染源源强核算</w:t>
            </w:r>
          </w:p>
          <w:p w14:paraId="3FF78389">
            <w:pPr>
              <w:adjustRightInd w:val="0"/>
              <w:snapToGrid w:val="0"/>
              <w:spacing w:line="360" w:lineRule="auto"/>
              <w:ind w:firstLine="480" w:firstLineChars="200"/>
              <w:rPr>
                <w:rFonts w:hint="eastAsia"/>
                <w:bCs/>
                <w:color w:val="auto"/>
                <w:sz w:val="24"/>
                <w:highlight w:val="none"/>
              </w:rPr>
            </w:pPr>
            <w:r>
              <w:rPr>
                <w:rFonts w:hint="eastAsia"/>
                <w:bCs/>
                <w:color w:val="auto"/>
                <w:sz w:val="24"/>
                <w:highlight w:val="none"/>
              </w:rPr>
              <w:t>本项目废水主要为生产废水</w:t>
            </w:r>
            <w:r>
              <w:rPr>
                <w:rFonts w:hint="eastAsia"/>
                <w:bCs/>
                <w:color w:val="auto"/>
                <w:sz w:val="24"/>
                <w:highlight w:val="none"/>
                <w:lang w:eastAsia="zh-CN"/>
              </w:rPr>
              <w:t>、</w:t>
            </w:r>
            <w:r>
              <w:rPr>
                <w:rFonts w:hint="eastAsia"/>
                <w:bCs/>
                <w:color w:val="auto"/>
                <w:sz w:val="24"/>
                <w:highlight w:val="none"/>
                <w:lang w:val="en-US" w:eastAsia="zh-CN"/>
              </w:rPr>
              <w:t>生活污水</w:t>
            </w:r>
            <w:r>
              <w:rPr>
                <w:rFonts w:hint="eastAsia"/>
                <w:bCs/>
                <w:color w:val="auto"/>
                <w:sz w:val="24"/>
                <w:highlight w:val="none"/>
              </w:rPr>
              <w:t>。</w:t>
            </w:r>
          </w:p>
          <w:p w14:paraId="3543E3A3">
            <w:pPr>
              <w:adjustRightInd w:val="0"/>
              <w:snapToGrid w:val="0"/>
              <w:spacing w:line="360" w:lineRule="auto"/>
              <w:ind w:firstLine="482" w:firstLineChars="200"/>
              <w:rPr>
                <w:rFonts w:hint="eastAsia"/>
                <w:b/>
                <w:bCs/>
                <w:color w:val="auto"/>
                <w:kern w:val="24"/>
                <w:sz w:val="24"/>
                <w:highlight w:val="none"/>
              </w:rPr>
            </w:pPr>
            <w:r>
              <w:rPr>
                <w:rFonts w:hint="eastAsia"/>
                <w:b/>
                <w:bCs/>
                <w:color w:val="auto"/>
                <w:kern w:val="24"/>
                <w:sz w:val="24"/>
                <w:highlight w:val="none"/>
                <w:lang w:val="en-US" w:eastAsia="zh-CN"/>
              </w:rPr>
              <w:t>1.1</w:t>
            </w:r>
            <w:r>
              <w:rPr>
                <w:rFonts w:hint="eastAsia"/>
                <w:b/>
                <w:bCs/>
                <w:color w:val="auto"/>
                <w:kern w:val="24"/>
                <w:sz w:val="24"/>
                <w:highlight w:val="none"/>
              </w:rPr>
              <w:t>生产废水</w:t>
            </w:r>
          </w:p>
          <w:p w14:paraId="0CBCE920">
            <w:pPr>
              <w:adjustRightInd w:val="0"/>
              <w:snapToGrid w:val="0"/>
              <w:spacing w:line="360" w:lineRule="auto"/>
              <w:ind w:firstLine="480" w:firstLineChars="200"/>
              <w:rPr>
                <w:rFonts w:hint="eastAsia"/>
                <w:color w:val="auto"/>
                <w:kern w:val="24"/>
                <w:sz w:val="24"/>
                <w:highlight w:val="none"/>
              </w:rPr>
            </w:pPr>
            <w:r>
              <w:rPr>
                <w:rFonts w:hint="eastAsia"/>
                <w:color w:val="auto"/>
                <w:kern w:val="24"/>
                <w:sz w:val="24"/>
                <w:highlight w:val="none"/>
              </w:rPr>
              <w:t>本项目生产废水为生产车间设备间接冷却水，不与物料直接接触，循环使用定期补充，不外排。</w:t>
            </w:r>
          </w:p>
          <w:p w14:paraId="0939E6FD">
            <w:pPr>
              <w:adjustRightInd w:val="0"/>
              <w:snapToGrid w:val="0"/>
              <w:spacing w:line="360" w:lineRule="auto"/>
              <w:ind w:firstLine="482" w:firstLineChars="200"/>
              <w:jc w:val="left"/>
              <w:rPr>
                <w:rFonts w:hint="eastAsia"/>
                <w:b/>
                <w:bCs/>
                <w:color w:val="auto"/>
                <w:kern w:val="24"/>
                <w:sz w:val="24"/>
                <w:highlight w:val="none"/>
              </w:rPr>
            </w:pPr>
            <w:r>
              <w:rPr>
                <w:rFonts w:hint="eastAsia"/>
                <w:b/>
                <w:bCs/>
                <w:color w:val="auto"/>
                <w:kern w:val="24"/>
                <w:sz w:val="24"/>
                <w:highlight w:val="none"/>
              </w:rPr>
              <w:t>1.2生活污水</w:t>
            </w:r>
          </w:p>
          <w:p w14:paraId="6616B5AC">
            <w:pPr>
              <w:adjustRightInd w:val="0"/>
              <w:snapToGrid w:val="0"/>
              <w:spacing w:line="360" w:lineRule="auto"/>
              <w:ind w:firstLine="480" w:firstLineChars="200"/>
              <w:jc w:val="left"/>
              <w:rPr>
                <w:rFonts w:hint="eastAsia"/>
                <w:color w:val="auto"/>
                <w:kern w:val="24"/>
                <w:sz w:val="24"/>
                <w:highlight w:val="none"/>
              </w:rPr>
            </w:pPr>
            <w:r>
              <w:rPr>
                <w:rFonts w:hint="eastAsia"/>
                <w:color w:val="auto"/>
                <w:kern w:val="24"/>
                <w:sz w:val="24"/>
                <w:highlight w:val="none"/>
              </w:rPr>
              <w:t>根据项目水平衡计算，本项目建成后有劳动定员</w:t>
            </w:r>
            <w:r>
              <w:rPr>
                <w:rFonts w:hint="eastAsia"/>
                <w:color w:val="auto"/>
                <w:kern w:val="24"/>
                <w:sz w:val="24"/>
                <w:highlight w:val="none"/>
                <w:lang w:val="en-US" w:eastAsia="zh-CN"/>
              </w:rPr>
              <w:t>35</w:t>
            </w:r>
            <w:r>
              <w:rPr>
                <w:rFonts w:hint="eastAsia"/>
                <w:color w:val="auto"/>
                <w:kern w:val="24"/>
                <w:sz w:val="24"/>
                <w:highlight w:val="none"/>
              </w:rPr>
              <w:t>人，均不在厂区食宿。根据《云南省地方标准 用水定额》（DB53/T</w:t>
            </w:r>
            <w:r>
              <w:rPr>
                <w:rFonts w:hint="eastAsia"/>
                <w:color w:val="auto"/>
                <w:kern w:val="24"/>
                <w:sz w:val="24"/>
                <w:highlight w:val="none"/>
                <w:lang w:val="en-US" w:eastAsia="zh-CN"/>
              </w:rPr>
              <w:t xml:space="preserve"> </w:t>
            </w:r>
            <w:r>
              <w:rPr>
                <w:rFonts w:hint="eastAsia"/>
                <w:color w:val="auto"/>
                <w:kern w:val="24"/>
                <w:sz w:val="24"/>
                <w:highlight w:val="none"/>
              </w:rPr>
              <w:t>168-2019）标准，本项目工作人员用水量按100L/人.d计，年工作时间300天，则项目职工生活用水量为3.5m³/d、1050m³/a。生活污水产生量按用水量的80%计算，则生活污水产生量为2.8m³/d、840m³/a。</w:t>
            </w:r>
          </w:p>
          <w:p w14:paraId="3E5C2CBD">
            <w:pPr>
              <w:adjustRightInd w:val="0"/>
              <w:snapToGrid w:val="0"/>
              <w:spacing w:line="360" w:lineRule="auto"/>
              <w:ind w:firstLine="480" w:firstLineChars="200"/>
              <w:jc w:val="left"/>
              <w:rPr>
                <w:rFonts w:hint="eastAsia"/>
                <w:color w:val="auto"/>
                <w:sz w:val="24"/>
                <w:highlight w:val="none"/>
                <w:lang w:eastAsia="zh-CN"/>
              </w:rPr>
            </w:pPr>
            <w:r>
              <w:rPr>
                <w:rFonts w:hint="eastAsia"/>
                <w:color w:val="auto"/>
                <w:kern w:val="24"/>
                <w:sz w:val="24"/>
                <w:highlight w:val="none"/>
                <w:lang w:val="en-US" w:eastAsia="zh-CN"/>
              </w:rPr>
              <w:t>项目</w:t>
            </w:r>
            <w:r>
              <w:rPr>
                <w:rFonts w:hint="eastAsia"/>
                <w:color w:val="auto"/>
                <w:kern w:val="24"/>
                <w:sz w:val="24"/>
                <w:highlight w:val="none"/>
              </w:rPr>
              <w:t>办公、生活污水依托云南三缘电缆有限公司化粪池（10m³）处理，处理后满足《污水排入城镇下水道水质标准》（GB/T 31962-2015）表1中A级标准</w:t>
            </w:r>
            <w:r>
              <w:rPr>
                <w:rFonts w:hint="eastAsia"/>
                <w:color w:val="auto"/>
                <w:kern w:val="24"/>
                <w:sz w:val="24"/>
                <w:highlight w:val="none"/>
                <w:lang w:val="en-US" w:eastAsia="zh-CN"/>
              </w:rPr>
              <w:t>后</w:t>
            </w:r>
            <w:r>
              <w:rPr>
                <w:rFonts w:hint="eastAsia"/>
                <w:color w:val="auto"/>
                <w:kern w:val="24"/>
                <w:sz w:val="24"/>
                <w:highlight w:val="none"/>
              </w:rPr>
              <w:t>通过槽罐车运送至玉溪市第</w:t>
            </w:r>
            <w:r>
              <w:rPr>
                <w:rFonts w:hint="eastAsia"/>
                <w:color w:val="auto"/>
                <w:kern w:val="24"/>
                <w:sz w:val="24"/>
                <w:highlight w:val="none"/>
                <w:lang w:val="en-US" w:eastAsia="zh-CN"/>
              </w:rPr>
              <w:t>二</w:t>
            </w:r>
            <w:r>
              <w:rPr>
                <w:rFonts w:hint="eastAsia"/>
                <w:color w:val="auto"/>
                <w:kern w:val="24"/>
                <w:sz w:val="24"/>
                <w:highlight w:val="none"/>
              </w:rPr>
              <w:t>污水处理厂处置</w:t>
            </w:r>
            <w:r>
              <w:rPr>
                <w:rFonts w:hint="eastAsia"/>
                <w:color w:val="auto"/>
                <w:kern w:val="24"/>
                <w:sz w:val="24"/>
                <w:highlight w:val="none"/>
                <w:lang w:eastAsia="zh-CN"/>
              </w:rPr>
              <w:t>，</w:t>
            </w:r>
            <w:r>
              <w:rPr>
                <w:rFonts w:hint="eastAsia"/>
                <w:color w:val="auto"/>
                <w:kern w:val="24"/>
                <w:sz w:val="24"/>
                <w:highlight w:val="none"/>
                <w:lang w:val="en-US" w:eastAsia="zh-CN"/>
              </w:rPr>
              <w:t>不外排</w:t>
            </w:r>
            <w:r>
              <w:rPr>
                <w:rFonts w:hint="eastAsia"/>
                <w:color w:val="auto"/>
                <w:sz w:val="24"/>
                <w:highlight w:val="none"/>
                <w:lang w:eastAsia="zh-CN"/>
              </w:rPr>
              <w:t>。</w:t>
            </w:r>
          </w:p>
          <w:p w14:paraId="5C5D433B">
            <w:pPr>
              <w:pStyle w:val="77"/>
              <w:ind w:firstLine="480"/>
              <w:rPr>
                <w:rFonts w:hint="eastAsia"/>
                <w:color w:val="auto"/>
                <w:kern w:val="24"/>
                <w:sz w:val="24"/>
                <w:highlight w:val="none"/>
                <w:lang w:eastAsia="zh-CN"/>
              </w:rPr>
            </w:pPr>
            <w:r>
              <w:rPr>
                <w:rFonts w:hint="eastAsia"/>
                <w:color w:val="auto"/>
                <w:kern w:val="24"/>
                <w:sz w:val="24"/>
                <w:highlight w:val="none"/>
                <w:lang w:eastAsia="zh-CN"/>
              </w:rPr>
              <w:t>项目建成后</w:t>
            </w:r>
            <w:r>
              <w:rPr>
                <w:rFonts w:hint="eastAsia"/>
                <w:color w:val="auto"/>
                <w:kern w:val="24"/>
                <w:sz w:val="24"/>
                <w:highlight w:val="none"/>
                <w:lang w:val="en-US" w:eastAsia="zh-CN"/>
              </w:rPr>
              <w:t>生活污水</w:t>
            </w:r>
            <w:r>
              <w:rPr>
                <w:rFonts w:hint="eastAsia"/>
                <w:color w:val="auto"/>
                <w:kern w:val="24"/>
                <w:sz w:val="24"/>
                <w:highlight w:val="none"/>
                <w:lang w:eastAsia="zh-CN"/>
              </w:rPr>
              <w:t>产生、排放统计情况</w:t>
            </w:r>
            <w:r>
              <w:rPr>
                <w:rFonts w:hint="eastAsia"/>
                <w:color w:val="auto"/>
                <w:kern w:val="24"/>
                <w:sz w:val="24"/>
                <w:highlight w:val="none"/>
                <w:lang w:val="en-US" w:eastAsia="zh-CN"/>
              </w:rPr>
              <w:t>见下</w:t>
            </w:r>
            <w:r>
              <w:rPr>
                <w:rFonts w:hint="eastAsia"/>
                <w:color w:val="auto"/>
                <w:kern w:val="24"/>
                <w:sz w:val="24"/>
                <w:highlight w:val="none"/>
                <w:lang w:eastAsia="zh-CN"/>
              </w:rPr>
              <w:t>表</w:t>
            </w:r>
            <w:r>
              <w:rPr>
                <w:rFonts w:hint="eastAsia"/>
                <w:color w:val="auto"/>
                <w:kern w:val="24"/>
                <w:sz w:val="24"/>
                <w:highlight w:val="none"/>
                <w:lang w:val="en-US" w:eastAsia="zh-CN"/>
              </w:rPr>
              <w:t>4-11</w:t>
            </w:r>
            <w:r>
              <w:rPr>
                <w:rFonts w:hint="eastAsia"/>
                <w:color w:val="auto"/>
                <w:kern w:val="24"/>
                <w:sz w:val="24"/>
                <w:highlight w:val="none"/>
                <w:lang w:eastAsia="zh-CN"/>
              </w:rPr>
              <w:t>。</w:t>
            </w:r>
          </w:p>
          <w:p w14:paraId="2988163F">
            <w:pPr>
              <w:adjustRightInd w:val="0"/>
              <w:snapToGrid w:val="0"/>
              <w:spacing w:line="360" w:lineRule="auto"/>
              <w:ind w:firstLine="482" w:firstLineChars="200"/>
              <w:jc w:val="center"/>
              <w:rPr>
                <w:b/>
                <w:bCs/>
                <w:color w:val="auto"/>
                <w:kern w:val="24"/>
                <w:sz w:val="24"/>
                <w:highlight w:val="none"/>
              </w:rPr>
            </w:pPr>
            <w:r>
              <w:rPr>
                <w:rFonts w:hint="eastAsia"/>
                <w:b/>
                <w:bCs/>
                <w:color w:val="auto"/>
                <w:kern w:val="24"/>
                <w:sz w:val="24"/>
                <w:highlight w:val="none"/>
              </w:rPr>
              <w:t>表4-</w:t>
            </w:r>
            <w:r>
              <w:rPr>
                <w:rFonts w:hint="eastAsia"/>
                <w:b/>
                <w:bCs/>
                <w:color w:val="auto"/>
                <w:kern w:val="24"/>
                <w:sz w:val="24"/>
                <w:highlight w:val="none"/>
                <w:lang w:val="en-US" w:eastAsia="zh-CN"/>
              </w:rPr>
              <w:t>11</w:t>
            </w:r>
            <w:r>
              <w:rPr>
                <w:rFonts w:hint="eastAsia"/>
                <w:b/>
                <w:bCs/>
                <w:color w:val="auto"/>
                <w:kern w:val="24"/>
                <w:sz w:val="24"/>
                <w:highlight w:val="none"/>
              </w:rPr>
              <w:t xml:space="preserve">  项目建成后生活污水统计情况表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1297"/>
              <w:gridCol w:w="708"/>
              <w:gridCol w:w="864"/>
              <w:gridCol w:w="803"/>
              <w:gridCol w:w="920"/>
              <w:gridCol w:w="738"/>
              <w:gridCol w:w="867"/>
              <w:gridCol w:w="894"/>
            </w:tblGrid>
            <w:tr w14:paraId="5C6D1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pct"/>
                  <w:vMerge w:val="restart"/>
                  <w:vAlign w:val="center"/>
                </w:tcPr>
                <w:p w14:paraId="64CA37DD">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废水量</w:t>
                  </w:r>
                </w:p>
              </w:tc>
              <w:tc>
                <w:tcPr>
                  <w:tcW w:w="784" w:type="pct"/>
                  <w:vMerge w:val="restart"/>
                  <w:vAlign w:val="center"/>
                </w:tcPr>
                <w:p w14:paraId="3CCE1657">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污染物浓度及排放量</w:t>
                  </w:r>
                </w:p>
              </w:tc>
              <w:tc>
                <w:tcPr>
                  <w:tcW w:w="428" w:type="pct"/>
                  <w:vMerge w:val="restart"/>
                  <w:vAlign w:val="center"/>
                </w:tcPr>
                <w:p w14:paraId="493BE783">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单位</w:t>
                  </w:r>
                </w:p>
              </w:tc>
              <w:tc>
                <w:tcPr>
                  <w:tcW w:w="3077" w:type="pct"/>
                  <w:gridSpan w:val="6"/>
                  <w:vAlign w:val="center"/>
                </w:tcPr>
                <w:p w14:paraId="55112110">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w:t>
                  </w:r>
                </w:p>
              </w:tc>
            </w:tr>
            <w:tr w14:paraId="499BC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pct"/>
                  <w:vMerge w:val="continue"/>
                  <w:vAlign w:val="center"/>
                </w:tcPr>
                <w:p w14:paraId="40951340">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rPr>
                  </w:pPr>
                </w:p>
              </w:tc>
              <w:tc>
                <w:tcPr>
                  <w:tcW w:w="784" w:type="pct"/>
                  <w:vMerge w:val="continue"/>
                  <w:vAlign w:val="center"/>
                </w:tcPr>
                <w:p w14:paraId="32105FA8">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rPr>
                  </w:pPr>
                </w:p>
              </w:tc>
              <w:tc>
                <w:tcPr>
                  <w:tcW w:w="428" w:type="pct"/>
                  <w:vMerge w:val="continue"/>
                  <w:vAlign w:val="center"/>
                </w:tcPr>
                <w:p w14:paraId="39328EF7">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rPr>
                  </w:pPr>
                </w:p>
              </w:tc>
              <w:tc>
                <w:tcPr>
                  <w:tcW w:w="522" w:type="pct"/>
                  <w:vAlign w:val="center"/>
                </w:tcPr>
                <w:p w14:paraId="63A378E3">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COD</w:t>
                  </w:r>
                  <w:r>
                    <w:rPr>
                      <w:rFonts w:hint="default" w:ascii="Times New Roman" w:hAnsi="Times New Roman" w:eastAsia="宋体" w:cs="Times New Roman"/>
                      <w:b/>
                      <w:bCs/>
                      <w:color w:val="auto"/>
                      <w:sz w:val="21"/>
                      <w:szCs w:val="21"/>
                      <w:highlight w:val="none"/>
                      <w:vertAlign w:val="subscript"/>
                    </w:rPr>
                    <w:t>cr</w:t>
                  </w:r>
                </w:p>
              </w:tc>
              <w:tc>
                <w:tcPr>
                  <w:tcW w:w="485" w:type="pct"/>
                  <w:vAlign w:val="center"/>
                </w:tcPr>
                <w:p w14:paraId="11619088">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BOD</w:t>
                  </w:r>
                  <w:r>
                    <w:rPr>
                      <w:rFonts w:hint="default" w:ascii="Times New Roman" w:hAnsi="Times New Roman" w:eastAsia="宋体" w:cs="Times New Roman"/>
                      <w:b/>
                      <w:bCs/>
                      <w:color w:val="auto"/>
                      <w:sz w:val="21"/>
                      <w:szCs w:val="21"/>
                      <w:highlight w:val="none"/>
                      <w:vertAlign w:val="subscript"/>
                    </w:rPr>
                    <w:t>5</w:t>
                  </w:r>
                </w:p>
              </w:tc>
              <w:tc>
                <w:tcPr>
                  <w:tcW w:w="556" w:type="pct"/>
                  <w:vAlign w:val="center"/>
                </w:tcPr>
                <w:p w14:paraId="66F272BE">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NH</w:t>
                  </w:r>
                  <w:r>
                    <w:rPr>
                      <w:rFonts w:hint="default" w:ascii="Times New Roman" w:hAnsi="Times New Roman" w:eastAsia="宋体" w:cs="Times New Roman"/>
                      <w:b/>
                      <w:bCs/>
                      <w:color w:val="auto"/>
                      <w:sz w:val="21"/>
                      <w:szCs w:val="21"/>
                      <w:highlight w:val="none"/>
                      <w:vertAlign w:val="subscript"/>
                    </w:rPr>
                    <w:t>3</w:t>
                  </w:r>
                  <w:r>
                    <w:rPr>
                      <w:rFonts w:hint="default" w:ascii="Times New Roman" w:hAnsi="Times New Roman" w:eastAsia="宋体" w:cs="Times New Roman"/>
                      <w:b/>
                      <w:bCs/>
                      <w:color w:val="auto"/>
                      <w:sz w:val="21"/>
                      <w:szCs w:val="21"/>
                      <w:highlight w:val="none"/>
                    </w:rPr>
                    <w:t>-N</w:t>
                  </w:r>
                </w:p>
              </w:tc>
              <w:tc>
                <w:tcPr>
                  <w:tcW w:w="446" w:type="pct"/>
                  <w:vAlign w:val="center"/>
                </w:tcPr>
                <w:p w14:paraId="7E28CBD8">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SS</w:t>
                  </w:r>
                </w:p>
              </w:tc>
              <w:tc>
                <w:tcPr>
                  <w:tcW w:w="524" w:type="pct"/>
                  <w:vAlign w:val="center"/>
                </w:tcPr>
                <w:p w14:paraId="5825B9AD">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TP</w:t>
                  </w:r>
                </w:p>
              </w:tc>
              <w:tc>
                <w:tcPr>
                  <w:tcW w:w="540" w:type="pct"/>
                  <w:vAlign w:val="center"/>
                </w:tcPr>
                <w:p w14:paraId="5502FEB8">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动植</w:t>
                  </w:r>
                </w:p>
                <w:p w14:paraId="17EC923C">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物油</w:t>
                  </w:r>
                </w:p>
              </w:tc>
            </w:tr>
            <w:tr w14:paraId="5D9D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pct"/>
                  <w:vMerge w:val="restart"/>
                  <w:vAlign w:val="center"/>
                </w:tcPr>
                <w:p w14:paraId="1F369CBD">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生活污水</w:t>
                  </w:r>
                  <w:r>
                    <w:rPr>
                      <w:rFonts w:hint="eastAsia" w:ascii="Times New Roman" w:hAnsi="Times New Roman" w:eastAsia="宋体" w:cs="Times New Roman"/>
                      <w:color w:val="auto"/>
                      <w:sz w:val="21"/>
                      <w:szCs w:val="21"/>
                      <w:highlight w:val="none"/>
                      <w:lang w:val="en-US" w:eastAsia="zh-CN"/>
                    </w:rPr>
                    <w:t>产生量：</w:t>
                  </w:r>
                  <w:r>
                    <w:rPr>
                      <w:rFonts w:hint="eastAsia" w:ascii="Times New Roman" w:hAnsi="Times New Roman" w:cs="Times New Roman"/>
                      <w:color w:val="auto"/>
                      <w:sz w:val="21"/>
                      <w:szCs w:val="21"/>
                      <w:highlight w:val="none"/>
                      <w:lang w:val="en-US" w:eastAsia="zh-CN"/>
                    </w:rPr>
                    <w:t>840</w:t>
                  </w:r>
                  <w:r>
                    <w:rPr>
                      <w:rFonts w:hint="eastAsia" w:ascii="Times New Roman" w:hAnsi="Times New Roman" w:eastAsia="宋体" w:cs="Times New Roman"/>
                      <w:color w:val="auto"/>
                      <w:sz w:val="21"/>
                      <w:szCs w:val="21"/>
                      <w:highlight w:val="none"/>
                      <w:lang w:val="en-US" w:eastAsia="zh-CN"/>
                    </w:rPr>
                    <w:t>m³/a</w:t>
                  </w:r>
                </w:p>
                <w:p w14:paraId="0AD627AA">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2.8</w:t>
                  </w:r>
                  <w:r>
                    <w:rPr>
                      <w:rFonts w:hint="eastAsia" w:ascii="Times New Roman" w:hAnsi="Times New Roman" w:eastAsia="宋体" w:cs="Times New Roman"/>
                      <w:color w:val="auto"/>
                      <w:sz w:val="21"/>
                      <w:szCs w:val="21"/>
                      <w:highlight w:val="none"/>
                      <w:lang w:val="en-US" w:eastAsia="zh-CN"/>
                    </w:rPr>
                    <w:t>m³/d</w:t>
                  </w:r>
                </w:p>
              </w:tc>
              <w:tc>
                <w:tcPr>
                  <w:tcW w:w="784" w:type="pct"/>
                  <w:vAlign w:val="center"/>
                </w:tcPr>
                <w:p w14:paraId="54BC5456">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产生浓度</w:t>
                  </w:r>
                </w:p>
              </w:tc>
              <w:tc>
                <w:tcPr>
                  <w:tcW w:w="428" w:type="pct"/>
                  <w:vAlign w:val="center"/>
                </w:tcPr>
                <w:p w14:paraId="57FC4E31">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mg/L</w:t>
                  </w:r>
                </w:p>
              </w:tc>
              <w:tc>
                <w:tcPr>
                  <w:tcW w:w="522" w:type="pct"/>
                  <w:vAlign w:val="center"/>
                </w:tcPr>
                <w:p w14:paraId="05509D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300</w:t>
                  </w:r>
                </w:p>
              </w:tc>
              <w:tc>
                <w:tcPr>
                  <w:tcW w:w="485" w:type="pct"/>
                  <w:vAlign w:val="center"/>
                </w:tcPr>
                <w:p w14:paraId="00BD8A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150</w:t>
                  </w:r>
                </w:p>
              </w:tc>
              <w:tc>
                <w:tcPr>
                  <w:tcW w:w="556" w:type="pct"/>
                  <w:vAlign w:val="center"/>
                </w:tcPr>
                <w:p w14:paraId="026CBC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30</w:t>
                  </w:r>
                </w:p>
              </w:tc>
              <w:tc>
                <w:tcPr>
                  <w:tcW w:w="446" w:type="pct"/>
                  <w:vAlign w:val="center"/>
                </w:tcPr>
                <w:p w14:paraId="20881D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200</w:t>
                  </w:r>
                </w:p>
              </w:tc>
              <w:tc>
                <w:tcPr>
                  <w:tcW w:w="524" w:type="pct"/>
                  <w:vAlign w:val="center"/>
                </w:tcPr>
                <w:p w14:paraId="6927F3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w:t>
                  </w:r>
                </w:p>
              </w:tc>
              <w:tc>
                <w:tcPr>
                  <w:tcW w:w="540" w:type="pct"/>
                  <w:vAlign w:val="center"/>
                </w:tcPr>
                <w:p w14:paraId="32EBF3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20</w:t>
                  </w:r>
                </w:p>
              </w:tc>
            </w:tr>
            <w:tr w14:paraId="31AC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pct"/>
                  <w:vMerge w:val="continue"/>
                  <w:vAlign w:val="center"/>
                </w:tcPr>
                <w:p w14:paraId="69389BE7">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p>
              </w:tc>
              <w:tc>
                <w:tcPr>
                  <w:tcW w:w="784" w:type="pct"/>
                  <w:vAlign w:val="center"/>
                </w:tcPr>
                <w:p w14:paraId="0EB0E67C">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污染物产</w:t>
                  </w:r>
                </w:p>
                <w:p w14:paraId="3BC1E015">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生量</w:t>
                  </w:r>
                </w:p>
              </w:tc>
              <w:tc>
                <w:tcPr>
                  <w:tcW w:w="428" w:type="pct"/>
                  <w:vAlign w:val="center"/>
                </w:tcPr>
                <w:p w14:paraId="17BE6670">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t/a</w:t>
                  </w:r>
                </w:p>
              </w:tc>
              <w:tc>
                <w:tcPr>
                  <w:tcW w:w="522" w:type="pct"/>
                  <w:vAlign w:val="center"/>
                </w:tcPr>
                <w:p w14:paraId="7E6CA4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0.252</w:t>
                  </w:r>
                </w:p>
              </w:tc>
              <w:tc>
                <w:tcPr>
                  <w:tcW w:w="485" w:type="pct"/>
                  <w:vAlign w:val="center"/>
                </w:tcPr>
                <w:p w14:paraId="28E591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0.126</w:t>
                  </w:r>
                </w:p>
              </w:tc>
              <w:tc>
                <w:tcPr>
                  <w:tcW w:w="556" w:type="pct"/>
                  <w:vAlign w:val="center"/>
                </w:tcPr>
                <w:p w14:paraId="0A1BFB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0.025</w:t>
                  </w:r>
                </w:p>
              </w:tc>
              <w:tc>
                <w:tcPr>
                  <w:tcW w:w="446" w:type="pct"/>
                  <w:vAlign w:val="center"/>
                </w:tcPr>
                <w:p w14:paraId="6E9D84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0.168</w:t>
                  </w:r>
                </w:p>
              </w:tc>
              <w:tc>
                <w:tcPr>
                  <w:tcW w:w="524" w:type="pct"/>
                  <w:vAlign w:val="center"/>
                </w:tcPr>
                <w:p w14:paraId="217649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0.005</w:t>
                  </w:r>
                </w:p>
              </w:tc>
              <w:tc>
                <w:tcPr>
                  <w:tcW w:w="540" w:type="pct"/>
                  <w:vAlign w:val="center"/>
                </w:tcPr>
                <w:p w14:paraId="6950F7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0.017</w:t>
                  </w:r>
                </w:p>
              </w:tc>
            </w:tr>
            <w:tr w14:paraId="5690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pct"/>
                  <w:vMerge w:val="continue"/>
                  <w:vAlign w:val="center"/>
                </w:tcPr>
                <w:p w14:paraId="1BD2EC09">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p>
              </w:tc>
              <w:tc>
                <w:tcPr>
                  <w:tcW w:w="784" w:type="pct"/>
                  <w:vAlign w:val="center"/>
                </w:tcPr>
                <w:p w14:paraId="05B5D8B5">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排放浓度</w:t>
                  </w:r>
                </w:p>
              </w:tc>
              <w:tc>
                <w:tcPr>
                  <w:tcW w:w="428" w:type="pct"/>
                  <w:vAlign w:val="center"/>
                </w:tcPr>
                <w:p w14:paraId="2C475D84">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mg/L</w:t>
                  </w:r>
                </w:p>
              </w:tc>
              <w:tc>
                <w:tcPr>
                  <w:tcW w:w="522" w:type="pct"/>
                  <w:vAlign w:val="center"/>
                </w:tcPr>
                <w:p w14:paraId="48DB48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300</w:t>
                  </w:r>
                </w:p>
              </w:tc>
              <w:tc>
                <w:tcPr>
                  <w:tcW w:w="485" w:type="pct"/>
                  <w:vAlign w:val="center"/>
                </w:tcPr>
                <w:p w14:paraId="1F7B1A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150</w:t>
                  </w:r>
                </w:p>
              </w:tc>
              <w:tc>
                <w:tcPr>
                  <w:tcW w:w="556" w:type="pct"/>
                  <w:vAlign w:val="center"/>
                </w:tcPr>
                <w:p w14:paraId="50B53D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30</w:t>
                  </w:r>
                </w:p>
              </w:tc>
              <w:tc>
                <w:tcPr>
                  <w:tcW w:w="446" w:type="pct"/>
                  <w:vAlign w:val="center"/>
                </w:tcPr>
                <w:p w14:paraId="53FABC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200</w:t>
                  </w:r>
                </w:p>
              </w:tc>
              <w:tc>
                <w:tcPr>
                  <w:tcW w:w="524" w:type="pct"/>
                  <w:vAlign w:val="center"/>
                </w:tcPr>
                <w:p w14:paraId="555776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w:t>
                  </w:r>
                </w:p>
              </w:tc>
              <w:tc>
                <w:tcPr>
                  <w:tcW w:w="540" w:type="pct"/>
                  <w:vAlign w:val="center"/>
                </w:tcPr>
                <w:p w14:paraId="2E0EB5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20</w:t>
                  </w:r>
                </w:p>
              </w:tc>
            </w:tr>
            <w:tr w14:paraId="29C71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pct"/>
                  <w:vMerge w:val="continue"/>
                  <w:vAlign w:val="center"/>
                </w:tcPr>
                <w:p w14:paraId="7368E332">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p>
              </w:tc>
              <w:tc>
                <w:tcPr>
                  <w:tcW w:w="784" w:type="pct"/>
                  <w:vAlign w:val="center"/>
                </w:tcPr>
                <w:p w14:paraId="2AC08B32">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污染物排</w:t>
                  </w:r>
                </w:p>
                <w:p w14:paraId="19E0FC7D">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放量</w:t>
                  </w:r>
                </w:p>
              </w:tc>
              <w:tc>
                <w:tcPr>
                  <w:tcW w:w="428" w:type="pct"/>
                  <w:vAlign w:val="center"/>
                </w:tcPr>
                <w:p w14:paraId="6742FCAF">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t/a</w:t>
                  </w:r>
                </w:p>
              </w:tc>
              <w:tc>
                <w:tcPr>
                  <w:tcW w:w="522" w:type="pct"/>
                  <w:shd w:val="clear" w:color="auto" w:fill="auto"/>
                  <w:vAlign w:val="center"/>
                </w:tcPr>
                <w:p w14:paraId="0FE4A5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0.252</w:t>
                  </w:r>
                </w:p>
              </w:tc>
              <w:tc>
                <w:tcPr>
                  <w:tcW w:w="485" w:type="pct"/>
                  <w:shd w:val="clear" w:color="auto" w:fill="auto"/>
                  <w:vAlign w:val="center"/>
                </w:tcPr>
                <w:p w14:paraId="519C0D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0.126</w:t>
                  </w:r>
                </w:p>
              </w:tc>
              <w:tc>
                <w:tcPr>
                  <w:tcW w:w="556" w:type="pct"/>
                  <w:shd w:val="clear" w:color="auto" w:fill="auto"/>
                  <w:vAlign w:val="center"/>
                </w:tcPr>
                <w:p w14:paraId="6ABDFE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0.025</w:t>
                  </w:r>
                </w:p>
              </w:tc>
              <w:tc>
                <w:tcPr>
                  <w:tcW w:w="446" w:type="pct"/>
                  <w:shd w:val="clear" w:color="auto" w:fill="auto"/>
                  <w:vAlign w:val="center"/>
                </w:tcPr>
                <w:p w14:paraId="15E8A7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0.168</w:t>
                  </w:r>
                </w:p>
              </w:tc>
              <w:tc>
                <w:tcPr>
                  <w:tcW w:w="524" w:type="pct"/>
                  <w:shd w:val="clear" w:color="auto" w:fill="auto"/>
                  <w:vAlign w:val="center"/>
                </w:tcPr>
                <w:p w14:paraId="7316FC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0.005</w:t>
                  </w:r>
                </w:p>
              </w:tc>
              <w:tc>
                <w:tcPr>
                  <w:tcW w:w="540" w:type="pct"/>
                  <w:shd w:val="clear" w:color="auto" w:fill="auto"/>
                  <w:vAlign w:val="center"/>
                </w:tcPr>
                <w:p w14:paraId="0CB42C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0.017</w:t>
                  </w:r>
                </w:p>
              </w:tc>
            </w:tr>
            <w:tr w14:paraId="79EF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pct"/>
                  <w:vMerge w:val="continue"/>
                  <w:vAlign w:val="center"/>
                </w:tcPr>
                <w:p w14:paraId="617AA055">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p>
              </w:tc>
              <w:tc>
                <w:tcPr>
                  <w:tcW w:w="784" w:type="pct"/>
                  <w:vAlign w:val="center"/>
                </w:tcPr>
                <w:p w14:paraId="3865C8ED">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处理措施</w:t>
                  </w:r>
                </w:p>
              </w:tc>
              <w:tc>
                <w:tcPr>
                  <w:tcW w:w="3505" w:type="pct"/>
                  <w:gridSpan w:val="7"/>
                  <w:vAlign w:val="center"/>
                </w:tcPr>
                <w:p w14:paraId="5C27E826">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经化粪池预处理后，采用槽罐车外送至玉溪市第二污水处理厂处理</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间接排放</w:t>
                  </w:r>
                  <w:r>
                    <w:rPr>
                      <w:rFonts w:hint="eastAsia" w:ascii="Times New Roman" w:hAnsi="Times New Roman" w:eastAsia="宋体" w:cs="Times New Roman"/>
                      <w:color w:val="auto"/>
                      <w:sz w:val="21"/>
                      <w:szCs w:val="21"/>
                      <w:highlight w:val="none"/>
                      <w:lang w:eastAsia="zh-CN"/>
                    </w:rPr>
                    <w:t>。</w:t>
                  </w:r>
                </w:p>
              </w:tc>
            </w:tr>
            <w:tr w14:paraId="35CF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pct"/>
                  <w:vMerge w:val="continue"/>
                  <w:vAlign w:val="center"/>
                </w:tcPr>
                <w:p w14:paraId="4201AE77">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p>
              </w:tc>
              <w:tc>
                <w:tcPr>
                  <w:tcW w:w="784" w:type="pct"/>
                  <w:vAlign w:val="center"/>
                </w:tcPr>
                <w:p w14:paraId="558EF195">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排放方式</w:t>
                  </w:r>
                </w:p>
              </w:tc>
              <w:tc>
                <w:tcPr>
                  <w:tcW w:w="3505" w:type="pct"/>
                  <w:gridSpan w:val="7"/>
                  <w:vAlign w:val="center"/>
                </w:tcPr>
                <w:p w14:paraId="438C338E">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间接排放</w:t>
                  </w:r>
                </w:p>
              </w:tc>
            </w:tr>
            <w:tr w14:paraId="33CF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pct"/>
                  <w:vMerge w:val="continue"/>
                  <w:vAlign w:val="center"/>
                </w:tcPr>
                <w:p w14:paraId="718C16D0">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p>
              </w:tc>
              <w:tc>
                <w:tcPr>
                  <w:tcW w:w="784" w:type="pct"/>
                  <w:vAlign w:val="center"/>
                </w:tcPr>
                <w:p w14:paraId="26540F04">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排放去向</w:t>
                  </w:r>
                </w:p>
              </w:tc>
              <w:tc>
                <w:tcPr>
                  <w:tcW w:w="3505" w:type="pct"/>
                  <w:gridSpan w:val="7"/>
                  <w:vAlign w:val="center"/>
                </w:tcPr>
                <w:p w14:paraId="4B52EB8B">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玉溪市第二污水处理厂</w:t>
                  </w:r>
                </w:p>
              </w:tc>
            </w:tr>
            <w:tr w14:paraId="0CECA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pct"/>
                  <w:vMerge w:val="continue"/>
                  <w:vAlign w:val="center"/>
                </w:tcPr>
                <w:p w14:paraId="31A5D38D">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p>
              </w:tc>
              <w:tc>
                <w:tcPr>
                  <w:tcW w:w="784" w:type="pct"/>
                  <w:vAlign w:val="center"/>
                </w:tcPr>
                <w:p w14:paraId="41B19E77">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排放标准</w:t>
                  </w:r>
                </w:p>
              </w:tc>
              <w:tc>
                <w:tcPr>
                  <w:tcW w:w="3505" w:type="pct"/>
                  <w:gridSpan w:val="7"/>
                  <w:vAlign w:val="center"/>
                </w:tcPr>
                <w:p w14:paraId="257CB398">
                  <w:pPr>
                    <w:pStyle w:val="7"/>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《污水排入城镇下水道水质标准》（GB/T 31962-2015）表1中A级标准</w:t>
                  </w:r>
                </w:p>
              </w:tc>
            </w:tr>
          </w:tbl>
          <w:p w14:paraId="0E016C6A">
            <w:pPr>
              <w:adjustRightInd w:val="0"/>
              <w:snapToGrid w:val="0"/>
              <w:spacing w:line="360" w:lineRule="auto"/>
              <w:ind w:firstLine="482" w:firstLineChars="200"/>
              <w:jc w:val="center"/>
              <w:rPr>
                <w:b/>
                <w:bCs/>
                <w:color w:val="auto"/>
                <w:kern w:val="24"/>
                <w:sz w:val="24"/>
                <w:highlight w:val="none"/>
              </w:rPr>
            </w:pPr>
            <w:r>
              <w:rPr>
                <w:b/>
                <w:bCs/>
                <w:color w:val="auto"/>
                <w:kern w:val="24"/>
                <w:sz w:val="24"/>
                <w:highlight w:val="none"/>
              </w:rPr>
              <w:t>表</w:t>
            </w:r>
            <w:r>
              <w:rPr>
                <w:rFonts w:hint="eastAsia"/>
                <w:b/>
                <w:bCs/>
                <w:color w:val="auto"/>
                <w:kern w:val="24"/>
                <w:sz w:val="24"/>
                <w:highlight w:val="none"/>
              </w:rPr>
              <w:t>4</w:t>
            </w:r>
            <w:r>
              <w:rPr>
                <w:b/>
                <w:bCs/>
                <w:color w:val="auto"/>
                <w:kern w:val="24"/>
                <w:sz w:val="24"/>
                <w:highlight w:val="none"/>
              </w:rPr>
              <w:t>-</w:t>
            </w:r>
            <w:r>
              <w:rPr>
                <w:rFonts w:hint="eastAsia"/>
                <w:b/>
                <w:bCs/>
                <w:color w:val="auto"/>
                <w:kern w:val="24"/>
                <w:sz w:val="24"/>
                <w:highlight w:val="none"/>
              </w:rPr>
              <w:t>1</w:t>
            </w:r>
            <w:r>
              <w:rPr>
                <w:rFonts w:hint="eastAsia"/>
                <w:b/>
                <w:bCs/>
                <w:color w:val="auto"/>
                <w:kern w:val="24"/>
                <w:sz w:val="24"/>
                <w:highlight w:val="none"/>
                <w:lang w:val="en-US" w:eastAsia="zh-CN"/>
              </w:rPr>
              <w:t>2</w:t>
            </w:r>
            <w:r>
              <w:rPr>
                <w:b/>
                <w:bCs/>
                <w:color w:val="auto"/>
                <w:kern w:val="24"/>
                <w:sz w:val="24"/>
                <w:highlight w:val="none"/>
              </w:rPr>
              <w:t xml:space="preserve">  </w:t>
            </w:r>
            <w:r>
              <w:rPr>
                <w:rFonts w:hint="eastAsia"/>
                <w:b/>
                <w:bCs/>
                <w:color w:val="auto"/>
                <w:kern w:val="24"/>
                <w:sz w:val="24"/>
                <w:highlight w:val="none"/>
              </w:rPr>
              <w:t>废水类别、污染物及污染治理设施信息表</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951"/>
              <w:gridCol w:w="1088"/>
              <w:gridCol w:w="1111"/>
              <w:gridCol w:w="1223"/>
              <w:gridCol w:w="1186"/>
              <w:gridCol w:w="1111"/>
              <w:gridCol w:w="1145"/>
            </w:tblGrid>
            <w:tr w14:paraId="5952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Merge w:val="restart"/>
                  <w:vAlign w:val="center"/>
                </w:tcPr>
                <w:p w14:paraId="67A8DCC5">
                  <w:pPr>
                    <w:adjustRightInd w:val="0"/>
                    <w:snapToGrid w:val="0"/>
                    <w:jc w:val="center"/>
                    <w:rPr>
                      <w:rFonts w:hint="default" w:ascii="Times New Roman" w:hAnsi="Times New Roman" w:eastAsia="宋体" w:cs="Times New Roman"/>
                      <w:b/>
                      <w:bCs/>
                      <w:color w:val="auto"/>
                      <w:kern w:val="24"/>
                      <w:sz w:val="21"/>
                      <w:szCs w:val="21"/>
                      <w:highlight w:val="none"/>
                    </w:rPr>
                  </w:pPr>
                  <w:r>
                    <w:rPr>
                      <w:rFonts w:hint="default" w:ascii="Times New Roman" w:hAnsi="Times New Roman" w:eastAsia="宋体" w:cs="Times New Roman"/>
                      <w:b/>
                      <w:bCs/>
                      <w:color w:val="auto"/>
                      <w:kern w:val="24"/>
                      <w:sz w:val="21"/>
                      <w:szCs w:val="21"/>
                      <w:highlight w:val="none"/>
                    </w:rPr>
                    <w:t>序号</w:t>
                  </w:r>
                </w:p>
              </w:tc>
              <w:tc>
                <w:tcPr>
                  <w:tcW w:w="576" w:type="pct"/>
                  <w:vMerge w:val="restart"/>
                  <w:vAlign w:val="center"/>
                </w:tcPr>
                <w:p w14:paraId="50DE25A2">
                  <w:pPr>
                    <w:adjustRightInd w:val="0"/>
                    <w:snapToGrid w:val="0"/>
                    <w:jc w:val="center"/>
                    <w:rPr>
                      <w:rFonts w:hint="default" w:ascii="Times New Roman" w:hAnsi="Times New Roman" w:eastAsia="宋体" w:cs="Times New Roman"/>
                      <w:b/>
                      <w:bCs/>
                      <w:color w:val="auto"/>
                      <w:kern w:val="24"/>
                      <w:sz w:val="21"/>
                      <w:szCs w:val="21"/>
                      <w:highlight w:val="none"/>
                    </w:rPr>
                  </w:pPr>
                  <w:r>
                    <w:rPr>
                      <w:rFonts w:hint="default" w:ascii="Times New Roman" w:hAnsi="Times New Roman" w:eastAsia="宋体" w:cs="Times New Roman"/>
                      <w:b/>
                      <w:bCs/>
                      <w:color w:val="auto"/>
                      <w:kern w:val="24"/>
                      <w:sz w:val="21"/>
                      <w:szCs w:val="21"/>
                      <w:highlight w:val="none"/>
                    </w:rPr>
                    <w:t>废水</w:t>
                  </w:r>
                </w:p>
                <w:p w14:paraId="542A6F98">
                  <w:pPr>
                    <w:adjustRightInd w:val="0"/>
                    <w:snapToGrid w:val="0"/>
                    <w:jc w:val="center"/>
                    <w:rPr>
                      <w:rFonts w:hint="default" w:ascii="Times New Roman" w:hAnsi="Times New Roman" w:eastAsia="宋体" w:cs="Times New Roman"/>
                      <w:b/>
                      <w:bCs/>
                      <w:color w:val="auto"/>
                      <w:kern w:val="24"/>
                      <w:sz w:val="21"/>
                      <w:szCs w:val="21"/>
                      <w:highlight w:val="none"/>
                    </w:rPr>
                  </w:pPr>
                  <w:r>
                    <w:rPr>
                      <w:rFonts w:hint="default" w:ascii="Times New Roman" w:hAnsi="Times New Roman" w:eastAsia="宋体" w:cs="Times New Roman"/>
                      <w:b/>
                      <w:bCs/>
                      <w:color w:val="auto"/>
                      <w:kern w:val="24"/>
                      <w:sz w:val="21"/>
                      <w:szCs w:val="21"/>
                      <w:highlight w:val="none"/>
                    </w:rPr>
                    <w:t>类别</w:t>
                  </w:r>
                </w:p>
              </w:tc>
              <w:tc>
                <w:tcPr>
                  <w:tcW w:w="658" w:type="pct"/>
                  <w:vMerge w:val="restart"/>
                  <w:vAlign w:val="center"/>
                </w:tcPr>
                <w:p w14:paraId="4BD57C3E">
                  <w:pPr>
                    <w:adjustRightInd w:val="0"/>
                    <w:snapToGrid w:val="0"/>
                    <w:jc w:val="center"/>
                    <w:rPr>
                      <w:rFonts w:hint="default" w:ascii="Times New Roman" w:hAnsi="Times New Roman" w:eastAsia="宋体" w:cs="Times New Roman"/>
                      <w:b/>
                      <w:bCs/>
                      <w:color w:val="auto"/>
                      <w:kern w:val="24"/>
                      <w:sz w:val="21"/>
                      <w:szCs w:val="21"/>
                      <w:highlight w:val="none"/>
                    </w:rPr>
                  </w:pPr>
                  <w:r>
                    <w:rPr>
                      <w:rFonts w:hint="default" w:ascii="Times New Roman" w:hAnsi="Times New Roman" w:eastAsia="宋体" w:cs="Times New Roman"/>
                      <w:b/>
                      <w:bCs/>
                      <w:color w:val="auto"/>
                      <w:kern w:val="24"/>
                      <w:sz w:val="21"/>
                      <w:szCs w:val="21"/>
                      <w:highlight w:val="none"/>
                    </w:rPr>
                    <w:t>污染物</w:t>
                  </w:r>
                </w:p>
                <w:p w14:paraId="7B0807FC">
                  <w:pPr>
                    <w:adjustRightInd w:val="0"/>
                    <w:snapToGrid w:val="0"/>
                    <w:jc w:val="center"/>
                    <w:rPr>
                      <w:rFonts w:hint="default" w:ascii="Times New Roman" w:hAnsi="Times New Roman" w:eastAsia="宋体" w:cs="Times New Roman"/>
                      <w:b/>
                      <w:bCs/>
                      <w:color w:val="auto"/>
                      <w:kern w:val="24"/>
                      <w:sz w:val="21"/>
                      <w:szCs w:val="21"/>
                      <w:highlight w:val="none"/>
                    </w:rPr>
                  </w:pPr>
                  <w:r>
                    <w:rPr>
                      <w:rFonts w:hint="default" w:ascii="Times New Roman" w:hAnsi="Times New Roman" w:eastAsia="宋体" w:cs="Times New Roman"/>
                      <w:b/>
                      <w:bCs/>
                      <w:color w:val="auto"/>
                      <w:kern w:val="24"/>
                      <w:sz w:val="21"/>
                      <w:szCs w:val="21"/>
                      <w:highlight w:val="none"/>
                    </w:rPr>
                    <w:t>种类</w:t>
                  </w:r>
                </w:p>
              </w:tc>
              <w:tc>
                <w:tcPr>
                  <w:tcW w:w="672" w:type="pct"/>
                  <w:vMerge w:val="restart"/>
                  <w:vAlign w:val="center"/>
                </w:tcPr>
                <w:p w14:paraId="7E2752B8">
                  <w:pPr>
                    <w:adjustRightInd w:val="0"/>
                    <w:snapToGrid w:val="0"/>
                    <w:jc w:val="center"/>
                    <w:rPr>
                      <w:rFonts w:hint="default" w:ascii="Times New Roman" w:hAnsi="Times New Roman" w:eastAsia="宋体" w:cs="Times New Roman"/>
                      <w:b/>
                      <w:bCs/>
                      <w:color w:val="auto"/>
                      <w:kern w:val="24"/>
                      <w:sz w:val="21"/>
                      <w:szCs w:val="21"/>
                      <w:highlight w:val="none"/>
                    </w:rPr>
                  </w:pPr>
                  <w:r>
                    <w:rPr>
                      <w:rFonts w:hint="default" w:ascii="Times New Roman" w:hAnsi="Times New Roman" w:eastAsia="宋体" w:cs="Times New Roman"/>
                      <w:b/>
                      <w:bCs/>
                      <w:color w:val="auto"/>
                      <w:kern w:val="24"/>
                      <w:sz w:val="21"/>
                      <w:szCs w:val="21"/>
                      <w:highlight w:val="none"/>
                    </w:rPr>
                    <w:t>排放去向</w:t>
                  </w:r>
                </w:p>
              </w:tc>
              <w:tc>
                <w:tcPr>
                  <w:tcW w:w="739" w:type="pct"/>
                  <w:vMerge w:val="restart"/>
                  <w:vAlign w:val="center"/>
                </w:tcPr>
                <w:p w14:paraId="459D4691">
                  <w:pPr>
                    <w:adjustRightInd w:val="0"/>
                    <w:snapToGrid w:val="0"/>
                    <w:jc w:val="center"/>
                    <w:rPr>
                      <w:rFonts w:hint="default" w:ascii="Times New Roman" w:hAnsi="Times New Roman" w:eastAsia="宋体" w:cs="Times New Roman"/>
                      <w:b/>
                      <w:bCs/>
                      <w:color w:val="auto"/>
                      <w:kern w:val="24"/>
                      <w:sz w:val="21"/>
                      <w:szCs w:val="21"/>
                      <w:highlight w:val="none"/>
                    </w:rPr>
                  </w:pPr>
                  <w:r>
                    <w:rPr>
                      <w:rFonts w:hint="default" w:ascii="Times New Roman" w:hAnsi="Times New Roman" w:eastAsia="宋体" w:cs="Times New Roman"/>
                      <w:b/>
                      <w:bCs/>
                      <w:color w:val="auto"/>
                      <w:kern w:val="24"/>
                      <w:sz w:val="21"/>
                      <w:szCs w:val="21"/>
                      <w:highlight w:val="none"/>
                    </w:rPr>
                    <w:t>排放规律</w:t>
                  </w:r>
                </w:p>
              </w:tc>
              <w:tc>
                <w:tcPr>
                  <w:tcW w:w="2081" w:type="pct"/>
                  <w:gridSpan w:val="3"/>
                  <w:vAlign w:val="center"/>
                </w:tcPr>
                <w:p w14:paraId="3DA90DE8">
                  <w:pPr>
                    <w:adjustRightInd w:val="0"/>
                    <w:snapToGrid w:val="0"/>
                    <w:jc w:val="center"/>
                    <w:rPr>
                      <w:rFonts w:hint="default" w:ascii="Times New Roman" w:hAnsi="Times New Roman" w:eastAsia="宋体" w:cs="Times New Roman"/>
                      <w:b/>
                      <w:bCs/>
                      <w:color w:val="auto"/>
                      <w:kern w:val="24"/>
                      <w:sz w:val="21"/>
                      <w:szCs w:val="21"/>
                      <w:highlight w:val="none"/>
                    </w:rPr>
                  </w:pPr>
                  <w:r>
                    <w:rPr>
                      <w:rFonts w:hint="default" w:ascii="Times New Roman" w:hAnsi="Times New Roman" w:eastAsia="宋体" w:cs="Times New Roman"/>
                      <w:b/>
                      <w:bCs/>
                      <w:color w:val="auto"/>
                      <w:kern w:val="24"/>
                      <w:sz w:val="21"/>
                      <w:szCs w:val="21"/>
                      <w:highlight w:val="none"/>
                    </w:rPr>
                    <w:t>污染治理设施</w:t>
                  </w:r>
                </w:p>
              </w:tc>
            </w:tr>
            <w:tr w14:paraId="1EA09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Merge w:val="continue"/>
                  <w:vAlign w:val="center"/>
                </w:tcPr>
                <w:p w14:paraId="471BF2FD">
                  <w:pPr>
                    <w:adjustRightInd w:val="0"/>
                    <w:snapToGrid w:val="0"/>
                    <w:jc w:val="center"/>
                    <w:rPr>
                      <w:rFonts w:hint="default" w:ascii="Times New Roman" w:hAnsi="Times New Roman" w:eastAsia="宋体" w:cs="Times New Roman"/>
                      <w:b/>
                      <w:bCs/>
                      <w:color w:val="auto"/>
                      <w:kern w:val="24"/>
                      <w:sz w:val="21"/>
                      <w:szCs w:val="21"/>
                      <w:highlight w:val="none"/>
                    </w:rPr>
                  </w:pPr>
                </w:p>
              </w:tc>
              <w:tc>
                <w:tcPr>
                  <w:tcW w:w="576" w:type="pct"/>
                  <w:vMerge w:val="continue"/>
                  <w:vAlign w:val="center"/>
                </w:tcPr>
                <w:p w14:paraId="16459E9E">
                  <w:pPr>
                    <w:adjustRightInd w:val="0"/>
                    <w:snapToGrid w:val="0"/>
                    <w:jc w:val="center"/>
                    <w:rPr>
                      <w:rFonts w:hint="default" w:ascii="Times New Roman" w:hAnsi="Times New Roman" w:eastAsia="宋体" w:cs="Times New Roman"/>
                      <w:b/>
                      <w:bCs/>
                      <w:color w:val="auto"/>
                      <w:kern w:val="24"/>
                      <w:sz w:val="21"/>
                      <w:szCs w:val="21"/>
                      <w:highlight w:val="none"/>
                    </w:rPr>
                  </w:pPr>
                </w:p>
              </w:tc>
              <w:tc>
                <w:tcPr>
                  <w:tcW w:w="658" w:type="pct"/>
                  <w:vMerge w:val="continue"/>
                  <w:vAlign w:val="center"/>
                </w:tcPr>
                <w:p w14:paraId="07E2CA8D">
                  <w:pPr>
                    <w:adjustRightInd w:val="0"/>
                    <w:snapToGrid w:val="0"/>
                    <w:jc w:val="center"/>
                    <w:rPr>
                      <w:rFonts w:hint="default" w:ascii="Times New Roman" w:hAnsi="Times New Roman" w:eastAsia="宋体" w:cs="Times New Roman"/>
                      <w:b/>
                      <w:bCs/>
                      <w:color w:val="auto"/>
                      <w:kern w:val="24"/>
                      <w:sz w:val="21"/>
                      <w:szCs w:val="21"/>
                      <w:highlight w:val="none"/>
                    </w:rPr>
                  </w:pPr>
                </w:p>
              </w:tc>
              <w:tc>
                <w:tcPr>
                  <w:tcW w:w="672" w:type="pct"/>
                  <w:vMerge w:val="continue"/>
                  <w:vAlign w:val="center"/>
                </w:tcPr>
                <w:p w14:paraId="22812AB6">
                  <w:pPr>
                    <w:adjustRightInd w:val="0"/>
                    <w:snapToGrid w:val="0"/>
                    <w:jc w:val="center"/>
                    <w:rPr>
                      <w:rFonts w:hint="default" w:ascii="Times New Roman" w:hAnsi="Times New Roman" w:eastAsia="宋体" w:cs="Times New Roman"/>
                      <w:b/>
                      <w:bCs/>
                      <w:color w:val="auto"/>
                      <w:kern w:val="24"/>
                      <w:sz w:val="21"/>
                      <w:szCs w:val="21"/>
                      <w:highlight w:val="none"/>
                    </w:rPr>
                  </w:pPr>
                </w:p>
              </w:tc>
              <w:tc>
                <w:tcPr>
                  <w:tcW w:w="739" w:type="pct"/>
                  <w:vMerge w:val="continue"/>
                  <w:vAlign w:val="center"/>
                </w:tcPr>
                <w:p w14:paraId="50505764">
                  <w:pPr>
                    <w:adjustRightInd w:val="0"/>
                    <w:snapToGrid w:val="0"/>
                    <w:jc w:val="center"/>
                    <w:rPr>
                      <w:rFonts w:hint="default" w:ascii="Times New Roman" w:hAnsi="Times New Roman" w:eastAsia="宋体" w:cs="Times New Roman"/>
                      <w:b/>
                      <w:bCs/>
                      <w:color w:val="auto"/>
                      <w:kern w:val="24"/>
                      <w:sz w:val="21"/>
                      <w:szCs w:val="21"/>
                      <w:highlight w:val="none"/>
                    </w:rPr>
                  </w:pPr>
                </w:p>
              </w:tc>
              <w:tc>
                <w:tcPr>
                  <w:tcW w:w="717" w:type="pct"/>
                  <w:vAlign w:val="center"/>
                </w:tcPr>
                <w:p w14:paraId="353577E9">
                  <w:pPr>
                    <w:adjustRightInd w:val="0"/>
                    <w:snapToGrid w:val="0"/>
                    <w:jc w:val="center"/>
                    <w:rPr>
                      <w:rFonts w:hint="default" w:ascii="Times New Roman" w:hAnsi="Times New Roman" w:eastAsia="宋体" w:cs="Times New Roman"/>
                      <w:b/>
                      <w:bCs/>
                      <w:color w:val="auto"/>
                      <w:kern w:val="24"/>
                      <w:sz w:val="21"/>
                      <w:szCs w:val="21"/>
                      <w:highlight w:val="none"/>
                    </w:rPr>
                  </w:pPr>
                  <w:r>
                    <w:rPr>
                      <w:rFonts w:hint="default" w:ascii="Times New Roman" w:hAnsi="Times New Roman" w:eastAsia="宋体" w:cs="Times New Roman"/>
                      <w:b/>
                      <w:bCs/>
                      <w:color w:val="auto"/>
                      <w:kern w:val="24"/>
                      <w:sz w:val="21"/>
                      <w:szCs w:val="21"/>
                      <w:highlight w:val="none"/>
                    </w:rPr>
                    <w:t>污染治理类型设施编号</w:t>
                  </w:r>
                </w:p>
              </w:tc>
              <w:tc>
                <w:tcPr>
                  <w:tcW w:w="672" w:type="pct"/>
                  <w:vAlign w:val="center"/>
                </w:tcPr>
                <w:p w14:paraId="5F4604A7">
                  <w:pPr>
                    <w:adjustRightInd w:val="0"/>
                    <w:snapToGrid w:val="0"/>
                    <w:jc w:val="center"/>
                    <w:rPr>
                      <w:rFonts w:hint="default" w:ascii="Times New Roman" w:hAnsi="Times New Roman" w:eastAsia="宋体" w:cs="Times New Roman"/>
                      <w:b/>
                      <w:bCs/>
                      <w:color w:val="auto"/>
                      <w:kern w:val="24"/>
                      <w:sz w:val="21"/>
                      <w:szCs w:val="21"/>
                      <w:highlight w:val="none"/>
                    </w:rPr>
                  </w:pPr>
                  <w:r>
                    <w:rPr>
                      <w:rFonts w:hint="default" w:ascii="Times New Roman" w:hAnsi="Times New Roman" w:eastAsia="宋体" w:cs="Times New Roman"/>
                      <w:b/>
                      <w:bCs/>
                      <w:color w:val="auto"/>
                      <w:kern w:val="24"/>
                      <w:sz w:val="21"/>
                      <w:szCs w:val="21"/>
                      <w:highlight w:val="none"/>
                    </w:rPr>
                    <w:t>污染治理设施名称</w:t>
                  </w:r>
                </w:p>
              </w:tc>
              <w:tc>
                <w:tcPr>
                  <w:tcW w:w="691" w:type="pct"/>
                  <w:vAlign w:val="center"/>
                </w:tcPr>
                <w:p w14:paraId="1C2D60CC">
                  <w:pPr>
                    <w:adjustRightInd w:val="0"/>
                    <w:snapToGrid w:val="0"/>
                    <w:jc w:val="center"/>
                    <w:rPr>
                      <w:rFonts w:hint="default" w:ascii="Times New Roman" w:hAnsi="Times New Roman" w:eastAsia="宋体" w:cs="Times New Roman"/>
                      <w:b/>
                      <w:bCs/>
                      <w:color w:val="auto"/>
                      <w:kern w:val="24"/>
                      <w:sz w:val="21"/>
                      <w:szCs w:val="21"/>
                      <w:highlight w:val="none"/>
                    </w:rPr>
                  </w:pPr>
                  <w:r>
                    <w:rPr>
                      <w:rFonts w:hint="default" w:ascii="Times New Roman" w:hAnsi="Times New Roman" w:eastAsia="宋体" w:cs="Times New Roman"/>
                      <w:b/>
                      <w:bCs/>
                      <w:color w:val="auto"/>
                      <w:kern w:val="24"/>
                      <w:sz w:val="21"/>
                      <w:szCs w:val="21"/>
                      <w:highlight w:val="none"/>
                    </w:rPr>
                    <w:t>污染治理设施工艺</w:t>
                  </w:r>
                </w:p>
              </w:tc>
            </w:tr>
            <w:tr w14:paraId="31AD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Align w:val="center"/>
                </w:tcPr>
                <w:p w14:paraId="11418604">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1</w:t>
                  </w:r>
                </w:p>
              </w:tc>
              <w:tc>
                <w:tcPr>
                  <w:tcW w:w="576" w:type="pct"/>
                  <w:vAlign w:val="center"/>
                </w:tcPr>
                <w:p w14:paraId="4E6673CE">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生活</w:t>
                  </w:r>
                </w:p>
                <w:p w14:paraId="19BF0246">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污水</w:t>
                  </w:r>
                </w:p>
              </w:tc>
              <w:tc>
                <w:tcPr>
                  <w:tcW w:w="658" w:type="pct"/>
                  <w:vAlign w:val="center"/>
                </w:tcPr>
                <w:p w14:paraId="4FC70175">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sz w:val="21"/>
                      <w:szCs w:val="21"/>
                      <w:highlight w:val="none"/>
                    </w:rPr>
                    <w:t>COD</w:t>
                  </w:r>
                  <w:r>
                    <w:rPr>
                      <w:rFonts w:hint="default" w:ascii="Times New Roman" w:hAnsi="Times New Roman" w:eastAsia="宋体" w:cs="Times New Roman"/>
                      <w:color w:val="auto"/>
                      <w:sz w:val="21"/>
                      <w:szCs w:val="21"/>
                      <w:highlight w:val="none"/>
                      <w:vertAlign w:val="subscript"/>
                    </w:rPr>
                    <w:t>cr</w:t>
                  </w:r>
                  <w:r>
                    <w:rPr>
                      <w:rFonts w:hint="default" w:ascii="Times New Roman" w:hAnsi="Times New Roman" w:eastAsia="宋体" w:cs="Times New Roman"/>
                      <w:color w:val="auto"/>
                      <w:sz w:val="21"/>
                      <w:szCs w:val="21"/>
                      <w:highlight w:val="none"/>
                    </w:rPr>
                    <w:t>、BOD</w:t>
                  </w:r>
                  <w:r>
                    <w:rPr>
                      <w:rFonts w:hint="default" w:ascii="Times New Roman" w:hAnsi="Times New Roman" w:eastAsia="宋体" w:cs="Times New Roman"/>
                      <w:color w:val="auto"/>
                      <w:sz w:val="21"/>
                      <w:szCs w:val="21"/>
                      <w:highlight w:val="none"/>
                      <w:vertAlign w:val="subscript"/>
                    </w:rPr>
                    <w:t>5</w:t>
                  </w:r>
                  <w:r>
                    <w:rPr>
                      <w:rFonts w:hint="default" w:ascii="Times New Roman" w:hAnsi="Times New Roman" w:eastAsia="宋体" w:cs="Times New Roman"/>
                      <w:color w:val="auto"/>
                      <w:sz w:val="21"/>
                      <w:szCs w:val="21"/>
                      <w:highlight w:val="none"/>
                    </w:rPr>
                    <w:t>、NH</w:t>
                  </w:r>
                  <w:r>
                    <w:rPr>
                      <w:rFonts w:hint="default" w:ascii="Times New Roman" w:hAnsi="Times New Roman" w:eastAsia="宋体" w:cs="Times New Roman"/>
                      <w:color w:val="auto"/>
                      <w:sz w:val="21"/>
                      <w:szCs w:val="21"/>
                      <w:highlight w:val="none"/>
                      <w:vertAlign w:val="subscript"/>
                    </w:rPr>
                    <w:t>3</w:t>
                  </w:r>
                  <w:r>
                    <w:rPr>
                      <w:rFonts w:hint="default" w:ascii="Times New Roman" w:hAnsi="Times New Roman" w:eastAsia="宋体" w:cs="Times New Roman"/>
                      <w:color w:val="auto"/>
                      <w:sz w:val="21"/>
                      <w:szCs w:val="21"/>
                      <w:highlight w:val="none"/>
                    </w:rPr>
                    <w:t>-N、SS、TP、动植物油</w:t>
                  </w:r>
                </w:p>
              </w:tc>
              <w:tc>
                <w:tcPr>
                  <w:tcW w:w="672" w:type="pct"/>
                  <w:vAlign w:val="center"/>
                </w:tcPr>
                <w:p w14:paraId="208FD107">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玉溪市第二污水处理厂</w:t>
                  </w:r>
                </w:p>
              </w:tc>
              <w:tc>
                <w:tcPr>
                  <w:tcW w:w="739" w:type="pct"/>
                  <w:vAlign w:val="center"/>
                </w:tcPr>
                <w:p w14:paraId="4852C61F">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间歇排放，流量不稳定，但有周期性规律</w:t>
                  </w:r>
                </w:p>
              </w:tc>
              <w:tc>
                <w:tcPr>
                  <w:tcW w:w="717" w:type="pct"/>
                  <w:vAlign w:val="center"/>
                </w:tcPr>
                <w:p w14:paraId="2A875F2A">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TW001</w:t>
                  </w:r>
                </w:p>
              </w:tc>
              <w:tc>
                <w:tcPr>
                  <w:tcW w:w="672" w:type="pct"/>
                  <w:vAlign w:val="center"/>
                </w:tcPr>
                <w:p w14:paraId="265AA82C">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化粪池</w:t>
                  </w:r>
                </w:p>
              </w:tc>
              <w:tc>
                <w:tcPr>
                  <w:tcW w:w="691" w:type="pct"/>
                  <w:vAlign w:val="center"/>
                </w:tcPr>
                <w:p w14:paraId="7EF2789F">
                  <w:pPr>
                    <w:adjustRightInd w:val="0"/>
                    <w:snapToGrid w:val="0"/>
                    <w:jc w:val="center"/>
                    <w:rPr>
                      <w:rFonts w:hint="eastAsia" w:ascii="Times New Roman" w:hAnsi="Times New Roman" w:eastAsia="宋体" w:cs="Times New Roman"/>
                      <w:color w:val="auto"/>
                      <w:kern w:val="24"/>
                      <w:sz w:val="21"/>
                      <w:szCs w:val="21"/>
                      <w:highlight w:val="none"/>
                      <w:lang w:val="en-US" w:eastAsia="zh-CN"/>
                    </w:rPr>
                  </w:pPr>
                  <w:r>
                    <w:rPr>
                      <w:rFonts w:hint="eastAsia" w:ascii="Times New Roman" w:hAnsi="Times New Roman" w:cs="Times New Roman"/>
                      <w:color w:val="auto"/>
                      <w:kern w:val="24"/>
                      <w:sz w:val="21"/>
                      <w:szCs w:val="21"/>
                      <w:highlight w:val="none"/>
                      <w:lang w:val="en-US" w:eastAsia="zh-CN"/>
                    </w:rPr>
                    <w:t>沉淀+</w:t>
                  </w:r>
                  <w:r>
                    <w:rPr>
                      <w:rFonts w:hint="default" w:ascii="Times New Roman" w:hAnsi="Times New Roman" w:eastAsia="宋体" w:cs="Times New Roman"/>
                      <w:color w:val="auto"/>
                      <w:kern w:val="24"/>
                      <w:sz w:val="21"/>
                      <w:szCs w:val="21"/>
                      <w:highlight w:val="none"/>
                    </w:rPr>
                    <w:t>化厌氧</w:t>
                  </w:r>
                  <w:r>
                    <w:rPr>
                      <w:rFonts w:hint="eastAsia" w:ascii="Times New Roman" w:hAnsi="Times New Roman" w:cs="Times New Roman"/>
                      <w:color w:val="auto"/>
                      <w:kern w:val="24"/>
                      <w:sz w:val="21"/>
                      <w:szCs w:val="21"/>
                      <w:highlight w:val="none"/>
                      <w:lang w:val="en-US" w:eastAsia="zh-CN"/>
                    </w:rPr>
                    <w:t>发酵</w:t>
                  </w:r>
                </w:p>
              </w:tc>
            </w:tr>
            <w:tr w14:paraId="32B57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Align w:val="center"/>
                </w:tcPr>
                <w:p w14:paraId="55EC233F">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2</w:t>
                  </w:r>
                </w:p>
              </w:tc>
              <w:tc>
                <w:tcPr>
                  <w:tcW w:w="576" w:type="pct"/>
                  <w:vAlign w:val="center"/>
                </w:tcPr>
                <w:p w14:paraId="5F110A1E">
                  <w:pPr>
                    <w:adjustRightInd w:val="0"/>
                    <w:snapToGrid w:val="0"/>
                    <w:jc w:val="center"/>
                    <w:rPr>
                      <w:rFonts w:hint="default" w:ascii="Times New Roman" w:hAnsi="Times New Roman" w:eastAsia="宋体" w:cs="Times New Roman"/>
                      <w:color w:val="auto"/>
                      <w:kern w:val="24"/>
                      <w:sz w:val="21"/>
                      <w:szCs w:val="21"/>
                      <w:highlight w:val="none"/>
                    </w:rPr>
                  </w:pPr>
                  <w:r>
                    <w:rPr>
                      <w:rFonts w:hint="eastAsia" w:ascii="Times New Roman" w:hAnsi="Times New Roman" w:eastAsia="宋体" w:cs="Times New Roman"/>
                      <w:color w:val="auto"/>
                      <w:kern w:val="24"/>
                      <w:sz w:val="21"/>
                      <w:szCs w:val="21"/>
                      <w:highlight w:val="none"/>
                      <w:lang w:val="en-US" w:eastAsia="zh-CN"/>
                    </w:rPr>
                    <w:t>循环</w:t>
                  </w:r>
                  <w:r>
                    <w:rPr>
                      <w:rFonts w:hint="default" w:ascii="Times New Roman" w:hAnsi="Times New Roman" w:eastAsia="宋体" w:cs="Times New Roman"/>
                      <w:color w:val="auto"/>
                      <w:kern w:val="24"/>
                      <w:sz w:val="21"/>
                      <w:szCs w:val="21"/>
                      <w:highlight w:val="none"/>
                    </w:rPr>
                    <w:t>冷却水</w:t>
                  </w:r>
                </w:p>
              </w:tc>
              <w:tc>
                <w:tcPr>
                  <w:tcW w:w="658" w:type="pct"/>
                  <w:vAlign w:val="center"/>
                </w:tcPr>
                <w:p w14:paraId="2BBDFFC2">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sz w:val="21"/>
                      <w:szCs w:val="21"/>
                      <w:highlight w:val="none"/>
                    </w:rPr>
                    <w:t>SS</w:t>
                  </w:r>
                </w:p>
              </w:tc>
              <w:tc>
                <w:tcPr>
                  <w:tcW w:w="672" w:type="pct"/>
                  <w:vAlign w:val="center"/>
                </w:tcPr>
                <w:p w14:paraId="33098DAB">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循环使用</w:t>
                  </w:r>
                  <w:r>
                    <w:rPr>
                      <w:rFonts w:hint="eastAsia" w:ascii="Times New Roman" w:hAnsi="Times New Roman" w:eastAsia="宋体" w:cs="Times New Roman"/>
                      <w:color w:val="auto"/>
                      <w:kern w:val="24"/>
                      <w:sz w:val="21"/>
                      <w:szCs w:val="21"/>
                      <w:highlight w:val="none"/>
                      <w:lang w:eastAsia="zh-CN"/>
                    </w:rPr>
                    <w:t>，</w:t>
                  </w:r>
                  <w:r>
                    <w:rPr>
                      <w:rFonts w:hint="default" w:ascii="Times New Roman" w:hAnsi="Times New Roman" w:eastAsia="宋体" w:cs="Times New Roman"/>
                      <w:color w:val="auto"/>
                      <w:kern w:val="24"/>
                      <w:sz w:val="21"/>
                      <w:szCs w:val="21"/>
                      <w:highlight w:val="none"/>
                    </w:rPr>
                    <w:t>不外排</w:t>
                  </w:r>
                </w:p>
              </w:tc>
              <w:tc>
                <w:tcPr>
                  <w:tcW w:w="739" w:type="pct"/>
                  <w:vAlign w:val="center"/>
                </w:tcPr>
                <w:p w14:paraId="108CAAF2">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不排放，定期补充水</w:t>
                  </w:r>
                </w:p>
              </w:tc>
              <w:tc>
                <w:tcPr>
                  <w:tcW w:w="717" w:type="pct"/>
                  <w:vAlign w:val="center"/>
                </w:tcPr>
                <w:p w14:paraId="7F86C6E0">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TW002</w:t>
                  </w:r>
                </w:p>
              </w:tc>
              <w:tc>
                <w:tcPr>
                  <w:tcW w:w="672" w:type="pct"/>
                  <w:vAlign w:val="center"/>
                </w:tcPr>
                <w:p w14:paraId="70886BB8">
                  <w:pPr>
                    <w:adjustRightInd w:val="0"/>
                    <w:snapToGrid w:val="0"/>
                    <w:jc w:val="center"/>
                    <w:rPr>
                      <w:rFonts w:hint="eastAsia" w:ascii="Times New Roman" w:hAnsi="Times New Roman" w:eastAsia="宋体" w:cs="Times New Roman"/>
                      <w:color w:val="auto"/>
                      <w:kern w:val="24"/>
                      <w:sz w:val="21"/>
                      <w:szCs w:val="21"/>
                      <w:highlight w:val="none"/>
                      <w:lang w:val="en-US" w:eastAsia="zh-CN"/>
                    </w:rPr>
                  </w:pPr>
                  <w:r>
                    <w:rPr>
                      <w:rFonts w:hint="eastAsia" w:ascii="Times New Roman" w:hAnsi="Times New Roman" w:cs="Times New Roman"/>
                      <w:color w:val="auto"/>
                      <w:kern w:val="24"/>
                      <w:sz w:val="21"/>
                      <w:szCs w:val="21"/>
                      <w:highlight w:val="none"/>
                      <w:lang w:val="en-US" w:eastAsia="zh-CN"/>
                    </w:rPr>
                    <w:t>冷却塔</w:t>
                  </w:r>
                </w:p>
              </w:tc>
              <w:tc>
                <w:tcPr>
                  <w:tcW w:w="691" w:type="pct"/>
                  <w:vAlign w:val="center"/>
                </w:tcPr>
                <w:p w14:paraId="3C9964DC">
                  <w:pPr>
                    <w:adjustRightInd w:val="0"/>
                    <w:snapToGrid w:val="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沉淀</w:t>
                  </w:r>
                </w:p>
              </w:tc>
            </w:tr>
          </w:tbl>
          <w:p w14:paraId="5537F18B">
            <w:pPr>
              <w:spacing w:line="360" w:lineRule="auto"/>
              <w:ind w:firstLine="482" w:firstLineChars="200"/>
              <w:rPr>
                <w:rFonts w:hint="eastAsia" w:ascii="Times New Roman" w:hAnsi="宋体" w:cs="宋体"/>
                <w:b/>
                <w:color w:val="auto"/>
                <w:sz w:val="24"/>
                <w:highlight w:val="none"/>
                <w:lang w:val="en-US" w:eastAsia="zh-CN"/>
              </w:rPr>
            </w:pPr>
            <w:r>
              <w:rPr>
                <w:rFonts w:hint="eastAsia" w:ascii="Times New Roman" w:hAnsi="宋体" w:cs="宋体"/>
                <w:b/>
                <w:color w:val="auto"/>
                <w:sz w:val="24"/>
                <w:highlight w:val="none"/>
                <w:lang w:val="en-US" w:eastAsia="zh-CN"/>
              </w:rPr>
              <w:t>2、废水污染防治措施可行性分析</w:t>
            </w:r>
          </w:p>
          <w:p w14:paraId="5E3A5735">
            <w:pPr>
              <w:spacing w:line="360" w:lineRule="auto"/>
              <w:ind w:firstLine="482" w:firstLineChars="200"/>
              <w:rPr>
                <w:rFonts w:hint="eastAsia" w:ascii="Times New Roman" w:hAnsi="宋体" w:cs="宋体"/>
                <w:b/>
                <w:color w:val="auto"/>
                <w:sz w:val="24"/>
                <w:highlight w:val="none"/>
                <w:lang w:val="en-GB"/>
              </w:rPr>
            </w:pPr>
            <w:r>
              <w:rPr>
                <w:rFonts w:hint="eastAsia" w:ascii="Times New Roman" w:hAnsi="宋体" w:cs="宋体"/>
                <w:b/>
                <w:color w:val="auto"/>
                <w:sz w:val="24"/>
                <w:highlight w:val="none"/>
                <w:lang w:val="en-US" w:eastAsia="zh-CN"/>
              </w:rPr>
              <w:t>2.1</w:t>
            </w:r>
            <w:r>
              <w:rPr>
                <w:rFonts w:hint="eastAsia" w:ascii="Times New Roman" w:hAnsi="宋体" w:cs="宋体"/>
                <w:b/>
                <w:color w:val="auto"/>
                <w:sz w:val="24"/>
                <w:highlight w:val="none"/>
                <w:lang w:val="en-GB"/>
              </w:rPr>
              <w:t>项目废（污）水处理设施设施情况</w:t>
            </w:r>
          </w:p>
          <w:p w14:paraId="2D9E455D">
            <w:pPr>
              <w:adjustRightInd w:val="0"/>
              <w:snapToGrid w:val="0"/>
              <w:spacing w:line="360" w:lineRule="auto"/>
              <w:ind w:firstLine="480" w:firstLineChars="200"/>
              <w:jc w:val="left"/>
              <w:rPr>
                <w:rFonts w:hint="default"/>
                <w:color w:val="auto"/>
                <w:kern w:val="24"/>
                <w:sz w:val="24"/>
                <w:highlight w:val="none"/>
              </w:rPr>
            </w:pPr>
            <w:r>
              <w:rPr>
                <w:rFonts w:hint="eastAsia" w:ascii="Times New Roman" w:hAnsi="Times New Roman" w:cs="Times New Roman"/>
                <w:color w:val="auto"/>
                <w:kern w:val="24"/>
                <w:sz w:val="24"/>
                <w:highlight w:val="none"/>
                <w:lang w:val="en-US" w:eastAsia="zh-CN"/>
              </w:rPr>
              <w:t>根据《建筑给水排水设计规范》（GB 50015-2003）要求：化粪池有效停留时间取12h～24h。污水的排放量变化大会影响化粪池的污水处理效果，预留污水有效停留时间有利于保证化粪池污水处理效果，因此本项目化粪池污水有效停留时间取12h。化粪池处理规模以项目运营期的污水产生量为基数并考虑20%的余量</w:t>
            </w:r>
            <w:r>
              <w:rPr>
                <w:rFonts w:hint="eastAsia" w:cs="Times New Roman"/>
                <w:color w:val="auto"/>
                <w:kern w:val="24"/>
                <w:sz w:val="24"/>
                <w:highlight w:val="none"/>
                <w:lang w:val="en-US" w:eastAsia="zh-CN"/>
              </w:rPr>
              <w:t>确定</w:t>
            </w:r>
            <w:r>
              <w:rPr>
                <w:rFonts w:hint="eastAsia" w:ascii="Times New Roman" w:hAnsi="Times New Roman" w:cs="Times New Roman"/>
                <w:color w:val="auto"/>
                <w:kern w:val="24"/>
                <w:sz w:val="24"/>
                <w:highlight w:val="none"/>
                <w:lang w:val="en-US" w:eastAsia="zh-CN"/>
              </w:rPr>
              <w:t>。项目依托云南三缘电缆有限公司化粪池处理，化粪池有效容积10m³，可容纳项目职工产生的生活污水量。</w:t>
            </w:r>
          </w:p>
          <w:p w14:paraId="55D907F2">
            <w:pPr>
              <w:adjustRightInd w:val="0"/>
              <w:snapToGrid w:val="0"/>
              <w:spacing w:line="360" w:lineRule="auto"/>
              <w:ind w:firstLine="480" w:firstLineChars="200"/>
              <w:jc w:val="left"/>
              <w:rPr>
                <w:rFonts w:hint="default"/>
                <w:color w:val="auto"/>
                <w:kern w:val="24"/>
                <w:sz w:val="24"/>
                <w:highlight w:val="none"/>
              </w:rPr>
            </w:pPr>
            <w:r>
              <w:rPr>
                <w:rFonts w:hint="default"/>
                <w:color w:val="auto"/>
                <w:kern w:val="24"/>
                <w:sz w:val="24"/>
                <w:highlight w:val="none"/>
              </w:rPr>
              <w:t>因此，本项目生活污水排入化粪池处理可行。</w:t>
            </w:r>
          </w:p>
          <w:p w14:paraId="389430D5">
            <w:pPr>
              <w:spacing w:line="360" w:lineRule="auto"/>
              <w:ind w:firstLine="482" w:firstLineChars="200"/>
              <w:rPr>
                <w:b/>
                <w:bCs/>
                <w:color w:val="auto"/>
                <w:sz w:val="24"/>
                <w:szCs w:val="22"/>
                <w:highlight w:val="none"/>
                <w:lang w:val="zh-CN"/>
              </w:rPr>
            </w:pPr>
            <w:r>
              <w:rPr>
                <w:rFonts w:hint="eastAsia"/>
                <w:b/>
                <w:bCs/>
                <w:color w:val="auto"/>
                <w:sz w:val="24"/>
                <w:highlight w:val="none"/>
                <w:lang w:val="en-US" w:eastAsia="zh-CN"/>
              </w:rPr>
              <w:t>2.2</w:t>
            </w:r>
            <w:r>
              <w:rPr>
                <w:rFonts w:hint="eastAsia"/>
                <w:b/>
                <w:bCs/>
                <w:color w:val="auto"/>
                <w:sz w:val="24"/>
                <w:highlight w:val="none"/>
              </w:rPr>
              <w:t>废水可进入玉溪市第二污水处理厂的可行性分析</w:t>
            </w:r>
          </w:p>
          <w:p w14:paraId="3F029C01">
            <w:pPr>
              <w:adjustRightInd w:val="0"/>
              <w:snapToGrid w:val="0"/>
              <w:spacing w:line="360" w:lineRule="auto"/>
              <w:ind w:firstLine="480" w:firstLineChars="200"/>
              <w:jc w:val="left"/>
              <w:rPr>
                <w:rFonts w:hint="eastAsia"/>
                <w:color w:val="auto"/>
                <w:kern w:val="24"/>
                <w:sz w:val="24"/>
                <w:highlight w:val="none"/>
              </w:rPr>
            </w:pPr>
            <w:r>
              <w:rPr>
                <w:rFonts w:hint="eastAsia"/>
                <w:color w:val="auto"/>
                <w:kern w:val="24"/>
                <w:sz w:val="24"/>
                <w:highlight w:val="none"/>
              </w:rPr>
              <w:t>玉溪市第二污水处理厂（含配套管网）位于</w:t>
            </w:r>
            <w:r>
              <w:rPr>
                <w:rFonts w:hint="eastAsia"/>
                <w:color w:val="auto"/>
                <w:kern w:val="24"/>
                <w:sz w:val="24"/>
                <w:highlight w:val="none"/>
                <w:lang w:val="en-US" w:eastAsia="zh-CN"/>
              </w:rPr>
              <w:t>研和镇</w:t>
            </w:r>
            <w:r>
              <w:rPr>
                <w:rFonts w:hint="eastAsia"/>
                <w:color w:val="auto"/>
                <w:kern w:val="24"/>
                <w:sz w:val="24"/>
                <w:highlight w:val="none"/>
              </w:rPr>
              <w:t>东山村附近，</w:t>
            </w:r>
            <w:r>
              <w:rPr>
                <w:rFonts w:hint="eastAsia"/>
                <w:color w:val="auto"/>
                <w:kern w:val="24"/>
                <w:sz w:val="24"/>
                <w:highlight w:val="none"/>
                <w:lang w:val="en-US" w:eastAsia="zh-CN"/>
              </w:rPr>
              <w:t>核心</w:t>
            </w:r>
            <w:r>
              <w:rPr>
                <w:rFonts w:hint="eastAsia"/>
                <w:color w:val="auto"/>
                <w:kern w:val="24"/>
                <w:sz w:val="24"/>
                <w:highlight w:val="none"/>
              </w:rPr>
              <w:t>纳污范围</w:t>
            </w:r>
            <w:r>
              <w:rPr>
                <w:rFonts w:hint="eastAsia"/>
                <w:color w:val="auto"/>
                <w:kern w:val="24"/>
                <w:sz w:val="24"/>
                <w:highlight w:val="none"/>
                <w:lang w:val="en-US" w:eastAsia="zh-CN"/>
              </w:rPr>
              <w:t>覆盖</w:t>
            </w:r>
            <w:r>
              <w:rPr>
                <w:rFonts w:hint="eastAsia"/>
                <w:color w:val="auto"/>
                <w:kern w:val="24"/>
                <w:sz w:val="24"/>
                <w:highlight w:val="none"/>
              </w:rPr>
              <w:t>研和工业园区，主要收纳规划范围内各类企业生产废水、园区生活污水以及辖区内村镇生活污水，是研和片区核心的污水处置基础设施。</w:t>
            </w:r>
          </w:p>
          <w:p w14:paraId="55CB0AC5">
            <w:pPr>
              <w:adjustRightInd w:val="0"/>
              <w:snapToGrid w:val="0"/>
              <w:spacing w:line="360" w:lineRule="auto"/>
              <w:ind w:firstLine="480" w:firstLineChars="200"/>
              <w:jc w:val="left"/>
              <w:rPr>
                <w:rFonts w:hint="eastAsia"/>
                <w:color w:val="auto"/>
                <w:kern w:val="24"/>
                <w:sz w:val="24"/>
                <w:highlight w:val="none"/>
              </w:rPr>
            </w:pPr>
            <w:r>
              <w:rPr>
                <w:rFonts w:hint="eastAsia"/>
                <w:color w:val="auto"/>
                <w:kern w:val="24"/>
                <w:sz w:val="24"/>
                <w:highlight w:val="none"/>
              </w:rPr>
              <w:t>玉溪市第二污水处理厂分两期建设，近期处理规模1.0万</w:t>
            </w:r>
            <w:r>
              <w:rPr>
                <w:rFonts w:hint="eastAsia"/>
                <w:color w:val="auto"/>
                <w:kern w:val="24"/>
                <w:sz w:val="24"/>
                <w:highlight w:val="none"/>
                <w:lang w:val="en-US" w:eastAsia="zh-CN"/>
              </w:rPr>
              <w:t>m³</w:t>
            </w:r>
            <w:r>
              <w:rPr>
                <w:rFonts w:hint="eastAsia"/>
                <w:color w:val="auto"/>
                <w:kern w:val="24"/>
                <w:sz w:val="24"/>
                <w:highlight w:val="none"/>
              </w:rPr>
              <w:t>/d，远期总处理规模2.0万</w:t>
            </w:r>
            <w:r>
              <w:rPr>
                <w:rFonts w:hint="eastAsia"/>
                <w:color w:val="auto"/>
                <w:kern w:val="24"/>
                <w:sz w:val="24"/>
                <w:highlight w:val="none"/>
                <w:lang w:val="en-US" w:eastAsia="zh-CN"/>
              </w:rPr>
              <w:t>m³</w:t>
            </w:r>
            <w:r>
              <w:rPr>
                <w:rFonts w:hint="eastAsia"/>
                <w:color w:val="auto"/>
                <w:kern w:val="24"/>
                <w:sz w:val="24"/>
                <w:highlight w:val="none"/>
              </w:rPr>
              <w:t>/d。玉溪市第二污水处理厂于2020年完成玉溪市第二污水处理厂及配套管网工程（近期）竣工环境保护验收，处理规模为1.0万</w:t>
            </w:r>
            <w:r>
              <w:rPr>
                <w:rFonts w:hint="eastAsia"/>
                <w:color w:val="auto"/>
                <w:kern w:val="24"/>
                <w:sz w:val="24"/>
                <w:highlight w:val="none"/>
                <w:lang w:val="en-US" w:eastAsia="zh-CN"/>
              </w:rPr>
              <w:t>m³</w:t>
            </w:r>
            <w:r>
              <w:rPr>
                <w:rFonts w:hint="eastAsia"/>
                <w:color w:val="auto"/>
                <w:kern w:val="24"/>
                <w:sz w:val="24"/>
                <w:highlight w:val="none"/>
              </w:rPr>
              <w:t>/d；2022年5月9日，玉溪市第二污水处理厂污水再生利用工程试通水仪式在二污厂举行，该项目试通水成功，主要建设中水管道6500m，再生水池及加压泵房各一座，日供水规模为0.6万</w:t>
            </w:r>
            <w:r>
              <w:rPr>
                <w:rFonts w:hint="eastAsia"/>
                <w:color w:val="auto"/>
                <w:kern w:val="24"/>
                <w:sz w:val="24"/>
                <w:highlight w:val="none"/>
                <w:lang w:val="en-US" w:eastAsia="zh-CN"/>
              </w:rPr>
              <w:t>m³</w:t>
            </w:r>
            <w:r>
              <w:rPr>
                <w:rFonts w:hint="eastAsia"/>
                <w:color w:val="auto"/>
                <w:kern w:val="24"/>
                <w:sz w:val="24"/>
                <w:highlight w:val="none"/>
              </w:rPr>
              <w:t>。2022年8月16日取得玉溪市发展和改革委员会</w:t>
            </w:r>
            <w:r>
              <w:rPr>
                <w:rFonts w:hint="eastAsia"/>
                <w:color w:val="auto"/>
                <w:kern w:val="24"/>
                <w:sz w:val="24"/>
                <w:highlight w:val="none"/>
                <w:lang w:eastAsia="zh-CN"/>
              </w:rPr>
              <w:t>“</w:t>
            </w:r>
            <w:r>
              <w:rPr>
                <w:rFonts w:hint="eastAsia"/>
                <w:color w:val="auto"/>
                <w:kern w:val="24"/>
                <w:sz w:val="24"/>
                <w:highlight w:val="none"/>
              </w:rPr>
              <w:t>关于玉溪市第二污水处理厂续建及配套管网工程可行性研究报告的批复</w:t>
            </w:r>
            <w:r>
              <w:rPr>
                <w:rFonts w:hint="eastAsia"/>
                <w:color w:val="auto"/>
                <w:kern w:val="24"/>
                <w:sz w:val="24"/>
                <w:highlight w:val="none"/>
                <w:lang w:eastAsia="zh-CN"/>
              </w:rPr>
              <w:t>”</w:t>
            </w:r>
            <w:r>
              <w:rPr>
                <w:rFonts w:hint="eastAsia"/>
                <w:color w:val="auto"/>
                <w:kern w:val="24"/>
                <w:sz w:val="24"/>
                <w:highlight w:val="none"/>
              </w:rPr>
              <w:t>开始建设远期，建设完成后总处理规模为2.0万</w:t>
            </w:r>
            <w:r>
              <w:rPr>
                <w:rFonts w:hint="eastAsia"/>
                <w:color w:val="auto"/>
                <w:kern w:val="24"/>
                <w:sz w:val="24"/>
                <w:highlight w:val="none"/>
                <w:lang w:val="en-US" w:eastAsia="zh-CN"/>
              </w:rPr>
              <w:t>m³</w:t>
            </w:r>
            <w:r>
              <w:rPr>
                <w:rFonts w:hint="eastAsia"/>
                <w:color w:val="auto"/>
                <w:kern w:val="24"/>
                <w:sz w:val="24"/>
                <w:highlight w:val="none"/>
              </w:rPr>
              <w:t>/d。污水处理厂处理工艺为“A</w:t>
            </w:r>
            <w:r>
              <w:rPr>
                <w:rFonts w:hint="eastAsia"/>
                <w:color w:val="auto"/>
                <w:kern w:val="24"/>
                <w:sz w:val="24"/>
                <w:highlight w:val="none"/>
                <w:vertAlign w:val="superscript"/>
              </w:rPr>
              <w:t>2</w:t>
            </w:r>
            <w:r>
              <w:rPr>
                <w:rFonts w:hint="eastAsia"/>
                <w:color w:val="auto"/>
                <w:kern w:val="24"/>
                <w:sz w:val="24"/>
                <w:highlight w:val="none"/>
              </w:rPr>
              <w:t>/O+孔室絮凝斜管沉淀池</w:t>
            </w:r>
            <w:r>
              <w:rPr>
                <w:rFonts w:hint="eastAsia"/>
                <w:color w:val="auto"/>
                <w:kern w:val="24"/>
                <w:sz w:val="24"/>
                <w:highlight w:val="none"/>
                <w:lang w:eastAsia="zh-CN"/>
              </w:rPr>
              <w:t>”</w:t>
            </w:r>
            <w:r>
              <w:rPr>
                <w:rFonts w:hint="eastAsia"/>
                <w:color w:val="auto"/>
                <w:kern w:val="24"/>
                <w:sz w:val="24"/>
                <w:highlight w:val="none"/>
              </w:rPr>
              <w:t>工艺，处置后尾水标准为《污水处理厂污染物排放标准》（GB</w:t>
            </w:r>
            <w:r>
              <w:rPr>
                <w:rFonts w:hint="eastAsia"/>
                <w:color w:val="auto"/>
                <w:kern w:val="24"/>
                <w:sz w:val="24"/>
                <w:highlight w:val="none"/>
                <w:lang w:val="en-US" w:eastAsia="zh-CN"/>
              </w:rPr>
              <w:t xml:space="preserve"> </w:t>
            </w:r>
            <w:r>
              <w:rPr>
                <w:rFonts w:hint="eastAsia"/>
                <w:color w:val="auto"/>
                <w:kern w:val="24"/>
                <w:sz w:val="24"/>
                <w:highlight w:val="none"/>
              </w:rPr>
              <w:t>18918-2002）一级A标准，污水处理厂运行正常。现状服务范围为研和北片区和南片区，远期包括东南片区及城镇远期发展区。</w:t>
            </w:r>
          </w:p>
          <w:p w14:paraId="786C638E">
            <w:pPr>
              <w:adjustRightInd w:val="0"/>
              <w:snapToGrid w:val="0"/>
              <w:spacing w:line="360" w:lineRule="auto"/>
              <w:ind w:firstLine="480" w:firstLineChars="200"/>
              <w:jc w:val="left"/>
              <w:rPr>
                <w:rFonts w:hint="eastAsia"/>
                <w:color w:val="auto"/>
                <w:kern w:val="24"/>
                <w:sz w:val="24"/>
                <w:highlight w:val="none"/>
              </w:rPr>
            </w:pPr>
            <w:r>
              <w:rPr>
                <w:rFonts w:hint="eastAsia"/>
                <w:color w:val="auto"/>
                <w:kern w:val="24"/>
                <w:sz w:val="24"/>
                <w:highlight w:val="none"/>
              </w:rPr>
              <w:t>经现场调查核实，本项目现阶段所在区域暂未接入市政污水管网，无法通过管道输送方式接入玉溪市第二污水处理厂。为规范处置项目污水、杜绝污水外排污染风险，本项目已与玉溪市第二污水处理厂正规运营单位签订污水处置合作协议，项目运营产生的办公及生活污水经化粪池预处理后，通过槽罐车转运至该污水处理厂集中处置，全程无污水外排，处置方式合规可控。</w:t>
            </w:r>
          </w:p>
          <w:p w14:paraId="1FB20A01">
            <w:pPr>
              <w:adjustRightInd w:val="0"/>
              <w:snapToGrid w:val="0"/>
              <w:spacing w:line="360" w:lineRule="auto"/>
              <w:ind w:firstLine="480" w:firstLineChars="200"/>
              <w:jc w:val="left"/>
              <w:rPr>
                <w:rFonts w:hint="eastAsia"/>
                <w:color w:val="auto"/>
                <w:kern w:val="24"/>
                <w:sz w:val="24"/>
                <w:highlight w:val="none"/>
              </w:rPr>
            </w:pPr>
            <w:r>
              <w:rPr>
                <w:rFonts w:hint="eastAsia"/>
                <w:color w:val="auto"/>
                <w:kern w:val="24"/>
                <w:sz w:val="24"/>
                <w:highlight w:val="none"/>
              </w:rPr>
              <w:t>从接纳条件及处置能力来看，目前玉溪市第二污水处理厂远期工程已全面建成，2.0万m³/d的总处理规模可稳定运行，片区现有纳污量未达到设计峰值，具备充足的污水处理余量，可完全容纳本项目产生的生活污水。</w:t>
            </w:r>
          </w:p>
          <w:p w14:paraId="59AD6341">
            <w:pPr>
              <w:adjustRightInd w:val="0"/>
              <w:snapToGrid w:val="0"/>
              <w:spacing w:line="360" w:lineRule="auto"/>
              <w:ind w:firstLine="480" w:firstLineChars="200"/>
              <w:jc w:val="left"/>
              <w:rPr>
                <w:rFonts w:hint="eastAsia"/>
                <w:color w:val="auto"/>
                <w:kern w:val="24"/>
                <w:sz w:val="24"/>
                <w:highlight w:val="none"/>
              </w:rPr>
            </w:pPr>
            <w:r>
              <w:rPr>
                <w:rFonts w:hint="eastAsia"/>
                <w:color w:val="auto"/>
                <w:kern w:val="24"/>
                <w:sz w:val="24"/>
                <w:highlight w:val="none"/>
              </w:rPr>
              <w:t>同时，本项目废水仅为常规办公、生活污水，不含重金属、持久性有机物等有毒有害特殊污染物，污水水质简单、可生化性良好，不会对污水处理厂的进水水质、处理负荷及工艺运行稳定性造成不利影响，完全适配该厂的污水处理工艺及处置要求。</w:t>
            </w:r>
          </w:p>
          <w:p w14:paraId="392BB41A">
            <w:pPr>
              <w:adjustRightInd w:val="0"/>
              <w:snapToGrid w:val="0"/>
              <w:spacing w:line="360" w:lineRule="auto"/>
              <w:ind w:firstLine="480" w:firstLineChars="200"/>
              <w:jc w:val="left"/>
              <w:rPr>
                <w:rFonts w:hint="eastAsia"/>
                <w:color w:val="auto"/>
                <w:kern w:val="24"/>
                <w:sz w:val="24"/>
                <w:highlight w:val="none"/>
              </w:rPr>
            </w:pPr>
            <w:r>
              <w:rPr>
                <w:rFonts w:hint="eastAsia"/>
                <w:color w:val="auto"/>
                <w:kern w:val="24"/>
                <w:sz w:val="24"/>
                <w:highlight w:val="none"/>
              </w:rPr>
              <w:t>综上所述，本项目生活污水处置方案合规，且玉溪市第二污水处理厂在处理规模、工艺适配、运行保障等方面均可满足本项目污水处置需求，因此本项目生活污水依托玉溪市第二污水处理厂集中处置具备充分的可行性、合理性和可靠性。</w:t>
            </w:r>
          </w:p>
          <w:p w14:paraId="5987B6B1">
            <w:pPr>
              <w:spacing w:line="360" w:lineRule="auto"/>
              <w:ind w:firstLine="482"/>
              <w:rPr>
                <w:b/>
                <w:bCs/>
                <w:color w:val="auto"/>
                <w:sz w:val="24"/>
                <w:highlight w:val="none"/>
              </w:rPr>
            </w:pPr>
            <w:r>
              <w:rPr>
                <w:rFonts w:hint="eastAsia"/>
                <w:b/>
                <w:bCs/>
                <w:color w:val="auto"/>
                <w:sz w:val="24"/>
                <w:highlight w:val="none"/>
              </w:rPr>
              <w:t>5、地表水环境影响分析</w:t>
            </w:r>
          </w:p>
          <w:p w14:paraId="108041F1">
            <w:pPr>
              <w:adjustRightInd w:val="0"/>
              <w:snapToGrid w:val="0"/>
              <w:spacing w:line="360" w:lineRule="auto"/>
              <w:ind w:firstLine="480" w:firstLineChars="200"/>
              <w:rPr>
                <w:rFonts w:hint="eastAsia"/>
                <w:color w:val="auto"/>
                <w:sz w:val="24"/>
                <w:highlight w:val="none"/>
                <w:lang w:val="en-US" w:eastAsia="zh-CN"/>
              </w:rPr>
            </w:pPr>
            <w:r>
              <w:rPr>
                <w:color w:val="auto"/>
                <w:sz w:val="24"/>
                <w:highlight w:val="none"/>
              </w:rPr>
              <w:t>项目采用雨污分流制排水方式。雨水经雨水管道收集后排至</w:t>
            </w:r>
            <w:r>
              <w:rPr>
                <w:rFonts w:hint="eastAsia"/>
                <w:color w:val="auto"/>
                <w:sz w:val="24"/>
                <w:highlight w:val="none"/>
                <w:lang w:val="en-US" w:eastAsia="zh-CN"/>
              </w:rPr>
              <w:t>市政</w:t>
            </w:r>
            <w:r>
              <w:rPr>
                <w:color w:val="auto"/>
                <w:sz w:val="24"/>
                <w:highlight w:val="none"/>
              </w:rPr>
              <w:t>雨水管网</w:t>
            </w:r>
            <w:r>
              <w:rPr>
                <w:rFonts w:hint="eastAsia"/>
                <w:color w:val="auto"/>
                <w:sz w:val="24"/>
                <w:highlight w:val="none"/>
                <w:lang w:eastAsia="zh-CN"/>
              </w:rPr>
              <w:t>。</w:t>
            </w:r>
            <w:r>
              <w:rPr>
                <w:rFonts w:hint="eastAsia"/>
                <w:color w:val="auto"/>
                <w:sz w:val="24"/>
                <w:highlight w:val="none"/>
                <w:lang w:val="en-US" w:eastAsia="zh-CN"/>
              </w:rPr>
              <w:t>办公、</w:t>
            </w:r>
            <w:r>
              <w:rPr>
                <w:rFonts w:hint="eastAsia"/>
                <w:color w:val="auto"/>
                <w:sz w:val="24"/>
                <w:highlight w:val="none"/>
              </w:rPr>
              <w:t>生活污水经化粪池及企业自建的污水处理站处理达到《污水排入城镇下水道水质标准》（GB/T31962-2015）表1A 级标准后通过槽车或罐车运送至玉溪市第二污水处理厂处置，</w:t>
            </w:r>
            <w:r>
              <w:rPr>
                <w:rFonts w:hint="eastAsia"/>
                <w:color w:val="auto"/>
                <w:sz w:val="24"/>
                <w:highlight w:val="none"/>
                <w:lang w:val="en-US" w:eastAsia="zh-CN"/>
              </w:rPr>
              <w:t>不外排。</w:t>
            </w:r>
          </w:p>
          <w:p w14:paraId="16382D42">
            <w:pPr>
              <w:adjustRightInd w:val="0"/>
              <w:snapToGrid w:val="0"/>
              <w:spacing w:line="360" w:lineRule="auto"/>
              <w:ind w:firstLine="480" w:firstLineChars="200"/>
              <w:rPr>
                <w:rFonts w:hint="eastAsia"/>
                <w:color w:val="auto"/>
                <w:sz w:val="24"/>
                <w:highlight w:val="none"/>
              </w:rPr>
            </w:pPr>
            <w:r>
              <w:rPr>
                <w:rFonts w:hint="eastAsia"/>
                <w:color w:val="auto"/>
                <w:sz w:val="24"/>
                <w:highlight w:val="none"/>
              </w:rPr>
              <w:t>综上所述，本项目运营期产生的废水对周围环境影响较小，</w:t>
            </w:r>
            <w:r>
              <w:rPr>
                <w:color w:val="auto"/>
                <w:sz w:val="24"/>
                <w:highlight w:val="none"/>
              </w:rPr>
              <w:t>地表水</w:t>
            </w:r>
            <w:r>
              <w:rPr>
                <w:rFonts w:hint="eastAsia"/>
                <w:color w:val="auto"/>
                <w:sz w:val="24"/>
                <w:highlight w:val="none"/>
              </w:rPr>
              <w:t>环境</w:t>
            </w:r>
            <w:r>
              <w:rPr>
                <w:color w:val="auto"/>
                <w:sz w:val="24"/>
                <w:highlight w:val="none"/>
              </w:rPr>
              <w:t>影响</w:t>
            </w:r>
            <w:r>
              <w:rPr>
                <w:rFonts w:hint="eastAsia"/>
                <w:color w:val="auto"/>
                <w:sz w:val="24"/>
                <w:highlight w:val="none"/>
              </w:rPr>
              <w:t>可接受</w:t>
            </w:r>
            <w:r>
              <w:rPr>
                <w:color w:val="auto"/>
                <w:sz w:val="24"/>
                <w:highlight w:val="none"/>
              </w:rPr>
              <w:t>。</w:t>
            </w:r>
          </w:p>
          <w:p w14:paraId="62607965">
            <w:pPr>
              <w:snapToGrid w:val="0"/>
              <w:spacing w:line="360" w:lineRule="auto"/>
              <w:ind w:left="420" w:leftChars="200"/>
              <w:rPr>
                <w:b/>
                <w:bCs/>
                <w:color w:val="auto"/>
                <w:sz w:val="24"/>
                <w:highlight w:val="none"/>
              </w:rPr>
            </w:pPr>
            <w:r>
              <w:rPr>
                <w:rFonts w:hint="eastAsia"/>
                <w:b/>
                <w:bCs/>
                <w:color w:val="auto"/>
                <w:sz w:val="24"/>
                <w:highlight w:val="none"/>
              </w:rPr>
              <w:t>6、监测要求</w:t>
            </w:r>
          </w:p>
          <w:p w14:paraId="1CB07145">
            <w:pPr>
              <w:adjustRightInd w:val="0"/>
              <w:snapToGrid w:val="0"/>
              <w:spacing w:line="360" w:lineRule="auto"/>
              <w:ind w:firstLine="480" w:firstLineChars="200"/>
              <w:rPr>
                <w:rFonts w:hint="default" w:eastAsia="宋体"/>
                <w:color w:val="auto"/>
                <w:sz w:val="24"/>
                <w:highlight w:val="none"/>
                <w:lang w:val="en-US" w:eastAsia="zh-CN"/>
              </w:rPr>
            </w:pPr>
            <w:r>
              <w:rPr>
                <w:rFonts w:hint="eastAsia"/>
                <w:color w:val="auto"/>
                <w:sz w:val="24"/>
                <w:highlight w:val="none"/>
              </w:rPr>
              <w:t>项目办公、生活污水依托云南三缘电缆有限公司化粪池（10m³）处理，处理后</w:t>
            </w:r>
            <w:r>
              <w:rPr>
                <w:rFonts w:hint="eastAsia"/>
                <w:color w:val="auto"/>
                <w:sz w:val="24"/>
                <w:highlight w:val="none"/>
                <w:lang w:val="en-US" w:eastAsia="zh-CN"/>
              </w:rPr>
              <w:t>用</w:t>
            </w:r>
            <w:r>
              <w:rPr>
                <w:rFonts w:hint="eastAsia"/>
                <w:color w:val="auto"/>
                <w:sz w:val="24"/>
                <w:highlight w:val="none"/>
              </w:rPr>
              <w:t>槽罐车运送至玉溪市第二污水处理厂处置</w:t>
            </w:r>
            <w:r>
              <w:rPr>
                <w:rFonts w:hint="eastAsia"/>
                <w:color w:val="auto"/>
                <w:sz w:val="24"/>
                <w:highlight w:val="none"/>
                <w:lang w:eastAsia="zh-CN"/>
              </w:rPr>
              <w:t>，</w:t>
            </w:r>
            <w:r>
              <w:rPr>
                <w:rFonts w:hint="eastAsia"/>
                <w:color w:val="auto"/>
                <w:sz w:val="24"/>
                <w:highlight w:val="none"/>
                <w:lang w:val="en-US" w:eastAsia="zh-CN"/>
              </w:rPr>
              <w:t>不设置废水自行监测要求。</w:t>
            </w:r>
          </w:p>
          <w:p w14:paraId="4A84004F">
            <w:pPr>
              <w:adjustRightInd w:val="0"/>
              <w:snapToGrid w:val="0"/>
              <w:spacing w:line="360" w:lineRule="auto"/>
              <w:ind w:firstLine="482" w:firstLineChars="200"/>
              <w:jc w:val="left"/>
              <w:rPr>
                <w:b/>
                <w:bCs/>
                <w:color w:val="auto"/>
                <w:sz w:val="24"/>
                <w:highlight w:val="none"/>
              </w:rPr>
            </w:pPr>
            <w:r>
              <w:rPr>
                <w:rFonts w:hint="eastAsia"/>
                <w:b/>
                <w:bCs/>
                <w:color w:val="auto"/>
                <w:sz w:val="24"/>
                <w:highlight w:val="none"/>
              </w:rPr>
              <w:t>三、运营期</w:t>
            </w:r>
            <w:r>
              <w:rPr>
                <w:rFonts w:hint="eastAsia"/>
                <w:b/>
                <w:color w:val="auto"/>
                <w:kern w:val="24"/>
                <w:sz w:val="24"/>
                <w:highlight w:val="none"/>
              </w:rPr>
              <w:t>噪声</w:t>
            </w:r>
            <w:r>
              <w:rPr>
                <w:rFonts w:hint="eastAsia"/>
                <w:b/>
                <w:bCs/>
                <w:color w:val="auto"/>
                <w:sz w:val="24"/>
                <w:highlight w:val="none"/>
              </w:rPr>
              <w:t>环境影响和保护措施</w:t>
            </w:r>
          </w:p>
          <w:p w14:paraId="0C698F48">
            <w:pPr>
              <w:spacing w:line="360" w:lineRule="auto"/>
              <w:ind w:firstLine="482" w:firstLineChars="200"/>
              <w:rPr>
                <w:rFonts w:hint="eastAsia" w:eastAsia="宋体"/>
                <w:b/>
                <w:color w:val="auto"/>
                <w:sz w:val="24"/>
                <w:highlight w:val="none"/>
                <w:lang w:val="en-US" w:eastAsia="zh-CN"/>
              </w:rPr>
            </w:pPr>
            <w:r>
              <w:rPr>
                <w:rFonts w:hint="eastAsia"/>
                <w:b/>
                <w:color w:val="auto"/>
                <w:sz w:val="24"/>
                <w:highlight w:val="none"/>
              </w:rPr>
              <w:t>1、噪声源</w:t>
            </w:r>
            <w:r>
              <w:rPr>
                <w:rFonts w:hint="eastAsia"/>
                <w:b/>
                <w:color w:val="auto"/>
                <w:sz w:val="24"/>
                <w:highlight w:val="none"/>
                <w:lang w:val="en-US" w:eastAsia="zh-CN"/>
              </w:rPr>
              <w:t>强</w:t>
            </w:r>
          </w:p>
          <w:p w14:paraId="058F9614">
            <w:pPr>
              <w:adjustRightInd w:val="0"/>
              <w:snapToGrid w:val="0"/>
              <w:spacing w:line="360" w:lineRule="auto"/>
              <w:ind w:firstLine="480" w:firstLineChars="200"/>
              <w:rPr>
                <w:rFonts w:hint="eastAsia"/>
                <w:color w:val="auto"/>
                <w:sz w:val="24"/>
                <w:highlight w:val="none"/>
                <w:lang w:eastAsia="zh-CN"/>
              </w:rPr>
            </w:pPr>
            <w:r>
              <w:rPr>
                <w:color w:val="auto"/>
                <w:sz w:val="24"/>
                <w:highlight w:val="none"/>
              </w:rPr>
              <w:t xml:space="preserve">根据《污染源源强核算技术指南 </w:t>
            </w:r>
            <w:r>
              <w:rPr>
                <w:rFonts w:hint="eastAsia"/>
                <w:color w:val="auto"/>
                <w:sz w:val="24"/>
                <w:highlight w:val="none"/>
                <w:lang w:val="en-US" w:eastAsia="zh-CN"/>
              </w:rPr>
              <w:t>准则</w:t>
            </w:r>
            <w:r>
              <w:rPr>
                <w:color w:val="auto"/>
                <w:sz w:val="24"/>
                <w:highlight w:val="none"/>
              </w:rPr>
              <w:t xml:space="preserve">》（HJ </w:t>
            </w:r>
            <w:r>
              <w:rPr>
                <w:rFonts w:hint="eastAsia"/>
                <w:color w:val="auto"/>
                <w:sz w:val="24"/>
                <w:highlight w:val="none"/>
                <w:lang w:val="en-US" w:eastAsia="zh-CN"/>
              </w:rPr>
              <w:t>884</w:t>
            </w:r>
            <w:r>
              <w:rPr>
                <w:color w:val="auto"/>
                <w:sz w:val="24"/>
                <w:highlight w:val="none"/>
              </w:rPr>
              <w:t>-2018</w:t>
            </w:r>
            <w:r>
              <w:rPr>
                <w:rFonts w:hint="eastAsia"/>
                <w:color w:val="auto"/>
                <w:sz w:val="24"/>
                <w:highlight w:val="none"/>
              </w:rPr>
              <w:t>），噪声中新（改、扩）建工程污染源采用类比法核算</w:t>
            </w:r>
            <w:r>
              <w:rPr>
                <w:rFonts w:hint="eastAsia"/>
                <w:color w:val="auto"/>
                <w:sz w:val="24"/>
                <w:highlight w:val="none"/>
                <w:lang w:eastAsia="zh-CN"/>
              </w:rPr>
              <w:t>。</w:t>
            </w:r>
          </w:p>
          <w:p w14:paraId="6FB8AC24">
            <w:pPr>
              <w:adjustRightInd w:val="0"/>
              <w:snapToGrid w:val="0"/>
              <w:spacing w:line="360" w:lineRule="auto"/>
              <w:ind w:firstLine="480" w:firstLineChars="200"/>
              <w:rPr>
                <w:rFonts w:hint="eastAsia"/>
                <w:color w:val="auto"/>
                <w:sz w:val="24"/>
                <w:highlight w:val="none"/>
              </w:rPr>
            </w:pPr>
            <w:r>
              <w:rPr>
                <w:rFonts w:hint="eastAsia"/>
                <w:color w:val="auto"/>
                <w:sz w:val="24"/>
                <w:highlight w:val="none"/>
              </w:rPr>
              <w:t>项目主要噪声源为厂房内的</w:t>
            </w:r>
            <w:r>
              <w:rPr>
                <w:rFonts w:hint="eastAsia"/>
                <w:color w:val="auto"/>
                <w:sz w:val="24"/>
                <w:highlight w:val="none"/>
                <w:lang w:val="en-US" w:eastAsia="zh-CN"/>
              </w:rPr>
              <w:t>生产</w:t>
            </w:r>
            <w:r>
              <w:rPr>
                <w:rFonts w:hint="eastAsia"/>
                <w:color w:val="auto"/>
                <w:sz w:val="24"/>
                <w:highlight w:val="none"/>
              </w:rPr>
              <w:t>设备噪声，主要为</w:t>
            </w:r>
            <w:r>
              <w:rPr>
                <w:rFonts w:hint="eastAsia"/>
                <w:color w:val="auto"/>
                <w:sz w:val="24"/>
                <w:highlight w:val="none"/>
                <w:lang w:val="en-US" w:eastAsia="zh-CN"/>
              </w:rPr>
              <w:t>拌料机</w:t>
            </w:r>
            <w:r>
              <w:rPr>
                <w:rFonts w:hint="eastAsia"/>
                <w:color w:val="auto"/>
                <w:sz w:val="24"/>
                <w:highlight w:val="none"/>
              </w:rPr>
              <w:t>、挤出机、牵引机、冷</w:t>
            </w:r>
            <w:r>
              <w:rPr>
                <w:rFonts w:hint="eastAsia"/>
                <w:color w:val="auto"/>
                <w:sz w:val="24"/>
                <w:highlight w:val="none"/>
                <w:lang w:val="en-US" w:eastAsia="zh-CN"/>
              </w:rPr>
              <w:t>却定型</w:t>
            </w:r>
            <w:r>
              <w:rPr>
                <w:rFonts w:hint="eastAsia"/>
                <w:color w:val="auto"/>
                <w:sz w:val="24"/>
                <w:highlight w:val="none"/>
              </w:rPr>
              <w:t>机、电晕机、模切机、</w:t>
            </w:r>
            <w:r>
              <w:rPr>
                <w:rFonts w:hint="eastAsia"/>
                <w:color w:val="auto"/>
                <w:sz w:val="24"/>
                <w:highlight w:val="none"/>
                <w:lang w:val="en-US" w:eastAsia="zh-CN"/>
              </w:rPr>
              <w:t>粉碎</w:t>
            </w:r>
            <w:r>
              <w:rPr>
                <w:rFonts w:hint="eastAsia"/>
                <w:color w:val="auto"/>
                <w:sz w:val="24"/>
                <w:highlight w:val="none"/>
              </w:rPr>
              <w:t>机</w:t>
            </w:r>
            <w:r>
              <w:rPr>
                <w:rFonts w:hint="eastAsia"/>
                <w:color w:val="auto"/>
                <w:sz w:val="24"/>
                <w:highlight w:val="none"/>
                <w:lang w:val="en-US" w:eastAsia="zh-CN"/>
              </w:rPr>
              <w:t>等</w:t>
            </w:r>
            <w:r>
              <w:rPr>
                <w:rFonts w:hint="eastAsia"/>
                <w:color w:val="auto"/>
                <w:sz w:val="24"/>
                <w:highlight w:val="none"/>
              </w:rPr>
              <w:t>。本项目机械设备</w:t>
            </w:r>
            <w:r>
              <w:rPr>
                <w:rFonts w:hint="eastAsia"/>
                <w:color w:val="auto"/>
                <w:sz w:val="24"/>
                <w:highlight w:val="none"/>
                <w:lang w:eastAsia="zh-CN"/>
              </w:rPr>
              <w:t>声源强度一般在70dB（A）-85dB（</w:t>
            </w:r>
            <w:r>
              <w:rPr>
                <w:rFonts w:hint="eastAsia"/>
                <w:color w:val="auto"/>
                <w:sz w:val="24"/>
                <w:highlight w:val="none"/>
                <w:lang w:val="en-US" w:eastAsia="zh-CN"/>
              </w:rPr>
              <w:t>A</w:t>
            </w:r>
            <w:r>
              <w:rPr>
                <w:rFonts w:hint="eastAsia"/>
                <w:color w:val="auto"/>
                <w:sz w:val="24"/>
                <w:highlight w:val="none"/>
                <w:lang w:eastAsia="zh-CN"/>
              </w:rPr>
              <w:t>）</w:t>
            </w:r>
            <w:r>
              <w:rPr>
                <w:rFonts w:hint="eastAsia"/>
                <w:color w:val="auto"/>
                <w:sz w:val="24"/>
                <w:highlight w:val="none"/>
                <w:lang w:val="en-US" w:eastAsia="zh-CN"/>
              </w:rPr>
              <w:t>之间</w:t>
            </w:r>
            <w:r>
              <w:rPr>
                <w:rFonts w:hint="eastAsia"/>
                <w:color w:val="auto"/>
                <w:sz w:val="24"/>
                <w:highlight w:val="none"/>
              </w:rPr>
              <w:t>。</w:t>
            </w:r>
          </w:p>
          <w:p w14:paraId="2E7EDDDA">
            <w:pPr>
              <w:adjustRightInd w:val="0"/>
              <w:snapToGrid w:val="0"/>
              <w:spacing w:line="360" w:lineRule="auto"/>
              <w:ind w:firstLine="480" w:firstLineChars="200"/>
              <w:rPr>
                <w:rFonts w:hint="eastAsia"/>
                <w:color w:val="auto"/>
                <w:sz w:val="24"/>
                <w:highlight w:val="none"/>
              </w:rPr>
            </w:pPr>
            <w:r>
              <w:rPr>
                <w:rFonts w:hint="eastAsia"/>
                <w:color w:val="auto"/>
                <w:sz w:val="24"/>
                <w:highlight w:val="none"/>
              </w:rPr>
              <w:t>项目主要噪声源源强见表</w:t>
            </w:r>
            <w:r>
              <w:rPr>
                <w:color w:val="auto"/>
                <w:sz w:val="24"/>
                <w:highlight w:val="none"/>
              </w:rPr>
              <w:t>4-</w:t>
            </w:r>
            <w:r>
              <w:rPr>
                <w:rFonts w:hint="eastAsia"/>
                <w:color w:val="auto"/>
                <w:sz w:val="24"/>
                <w:highlight w:val="none"/>
                <w:lang w:val="en-US" w:eastAsia="zh-CN"/>
              </w:rPr>
              <w:t>13</w:t>
            </w:r>
            <w:r>
              <w:rPr>
                <w:rFonts w:hint="eastAsia"/>
                <w:color w:val="auto"/>
                <w:sz w:val="24"/>
                <w:highlight w:val="none"/>
              </w:rPr>
              <w:t>。</w:t>
            </w:r>
          </w:p>
          <w:p w14:paraId="0B5D7CD0">
            <w:pPr>
              <w:adjustRightInd w:val="0"/>
              <w:snapToGrid w:val="0"/>
              <w:spacing w:line="360" w:lineRule="auto"/>
              <w:ind w:firstLine="482" w:firstLineChars="200"/>
              <w:jc w:val="center"/>
              <w:rPr>
                <w:b/>
                <w:bCs/>
                <w:color w:val="auto"/>
                <w:kern w:val="24"/>
                <w:sz w:val="24"/>
                <w:highlight w:val="none"/>
              </w:rPr>
            </w:pPr>
            <w:r>
              <w:rPr>
                <w:rFonts w:hint="eastAsia"/>
                <w:b/>
                <w:bCs/>
                <w:color w:val="auto"/>
                <w:kern w:val="24"/>
                <w:sz w:val="24"/>
                <w:highlight w:val="none"/>
              </w:rPr>
              <w:t>表4-</w:t>
            </w:r>
            <w:r>
              <w:rPr>
                <w:rFonts w:hint="eastAsia"/>
                <w:b/>
                <w:bCs/>
                <w:color w:val="auto"/>
                <w:kern w:val="24"/>
                <w:sz w:val="24"/>
                <w:highlight w:val="none"/>
                <w:lang w:val="en-US" w:eastAsia="zh-CN"/>
              </w:rPr>
              <w:t>13</w:t>
            </w:r>
            <w:r>
              <w:rPr>
                <w:rFonts w:hint="eastAsia"/>
                <w:b/>
                <w:bCs/>
                <w:color w:val="auto"/>
                <w:kern w:val="24"/>
                <w:sz w:val="24"/>
                <w:highlight w:val="none"/>
              </w:rPr>
              <w:t xml:space="preserve"> </w:t>
            </w:r>
            <w:r>
              <w:rPr>
                <w:b/>
                <w:bCs/>
                <w:color w:val="auto"/>
                <w:kern w:val="24"/>
                <w:sz w:val="24"/>
                <w:highlight w:val="none"/>
              </w:rPr>
              <w:t xml:space="preserve"> </w:t>
            </w:r>
            <w:r>
              <w:rPr>
                <w:rFonts w:hint="eastAsia"/>
                <w:b/>
                <w:bCs/>
                <w:color w:val="auto"/>
                <w:kern w:val="24"/>
                <w:sz w:val="24"/>
                <w:highlight w:val="none"/>
              </w:rPr>
              <w:t>项目运营期各生产设备源强值表</w:t>
            </w:r>
          </w:p>
          <w:tbl>
            <w:tblPr>
              <w:tblStyle w:val="2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4"/>
              <w:gridCol w:w="1191"/>
              <w:gridCol w:w="1072"/>
              <w:gridCol w:w="724"/>
              <w:gridCol w:w="792"/>
              <w:gridCol w:w="1735"/>
              <w:gridCol w:w="1376"/>
              <w:gridCol w:w="767"/>
            </w:tblGrid>
            <w:tr w14:paraId="3140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65" w:type="pct"/>
                  <w:vMerge w:val="restart"/>
                  <w:tcBorders>
                    <w:tl2br w:val="nil"/>
                    <w:tr2bl w:val="nil"/>
                  </w:tcBorders>
                  <w:shd w:val="clear" w:color="auto" w:fill="auto"/>
                  <w:vAlign w:val="center"/>
                </w:tcPr>
                <w:p w14:paraId="28B8C6D9">
                  <w:pPr>
                    <w:adjustRightInd w:val="0"/>
                    <w:jc w:val="center"/>
                    <w:rPr>
                      <w:rFonts w:hint="eastAsia" w:eastAsia="宋体"/>
                      <w:b/>
                      <w:bCs/>
                      <w:color w:val="auto"/>
                      <w:szCs w:val="21"/>
                      <w:highlight w:val="none"/>
                      <w:lang w:val="en-US" w:eastAsia="zh-CN"/>
                    </w:rPr>
                  </w:pPr>
                  <w:r>
                    <w:rPr>
                      <w:rFonts w:hint="eastAsia"/>
                      <w:b/>
                      <w:bCs/>
                      <w:color w:val="auto"/>
                      <w:szCs w:val="21"/>
                      <w:highlight w:val="none"/>
                      <w:lang w:val="en-US" w:eastAsia="zh-CN"/>
                    </w:rPr>
                    <w:t>序号</w:t>
                  </w:r>
                </w:p>
              </w:tc>
              <w:tc>
                <w:tcPr>
                  <w:tcW w:w="720" w:type="pct"/>
                  <w:vMerge w:val="restart"/>
                  <w:tcBorders>
                    <w:tl2br w:val="nil"/>
                    <w:tr2bl w:val="nil"/>
                  </w:tcBorders>
                  <w:shd w:val="clear" w:color="auto" w:fill="auto"/>
                  <w:vAlign w:val="center"/>
                </w:tcPr>
                <w:p w14:paraId="25372A33">
                  <w:pPr>
                    <w:adjustRightInd w:val="0"/>
                    <w:jc w:val="center"/>
                    <w:rPr>
                      <w:b/>
                      <w:bCs/>
                      <w:color w:val="auto"/>
                      <w:szCs w:val="21"/>
                      <w:highlight w:val="none"/>
                    </w:rPr>
                  </w:pPr>
                  <w:r>
                    <w:rPr>
                      <w:b/>
                      <w:bCs/>
                      <w:color w:val="auto"/>
                      <w:szCs w:val="21"/>
                      <w:highlight w:val="none"/>
                    </w:rPr>
                    <w:t>噪声源</w:t>
                  </w:r>
                </w:p>
              </w:tc>
              <w:tc>
                <w:tcPr>
                  <w:tcW w:w="648" w:type="pct"/>
                  <w:vMerge w:val="restart"/>
                  <w:tcBorders>
                    <w:tl2br w:val="nil"/>
                    <w:tr2bl w:val="nil"/>
                  </w:tcBorders>
                  <w:vAlign w:val="center"/>
                </w:tcPr>
                <w:p w14:paraId="6F77342F">
                  <w:pPr>
                    <w:adjustRightInd w:val="0"/>
                    <w:jc w:val="center"/>
                    <w:rPr>
                      <w:b/>
                      <w:bCs/>
                      <w:color w:val="auto"/>
                      <w:szCs w:val="21"/>
                      <w:highlight w:val="none"/>
                    </w:rPr>
                  </w:pPr>
                  <w:r>
                    <w:rPr>
                      <w:rFonts w:hint="eastAsia"/>
                      <w:b/>
                      <w:bCs/>
                      <w:color w:val="auto"/>
                      <w:szCs w:val="21"/>
                      <w:highlight w:val="none"/>
                    </w:rPr>
                    <w:t>数量（台）</w:t>
                  </w:r>
                </w:p>
              </w:tc>
              <w:tc>
                <w:tcPr>
                  <w:tcW w:w="438" w:type="pct"/>
                  <w:vMerge w:val="restart"/>
                  <w:tcBorders>
                    <w:tl2br w:val="nil"/>
                    <w:tr2bl w:val="nil"/>
                  </w:tcBorders>
                  <w:shd w:val="clear" w:color="auto" w:fill="auto"/>
                  <w:vAlign w:val="center"/>
                </w:tcPr>
                <w:p w14:paraId="5D709A46">
                  <w:pPr>
                    <w:adjustRightInd w:val="0"/>
                    <w:jc w:val="center"/>
                    <w:rPr>
                      <w:rFonts w:hint="eastAsia"/>
                      <w:b/>
                      <w:bCs/>
                      <w:color w:val="auto"/>
                      <w:szCs w:val="21"/>
                      <w:highlight w:val="none"/>
                    </w:rPr>
                  </w:pPr>
                  <w:r>
                    <w:rPr>
                      <w:rFonts w:hint="eastAsia"/>
                      <w:b/>
                      <w:bCs/>
                      <w:color w:val="auto"/>
                      <w:szCs w:val="21"/>
                      <w:highlight w:val="none"/>
                    </w:rPr>
                    <w:t>声源</w:t>
                  </w:r>
                </w:p>
                <w:p w14:paraId="6D65C5D0">
                  <w:pPr>
                    <w:adjustRightInd w:val="0"/>
                    <w:jc w:val="center"/>
                    <w:rPr>
                      <w:b/>
                      <w:bCs/>
                      <w:color w:val="auto"/>
                      <w:szCs w:val="21"/>
                      <w:highlight w:val="none"/>
                    </w:rPr>
                  </w:pPr>
                  <w:r>
                    <w:rPr>
                      <w:rFonts w:hint="eastAsia"/>
                      <w:b/>
                      <w:bCs/>
                      <w:color w:val="auto"/>
                      <w:szCs w:val="21"/>
                      <w:highlight w:val="none"/>
                    </w:rPr>
                    <w:t>位置</w:t>
                  </w:r>
                </w:p>
              </w:tc>
              <w:tc>
                <w:tcPr>
                  <w:tcW w:w="479" w:type="pct"/>
                  <w:vMerge w:val="restart"/>
                  <w:tcBorders>
                    <w:tl2br w:val="nil"/>
                    <w:tr2bl w:val="nil"/>
                  </w:tcBorders>
                  <w:vAlign w:val="center"/>
                </w:tcPr>
                <w:p w14:paraId="27407EFE">
                  <w:pPr>
                    <w:adjustRightInd w:val="0"/>
                    <w:jc w:val="center"/>
                    <w:rPr>
                      <w:b/>
                      <w:bCs/>
                      <w:color w:val="auto"/>
                      <w:szCs w:val="21"/>
                      <w:highlight w:val="none"/>
                    </w:rPr>
                  </w:pPr>
                  <w:r>
                    <w:rPr>
                      <w:b/>
                      <w:bCs/>
                      <w:color w:val="auto"/>
                      <w:szCs w:val="21"/>
                      <w:highlight w:val="none"/>
                    </w:rPr>
                    <w:t>声源</w:t>
                  </w:r>
                </w:p>
                <w:p w14:paraId="751630F6">
                  <w:pPr>
                    <w:adjustRightInd w:val="0"/>
                    <w:jc w:val="center"/>
                    <w:rPr>
                      <w:b/>
                      <w:bCs/>
                      <w:color w:val="auto"/>
                      <w:szCs w:val="21"/>
                      <w:highlight w:val="none"/>
                    </w:rPr>
                  </w:pPr>
                  <w:r>
                    <w:rPr>
                      <w:b/>
                      <w:bCs/>
                      <w:color w:val="auto"/>
                      <w:szCs w:val="21"/>
                      <w:highlight w:val="none"/>
                    </w:rPr>
                    <w:t>类型</w:t>
                  </w:r>
                </w:p>
              </w:tc>
              <w:tc>
                <w:tcPr>
                  <w:tcW w:w="1049" w:type="pct"/>
                  <w:tcBorders>
                    <w:tl2br w:val="nil"/>
                    <w:tr2bl w:val="nil"/>
                  </w:tcBorders>
                  <w:shd w:val="clear" w:color="auto" w:fill="auto"/>
                  <w:vAlign w:val="center"/>
                </w:tcPr>
                <w:p w14:paraId="4FBF2D52">
                  <w:pPr>
                    <w:adjustRightInd w:val="0"/>
                    <w:jc w:val="center"/>
                    <w:rPr>
                      <w:b/>
                      <w:bCs/>
                      <w:color w:val="auto"/>
                      <w:szCs w:val="21"/>
                      <w:highlight w:val="none"/>
                    </w:rPr>
                  </w:pPr>
                  <w:r>
                    <w:rPr>
                      <w:rFonts w:hint="eastAsia"/>
                      <w:b/>
                      <w:bCs/>
                      <w:color w:val="auto"/>
                      <w:szCs w:val="21"/>
                      <w:highlight w:val="none"/>
                    </w:rPr>
                    <w:t>声源源强</w:t>
                  </w:r>
                </w:p>
              </w:tc>
              <w:tc>
                <w:tcPr>
                  <w:tcW w:w="832" w:type="pct"/>
                  <w:vMerge w:val="restart"/>
                  <w:tcBorders>
                    <w:tl2br w:val="nil"/>
                    <w:tr2bl w:val="nil"/>
                  </w:tcBorders>
                  <w:shd w:val="clear" w:color="auto" w:fill="auto"/>
                  <w:vAlign w:val="center"/>
                </w:tcPr>
                <w:p w14:paraId="4D08B083">
                  <w:pPr>
                    <w:adjustRightInd w:val="0"/>
                    <w:jc w:val="center"/>
                    <w:rPr>
                      <w:b/>
                      <w:bCs/>
                      <w:color w:val="auto"/>
                      <w:szCs w:val="21"/>
                      <w:highlight w:val="none"/>
                    </w:rPr>
                  </w:pPr>
                  <w:r>
                    <w:rPr>
                      <w:rFonts w:hint="eastAsia"/>
                      <w:b/>
                      <w:bCs/>
                      <w:color w:val="auto"/>
                      <w:szCs w:val="21"/>
                      <w:highlight w:val="none"/>
                    </w:rPr>
                    <w:t>源强数据来源</w:t>
                  </w:r>
                </w:p>
              </w:tc>
              <w:tc>
                <w:tcPr>
                  <w:tcW w:w="464" w:type="pct"/>
                  <w:vMerge w:val="restart"/>
                  <w:tcBorders>
                    <w:tl2br w:val="nil"/>
                    <w:tr2bl w:val="nil"/>
                  </w:tcBorders>
                  <w:shd w:val="clear" w:color="auto" w:fill="auto"/>
                  <w:vAlign w:val="center"/>
                </w:tcPr>
                <w:p w14:paraId="52F9D7D7">
                  <w:pPr>
                    <w:adjustRightInd w:val="0"/>
                    <w:jc w:val="center"/>
                    <w:rPr>
                      <w:b/>
                      <w:bCs/>
                      <w:color w:val="auto"/>
                      <w:szCs w:val="21"/>
                      <w:highlight w:val="none"/>
                    </w:rPr>
                  </w:pPr>
                  <w:r>
                    <w:rPr>
                      <w:rFonts w:hint="eastAsia"/>
                      <w:b/>
                      <w:bCs/>
                      <w:color w:val="auto"/>
                      <w:szCs w:val="21"/>
                      <w:highlight w:val="none"/>
                    </w:rPr>
                    <w:t>运行时间</w:t>
                  </w:r>
                  <w:r>
                    <w:rPr>
                      <w:b/>
                      <w:bCs/>
                      <w:color w:val="auto"/>
                      <w:szCs w:val="21"/>
                      <w:highlight w:val="none"/>
                    </w:rPr>
                    <w:t>/h</w:t>
                  </w:r>
                </w:p>
              </w:tc>
            </w:tr>
            <w:tr w14:paraId="00C1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65" w:type="pct"/>
                  <w:vMerge w:val="continue"/>
                  <w:tcBorders>
                    <w:tl2br w:val="nil"/>
                    <w:tr2bl w:val="nil"/>
                  </w:tcBorders>
                  <w:shd w:val="clear" w:color="auto" w:fill="auto"/>
                  <w:vAlign w:val="center"/>
                </w:tcPr>
                <w:p w14:paraId="1053431D">
                  <w:pPr>
                    <w:adjustRightInd w:val="0"/>
                    <w:jc w:val="center"/>
                    <w:rPr>
                      <w:color w:val="auto"/>
                      <w:szCs w:val="21"/>
                      <w:highlight w:val="none"/>
                    </w:rPr>
                  </w:pPr>
                </w:p>
              </w:tc>
              <w:tc>
                <w:tcPr>
                  <w:tcW w:w="720" w:type="pct"/>
                  <w:vMerge w:val="continue"/>
                  <w:tcBorders>
                    <w:tl2br w:val="nil"/>
                    <w:tr2bl w:val="nil"/>
                  </w:tcBorders>
                  <w:shd w:val="clear" w:color="auto" w:fill="auto"/>
                  <w:vAlign w:val="center"/>
                </w:tcPr>
                <w:p w14:paraId="1AA9E6B8">
                  <w:pPr>
                    <w:adjustRightInd w:val="0"/>
                    <w:jc w:val="center"/>
                    <w:rPr>
                      <w:color w:val="auto"/>
                      <w:szCs w:val="21"/>
                      <w:highlight w:val="none"/>
                    </w:rPr>
                  </w:pPr>
                </w:p>
              </w:tc>
              <w:tc>
                <w:tcPr>
                  <w:tcW w:w="648" w:type="pct"/>
                  <w:vMerge w:val="continue"/>
                  <w:tcBorders>
                    <w:tl2br w:val="nil"/>
                    <w:tr2bl w:val="nil"/>
                  </w:tcBorders>
                  <w:vAlign w:val="center"/>
                </w:tcPr>
                <w:p w14:paraId="15DB9EC0">
                  <w:pPr>
                    <w:adjustRightInd w:val="0"/>
                    <w:jc w:val="center"/>
                    <w:rPr>
                      <w:color w:val="auto"/>
                      <w:szCs w:val="21"/>
                      <w:highlight w:val="none"/>
                    </w:rPr>
                  </w:pPr>
                </w:p>
              </w:tc>
              <w:tc>
                <w:tcPr>
                  <w:tcW w:w="438" w:type="pct"/>
                  <w:vMerge w:val="continue"/>
                  <w:tcBorders>
                    <w:tl2br w:val="nil"/>
                    <w:tr2bl w:val="nil"/>
                  </w:tcBorders>
                  <w:shd w:val="clear" w:color="auto" w:fill="auto"/>
                  <w:vAlign w:val="center"/>
                </w:tcPr>
                <w:p w14:paraId="308CC9C8">
                  <w:pPr>
                    <w:adjustRightInd w:val="0"/>
                    <w:jc w:val="center"/>
                    <w:rPr>
                      <w:color w:val="auto"/>
                      <w:szCs w:val="21"/>
                      <w:highlight w:val="none"/>
                    </w:rPr>
                  </w:pPr>
                </w:p>
              </w:tc>
              <w:tc>
                <w:tcPr>
                  <w:tcW w:w="479" w:type="pct"/>
                  <w:vMerge w:val="continue"/>
                  <w:tcBorders>
                    <w:tl2br w:val="nil"/>
                    <w:tr2bl w:val="nil"/>
                  </w:tcBorders>
                  <w:vAlign w:val="center"/>
                </w:tcPr>
                <w:p w14:paraId="5CE7A579">
                  <w:pPr>
                    <w:adjustRightInd w:val="0"/>
                    <w:jc w:val="center"/>
                    <w:rPr>
                      <w:color w:val="auto"/>
                      <w:szCs w:val="21"/>
                      <w:highlight w:val="none"/>
                    </w:rPr>
                  </w:pPr>
                </w:p>
              </w:tc>
              <w:tc>
                <w:tcPr>
                  <w:tcW w:w="1049" w:type="pct"/>
                  <w:tcBorders>
                    <w:tl2br w:val="nil"/>
                    <w:tr2bl w:val="nil"/>
                  </w:tcBorders>
                  <w:shd w:val="clear" w:color="auto" w:fill="auto"/>
                  <w:vAlign w:val="center"/>
                </w:tcPr>
                <w:p w14:paraId="493FEBB6">
                  <w:pPr>
                    <w:adjustRightInd w:val="0"/>
                    <w:jc w:val="center"/>
                    <w:rPr>
                      <w:rFonts w:hint="eastAsia" w:eastAsia="宋体"/>
                      <w:b/>
                      <w:bCs/>
                      <w:color w:val="auto"/>
                      <w:szCs w:val="21"/>
                      <w:highlight w:val="none"/>
                      <w:lang w:eastAsia="zh-CN"/>
                    </w:rPr>
                  </w:pPr>
                  <w:r>
                    <w:rPr>
                      <w:rFonts w:hint="eastAsia"/>
                      <w:b/>
                      <w:bCs/>
                      <w:color w:val="auto"/>
                      <w:szCs w:val="21"/>
                      <w:highlight w:val="none"/>
                      <w:lang w:eastAsia="zh-CN"/>
                    </w:rPr>
                    <w:t>（</w:t>
                  </w:r>
                  <w:r>
                    <w:rPr>
                      <w:rFonts w:hint="eastAsia"/>
                      <w:b/>
                      <w:bCs/>
                      <w:color w:val="auto"/>
                      <w:szCs w:val="21"/>
                      <w:highlight w:val="none"/>
                    </w:rPr>
                    <w:t>声压级/距声源距</w:t>
                  </w:r>
                  <w:r>
                    <w:rPr>
                      <w:rFonts w:hint="eastAsia"/>
                      <w:b/>
                      <w:bCs/>
                      <w:color w:val="auto"/>
                      <w:szCs w:val="21"/>
                      <w:highlight w:val="none"/>
                      <w:lang w:eastAsia="zh-CN"/>
                    </w:rPr>
                    <w:t>）</w:t>
                  </w:r>
                  <w:r>
                    <w:rPr>
                      <w:rFonts w:hint="eastAsia"/>
                      <w:b/>
                      <w:bCs/>
                      <w:color w:val="auto"/>
                      <w:szCs w:val="21"/>
                      <w:highlight w:val="none"/>
                    </w:rPr>
                    <w:t>/</w:t>
                  </w:r>
                  <w:r>
                    <w:rPr>
                      <w:rFonts w:hint="eastAsia"/>
                      <w:b/>
                      <w:bCs/>
                      <w:color w:val="auto"/>
                      <w:szCs w:val="21"/>
                      <w:highlight w:val="none"/>
                      <w:lang w:eastAsia="zh-CN"/>
                    </w:rPr>
                    <w:t>（</w:t>
                  </w:r>
                  <w:r>
                    <w:rPr>
                      <w:rFonts w:hint="eastAsia"/>
                      <w:b/>
                      <w:bCs/>
                      <w:color w:val="auto"/>
                      <w:szCs w:val="21"/>
                      <w:highlight w:val="none"/>
                    </w:rPr>
                    <w:t>dB</w:t>
                  </w:r>
                  <w:r>
                    <w:rPr>
                      <w:rFonts w:hint="eastAsia"/>
                      <w:b/>
                      <w:bCs/>
                      <w:color w:val="auto"/>
                      <w:szCs w:val="21"/>
                      <w:highlight w:val="none"/>
                      <w:lang w:eastAsia="zh-CN"/>
                    </w:rPr>
                    <w:t>（</w:t>
                  </w:r>
                  <w:r>
                    <w:rPr>
                      <w:rFonts w:hint="eastAsia"/>
                      <w:b/>
                      <w:bCs/>
                      <w:color w:val="auto"/>
                      <w:szCs w:val="21"/>
                      <w:highlight w:val="none"/>
                    </w:rPr>
                    <w:t>A</w:t>
                  </w:r>
                  <w:r>
                    <w:rPr>
                      <w:rFonts w:hint="eastAsia"/>
                      <w:b/>
                      <w:bCs/>
                      <w:color w:val="auto"/>
                      <w:szCs w:val="21"/>
                      <w:highlight w:val="none"/>
                      <w:lang w:eastAsia="zh-CN"/>
                    </w:rPr>
                    <w:t>）</w:t>
                  </w:r>
                  <w:r>
                    <w:rPr>
                      <w:rFonts w:hint="eastAsia"/>
                      <w:b/>
                      <w:bCs/>
                      <w:color w:val="auto"/>
                      <w:szCs w:val="21"/>
                      <w:highlight w:val="none"/>
                    </w:rPr>
                    <w:t>/1m</w:t>
                  </w:r>
                  <w:r>
                    <w:rPr>
                      <w:rFonts w:hint="eastAsia"/>
                      <w:b/>
                      <w:bCs/>
                      <w:color w:val="auto"/>
                      <w:szCs w:val="21"/>
                      <w:highlight w:val="none"/>
                      <w:lang w:eastAsia="zh-CN"/>
                    </w:rPr>
                    <w:t>）</w:t>
                  </w:r>
                </w:p>
              </w:tc>
              <w:tc>
                <w:tcPr>
                  <w:tcW w:w="832" w:type="pct"/>
                  <w:vMerge w:val="continue"/>
                  <w:tcBorders>
                    <w:tl2br w:val="nil"/>
                    <w:tr2bl w:val="nil"/>
                  </w:tcBorders>
                  <w:shd w:val="clear" w:color="auto" w:fill="auto"/>
                  <w:vAlign w:val="center"/>
                </w:tcPr>
                <w:p w14:paraId="2B0BFFF8">
                  <w:pPr>
                    <w:adjustRightInd w:val="0"/>
                    <w:jc w:val="center"/>
                    <w:rPr>
                      <w:b/>
                      <w:bCs/>
                      <w:color w:val="auto"/>
                      <w:szCs w:val="21"/>
                      <w:highlight w:val="none"/>
                    </w:rPr>
                  </w:pPr>
                </w:p>
              </w:tc>
              <w:tc>
                <w:tcPr>
                  <w:tcW w:w="464" w:type="pct"/>
                  <w:vMerge w:val="continue"/>
                  <w:tcBorders>
                    <w:tl2br w:val="nil"/>
                    <w:tr2bl w:val="nil"/>
                  </w:tcBorders>
                  <w:shd w:val="clear" w:color="auto" w:fill="auto"/>
                  <w:vAlign w:val="center"/>
                </w:tcPr>
                <w:p w14:paraId="1BB67BBC">
                  <w:pPr>
                    <w:adjustRightInd w:val="0"/>
                    <w:jc w:val="center"/>
                    <w:rPr>
                      <w:color w:val="auto"/>
                      <w:szCs w:val="21"/>
                      <w:highlight w:val="none"/>
                    </w:rPr>
                  </w:pPr>
                </w:p>
              </w:tc>
            </w:tr>
            <w:tr w14:paraId="14A6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8" w:hRule="atLeast"/>
                <w:jc w:val="center"/>
              </w:trPr>
              <w:tc>
                <w:tcPr>
                  <w:tcW w:w="365" w:type="pct"/>
                  <w:tcBorders>
                    <w:tl2br w:val="nil"/>
                    <w:tr2bl w:val="nil"/>
                  </w:tcBorders>
                  <w:shd w:val="clear" w:color="auto" w:fill="auto"/>
                  <w:vAlign w:val="center"/>
                </w:tcPr>
                <w:p w14:paraId="68AFCD40">
                  <w:pPr>
                    <w:adjustRightInd w:val="0"/>
                    <w:jc w:val="center"/>
                    <w:rPr>
                      <w:rFonts w:hint="eastAsia" w:eastAsia="宋体"/>
                      <w:color w:val="auto"/>
                      <w:szCs w:val="21"/>
                      <w:highlight w:val="none"/>
                      <w:lang w:val="en-US" w:eastAsia="zh-CN"/>
                    </w:rPr>
                  </w:pPr>
                  <w:r>
                    <w:rPr>
                      <w:rFonts w:hint="eastAsia"/>
                      <w:color w:val="auto"/>
                      <w:szCs w:val="21"/>
                      <w:highlight w:val="none"/>
                      <w:lang w:val="en-US" w:eastAsia="zh-CN"/>
                    </w:rPr>
                    <w:t>1</w:t>
                  </w:r>
                </w:p>
              </w:tc>
              <w:tc>
                <w:tcPr>
                  <w:tcW w:w="720" w:type="pct"/>
                  <w:tcBorders>
                    <w:tl2br w:val="nil"/>
                    <w:tr2bl w:val="nil"/>
                  </w:tcBorders>
                  <w:shd w:val="clear" w:color="auto" w:fill="auto"/>
                  <w:vAlign w:val="center"/>
                </w:tcPr>
                <w:p w14:paraId="4C345418">
                  <w:pPr>
                    <w:adjustRightInd w:val="0"/>
                    <w:jc w:val="center"/>
                    <w:rPr>
                      <w:rFonts w:hint="default" w:eastAsia="宋体"/>
                      <w:color w:val="auto"/>
                      <w:szCs w:val="21"/>
                      <w:highlight w:val="none"/>
                      <w:lang w:val="en-US" w:eastAsia="zh-CN"/>
                    </w:rPr>
                  </w:pPr>
                  <w:r>
                    <w:rPr>
                      <w:rFonts w:hint="eastAsia"/>
                      <w:color w:val="auto"/>
                      <w:szCs w:val="21"/>
                      <w:highlight w:val="none"/>
                      <w:lang w:val="en-US" w:eastAsia="zh-CN"/>
                    </w:rPr>
                    <w:t>上料机</w:t>
                  </w:r>
                </w:p>
              </w:tc>
              <w:tc>
                <w:tcPr>
                  <w:tcW w:w="648" w:type="pct"/>
                  <w:tcBorders>
                    <w:tl2br w:val="nil"/>
                    <w:tr2bl w:val="nil"/>
                  </w:tcBorders>
                </w:tcPr>
                <w:p w14:paraId="5B3E7D5B">
                  <w:pPr>
                    <w:pStyle w:val="7"/>
                    <w:spacing w:line="360" w:lineRule="exact"/>
                    <w:ind w:firstLine="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5</w:t>
                  </w:r>
                </w:p>
              </w:tc>
              <w:tc>
                <w:tcPr>
                  <w:tcW w:w="438" w:type="pct"/>
                  <w:vMerge w:val="restart"/>
                  <w:tcBorders>
                    <w:tl2br w:val="nil"/>
                    <w:tr2bl w:val="nil"/>
                  </w:tcBorders>
                  <w:shd w:val="clear" w:color="auto" w:fill="auto"/>
                  <w:vAlign w:val="center"/>
                </w:tcPr>
                <w:p w14:paraId="0F2CFA95">
                  <w:pPr>
                    <w:adjustRightInd w:val="0"/>
                    <w:jc w:val="center"/>
                    <w:rPr>
                      <w:color w:val="auto"/>
                      <w:szCs w:val="21"/>
                      <w:highlight w:val="none"/>
                    </w:rPr>
                  </w:pPr>
                  <w:r>
                    <w:rPr>
                      <w:rFonts w:hint="eastAsia"/>
                      <w:color w:val="auto"/>
                      <w:szCs w:val="21"/>
                      <w:highlight w:val="none"/>
                    </w:rPr>
                    <w:t>室内</w:t>
                  </w:r>
                </w:p>
              </w:tc>
              <w:tc>
                <w:tcPr>
                  <w:tcW w:w="479" w:type="pct"/>
                  <w:tcBorders>
                    <w:tl2br w:val="nil"/>
                    <w:tr2bl w:val="nil"/>
                  </w:tcBorders>
                  <w:vAlign w:val="center"/>
                </w:tcPr>
                <w:p w14:paraId="62637C64">
                  <w:pPr>
                    <w:adjustRightInd w:val="0"/>
                    <w:jc w:val="center"/>
                    <w:rPr>
                      <w:color w:val="auto"/>
                      <w:szCs w:val="21"/>
                      <w:highlight w:val="none"/>
                    </w:rPr>
                  </w:pPr>
                  <w:r>
                    <w:rPr>
                      <w:color w:val="auto"/>
                      <w:szCs w:val="21"/>
                      <w:highlight w:val="none"/>
                    </w:rPr>
                    <w:t>频发</w:t>
                  </w:r>
                </w:p>
              </w:tc>
              <w:tc>
                <w:tcPr>
                  <w:tcW w:w="1049" w:type="pct"/>
                  <w:tcBorders>
                    <w:tl2br w:val="nil"/>
                    <w:tr2bl w:val="nil"/>
                  </w:tcBorders>
                  <w:shd w:val="clear" w:color="auto" w:fill="auto"/>
                  <w:vAlign w:val="center"/>
                </w:tcPr>
                <w:p w14:paraId="3479DDE0">
                  <w:pPr>
                    <w:adjustRightInd w:val="0"/>
                    <w:jc w:val="center"/>
                    <w:rPr>
                      <w:rFonts w:hint="default" w:eastAsia="宋体"/>
                      <w:color w:val="auto"/>
                      <w:kern w:val="24"/>
                      <w:szCs w:val="21"/>
                      <w:highlight w:val="none"/>
                      <w:lang w:val="en-US" w:eastAsia="zh-CN"/>
                    </w:rPr>
                  </w:pPr>
                  <w:r>
                    <w:rPr>
                      <w:rFonts w:hint="eastAsia"/>
                      <w:color w:val="auto"/>
                      <w:kern w:val="24"/>
                      <w:szCs w:val="21"/>
                      <w:highlight w:val="none"/>
                      <w:lang w:val="en-US" w:eastAsia="zh-CN"/>
                    </w:rPr>
                    <w:t>75</w:t>
                  </w:r>
                </w:p>
              </w:tc>
              <w:tc>
                <w:tcPr>
                  <w:tcW w:w="832" w:type="pct"/>
                  <w:vMerge w:val="restart"/>
                  <w:tcBorders>
                    <w:tl2br w:val="nil"/>
                    <w:tr2bl w:val="nil"/>
                  </w:tcBorders>
                  <w:shd w:val="clear" w:color="auto" w:fill="auto"/>
                  <w:vAlign w:val="center"/>
                </w:tcPr>
                <w:p w14:paraId="76F2DA4D">
                  <w:pPr>
                    <w:adjustRightInd w:val="0"/>
                    <w:jc w:val="center"/>
                    <w:rPr>
                      <w:color w:val="auto"/>
                      <w:szCs w:val="21"/>
                      <w:highlight w:val="none"/>
                    </w:rPr>
                  </w:pPr>
                  <w:r>
                    <w:rPr>
                      <w:rFonts w:hint="eastAsia"/>
                      <w:color w:val="auto"/>
                      <w:szCs w:val="21"/>
                      <w:highlight w:val="none"/>
                    </w:rPr>
                    <w:t>参考《污染源源强核算技术指南》各行业技术指南附录中相关设备声源源强资料</w:t>
                  </w:r>
                </w:p>
              </w:tc>
              <w:tc>
                <w:tcPr>
                  <w:tcW w:w="464" w:type="pct"/>
                  <w:tcBorders>
                    <w:tl2br w:val="nil"/>
                    <w:tr2bl w:val="nil"/>
                  </w:tcBorders>
                  <w:shd w:val="clear" w:color="auto" w:fill="auto"/>
                  <w:vAlign w:val="center"/>
                </w:tcPr>
                <w:p w14:paraId="54F70009">
                  <w:pPr>
                    <w:adjustRightInd w:val="0"/>
                    <w:jc w:val="center"/>
                    <w:rPr>
                      <w:rFonts w:hint="default" w:eastAsia="宋体"/>
                      <w:color w:val="auto"/>
                      <w:szCs w:val="21"/>
                      <w:highlight w:val="none"/>
                      <w:lang w:val="en-US" w:eastAsia="zh-CN"/>
                    </w:rPr>
                  </w:pPr>
                  <w:r>
                    <w:rPr>
                      <w:rFonts w:hint="eastAsia"/>
                      <w:color w:val="auto"/>
                      <w:szCs w:val="21"/>
                      <w:highlight w:val="none"/>
                      <w:lang w:val="en-US" w:eastAsia="zh-CN"/>
                    </w:rPr>
                    <w:t>7200</w:t>
                  </w:r>
                </w:p>
              </w:tc>
            </w:tr>
            <w:tr w14:paraId="10E1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65" w:type="pct"/>
                  <w:tcBorders>
                    <w:tl2br w:val="nil"/>
                    <w:tr2bl w:val="nil"/>
                  </w:tcBorders>
                  <w:shd w:val="clear" w:color="auto" w:fill="auto"/>
                  <w:vAlign w:val="center"/>
                </w:tcPr>
                <w:p w14:paraId="1F5BC7F6">
                  <w:pPr>
                    <w:adjustRightInd w:val="0"/>
                    <w:jc w:val="center"/>
                    <w:rPr>
                      <w:rFonts w:hint="eastAsia" w:eastAsia="宋体"/>
                      <w:color w:val="auto"/>
                      <w:szCs w:val="21"/>
                      <w:highlight w:val="none"/>
                      <w:lang w:val="en-US" w:eastAsia="zh-CN"/>
                    </w:rPr>
                  </w:pPr>
                  <w:r>
                    <w:rPr>
                      <w:rFonts w:hint="eastAsia"/>
                      <w:color w:val="auto"/>
                      <w:szCs w:val="21"/>
                      <w:highlight w:val="none"/>
                      <w:lang w:val="en-US" w:eastAsia="zh-CN"/>
                    </w:rPr>
                    <w:t>2</w:t>
                  </w:r>
                </w:p>
              </w:tc>
              <w:tc>
                <w:tcPr>
                  <w:tcW w:w="720" w:type="pct"/>
                  <w:tcBorders>
                    <w:tl2br w:val="nil"/>
                    <w:tr2bl w:val="nil"/>
                  </w:tcBorders>
                  <w:shd w:val="clear" w:color="auto" w:fill="auto"/>
                  <w:vAlign w:val="center"/>
                </w:tcPr>
                <w:p w14:paraId="0679965A">
                  <w:pPr>
                    <w:adjustRightIn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拌料机</w:t>
                  </w:r>
                </w:p>
              </w:tc>
              <w:tc>
                <w:tcPr>
                  <w:tcW w:w="648" w:type="pct"/>
                  <w:tcBorders>
                    <w:tl2br w:val="nil"/>
                    <w:tr2bl w:val="nil"/>
                  </w:tcBorders>
                  <w:shd w:val="clear" w:color="auto" w:fill="auto"/>
                  <w:vAlign w:val="top"/>
                </w:tcPr>
                <w:p w14:paraId="2F4F9487">
                  <w:pPr>
                    <w:pStyle w:val="7"/>
                    <w:spacing w:line="360" w:lineRule="exact"/>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5</w:t>
                  </w:r>
                </w:p>
              </w:tc>
              <w:tc>
                <w:tcPr>
                  <w:tcW w:w="438" w:type="pct"/>
                  <w:vMerge w:val="continue"/>
                  <w:tcBorders>
                    <w:tl2br w:val="nil"/>
                    <w:tr2bl w:val="nil"/>
                  </w:tcBorders>
                  <w:shd w:val="clear" w:color="auto" w:fill="auto"/>
                  <w:vAlign w:val="center"/>
                </w:tcPr>
                <w:p w14:paraId="095C1435">
                  <w:pPr>
                    <w:adjustRightInd w:val="0"/>
                    <w:jc w:val="center"/>
                    <w:rPr>
                      <w:color w:val="auto"/>
                      <w:szCs w:val="21"/>
                      <w:highlight w:val="none"/>
                    </w:rPr>
                  </w:pPr>
                </w:p>
              </w:tc>
              <w:tc>
                <w:tcPr>
                  <w:tcW w:w="479" w:type="pct"/>
                  <w:tcBorders>
                    <w:tl2br w:val="nil"/>
                    <w:tr2bl w:val="nil"/>
                  </w:tcBorders>
                  <w:vAlign w:val="center"/>
                </w:tcPr>
                <w:p w14:paraId="0678F760">
                  <w:pPr>
                    <w:adjustRightInd w:val="0"/>
                    <w:jc w:val="center"/>
                    <w:rPr>
                      <w:color w:val="auto"/>
                      <w:szCs w:val="21"/>
                      <w:highlight w:val="none"/>
                    </w:rPr>
                  </w:pPr>
                  <w:r>
                    <w:rPr>
                      <w:color w:val="auto"/>
                      <w:szCs w:val="21"/>
                      <w:highlight w:val="none"/>
                    </w:rPr>
                    <w:t>频发</w:t>
                  </w:r>
                </w:p>
              </w:tc>
              <w:tc>
                <w:tcPr>
                  <w:tcW w:w="1049" w:type="pct"/>
                  <w:tcBorders>
                    <w:tl2br w:val="nil"/>
                    <w:tr2bl w:val="nil"/>
                  </w:tcBorders>
                  <w:shd w:val="clear" w:color="auto" w:fill="auto"/>
                  <w:vAlign w:val="center"/>
                </w:tcPr>
                <w:p w14:paraId="199BC03C">
                  <w:pPr>
                    <w:adjustRightInd w:val="0"/>
                    <w:jc w:val="center"/>
                    <w:rPr>
                      <w:rFonts w:hint="default" w:eastAsia="宋体"/>
                      <w:color w:val="auto"/>
                      <w:kern w:val="24"/>
                      <w:szCs w:val="21"/>
                      <w:highlight w:val="none"/>
                      <w:lang w:val="en-US" w:eastAsia="zh-CN"/>
                    </w:rPr>
                  </w:pPr>
                  <w:r>
                    <w:rPr>
                      <w:rFonts w:hint="eastAsia"/>
                      <w:color w:val="auto"/>
                      <w:kern w:val="24"/>
                      <w:szCs w:val="21"/>
                      <w:highlight w:val="none"/>
                      <w:lang w:val="en-US" w:eastAsia="zh-CN"/>
                    </w:rPr>
                    <w:t>80</w:t>
                  </w:r>
                </w:p>
              </w:tc>
              <w:tc>
                <w:tcPr>
                  <w:tcW w:w="832" w:type="pct"/>
                  <w:vMerge w:val="continue"/>
                  <w:tcBorders>
                    <w:tl2br w:val="nil"/>
                    <w:tr2bl w:val="nil"/>
                  </w:tcBorders>
                  <w:shd w:val="clear" w:color="auto" w:fill="auto"/>
                  <w:vAlign w:val="center"/>
                </w:tcPr>
                <w:p w14:paraId="1F3507BF">
                  <w:pPr>
                    <w:adjustRightInd w:val="0"/>
                    <w:jc w:val="center"/>
                    <w:rPr>
                      <w:color w:val="auto"/>
                      <w:szCs w:val="21"/>
                      <w:highlight w:val="none"/>
                    </w:rPr>
                  </w:pPr>
                </w:p>
              </w:tc>
              <w:tc>
                <w:tcPr>
                  <w:tcW w:w="464" w:type="pct"/>
                  <w:tcBorders>
                    <w:tl2br w:val="nil"/>
                    <w:tr2bl w:val="nil"/>
                  </w:tcBorders>
                  <w:shd w:val="clear" w:color="auto" w:fill="auto"/>
                  <w:vAlign w:val="center"/>
                </w:tcPr>
                <w:p w14:paraId="35ED74DF">
                  <w:pPr>
                    <w:adjustRightInd w:val="0"/>
                    <w:jc w:val="center"/>
                    <w:rPr>
                      <w:rFonts w:hint="default" w:eastAsia="宋体"/>
                      <w:color w:val="auto"/>
                      <w:szCs w:val="21"/>
                      <w:highlight w:val="none"/>
                      <w:lang w:val="en-US" w:eastAsia="zh-CN"/>
                    </w:rPr>
                  </w:pPr>
                  <w:r>
                    <w:rPr>
                      <w:rFonts w:hint="eastAsia"/>
                      <w:color w:val="auto"/>
                      <w:szCs w:val="21"/>
                      <w:highlight w:val="none"/>
                      <w:lang w:val="en-US" w:eastAsia="zh-CN"/>
                    </w:rPr>
                    <w:t>7200</w:t>
                  </w:r>
                </w:p>
              </w:tc>
            </w:tr>
            <w:tr w14:paraId="4327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65" w:type="pct"/>
                  <w:tcBorders>
                    <w:tl2br w:val="nil"/>
                    <w:tr2bl w:val="nil"/>
                  </w:tcBorders>
                  <w:shd w:val="clear" w:color="auto" w:fill="auto"/>
                  <w:vAlign w:val="center"/>
                </w:tcPr>
                <w:p w14:paraId="1DBED803">
                  <w:pPr>
                    <w:adjustRightInd w:val="0"/>
                    <w:jc w:val="center"/>
                    <w:rPr>
                      <w:rFonts w:hint="default" w:eastAsia="宋体"/>
                      <w:color w:val="auto"/>
                      <w:szCs w:val="21"/>
                      <w:highlight w:val="none"/>
                      <w:lang w:val="en-US" w:eastAsia="zh-CN"/>
                    </w:rPr>
                  </w:pPr>
                  <w:r>
                    <w:rPr>
                      <w:rFonts w:hint="eastAsia"/>
                      <w:color w:val="auto"/>
                      <w:szCs w:val="21"/>
                      <w:highlight w:val="none"/>
                      <w:lang w:val="en-US" w:eastAsia="zh-CN"/>
                    </w:rPr>
                    <w:t>3</w:t>
                  </w:r>
                </w:p>
              </w:tc>
              <w:tc>
                <w:tcPr>
                  <w:tcW w:w="720" w:type="pct"/>
                  <w:tcBorders>
                    <w:tl2br w:val="nil"/>
                    <w:tr2bl w:val="nil"/>
                  </w:tcBorders>
                  <w:shd w:val="clear" w:color="auto" w:fill="auto"/>
                  <w:vAlign w:val="center"/>
                </w:tcPr>
                <w:p w14:paraId="55794283">
                  <w:pPr>
                    <w:adjustRightIn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模切机</w:t>
                  </w:r>
                </w:p>
              </w:tc>
              <w:tc>
                <w:tcPr>
                  <w:tcW w:w="648" w:type="pct"/>
                  <w:tcBorders>
                    <w:tl2br w:val="nil"/>
                    <w:tr2bl w:val="nil"/>
                  </w:tcBorders>
                  <w:shd w:val="clear" w:color="auto" w:fill="auto"/>
                  <w:vAlign w:val="top"/>
                </w:tcPr>
                <w:p w14:paraId="00D8DFE9">
                  <w:pPr>
                    <w:pStyle w:val="7"/>
                    <w:spacing w:line="360" w:lineRule="exact"/>
                    <w:ind w:firstLine="0" w:firstLine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1</w:t>
                  </w:r>
                </w:p>
              </w:tc>
              <w:tc>
                <w:tcPr>
                  <w:tcW w:w="438" w:type="pct"/>
                  <w:vMerge w:val="continue"/>
                  <w:tcBorders>
                    <w:tl2br w:val="nil"/>
                    <w:tr2bl w:val="nil"/>
                  </w:tcBorders>
                  <w:shd w:val="clear" w:color="auto" w:fill="auto"/>
                  <w:vAlign w:val="center"/>
                </w:tcPr>
                <w:p w14:paraId="686D7637">
                  <w:pPr>
                    <w:adjustRightInd w:val="0"/>
                    <w:jc w:val="center"/>
                    <w:rPr>
                      <w:color w:val="auto"/>
                      <w:szCs w:val="21"/>
                      <w:highlight w:val="none"/>
                    </w:rPr>
                  </w:pPr>
                </w:p>
              </w:tc>
              <w:tc>
                <w:tcPr>
                  <w:tcW w:w="479" w:type="pct"/>
                  <w:tcBorders>
                    <w:tl2br w:val="nil"/>
                    <w:tr2bl w:val="nil"/>
                  </w:tcBorders>
                  <w:vAlign w:val="center"/>
                </w:tcPr>
                <w:p w14:paraId="4BB679CE">
                  <w:pPr>
                    <w:adjustRightInd w:val="0"/>
                    <w:jc w:val="center"/>
                    <w:rPr>
                      <w:color w:val="auto"/>
                      <w:szCs w:val="21"/>
                      <w:highlight w:val="none"/>
                    </w:rPr>
                  </w:pPr>
                  <w:r>
                    <w:rPr>
                      <w:color w:val="auto"/>
                      <w:szCs w:val="21"/>
                      <w:highlight w:val="none"/>
                    </w:rPr>
                    <w:t>频发</w:t>
                  </w:r>
                </w:p>
              </w:tc>
              <w:tc>
                <w:tcPr>
                  <w:tcW w:w="1049" w:type="pct"/>
                  <w:tcBorders>
                    <w:tl2br w:val="nil"/>
                    <w:tr2bl w:val="nil"/>
                  </w:tcBorders>
                  <w:shd w:val="clear" w:color="auto" w:fill="auto"/>
                  <w:vAlign w:val="center"/>
                </w:tcPr>
                <w:p w14:paraId="2DD9FBC2">
                  <w:pPr>
                    <w:adjustRightInd w:val="0"/>
                    <w:jc w:val="center"/>
                    <w:rPr>
                      <w:rFonts w:hint="default" w:eastAsia="宋体"/>
                      <w:color w:val="auto"/>
                      <w:kern w:val="24"/>
                      <w:szCs w:val="21"/>
                      <w:highlight w:val="none"/>
                      <w:lang w:val="en-US" w:eastAsia="zh-CN"/>
                    </w:rPr>
                  </w:pPr>
                  <w:r>
                    <w:rPr>
                      <w:rFonts w:hint="eastAsia"/>
                      <w:color w:val="auto"/>
                      <w:kern w:val="24"/>
                      <w:szCs w:val="21"/>
                      <w:highlight w:val="none"/>
                      <w:lang w:val="en-US" w:eastAsia="zh-CN"/>
                    </w:rPr>
                    <w:t>80</w:t>
                  </w:r>
                </w:p>
              </w:tc>
              <w:tc>
                <w:tcPr>
                  <w:tcW w:w="832" w:type="pct"/>
                  <w:vMerge w:val="continue"/>
                  <w:tcBorders>
                    <w:tl2br w:val="nil"/>
                    <w:tr2bl w:val="nil"/>
                  </w:tcBorders>
                  <w:shd w:val="clear" w:color="auto" w:fill="auto"/>
                  <w:vAlign w:val="center"/>
                </w:tcPr>
                <w:p w14:paraId="59E9A928">
                  <w:pPr>
                    <w:adjustRightInd w:val="0"/>
                    <w:jc w:val="center"/>
                    <w:rPr>
                      <w:color w:val="auto"/>
                      <w:szCs w:val="21"/>
                      <w:highlight w:val="none"/>
                    </w:rPr>
                  </w:pPr>
                </w:p>
              </w:tc>
              <w:tc>
                <w:tcPr>
                  <w:tcW w:w="464" w:type="pct"/>
                  <w:tcBorders>
                    <w:tl2br w:val="nil"/>
                    <w:tr2bl w:val="nil"/>
                  </w:tcBorders>
                  <w:shd w:val="clear" w:color="auto" w:fill="auto"/>
                  <w:vAlign w:val="center"/>
                </w:tcPr>
                <w:p w14:paraId="2F97949B">
                  <w:pPr>
                    <w:adjustRightInd w:val="0"/>
                    <w:jc w:val="center"/>
                    <w:rPr>
                      <w:rFonts w:hint="default" w:eastAsia="宋体"/>
                      <w:color w:val="auto"/>
                      <w:szCs w:val="21"/>
                      <w:highlight w:val="none"/>
                      <w:lang w:val="en-US" w:eastAsia="zh-CN"/>
                    </w:rPr>
                  </w:pPr>
                  <w:r>
                    <w:rPr>
                      <w:rFonts w:hint="eastAsia"/>
                      <w:color w:val="auto"/>
                      <w:szCs w:val="21"/>
                      <w:highlight w:val="none"/>
                      <w:lang w:val="en-US" w:eastAsia="zh-CN"/>
                    </w:rPr>
                    <w:t>7200</w:t>
                  </w:r>
                </w:p>
              </w:tc>
            </w:tr>
            <w:tr w14:paraId="0BC8D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65" w:type="pct"/>
                  <w:tcBorders>
                    <w:tl2br w:val="nil"/>
                    <w:tr2bl w:val="nil"/>
                  </w:tcBorders>
                  <w:shd w:val="clear" w:color="auto" w:fill="auto"/>
                  <w:vAlign w:val="center"/>
                </w:tcPr>
                <w:p w14:paraId="2BFF3BE4">
                  <w:pPr>
                    <w:adjustRightInd w:val="0"/>
                    <w:jc w:val="center"/>
                    <w:rPr>
                      <w:rFonts w:hint="eastAsia" w:eastAsia="宋体"/>
                      <w:color w:val="auto"/>
                      <w:szCs w:val="21"/>
                      <w:highlight w:val="none"/>
                      <w:lang w:val="en-US" w:eastAsia="zh-CN"/>
                    </w:rPr>
                  </w:pPr>
                  <w:r>
                    <w:rPr>
                      <w:rFonts w:hint="eastAsia"/>
                      <w:color w:val="auto"/>
                      <w:szCs w:val="21"/>
                      <w:highlight w:val="none"/>
                      <w:lang w:val="en-US" w:eastAsia="zh-CN"/>
                    </w:rPr>
                    <w:t>4</w:t>
                  </w:r>
                </w:p>
              </w:tc>
              <w:tc>
                <w:tcPr>
                  <w:tcW w:w="720" w:type="pct"/>
                  <w:tcBorders>
                    <w:tl2br w:val="nil"/>
                    <w:tr2bl w:val="nil"/>
                  </w:tcBorders>
                  <w:shd w:val="clear" w:color="auto" w:fill="auto"/>
                  <w:vAlign w:val="center"/>
                </w:tcPr>
                <w:p w14:paraId="171A6B20">
                  <w:pPr>
                    <w:adjustRightInd w:val="0"/>
                    <w:jc w:val="center"/>
                    <w:rPr>
                      <w:rFonts w:hint="eastAsia" w:eastAsia="宋体"/>
                      <w:color w:val="auto"/>
                      <w:szCs w:val="21"/>
                      <w:highlight w:val="none"/>
                      <w:lang w:val="en-US" w:eastAsia="zh-CN"/>
                    </w:rPr>
                  </w:pPr>
                  <w:r>
                    <w:rPr>
                      <w:rFonts w:hint="eastAsia"/>
                      <w:color w:val="auto"/>
                      <w:szCs w:val="21"/>
                      <w:highlight w:val="none"/>
                      <w:lang w:val="en-US" w:eastAsia="zh-CN"/>
                    </w:rPr>
                    <w:t>挤出机</w:t>
                  </w:r>
                </w:p>
              </w:tc>
              <w:tc>
                <w:tcPr>
                  <w:tcW w:w="648" w:type="pct"/>
                  <w:tcBorders>
                    <w:tl2br w:val="nil"/>
                    <w:tr2bl w:val="nil"/>
                  </w:tcBorders>
                </w:tcPr>
                <w:p w14:paraId="27078945">
                  <w:pPr>
                    <w:pStyle w:val="7"/>
                    <w:spacing w:line="360" w:lineRule="exact"/>
                    <w:ind w:firstLine="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5</w:t>
                  </w:r>
                </w:p>
              </w:tc>
              <w:tc>
                <w:tcPr>
                  <w:tcW w:w="438" w:type="pct"/>
                  <w:vMerge w:val="continue"/>
                  <w:tcBorders>
                    <w:tl2br w:val="nil"/>
                    <w:tr2bl w:val="nil"/>
                  </w:tcBorders>
                  <w:shd w:val="clear" w:color="auto" w:fill="auto"/>
                  <w:vAlign w:val="center"/>
                </w:tcPr>
                <w:p w14:paraId="32DB2FBD">
                  <w:pPr>
                    <w:adjustRightInd w:val="0"/>
                    <w:jc w:val="center"/>
                    <w:rPr>
                      <w:color w:val="auto"/>
                      <w:szCs w:val="21"/>
                      <w:highlight w:val="none"/>
                    </w:rPr>
                  </w:pPr>
                </w:p>
              </w:tc>
              <w:tc>
                <w:tcPr>
                  <w:tcW w:w="479" w:type="pct"/>
                  <w:tcBorders>
                    <w:tl2br w:val="nil"/>
                    <w:tr2bl w:val="nil"/>
                  </w:tcBorders>
                  <w:vAlign w:val="center"/>
                </w:tcPr>
                <w:p w14:paraId="024B0AC3">
                  <w:pPr>
                    <w:adjustRightInd w:val="0"/>
                    <w:jc w:val="center"/>
                    <w:rPr>
                      <w:color w:val="auto"/>
                      <w:szCs w:val="21"/>
                      <w:highlight w:val="none"/>
                    </w:rPr>
                  </w:pPr>
                  <w:r>
                    <w:rPr>
                      <w:color w:val="auto"/>
                      <w:szCs w:val="21"/>
                      <w:highlight w:val="none"/>
                    </w:rPr>
                    <w:t>频发</w:t>
                  </w:r>
                </w:p>
              </w:tc>
              <w:tc>
                <w:tcPr>
                  <w:tcW w:w="1049" w:type="pct"/>
                  <w:tcBorders>
                    <w:tl2br w:val="nil"/>
                    <w:tr2bl w:val="nil"/>
                  </w:tcBorders>
                  <w:shd w:val="clear" w:color="auto" w:fill="auto"/>
                  <w:vAlign w:val="center"/>
                </w:tcPr>
                <w:p w14:paraId="0F9C15A1">
                  <w:pPr>
                    <w:adjustRightInd w:val="0"/>
                    <w:jc w:val="center"/>
                    <w:rPr>
                      <w:rFonts w:hint="default" w:eastAsia="宋体"/>
                      <w:color w:val="auto"/>
                      <w:kern w:val="24"/>
                      <w:szCs w:val="21"/>
                      <w:highlight w:val="none"/>
                      <w:lang w:val="en-US" w:eastAsia="zh-CN"/>
                    </w:rPr>
                  </w:pPr>
                  <w:r>
                    <w:rPr>
                      <w:rFonts w:hint="eastAsia"/>
                      <w:color w:val="auto"/>
                      <w:kern w:val="24"/>
                      <w:szCs w:val="21"/>
                      <w:highlight w:val="none"/>
                      <w:lang w:val="en-US" w:eastAsia="zh-CN"/>
                    </w:rPr>
                    <w:t>85</w:t>
                  </w:r>
                </w:p>
              </w:tc>
              <w:tc>
                <w:tcPr>
                  <w:tcW w:w="832" w:type="pct"/>
                  <w:vMerge w:val="continue"/>
                  <w:tcBorders>
                    <w:tl2br w:val="nil"/>
                    <w:tr2bl w:val="nil"/>
                  </w:tcBorders>
                  <w:shd w:val="clear" w:color="auto" w:fill="auto"/>
                  <w:vAlign w:val="center"/>
                </w:tcPr>
                <w:p w14:paraId="6E1F6403">
                  <w:pPr>
                    <w:adjustRightInd w:val="0"/>
                    <w:jc w:val="center"/>
                    <w:rPr>
                      <w:color w:val="auto"/>
                      <w:szCs w:val="21"/>
                      <w:highlight w:val="none"/>
                    </w:rPr>
                  </w:pPr>
                </w:p>
              </w:tc>
              <w:tc>
                <w:tcPr>
                  <w:tcW w:w="464" w:type="pct"/>
                  <w:tcBorders>
                    <w:tl2br w:val="nil"/>
                    <w:tr2bl w:val="nil"/>
                  </w:tcBorders>
                  <w:shd w:val="clear" w:color="auto" w:fill="auto"/>
                  <w:vAlign w:val="center"/>
                </w:tcPr>
                <w:p w14:paraId="0D9C6224">
                  <w:pPr>
                    <w:adjustRightInd w:val="0"/>
                    <w:jc w:val="center"/>
                    <w:rPr>
                      <w:rFonts w:hint="default" w:eastAsia="宋体"/>
                      <w:color w:val="auto"/>
                      <w:szCs w:val="21"/>
                      <w:highlight w:val="none"/>
                      <w:lang w:val="en-US" w:eastAsia="zh-CN"/>
                    </w:rPr>
                  </w:pPr>
                  <w:r>
                    <w:rPr>
                      <w:rFonts w:hint="eastAsia"/>
                      <w:color w:val="auto"/>
                      <w:szCs w:val="21"/>
                      <w:highlight w:val="none"/>
                      <w:lang w:val="en-US" w:eastAsia="zh-CN"/>
                    </w:rPr>
                    <w:t>7200</w:t>
                  </w:r>
                </w:p>
              </w:tc>
            </w:tr>
            <w:tr w14:paraId="4AF3E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65" w:type="pct"/>
                  <w:tcBorders>
                    <w:tl2br w:val="nil"/>
                    <w:tr2bl w:val="nil"/>
                  </w:tcBorders>
                  <w:shd w:val="clear" w:color="auto" w:fill="auto"/>
                  <w:vAlign w:val="center"/>
                </w:tcPr>
                <w:p w14:paraId="78D11B30">
                  <w:pPr>
                    <w:adjustRightInd w:val="0"/>
                    <w:jc w:val="center"/>
                    <w:rPr>
                      <w:rFonts w:hint="eastAsia" w:eastAsia="宋体"/>
                      <w:color w:val="auto"/>
                      <w:szCs w:val="21"/>
                      <w:highlight w:val="none"/>
                      <w:lang w:val="en-US" w:eastAsia="zh-CN"/>
                    </w:rPr>
                  </w:pPr>
                  <w:r>
                    <w:rPr>
                      <w:rFonts w:hint="eastAsia"/>
                      <w:color w:val="auto"/>
                      <w:szCs w:val="21"/>
                      <w:highlight w:val="none"/>
                      <w:lang w:val="en-US" w:eastAsia="zh-CN"/>
                    </w:rPr>
                    <w:t>5</w:t>
                  </w:r>
                </w:p>
              </w:tc>
              <w:tc>
                <w:tcPr>
                  <w:tcW w:w="720" w:type="pct"/>
                  <w:tcBorders>
                    <w:tl2br w:val="nil"/>
                    <w:tr2bl w:val="nil"/>
                  </w:tcBorders>
                  <w:shd w:val="clear" w:color="auto" w:fill="auto"/>
                  <w:vAlign w:val="center"/>
                </w:tcPr>
                <w:p w14:paraId="0F0CDAF9">
                  <w:pPr>
                    <w:adjustRightInd w:val="0"/>
                    <w:jc w:val="center"/>
                    <w:rPr>
                      <w:rFonts w:hint="eastAsia" w:eastAsia="宋体"/>
                      <w:color w:val="auto"/>
                      <w:szCs w:val="21"/>
                      <w:highlight w:val="none"/>
                      <w:lang w:val="en-US" w:eastAsia="zh-CN"/>
                    </w:rPr>
                  </w:pPr>
                  <w:r>
                    <w:rPr>
                      <w:rFonts w:hint="eastAsia"/>
                      <w:color w:val="auto"/>
                      <w:szCs w:val="21"/>
                      <w:highlight w:val="none"/>
                      <w:lang w:val="en-US" w:eastAsia="zh-CN"/>
                    </w:rPr>
                    <w:t>牵引机</w:t>
                  </w:r>
                </w:p>
              </w:tc>
              <w:tc>
                <w:tcPr>
                  <w:tcW w:w="648" w:type="pct"/>
                  <w:tcBorders>
                    <w:tl2br w:val="nil"/>
                    <w:tr2bl w:val="nil"/>
                  </w:tcBorders>
                </w:tcPr>
                <w:p w14:paraId="16007B66">
                  <w:pPr>
                    <w:pStyle w:val="7"/>
                    <w:spacing w:line="360" w:lineRule="exact"/>
                    <w:ind w:firstLine="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10</w:t>
                  </w:r>
                </w:p>
              </w:tc>
              <w:tc>
                <w:tcPr>
                  <w:tcW w:w="438" w:type="pct"/>
                  <w:vMerge w:val="continue"/>
                  <w:tcBorders>
                    <w:tl2br w:val="nil"/>
                    <w:tr2bl w:val="nil"/>
                  </w:tcBorders>
                  <w:shd w:val="clear" w:color="auto" w:fill="auto"/>
                  <w:vAlign w:val="center"/>
                </w:tcPr>
                <w:p w14:paraId="2C8F318C">
                  <w:pPr>
                    <w:adjustRightInd w:val="0"/>
                    <w:jc w:val="center"/>
                    <w:rPr>
                      <w:color w:val="auto"/>
                      <w:szCs w:val="21"/>
                      <w:highlight w:val="none"/>
                    </w:rPr>
                  </w:pPr>
                </w:p>
              </w:tc>
              <w:tc>
                <w:tcPr>
                  <w:tcW w:w="479" w:type="pct"/>
                  <w:tcBorders>
                    <w:tl2br w:val="nil"/>
                    <w:tr2bl w:val="nil"/>
                  </w:tcBorders>
                  <w:vAlign w:val="center"/>
                </w:tcPr>
                <w:p w14:paraId="48005F43">
                  <w:pPr>
                    <w:adjustRightInd w:val="0"/>
                    <w:jc w:val="center"/>
                    <w:rPr>
                      <w:color w:val="auto"/>
                      <w:szCs w:val="21"/>
                      <w:highlight w:val="none"/>
                    </w:rPr>
                  </w:pPr>
                  <w:r>
                    <w:rPr>
                      <w:color w:val="auto"/>
                      <w:szCs w:val="21"/>
                      <w:highlight w:val="none"/>
                    </w:rPr>
                    <w:t>频发</w:t>
                  </w:r>
                </w:p>
              </w:tc>
              <w:tc>
                <w:tcPr>
                  <w:tcW w:w="1049" w:type="pct"/>
                  <w:tcBorders>
                    <w:tl2br w:val="nil"/>
                    <w:tr2bl w:val="nil"/>
                  </w:tcBorders>
                  <w:shd w:val="clear" w:color="auto" w:fill="auto"/>
                  <w:vAlign w:val="center"/>
                </w:tcPr>
                <w:p w14:paraId="3782E6DD">
                  <w:pPr>
                    <w:adjustRightInd w:val="0"/>
                    <w:jc w:val="center"/>
                    <w:rPr>
                      <w:rFonts w:hint="default" w:eastAsia="宋体"/>
                      <w:color w:val="auto"/>
                      <w:kern w:val="24"/>
                      <w:szCs w:val="21"/>
                      <w:highlight w:val="none"/>
                      <w:lang w:val="en-US" w:eastAsia="zh-CN"/>
                    </w:rPr>
                  </w:pPr>
                  <w:r>
                    <w:rPr>
                      <w:rFonts w:hint="eastAsia"/>
                      <w:color w:val="auto"/>
                      <w:kern w:val="24"/>
                      <w:szCs w:val="21"/>
                      <w:highlight w:val="none"/>
                      <w:lang w:val="en-US" w:eastAsia="zh-CN"/>
                    </w:rPr>
                    <w:t>85</w:t>
                  </w:r>
                </w:p>
              </w:tc>
              <w:tc>
                <w:tcPr>
                  <w:tcW w:w="832" w:type="pct"/>
                  <w:vMerge w:val="continue"/>
                  <w:tcBorders>
                    <w:tl2br w:val="nil"/>
                    <w:tr2bl w:val="nil"/>
                  </w:tcBorders>
                  <w:shd w:val="clear" w:color="auto" w:fill="auto"/>
                  <w:vAlign w:val="center"/>
                </w:tcPr>
                <w:p w14:paraId="68D44491">
                  <w:pPr>
                    <w:adjustRightInd w:val="0"/>
                    <w:jc w:val="center"/>
                    <w:rPr>
                      <w:color w:val="auto"/>
                      <w:szCs w:val="21"/>
                      <w:highlight w:val="none"/>
                    </w:rPr>
                  </w:pPr>
                </w:p>
              </w:tc>
              <w:tc>
                <w:tcPr>
                  <w:tcW w:w="464" w:type="pct"/>
                  <w:tcBorders>
                    <w:tl2br w:val="nil"/>
                    <w:tr2bl w:val="nil"/>
                  </w:tcBorders>
                  <w:shd w:val="clear" w:color="auto" w:fill="auto"/>
                  <w:vAlign w:val="center"/>
                </w:tcPr>
                <w:p w14:paraId="378BB62F">
                  <w:pPr>
                    <w:adjustRightInd w:val="0"/>
                    <w:jc w:val="center"/>
                    <w:rPr>
                      <w:rFonts w:hint="default" w:eastAsia="宋体"/>
                      <w:color w:val="auto"/>
                      <w:szCs w:val="21"/>
                      <w:highlight w:val="none"/>
                      <w:lang w:val="en-US" w:eastAsia="zh-CN"/>
                    </w:rPr>
                  </w:pPr>
                  <w:r>
                    <w:rPr>
                      <w:rFonts w:hint="eastAsia"/>
                      <w:color w:val="auto"/>
                      <w:szCs w:val="21"/>
                      <w:highlight w:val="none"/>
                      <w:lang w:val="en-US" w:eastAsia="zh-CN"/>
                    </w:rPr>
                    <w:t>7200</w:t>
                  </w:r>
                </w:p>
              </w:tc>
            </w:tr>
            <w:tr w14:paraId="1EEF9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jc w:val="center"/>
              </w:trPr>
              <w:tc>
                <w:tcPr>
                  <w:tcW w:w="365" w:type="pct"/>
                  <w:tcBorders>
                    <w:tl2br w:val="nil"/>
                    <w:tr2bl w:val="nil"/>
                  </w:tcBorders>
                  <w:shd w:val="clear" w:color="auto" w:fill="auto"/>
                  <w:vAlign w:val="center"/>
                </w:tcPr>
                <w:p w14:paraId="29E7D277">
                  <w:pPr>
                    <w:adjustRightInd w:val="0"/>
                    <w:jc w:val="center"/>
                    <w:rPr>
                      <w:rFonts w:hint="eastAsia" w:eastAsia="宋体"/>
                      <w:color w:val="auto"/>
                      <w:szCs w:val="21"/>
                      <w:highlight w:val="none"/>
                      <w:lang w:val="en-US" w:eastAsia="zh-CN"/>
                    </w:rPr>
                  </w:pPr>
                  <w:r>
                    <w:rPr>
                      <w:rFonts w:hint="eastAsia"/>
                      <w:color w:val="auto"/>
                      <w:szCs w:val="21"/>
                      <w:highlight w:val="none"/>
                      <w:lang w:val="en-US" w:eastAsia="zh-CN"/>
                    </w:rPr>
                    <w:t>6</w:t>
                  </w:r>
                </w:p>
              </w:tc>
              <w:tc>
                <w:tcPr>
                  <w:tcW w:w="720" w:type="pct"/>
                  <w:tcBorders>
                    <w:tl2br w:val="nil"/>
                    <w:tr2bl w:val="nil"/>
                  </w:tcBorders>
                  <w:shd w:val="clear" w:color="auto" w:fill="auto"/>
                  <w:vAlign w:val="center"/>
                </w:tcPr>
                <w:p w14:paraId="21237884">
                  <w:pPr>
                    <w:adjustRightInd w:val="0"/>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冷却定型机</w:t>
                  </w:r>
                </w:p>
              </w:tc>
              <w:tc>
                <w:tcPr>
                  <w:tcW w:w="648" w:type="pct"/>
                  <w:tcBorders>
                    <w:tl2br w:val="nil"/>
                    <w:tr2bl w:val="nil"/>
                  </w:tcBorders>
                </w:tcPr>
                <w:p w14:paraId="558AC7E1">
                  <w:pPr>
                    <w:pStyle w:val="7"/>
                    <w:spacing w:line="360" w:lineRule="exact"/>
                    <w:ind w:firstLine="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5</w:t>
                  </w:r>
                </w:p>
              </w:tc>
              <w:tc>
                <w:tcPr>
                  <w:tcW w:w="438" w:type="pct"/>
                  <w:vMerge w:val="continue"/>
                  <w:tcBorders>
                    <w:tl2br w:val="nil"/>
                    <w:tr2bl w:val="nil"/>
                  </w:tcBorders>
                  <w:shd w:val="clear" w:color="auto" w:fill="auto"/>
                  <w:vAlign w:val="center"/>
                </w:tcPr>
                <w:p w14:paraId="05E4B2C2">
                  <w:pPr>
                    <w:adjustRightInd w:val="0"/>
                    <w:jc w:val="center"/>
                    <w:rPr>
                      <w:color w:val="auto"/>
                      <w:szCs w:val="21"/>
                      <w:highlight w:val="none"/>
                    </w:rPr>
                  </w:pPr>
                </w:p>
              </w:tc>
              <w:tc>
                <w:tcPr>
                  <w:tcW w:w="479" w:type="pct"/>
                  <w:tcBorders>
                    <w:tl2br w:val="nil"/>
                    <w:tr2bl w:val="nil"/>
                  </w:tcBorders>
                  <w:vAlign w:val="center"/>
                </w:tcPr>
                <w:p w14:paraId="23127EF0">
                  <w:pPr>
                    <w:adjustRightInd w:val="0"/>
                    <w:jc w:val="center"/>
                    <w:rPr>
                      <w:color w:val="auto"/>
                      <w:szCs w:val="21"/>
                      <w:highlight w:val="none"/>
                    </w:rPr>
                  </w:pPr>
                  <w:r>
                    <w:rPr>
                      <w:color w:val="auto"/>
                      <w:szCs w:val="21"/>
                      <w:highlight w:val="none"/>
                    </w:rPr>
                    <w:t>频发</w:t>
                  </w:r>
                </w:p>
              </w:tc>
              <w:tc>
                <w:tcPr>
                  <w:tcW w:w="1049" w:type="pct"/>
                  <w:tcBorders>
                    <w:tl2br w:val="nil"/>
                    <w:tr2bl w:val="nil"/>
                  </w:tcBorders>
                  <w:shd w:val="clear" w:color="auto" w:fill="auto"/>
                  <w:vAlign w:val="center"/>
                </w:tcPr>
                <w:p w14:paraId="6BF48E2B">
                  <w:pPr>
                    <w:adjustRightInd w:val="0"/>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70</w:t>
                  </w:r>
                </w:p>
              </w:tc>
              <w:tc>
                <w:tcPr>
                  <w:tcW w:w="832" w:type="pct"/>
                  <w:vMerge w:val="continue"/>
                  <w:tcBorders>
                    <w:tl2br w:val="nil"/>
                    <w:tr2bl w:val="nil"/>
                  </w:tcBorders>
                  <w:shd w:val="clear" w:color="auto" w:fill="auto"/>
                  <w:vAlign w:val="center"/>
                </w:tcPr>
                <w:p w14:paraId="4817BF94">
                  <w:pPr>
                    <w:adjustRightInd w:val="0"/>
                    <w:jc w:val="center"/>
                    <w:rPr>
                      <w:color w:val="auto"/>
                      <w:szCs w:val="21"/>
                      <w:highlight w:val="none"/>
                    </w:rPr>
                  </w:pPr>
                </w:p>
              </w:tc>
              <w:tc>
                <w:tcPr>
                  <w:tcW w:w="464" w:type="pct"/>
                  <w:tcBorders>
                    <w:tl2br w:val="nil"/>
                    <w:tr2bl w:val="nil"/>
                  </w:tcBorders>
                  <w:shd w:val="clear" w:color="auto" w:fill="auto"/>
                  <w:vAlign w:val="center"/>
                </w:tcPr>
                <w:p w14:paraId="6676FCDA">
                  <w:pPr>
                    <w:adjustRightInd w:val="0"/>
                    <w:jc w:val="center"/>
                    <w:rPr>
                      <w:rFonts w:hint="default" w:eastAsia="宋体"/>
                      <w:color w:val="auto"/>
                      <w:szCs w:val="21"/>
                      <w:highlight w:val="none"/>
                      <w:lang w:val="en-US" w:eastAsia="zh-CN"/>
                    </w:rPr>
                  </w:pPr>
                  <w:r>
                    <w:rPr>
                      <w:rFonts w:hint="eastAsia"/>
                      <w:color w:val="auto"/>
                      <w:szCs w:val="21"/>
                      <w:highlight w:val="none"/>
                      <w:lang w:val="en-US" w:eastAsia="zh-CN"/>
                    </w:rPr>
                    <w:t>7200</w:t>
                  </w:r>
                </w:p>
              </w:tc>
            </w:tr>
            <w:tr w14:paraId="7945F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65" w:type="pct"/>
                  <w:tcBorders>
                    <w:tl2br w:val="nil"/>
                    <w:tr2bl w:val="nil"/>
                  </w:tcBorders>
                  <w:shd w:val="clear" w:color="auto" w:fill="auto"/>
                  <w:vAlign w:val="center"/>
                </w:tcPr>
                <w:p w14:paraId="7D21AC71">
                  <w:pPr>
                    <w:adjustRightInd w:val="0"/>
                    <w:jc w:val="center"/>
                    <w:rPr>
                      <w:rFonts w:hint="eastAsia" w:eastAsia="宋体"/>
                      <w:color w:val="auto"/>
                      <w:szCs w:val="21"/>
                      <w:highlight w:val="none"/>
                      <w:lang w:val="en-US" w:eastAsia="zh-CN"/>
                    </w:rPr>
                  </w:pPr>
                  <w:r>
                    <w:rPr>
                      <w:rFonts w:hint="eastAsia"/>
                      <w:color w:val="auto"/>
                      <w:szCs w:val="21"/>
                      <w:highlight w:val="none"/>
                      <w:lang w:val="en-US" w:eastAsia="zh-CN"/>
                    </w:rPr>
                    <w:t>7</w:t>
                  </w:r>
                </w:p>
              </w:tc>
              <w:tc>
                <w:tcPr>
                  <w:tcW w:w="720" w:type="pct"/>
                  <w:tcBorders>
                    <w:tl2br w:val="nil"/>
                    <w:tr2bl w:val="nil"/>
                  </w:tcBorders>
                  <w:shd w:val="clear" w:color="auto" w:fill="auto"/>
                  <w:vAlign w:val="center"/>
                </w:tcPr>
                <w:p w14:paraId="6022A67D">
                  <w:pPr>
                    <w:adjustRightInd w:val="0"/>
                    <w:jc w:val="center"/>
                    <w:rPr>
                      <w:rFonts w:hint="default" w:eastAsia="宋体"/>
                      <w:color w:val="auto"/>
                      <w:szCs w:val="21"/>
                      <w:highlight w:val="none"/>
                      <w:lang w:val="en-US" w:eastAsia="zh-CN"/>
                    </w:rPr>
                  </w:pPr>
                  <w:r>
                    <w:rPr>
                      <w:rFonts w:hint="eastAsia"/>
                      <w:color w:val="auto"/>
                      <w:szCs w:val="21"/>
                      <w:highlight w:val="none"/>
                      <w:lang w:val="en-US" w:eastAsia="zh-CN"/>
                    </w:rPr>
                    <w:t>粘钉机</w:t>
                  </w:r>
                </w:p>
              </w:tc>
              <w:tc>
                <w:tcPr>
                  <w:tcW w:w="648" w:type="pct"/>
                  <w:tcBorders>
                    <w:tl2br w:val="nil"/>
                    <w:tr2bl w:val="nil"/>
                  </w:tcBorders>
                </w:tcPr>
                <w:p w14:paraId="21087199">
                  <w:pPr>
                    <w:pStyle w:val="7"/>
                    <w:spacing w:line="360" w:lineRule="exact"/>
                    <w:ind w:firstLine="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w:t>
                  </w:r>
                </w:p>
              </w:tc>
              <w:tc>
                <w:tcPr>
                  <w:tcW w:w="438" w:type="pct"/>
                  <w:vMerge w:val="continue"/>
                  <w:tcBorders>
                    <w:tl2br w:val="nil"/>
                    <w:tr2bl w:val="nil"/>
                  </w:tcBorders>
                  <w:shd w:val="clear" w:color="auto" w:fill="auto"/>
                  <w:vAlign w:val="center"/>
                </w:tcPr>
                <w:p w14:paraId="6937399B">
                  <w:pPr>
                    <w:adjustRightInd w:val="0"/>
                    <w:jc w:val="center"/>
                    <w:rPr>
                      <w:color w:val="auto"/>
                      <w:szCs w:val="21"/>
                      <w:highlight w:val="none"/>
                    </w:rPr>
                  </w:pPr>
                </w:p>
              </w:tc>
              <w:tc>
                <w:tcPr>
                  <w:tcW w:w="479" w:type="pct"/>
                  <w:tcBorders>
                    <w:tl2br w:val="nil"/>
                    <w:tr2bl w:val="nil"/>
                  </w:tcBorders>
                  <w:vAlign w:val="center"/>
                </w:tcPr>
                <w:p w14:paraId="6B86D0C2">
                  <w:pPr>
                    <w:adjustRightInd w:val="0"/>
                    <w:jc w:val="center"/>
                    <w:rPr>
                      <w:color w:val="auto"/>
                      <w:szCs w:val="21"/>
                      <w:highlight w:val="none"/>
                    </w:rPr>
                  </w:pPr>
                  <w:r>
                    <w:rPr>
                      <w:color w:val="auto"/>
                      <w:szCs w:val="21"/>
                      <w:highlight w:val="none"/>
                    </w:rPr>
                    <w:t>频发</w:t>
                  </w:r>
                </w:p>
              </w:tc>
              <w:tc>
                <w:tcPr>
                  <w:tcW w:w="1049" w:type="pct"/>
                  <w:tcBorders>
                    <w:tl2br w:val="nil"/>
                    <w:tr2bl w:val="nil"/>
                  </w:tcBorders>
                  <w:shd w:val="clear" w:color="auto" w:fill="auto"/>
                  <w:vAlign w:val="center"/>
                </w:tcPr>
                <w:p w14:paraId="34E07A1F">
                  <w:pPr>
                    <w:adjustRightInd w:val="0"/>
                    <w:jc w:val="center"/>
                    <w:rPr>
                      <w:rFonts w:hint="default" w:eastAsia="宋体"/>
                      <w:color w:val="auto"/>
                      <w:kern w:val="24"/>
                      <w:sz w:val="20"/>
                      <w:szCs w:val="21"/>
                      <w:highlight w:val="none"/>
                      <w:lang w:val="en-US" w:eastAsia="zh-CN"/>
                    </w:rPr>
                  </w:pPr>
                  <w:r>
                    <w:rPr>
                      <w:rFonts w:hint="eastAsia"/>
                      <w:color w:val="auto"/>
                      <w:kern w:val="24"/>
                      <w:sz w:val="20"/>
                      <w:szCs w:val="21"/>
                      <w:highlight w:val="none"/>
                      <w:lang w:val="en-US" w:eastAsia="zh-CN"/>
                    </w:rPr>
                    <w:t>70</w:t>
                  </w:r>
                </w:p>
              </w:tc>
              <w:tc>
                <w:tcPr>
                  <w:tcW w:w="832" w:type="pct"/>
                  <w:vMerge w:val="continue"/>
                  <w:tcBorders>
                    <w:tl2br w:val="nil"/>
                    <w:tr2bl w:val="nil"/>
                  </w:tcBorders>
                  <w:shd w:val="clear" w:color="auto" w:fill="auto"/>
                  <w:vAlign w:val="center"/>
                </w:tcPr>
                <w:p w14:paraId="50046976">
                  <w:pPr>
                    <w:adjustRightInd w:val="0"/>
                    <w:jc w:val="center"/>
                    <w:rPr>
                      <w:color w:val="auto"/>
                      <w:szCs w:val="21"/>
                      <w:highlight w:val="none"/>
                    </w:rPr>
                  </w:pPr>
                </w:p>
              </w:tc>
              <w:tc>
                <w:tcPr>
                  <w:tcW w:w="464" w:type="pct"/>
                  <w:tcBorders>
                    <w:tl2br w:val="nil"/>
                    <w:tr2bl w:val="nil"/>
                  </w:tcBorders>
                  <w:shd w:val="clear" w:color="auto" w:fill="auto"/>
                  <w:vAlign w:val="center"/>
                </w:tcPr>
                <w:p w14:paraId="6A20B746">
                  <w:pPr>
                    <w:adjustRightInd w:val="0"/>
                    <w:jc w:val="center"/>
                    <w:rPr>
                      <w:rFonts w:hint="default" w:eastAsia="宋体"/>
                      <w:color w:val="auto"/>
                      <w:szCs w:val="21"/>
                      <w:highlight w:val="none"/>
                      <w:lang w:val="en-US" w:eastAsia="zh-CN"/>
                    </w:rPr>
                  </w:pPr>
                  <w:r>
                    <w:rPr>
                      <w:rFonts w:hint="eastAsia"/>
                      <w:color w:val="auto"/>
                      <w:szCs w:val="21"/>
                      <w:highlight w:val="none"/>
                      <w:lang w:val="en-US" w:eastAsia="zh-CN"/>
                    </w:rPr>
                    <w:t>7200</w:t>
                  </w:r>
                </w:p>
              </w:tc>
            </w:tr>
            <w:tr w14:paraId="6224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65" w:type="pct"/>
                  <w:tcBorders>
                    <w:tl2br w:val="nil"/>
                    <w:tr2bl w:val="nil"/>
                  </w:tcBorders>
                  <w:shd w:val="clear" w:color="auto" w:fill="auto"/>
                  <w:vAlign w:val="center"/>
                </w:tcPr>
                <w:p w14:paraId="470B29C6">
                  <w:pPr>
                    <w:adjustRightInd w:val="0"/>
                    <w:jc w:val="center"/>
                    <w:rPr>
                      <w:rFonts w:hint="default"/>
                      <w:color w:val="auto"/>
                      <w:szCs w:val="21"/>
                      <w:highlight w:val="none"/>
                      <w:lang w:val="en-US" w:eastAsia="zh-CN"/>
                    </w:rPr>
                  </w:pPr>
                  <w:r>
                    <w:rPr>
                      <w:rFonts w:hint="eastAsia"/>
                      <w:color w:val="auto"/>
                      <w:szCs w:val="21"/>
                      <w:highlight w:val="none"/>
                      <w:lang w:val="en-US" w:eastAsia="zh-CN"/>
                    </w:rPr>
                    <w:t>8</w:t>
                  </w:r>
                </w:p>
              </w:tc>
              <w:tc>
                <w:tcPr>
                  <w:tcW w:w="720" w:type="pct"/>
                  <w:tcBorders>
                    <w:tl2br w:val="nil"/>
                    <w:tr2bl w:val="nil"/>
                  </w:tcBorders>
                  <w:shd w:val="clear" w:color="auto" w:fill="auto"/>
                  <w:vAlign w:val="center"/>
                </w:tcPr>
                <w:p w14:paraId="60727E9B">
                  <w:pPr>
                    <w:adjustRightInd w:val="0"/>
                    <w:jc w:val="center"/>
                    <w:rPr>
                      <w:rFonts w:hint="default"/>
                      <w:color w:val="auto"/>
                      <w:szCs w:val="21"/>
                      <w:highlight w:val="none"/>
                      <w:lang w:val="en-US" w:eastAsia="zh-CN"/>
                    </w:rPr>
                  </w:pPr>
                  <w:r>
                    <w:rPr>
                      <w:rFonts w:hint="eastAsia"/>
                      <w:color w:val="auto"/>
                      <w:szCs w:val="21"/>
                      <w:highlight w:val="none"/>
                      <w:lang w:val="en-US" w:eastAsia="zh-CN"/>
                    </w:rPr>
                    <w:t>剪切机</w:t>
                  </w:r>
                </w:p>
              </w:tc>
              <w:tc>
                <w:tcPr>
                  <w:tcW w:w="648" w:type="pct"/>
                  <w:tcBorders>
                    <w:tl2br w:val="nil"/>
                    <w:tr2bl w:val="nil"/>
                  </w:tcBorders>
                </w:tcPr>
                <w:p w14:paraId="084506B9">
                  <w:pPr>
                    <w:pStyle w:val="7"/>
                    <w:spacing w:line="360" w:lineRule="exact"/>
                    <w:ind w:firstLine="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5</w:t>
                  </w:r>
                </w:p>
              </w:tc>
              <w:tc>
                <w:tcPr>
                  <w:tcW w:w="438" w:type="pct"/>
                  <w:vMerge w:val="continue"/>
                  <w:tcBorders>
                    <w:tl2br w:val="nil"/>
                    <w:tr2bl w:val="nil"/>
                  </w:tcBorders>
                  <w:shd w:val="clear" w:color="auto" w:fill="auto"/>
                  <w:vAlign w:val="center"/>
                </w:tcPr>
                <w:p w14:paraId="615461D8">
                  <w:pPr>
                    <w:adjustRightInd w:val="0"/>
                    <w:jc w:val="center"/>
                    <w:rPr>
                      <w:color w:val="auto"/>
                      <w:szCs w:val="21"/>
                      <w:highlight w:val="none"/>
                    </w:rPr>
                  </w:pPr>
                </w:p>
              </w:tc>
              <w:tc>
                <w:tcPr>
                  <w:tcW w:w="479" w:type="pct"/>
                  <w:tcBorders>
                    <w:tl2br w:val="nil"/>
                    <w:tr2bl w:val="nil"/>
                  </w:tcBorders>
                  <w:shd w:val="clear" w:color="auto" w:fill="auto"/>
                  <w:vAlign w:val="center"/>
                </w:tcPr>
                <w:p w14:paraId="4FC05E6F">
                  <w:pPr>
                    <w:adjustRightInd w:val="0"/>
                    <w:jc w:val="center"/>
                    <w:rPr>
                      <w:rFonts w:ascii="Times New Roman" w:hAnsi="Times New Roman" w:eastAsia="宋体" w:cs="Times New Roman"/>
                      <w:color w:val="auto"/>
                      <w:kern w:val="2"/>
                      <w:sz w:val="21"/>
                      <w:szCs w:val="21"/>
                      <w:highlight w:val="none"/>
                      <w:lang w:val="en-US" w:eastAsia="zh-CN" w:bidi="ar-SA"/>
                    </w:rPr>
                  </w:pPr>
                  <w:r>
                    <w:rPr>
                      <w:color w:val="auto"/>
                      <w:szCs w:val="21"/>
                      <w:highlight w:val="none"/>
                    </w:rPr>
                    <w:t>频发</w:t>
                  </w:r>
                </w:p>
              </w:tc>
              <w:tc>
                <w:tcPr>
                  <w:tcW w:w="1049" w:type="pct"/>
                  <w:tcBorders>
                    <w:tl2br w:val="nil"/>
                    <w:tr2bl w:val="nil"/>
                  </w:tcBorders>
                  <w:shd w:val="clear" w:color="auto" w:fill="auto"/>
                  <w:vAlign w:val="center"/>
                </w:tcPr>
                <w:p w14:paraId="0D1E9609">
                  <w:pPr>
                    <w:adjustRightInd w:val="0"/>
                    <w:jc w:val="center"/>
                    <w:rPr>
                      <w:rFonts w:hint="default" w:eastAsia="宋体"/>
                      <w:color w:val="auto"/>
                      <w:kern w:val="24"/>
                      <w:szCs w:val="21"/>
                      <w:highlight w:val="none"/>
                      <w:lang w:val="en-US" w:eastAsia="zh-CN"/>
                    </w:rPr>
                  </w:pPr>
                  <w:r>
                    <w:rPr>
                      <w:rFonts w:hint="eastAsia"/>
                      <w:color w:val="auto"/>
                      <w:kern w:val="24"/>
                      <w:szCs w:val="21"/>
                      <w:highlight w:val="none"/>
                      <w:lang w:val="en-US" w:eastAsia="zh-CN"/>
                    </w:rPr>
                    <w:t>70</w:t>
                  </w:r>
                </w:p>
              </w:tc>
              <w:tc>
                <w:tcPr>
                  <w:tcW w:w="832" w:type="pct"/>
                  <w:vMerge w:val="continue"/>
                  <w:tcBorders>
                    <w:tl2br w:val="nil"/>
                    <w:tr2bl w:val="nil"/>
                  </w:tcBorders>
                  <w:shd w:val="clear" w:color="auto" w:fill="auto"/>
                  <w:vAlign w:val="center"/>
                </w:tcPr>
                <w:p w14:paraId="6C8D6F0F">
                  <w:pPr>
                    <w:adjustRightInd w:val="0"/>
                    <w:jc w:val="center"/>
                    <w:rPr>
                      <w:color w:val="auto"/>
                      <w:szCs w:val="21"/>
                      <w:highlight w:val="none"/>
                    </w:rPr>
                  </w:pPr>
                </w:p>
              </w:tc>
              <w:tc>
                <w:tcPr>
                  <w:tcW w:w="464" w:type="pct"/>
                  <w:tcBorders>
                    <w:tl2br w:val="nil"/>
                    <w:tr2bl w:val="nil"/>
                  </w:tcBorders>
                  <w:shd w:val="clear" w:color="auto" w:fill="auto"/>
                  <w:vAlign w:val="center"/>
                </w:tcPr>
                <w:p w14:paraId="78CC2FF5">
                  <w:pPr>
                    <w:adjustRightInd w:val="0"/>
                    <w:jc w:val="center"/>
                    <w:rPr>
                      <w:rFonts w:hint="default"/>
                      <w:color w:val="auto"/>
                      <w:szCs w:val="21"/>
                      <w:highlight w:val="none"/>
                      <w:lang w:val="en-US" w:eastAsia="zh-CN"/>
                    </w:rPr>
                  </w:pPr>
                  <w:r>
                    <w:rPr>
                      <w:rFonts w:hint="eastAsia"/>
                      <w:color w:val="auto"/>
                      <w:szCs w:val="21"/>
                      <w:highlight w:val="none"/>
                      <w:lang w:val="en-US" w:eastAsia="zh-CN"/>
                    </w:rPr>
                    <w:t>7200</w:t>
                  </w:r>
                </w:p>
              </w:tc>
            </w:tr>
            <w:tr w14:paraId="3CE6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65" w:type="pct"/>
                  <w:tcBorders>
                    <w:tl2br w:val="nil"/>
                    <w:tr2bl w:val="nil"/>
                  </w:tcBorders>
                  <w:shd w:val="clear" w:color="auto" w:fill="auto"/>
                  <w:vAlign w:val="center"/>
                </w:tcPr>
                <w:p w14:paraId="03CB6374">
                  <w:pPr>
                    <w:adjustRightInd w:val="0"/>
                    <w:jc w:val="center"/>
                    <w:rPr>
                      <w:rFonts w:hint="default"/>
                      <w:color w:val="auto"/>
                      <w:szCs w:val="21"/>
                      <w:highlight w:val="none"/>
                      <w:lang w:val="en-US" w:eastAsia="zh-CN"/>
                    </w:rPr>
                  </w:pPr>
                  <w:r>
                    <w:rPr>
                      <w:rFonts w:hint="eastAsia"/>
                      <w:color w:val="auto"/>
                      <w:szCs w:val="21"/>
                      <w:highlight w:val="none"/>
                      <w:lang w:val="en-US" w:eastAsia="zh-CN"/>
                    </w:rPr>
                    <w:t>9</w:t>
                  </w:r>
                </w:p>
              </w:tc>
              <w:tc>
                <w:tcPr>
                  <w:tcW w:w="720" w:type="pct"/>
                  <w:tcBorders>
                    <w:tl2br w:val="nil"/>
                    <w:tr2bl w:val="nil"/>
                  </w:tcBorders>
                  <w:shd w:val="clear" w:color="auto" w:fill="auto"/>
                  <w:vAlign w:val="center"/>
                </w:tcPr>
                <w:p w14:paraId="3E6FA334">
                  <w:pPr>
                    <w:adjustRightInd w:val="0"/>
                    <w:jc w:val="center"/>
                    <w:rPr>
                      <w:rFonts w:hint="eastAsia"/>
                      <w:color w:val="auto"/>
                      <w:szCs w:val="21"/>
                      <w:highlight w:val="none"/>
                      <w:lang w:val="en-US" w:eastAsia="zh-CN"/>
                    </w:rPr>
                  </w:pPr>
                  <w:r>
                    <w:rPr>
                      <w:rFonts w:hint="eastAsia"/>
                      <w:color w:val="auto"/>
                      <w:szCs w:val="21"/>
                      <w:highlight w:val="none"/>
                      <w:lang w:val="en-US" w:eastAsia="zh-CN"/>
                    </w:rPr>
                    <w:t>超声波焊</w:t>
                  </w:r>
                </w:p>
                <w:p w14:paraId="38658EEA">
                  <w:pPr>
                    <w:adjustRightInd w:val="0"/>
                    <w:jc w:val="center"/>
                    <w:rPr>
                      <w:rFonts w:hint="default"/>
                      <w:color w:val="auto"/>
                      <w:szCs w:val="21"/>
                      <w:highlight w:val="none"/>
                      <w:lang w:val="en-US" w:eastAsia="zh-CN"/>
                    </w:rPr>
                  </w:pPr>
                  <w:r>
                    <w:rPr>
                      <w:rFonts w:hint="eastAsia"/>
                      <w:color w:val="auto"/>
                      <w:szCs w:val="21"/>
                      <w:highlight w:val="none"/>
                      <w:lang w:val="en-US" w:eastAsia="zh-CN"/>
                    </w:rPr>
                    <w:t>接机</w:t>
                  </w:r>
                </w:p>
              </w:tc>
              <w:tc>
                <w:tcPr>
                  <w:tcW w:w="648" w:type="pct"/>
                  <w:tcBorders>
                    <w:tl2br w:val="nil"/>
                    <w:tr2bl w:val="nil"/>
                  </w:tcBorders>
                </w:tcPr>
                <w:p w14:paraId="15B701E6">
                  <w:pPr>
                    <w:pStyle w:val="7"/>
                    <w:spacing w:line="360" w:lineRule="exact"/>
                    <w:ind w:firstLine="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3</w:t>
                  </w:r>
                </w:p>
              </w:tc>
              <w:tc>
                <w:tcPr>
                  <w:tcW w:w="438" w:type="pct"/>
                  <w:vMerge w:val="continue"/>
                  <w:tcBorders>
                    <w:tl2br w:val="nil"/>
                    <w:tr2bl w:val="nil"/>
                  </w:tcBorders>
                  <w:shd w:val="clear" w:color="auto" w:fill="auto"/>
                  <w:vAlign w:val="center"/>
                </w:tcPr>
                <w:p w14:paraId="48FC800D">
                  <w:pPr>
                    <w:adjustRightInd w:val="0"/>
                    <w:jc w:val="center"/>
                    <w:rPr>
                      <w:color w:val="auto"/>
                      <w:szCs w:val="21"/>
                      <w:highlight w:val="none"/>
                    </w:rPr>
                  </w:pPr>
                </w:p>
              </w:tc>
              <w:tc>
                <w:tcPr>
                  <w:tcW w:w="479" w:type="pct"/>
                  <w:tcBorders>
                    <w:tl2br w:val="nil"/>
                    <w:tr2bl w:val="nil"/>
                  </w:tcBorders>
                  <w:shd w:val="clear" w:color="auto" w:fill="auto"/>
                  <w:vAlign w:val="center"/>
                </w:tcPr>
                <w:p w14:paraId="695178BF">
                  <w:pPr>
                    <w:adjustRightInd w:val="0"/>
                    <w:jc w:val="center"/>
                    <w:rPr>
                      <w:rFonts w:ascii="Times New Roman" w:hAnsi="Times New Roman" w:eastAsia="宋体" w:cs="Times New Roman"/>
                      <w:color w:val="auto"/>
                      <w:kern w:val="2"/>
                      <w:sz w:val="21"/>
                      <w:szCs w:val="21"/>
                      <w:highlight w:val="none"/>
                      <w:lang w:val="en-US" w:eastAsia="zh-CN" w:bidi="ar-SA"/>
                    </w:rPr>
                  </w:pPr>
                  <w:r>
                    <w:rPr>
                      <w:color w:val="auto"/>
                      <w:szCs w:val="21"/>
                      <w:highlight w:val="none"/>
                    </w:rPr>
                    <w:t>频发</w:t>
                  </w:r>
                </w:p>
              </w:tc>
              <w:tc>
                <w:tcPr>
                  <w:tcW w:w="1049" w:type="pct"/>
                  <w:tcBorders>
                    <w:tl2br w:val="nil"/>
                    <w:tr2bl w:val="nil"/>
                  </w:tcBorders>
                  <w:shd w:val="clear" w:color="auto" w:fill="auto"/>
                  <w:vAlign w:val="center"/>
                </w:tcPr>
                <w:p w14:paraId="7EB3627A">
                  <w:pPr>
                    <w:adjustRightInd w:val="0"/>
                    <w:jc w:val="center"/>
                    <w:rPr>
                      <w:rFonts w:hint="default" w:eastAsia="宋体"/>
                      <w:color w:val="auto"/>
                      <w:kern w:val="24"/>
                      <w:szCs w:val="21"/>
                      <w:highlight w:val="none"/>
                      <w:lang w:val="en-US" w:eastAsia="zh-CN"/>
                    </w:rPr>
                  </w:pPr>
                  <w:r>
                    <w:rPr>
                      <w:rFonts w:hint="eastAsia"/>
                      <w:color w:val="auto"/>
                      <w:kern w:val="24"/>
                      <w:szCs w:val="21"/>
                      <w:highlight w:val="none"/>
                      <w:lang w:val="en-US" w:eastAsia="zh-CN"/>
                    </w:rPr>
                    <w:t>80</w:t>
                  </w:r>
                </w:p>
              </w:tc>
              <w:tc>
                <w:tcPr>
                  <w:tcW w:w="832" w:type="pct"/>
                  <w:vMerge w:val="continue"/>
                  <w:tcBorders>
                    <w:tl2br w:val="nil"/>
                    <w:tr2bl w:val="nil"/>
                  </w:tcBorders>
                  <w:shd w:val="clear" w:color="auto" w:fill="auto"/>
                  <w:vAlign w:val="center"/>
                </w:tcPr>
                <w:p w14:paraId="0337781E">
                  <w:pPr>
                    <w:adjustRightInd w:val="0"/>
                    <w:jc w:val="center"/>
                    <w:rPr>
                      <w:color w:val="auto"/>
                      <w:szCs w:val="21"/>
                      <w:highlight w:val="none"/>
                    </w:rPr>
                  </w:pPr>
                </w:p>
              </w:tc>
              <w:tc>
                <w:tcPr>
                  <w:tcW w:w="464" w:type="pct"/>
                  <w:tcBorders>
                    <w:tl2br w:val="nil"/>
                    <w:tr2bl w:val="nil"/>
                  </w:tcBorders>
                  <w:shd w:val="clear" w:color="auto" w:fill="auto"/>
                  <w:vAlign w:val="center"/>
                </w:tcPr>
                <w:p w14:paraId="01B55B8C">
                  <w:pPr>
                    <w:adjustRightInd w:val="0"/>
                    <w:jc w:val="center"/>
                    <w:rPr>
                      <w:rFonts w:hint="default"/>
                      <w:color w:val="auto"/>
                      <w:szCs w:val="21"/>
                      <w:highlight w:val="none"/>
                      <w:lang w:val="en-US" w:eastAsia="zh-CN"/>
                    </w:rPr>
                  </w:pPr>
                  <w:r>
                    <w:rPr>
                      <w:rFonts w:hint="eastAsia"/>
                      <w:color w:val="auto"/>
                      <w:szCs w:val="21"/>
                      <w:highlight w:val="none"/>
                      <w:lang w:val="en-US" w:eastAsia="zh-CN"/>
                    </w:rPr>
                    <w:t>1800</w:t>
                  </w:r>
                </w:p>
              </w:tc>
            </w:tr>
            <w:tr w14:paraId="0B6C4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65" w:type="pct"/>
                  <w:tcBorders>
                    <w:tl2br w:val="nil"/>
                    <w:tr2bl w:val="nil"/>
                  </w:tcBorders>
                  <w:shd w:val="clear" w:color="auto" w:fill="auto"/>
                  <w:vAlign w:val="center"/>
                </w:tcPr>
                <w:p w14:paraId="72B8C5C3">
                  <w:pPr>
                    <w:adjustRightInd w:val="0"/>
                    <w:jc w:val="center"/>
                    <w:rPr>
                      <w:rFonts w:hint="default"/>
                      <w:color w:val="auto"/>
                      <w:szCs w:val="21"/>
                      <w:highlight w:val="none"/>
                      <w:lang w:val="en-US" w:eastAsia="zh-CN"/>
                    </w:rPr>
                  </w:pPr>
                  <w:r>
                    <w:rPr>
                      <w:rFonts w:hint="eastAsia"/>
                      <w:color w:val="auto"/>
                      <w:szCs w:val="21"/>
                      <w:highlight w:val="none"/>
                      <w:lang w:val="en-US" w:eastAsia="zh-CN"/>
                    </w:rPr>
                    <w:t>10</w:t>
                  </w:r>
                </w:p>
              </w:tc>
              <w:tc>
                <w:tcPr>
                  <w:tcW w:w="720" w:type="pct"/>
                  <w:tcBorders>
                    <w:tl2br w:val="nil"/>
                    <w:tr2bl w:val="nil"/>
                  </w:tcBorders>
                  <w:shd w:val="clear" w:color="auto" w:fill="auto"/>
                  <w:vAlign w:val="center"/>
                </w:tcPr>
                <w:p w14:paraId="7FE7A3C7">
                  <w:pPr>
                    <w:adjustRightInd w:val="0"/>
                    <w:jc w:val="center"/>
                    <w:rPr>
                      <w:rFonts w:hint="default"/>
                      <w:color w:val="auto"/>
                      <w:szCs w:val="21"/>
                      <w:highlight w:val="none"/>
                      <w:lang w:val="en-US" w:eastAsia="zh-CN"/>
                    </w:rPr>
                  </w:pPr>
                  <w:r>
                    <w:rPr>
                      <w:rFonts w:hint="eastAsia"/>
                      <w:color w:val="auto"/>
                      <w:szCs w:val="21"/>
                      <w:highlight w:val="none"/>
                      <w:lang w:val="en-US" w:eastAsia="zh-CN"/>
                    </w:rPr>
                    <w:t>废气处理设施风机</w:t>
                  </w:r>
                </w:p>
              </w:tc>
              <w:tc>
                <w:tcPr>
                  <w:tcW w:w="648" w:type="pct"/>
                  <w:tcBorders>
                    <w:tl2br w:val="nil"/>
                    <w:tr2bl w:val="nil"/>
                  </w:tcBorders>
                </w:tcPr>
                <w:p w14:paraId="0D28CAE3">
                  <w:pPr>
                    <w:pStyle w:val="7"/>
                    <w:spacing w:line="360" w:lineRule="exact"/>
                    <w:ind w:firstLine="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w:t>
                  </w:r>
                </w:p>
              </w:tc>
              <w:tc>
                <w:tcPr>
                  <w:tcW w:w="438" w:type="pct"/>
                  <w:vMerge w:val="continue"/>
                  <w:tcBorders>
                    <w:tl2br w:val="nil"/>
                    <w:tr2bl w:val="nil"/>
                  </w:tcBorders>
                  <w:shd w:val="clear" w:color="auto" w:fill="auto"/>
                  <w:vAlign w:val="center"/>
                </w:tcPr>
                <w:p w14:paraId="44B5256C">
                  <w:pPr>
                    <w:adjustRightInd w:val="0"/>
                    <w:jc w:val="center"/>
                    <w:rPr>
                      <w:color w:val="auto"/>
                      <w:szCs w:val="21"/>
                      <w:highlight w:val="none"/>
                    </w:rPr>
                  </w:pPr>
                </w:p>
              </w:tc>
              <w:tc>
                <w:tcPr>
                  <w:tcW w:w="479" w:type="pct"/>
                  <w:tcBorders>
                    <w:tl2br w:val="nil"/>
                    <w:tr2bl w:val="nil"/>
                  </w:tcBorders>
                  <w:shd w:val="clear" w:color="auto" w:fill="auto"/>
                  <w:vAlign w:val="center"/>
                </w:tcPr>
                <w:p w14:paraId="31F1074A">
                  <w:pPr>
                    <w:adjustRightInd w:val="0"/>
                    <w:jc w:val="center"/>
                    <w:rPr>
                      <w:rFonts w:ascii="Times New Roman" w:hAnsi="Times New Roman" w:eastAsia="宋体" w:cs="Times New Roman"/>
                      <w:color w:val="auto"/>
                      <w:kern w:val="2"/>
                      <w:sz w:val="21"/>
                      <w:szCs w:val="21"/>
                      <w:highlight w:val="none"/>
                      <w:lang w:val="en-US" w:eastAsia="zh-CN" w:bidi="ar-SA"/>
                    </w:rPr>
                  </w:pPr>
                  <w:r>
                    <w:rPr>
                      <w:color w:val="auto"/>
                      <w:szCs w:val="21"/>
                      <w:highlight w:val="none"/>
                    </w:rPr>
                    <w:t>频发</w:t>
                  </w:r>
                </w:p>
              </w:tc>
              <w:tc>
                <w:tcPr>
                  <w:tcW w:w="1049" w:type="pct"/>
                  <w:tcBorders>
                    <w:tl2br w:val="nil"/>
                    <w:tr2bl w:val="nil"/>
                  </w:tcBorders>
                  <w:shd w:val="clear" w:color="auto" w:fill="auto"/>
                  <w:vAlign w:val="center"/>
                </w:tcPr>
                <w:p w14:paraId="3DA5EE2F">
                  <w:pPr>
                    <w:adjustRightInd w:val="0"/>
                    <w:jc w:val="center"/>
                    <w:rPr>
                      <w:rFonts w:hint="default" w:eastAsia="宋体"/>
                      <w:color w:val="auto"/>
                      <w:kern w:val="24"/>
                      <w:szCs w:val="21"/>
                      <w:highlight w:val="none"/>
                      <w:lang w:val="en-US" w:eastAsia="zh-CN"/>
                    </w:rPr>
                  </w:pPr>
                  <w:r>
                    <w:rPr>
                      <w:rFonts w:hint="eastAsia"/>
                      <w:color w:val="auto"/>
                      <w:kern w:val="24"/>
                      <w:szCs w:val="21"/>
                      <w:highlight w:val="none"/>
                      <w:lang w:val="en-US" w:eastAsia="zh-CN"/>
                    </w:rPr>
                    <w:t>85</w:t>
                  </w:r>
                </w:p>
              </w:tc>
              <w:tc>
                <w:tcPr>
                  <w:tcW w:w="832" w:type="pct"/>
                  <w:vMerge w:val="continue"/>
                  <w:tcBorders>
                    <w:tl2br w:val="nil"/>
                    <w:tr2bl w:val="nil"/>
                  </w:tcBorders>
                  <w:shd w:val="clear" w:color="auto" w:fill="auto"/>
                  <w:vAlign w:val="center"/>
                </w:tcPr>
                <w:p w14:paraId="053984D1">
                  <w:pPr>
                    <w:adjustRightInd w:val="0"/>
                    <w:jc w:val="center"/>
                    <w:rPr>
                      <w:color w:val="auto"/>
                      <w:szCs w:val="21"/>
                      <w:highlight w:val="none"/>
                    </w:rPr>
                  </w:pPr>
                </w:p>
              </w:tc>
              <w:tc>
                <w:tcPr>
                  <w:tcW w:w="464" w:type="pct"/>
                  <w:tcBorders>
                    <w:tl2br w:val="nil"/>
                    <w:tr2bl w:val="nil"/>
                  </w:tcBorders>
                  <w:shd w:val="clear" w:color="auto" w:fill="auto"/>
                  <w:vAlign w:val="center"/>
                </w:tcPr>
                <w:p w14:paraId="48FBAB25">
                  <w:pPr>
                    <w:adjustRightInd w:val="0"/>
                    <w:jc w:val="center"/>
                    <w:rPr>
                      <w:rFonts w:hint="default"/>
                      <w:color w:val="auto"/>
                      <w:szCs w:val="21"/>
                      <w:highlight w:val="none"/>
                      <w:lang w:val="en-US" w:eastAsia="zh-CN"/>
                    </w:rPr>
                  </w:pPr>
                  <w:r>
                    <w:rPr>
                      <w:rFonts w:hint="eastAsia"/>
                      <w:color w:val="auto"/>
                      <w:szCs w:val="21"/>
                      <w:highlight w:val="none"/>
                      <w:lang w:val="en-US" w:eastAsia="zh-CN"/>
                    </w:rPr>
                    <w:t>7200</w:t>
                  </w:r>
                </w:p>
              </w:tc>
            </w:tr>
            <w:tr w14:paraId="06BE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65" w:type="pct"/>
                  <w:tcBorders>
                    <w:tl2br w:val="nil"/>
                    <w:tr2bl w:val="nil"/>
                  </w:tcBorders>
                  <w:shd w:val="clear" w:color="auto" w:fill="auto"/>
                  <w:vAlign w:val="center"/>
                </w:tcPr>
                <w:p w14:paraId="46FBE57E">
                  <w:pPr>
                    <w:adjustRightInd w:val="0"/>
                    <w:jc w:val="center"/>
                    <w:rPr>
                      <w:rFonts w:hint="default"/>
                      <w:color w:val="auto"/>
                      <w:szCs w:val="21"/>
                      <w:highlight w:val="none"/>
                      <w:lang w:val="en-US" w:eastAsia="zh-CN"/>
                    </w:rPr>
                  </w:pPr>
                  <w:r>
                    <w:rPr>
                      <w:rFonts w:hint="eastAsia"/>
                      <w:color w:val="auto"/>
                      <w:szCs w:val="21"/>
                      <w:highlight w:val="none"/>
                      <w:lang w:val="en-US" w:eastAsia="zh-CN"/>
                    </w:rPr>
                    <w:t>11</w:t>
                  </w:r>
                </w:p>
              </w:tc>
              <w:tc>
                <w:tcPr>
                  <w:tcW w:w="720" w:type="pct"/>
                  <w:tcBorders>
                    <w:tl2br w:val="nil"/>
                    <w:tr2bl w:val="nil"/>
                  </w:tcBorders>
                  <w:shd w:val="clear" w:color="auto" w:fill="auto"/>
                  <w:vAlign w:val="center"/>
                </w:tcPr>
                <w:p w14:paraId="3F4B27C0">
                  <w:pPr>
                    <w:adjustRightInd w:val="0"/>
                    <w:jc w:val="center"/>
                    <w:rPr>
                      <w:rFonts w:hint="eastAsia"/>
                      <w:color w:val="auto"/>
                      <w:szCs w:val="21"/>
                      <w:highlight w:val="none"/>
                      <w:lang w:val="en-US" w:eastAsia="zh-CN"/>
                    </w:rPr>
                  </w:pPr>
                  <w:r>
                    <w:rPr>
                      <w:rFonts w:hint="eastAsia"/>
                      <w:color w:val="auto"/>
                      <w:szCs w:val="21"/>
                      <w:highlight w:val="none"/>
                      <w:lang w:val="en-US" w:eastAsia="zh-CN"/>
                    </w:rPr>
                    <w:t>柔板水墨印刷机</w:t>
                  </w:r>
                </w:p>
              </w:tc>
              <w:tc>
                <w:tcPr>
                  <w:tcW w:w="648" w:type="pct"/>
                  <w:tcBorders>
                    <w:tl2br w:val="nil"/>
                    <w:tr2bl w:val="nil"/>
                  </w:tcBorders>
                </w:tcPr>
                <w:p w14:paraId="07BD22C2">
                  <w:pPr>
                    <w:pStyle w:val="7"/>
                    <w:spacing w:line="360" w:lineRule="exact"/>
                    <w:ind w:firstLine="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w:t>
                  </w:r>
                </w:p>
              </w:tc>
              <w:tc>
                <w:tcPr>
                  <w:tcW w:w="438" w:type="pct"/>
                  <w:vMerge w:val="continue"/>
                  <w:tcBorders>
                    <w:tl2br w:val="nil"/>
                    <w:tr2bl w:val="nil"/>
                  </w:tcBorders>
                  <w:shd w:val="clear" w:color="auto" w:fill="auto"/>
                  <w:vAlign w:val="center"/>
                </w:tcPr>
                <w:p w14:paraId="610D77AA">
                  <w:pPr>
                    <w:adjustRightInd w:val="0"/>
                    <w:jc w:val="center"/>
                    <w:rPr>
                      <w:color w:val="auto"/>
                      <w:szCs w:val="21"/>
                      <w:highlight w:val="none"/>
                    </w:rPr>
                  </w:pPr>
                </w:p>
              </w:tc>
              <w:tc>
                <w:tcPr>
                  <w:tcW w:w="479" w:type="pct"/>
                  <w:tcBorders>
                    <w:tl2br w:val="nil"/>
                    <w:tr2bl w:val="nil"/>
                  </w:tcBorders>
                  <w:shd w:val="clear" w:color="auto" w:fill="auto"/>
                  <w:vAlign w:val="center"/>
                </w:tcPr>
                <w:p w14:paraId="7B083D81">
                  <w:pPr>
                    <w:adjustRightInd w:val="0"/>
                    <w:jc w:val="center"/>
                    <w:rPr>
                      <w:rFonts w:ascii="Times New Roman" w:hAnsi="Times New Roman" w:eastAsia="宋体" w:cs="Times New Roman"/>
                      <w:color w:val="auto"/>
                      <w:kern w:val="2"/>
                      <w:sz w:val="21"/>
                      <w:szCs w:val="21"/>
                      <w:highlight w:val="none"/>
                      <w:lang w:val="en-US" w:eastAsia="zh-CN" w:bidi="ar-SA"/>
                    </w:rPr>
                  </w:pPr>
                  <w:r>
                    <w:rPr>
                      <w:color w:val="auto"/>
                      <w:szCs w:val="21"/>
                      <w:highlight w:val="none"/>
                    </w:rPr>
                    <w:t>频发</w:t>
                  </w:r>
                </w:p>
              </w:tc>
              <w:tc>
                <w:tcPr>
                  <w:tcW w:w="1049" w:type="pct"/>
                  <w:tcBorders>
                    <w:tl2br w:val="nil"/>
                    <w:tr2bl w:val="nil"/>
                  </w:tcBorders>
                  <w:shd w:val="clear" w:color="auto" w:fill="auto"/>
                  <w:vAlign w:val="center"/>
                </w:tcPr>
                <w:p w14:paraId="7A31D2E2">
                  <w:pPr>
                    <w:adjustRightInd w:val="0"/>
                    <w:jc w:val="center"/>
                    <w:rPr>
                      <w:rFonts w:hint="default"/>
                      <w:color w:val="auto"/>
                      <w:kern w:val="24"/>
                      <w:szCs w:val="21"/>
                      <w:highlight w:val="none"/>
                      <w:lang w:val="en-US" w:eastAsia="zh-CN"/>
                    </w:rPr>
                  </w:pPr>
                  <w:r>
                    <w:rPr>
                      <w:rFonts w:hint="eastAsia"/>
                      <w:color w:val="auto"/>
                      <w:kern w:val="24"/>
                      <w:szCs w:val="21"/>
                      <w:highlight w:val="none"/>
                      <w:lang w:val="en-US" w:eastAsia="zh-CN"/>
                    </w:rPr>
                    <w:t>75</w:t>
                  </w:r>
                </w:p>
              </w:tc>
              <w:tc>
                <w:tcPr>
                  <w:tcW w:w="832" w:type="pct"/>
                  <w:vMerge w:val="continue"/>
                  <w:tcBorders>
                    <w:tl2br w:val="nil"/>
                    <w:tr2bl w:val="nil"/>
                  </w:tcBorders>
                  <w:shd w:val="clear" w:color="auto" w:fill="auto"/>
                  <w:vAlign w:val="center"/>
                </w:tcPr>
                <w:p w14:paraId="7C842DE3">
                  <w:pPr>
                    <w:adjustRightInd w:val="0"/>
                    <w:jc w:val="center"/>
                    <w:rPr>
                      <w:color w:val="auto"/>
                      <w:szCs w:val="21"/>
                      <w:highlight w:val="none"/>
                    </w:rPr>
                  </w:pPr>
                </w:p>
              </w:tc>
              <w:tc>
                <w:tcPr>
                  <w:tcW w:w="464" w:type="pct"/>
                  <w:tcBorders>
                    <w:tl2br w:val="nil"/>
                    <w:tr2bl w:val="nil"/>
                  </w:tcBorders>
                  <w:shd w:val="clear" w:color="auto" w:fill="auto"/>
                  <w:vAlign w:val="center"/>
                </w:tcPr>
                <w:p w14:paraId="20E6D18A">
                  <w:pPr>
                    <w:adjustRightInd w:val="0"/>
                    <w:jc w:val="center"/>
                    <w:rPr>
                      <w:rFonts w:hint="default"/>
                      <w:color w:val="auto"/>
                      <w:szCs w:val="21"/>
                      <w:highlight w:val="none"/>
                      <w:lang w:val="en-US" w:eastAsia="zh-CN"/>
                    </w:rPr>
                  </w:pPr>
                  <w:r>
                    <w:rPr>
                      <w:rFonts w:hint="eastAsia"/>
                      <w:color w:val="auto"/>
                      <w:szCs w:val="21"/>
                      <w:highlight w:val="none"/>
                      <w:lang w:val="en-US" w:eastAsia="zh-CN"/>
                    </w:rPr>
                    <w:t>870</w:t>
                  </w:r>
                </w:p>
              </w:tc>
            </w:tr>
            <w:tr w14:paraId="07843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65" w:type="pct"/>
                  <w:tcBorders>
                    <w:tl2br w:val="nil"/>
                    <w:tr2bl w:val="nil"/>
                  </w:tcBorders>
                  <w:shd w:val="clear" w:color="auto" w:fill="auto"/>
                  <w:vAlign w:val="center"/>
                </w:tcPr>
                <w:p w14:paraId="3DD07A5C">
                  <w:pPr>
                    <w:adjustRightInd w:val="0"/>
                    <w:jc w:val="center"/>
                    <w:rPr>
                      <w:rFonts w:hint="default"/>
                      <w:color w:val="auto"/>
                      <w:szCs w:val="21"/>
                      <w:highlight w:val="none"/>
                      <w:lang w:val="en-US" w:eastAsia="zh-CN"/>
                    </w:rPr>
                  </w:pPr>
                  <w:r>
                    <w:rPr>
                      <w:rFonts w:hint="eastAsia"/>
                      <w:color w:val="auto"/>
                      <w:szCs w:val="21"/>
                      <w:highlight w:val="none"/>
                      <w:lang w:val="en-US" w:eastAsia="zh-CN"/>
                    </w:rPr>
                    <w:t>12</w:t>
                  </w:r>
                </w:p>
              </w:tc>
              <w:tc>
                <w:tcPr>
                  <w:tcW w:w="720" w:type="pct"/>
                  <w:tcBorders>
                    <w:tl2br w:val="nil"/>
                    <w:tr2bl w:val="nil"/>
                  </w:tcBorders>
                  <w:shd w:val="clear" w:color="auto" w:fill="auto"/>
                  <w:vAlign w:val="center"/>
                </w:tcPr>
                <w:p w14:paraId="0E1AE151">
                  <w:pPr>
                    <w:adjustRightInd w:val="0"/>
                    <w:jc w:val="center"/>
                    <w:rPr>
                      <w:rFonts w:hint="eastAsia"/>
                      <w:color w:val="auto"/>
                      <w:szCs w:val="21"/>
                      <w:highlight w:val="none"/>
                      <w:lang w:val="en-US" w:eastAsia="zh-CN"/>
                    </w:rPr>
                  </w:pPr>
                  <w:r>
                    <w:rPr>
                      <w:rFonts w:hint="eastAsia"/>
                      <w:color w:val="auto"/>
                      <w:szCs w:val="21"/>
                      <w:highlight w:val="none"/>
                      <w:lang w:val="en-US" w:eastAsia="zh-CN"/>
                    </w:rPr>
                    <w:t>数码印刷机</w:t>
                  </w:r>
                </w:p>
              </w:tc>
              <w:tc>
                <w:tcPr>
                  <w:tcW w:w="648" w:type="pct"/>
                  <w:tcBorders>
                    <w:tl2br w:val="nil"/>
                    <w:tr2bl w:val="nil"/>
                  </w:tcBorders>
                </w:tcPr>
                <w:p w14:paraId="20202360">
                  <w:pPr>
                    <w:pStyle w:val="7"/>
                    <w:spacing w:line="360" w:lineRule="exact"/>
                    <w:ind w:firstLine="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w:t>
                  </w:r>
                </w:p>
              </w:tc>
              <w:tc>
                <w:tcPr>
                  <w:tcW w:w="438" w:type="pct"/>
                  <w:vMerge w:val="continue"/>
                  <w:tcBorders>
                    <w:tl2br w:val="nil"/>
                    <w:tr2bl w:val="nil"/>
                  </w:tcBorders>
                  <w:shd w:val="clear" w:color="auto" w:fill="auto"/>
                  <w:vAlign w:val="center"/>
                </w:tcPr>
                <w:p w14:paraId="7AFDD46F">
                  <w:pPr>
                    <w:adjustRightInd w:val="0"/>
                    <w:jc w:val="center"/>
                    <w:rPr>
                      <w:color w:val="auto"/>
                      <w:szCs w:val="21"/>
                      <w:highlight w:val="none"/>
                    </w:rPr>
                  </w:pPr>
                </w:p>
              </w:tc>
              <w:tc>
                <w:tcPr>
                  <w:tcW w:w="479" w:type="pct"/>
                  <w:tcBorders>
                    <w:tl2br w:val="nil"/>
                    <w:tr2bl w:val="nil"/>
                  </w:tcBorders>
                  <w:shd w:val="clear" w:color="auto" w:fill="auto"/>
                  <w:vAlign w:val="center"/>
                </w:tcPr>
                <w:p w14:paraId="483F728A">
                  <w:pPr>
                    <w:adjustRightInd w:val="0"/>
                    <w:jc w:val="center"/>
                    <w:rPr>
                      <w:rFonts w:ascii="Times New Roman" w:hAnsi="Times New Roman" w:eastAsia="宋体" w:cs="Times New Roman"/>
                      <w:color w:val="auto"/>
                      <w:kern w:val="2"/>
                      <w:sz w:val="21"/>
                      <w:szCs w:val="21"/>
                      <w:highlight w:val="none"/>
                      <w:lang w:val="en-US" w:eastAsia="zh-CN" w:bidi="ar-SA"/>
                    </w:rPr>
                  </w:pPr>
                  <w:r>
                    <w:rPr>
                      <w:color w:val="auto"/>
                      <w:szCs w:val="21"/>
                      <w:highlight w:val="none"/>
                    </w:rPr>
                    <w:t>频发</w:t>
                  </w:r>
                </w:p>
              </w:tc>
              <w:tc>
                <w:tcPr>
                  <w:tcW w:w="1049" w:type="pct"/>
                  <w:tcBorders>
                    <w:tl2br w:val="nil"/>
                    <w:tr2bl w:val="nil"/>
                  </w:tcBorders>
                  <w:shd w:val="clear" w:color="auto" w:fill="auto"/>
                  <w:vAlign w:val="center"/>
                </w:tcPr>
                <w:p w14:paraId="086EA1E8">
                  <w:pPr>
                    <w:adjustRightInd w:val="0"/>
                    <w:jc w:val="center"/>
                    <w:rPr>
                      <w:rFonts w:hint="default"/>
                      <w:color w:val="auto"/>
                      <w:kern w:val="24"/>
                      <w:szCs w:val="21"/>
                      <w:highlight w:val="none"/>
                      <w:lang w:val="en-US" w:eastAsia="zh-CN"/>
                    </w:rPr>
                  </w:pPr>
                  <w:r>
                    <w:rPr>
                      <w:rFonts w:hint="eastAsia"/>
                      <w:color w:val="auto"/>
                      <w:kern w:val="24"/>
                      <w:szCs w:val="21"/>
                      <w:highlight w:val="none"/>
                      <w:lang w:val="en-US" w:eastAsia="zh-CN"/>
                    </w:rPr>
                    <w:t>75</w:t>
                  </w:r>
                </w:p>
              </w:tc>
              <w:tc>
                <w:tcPr>
                  <w:tcW w:w="832" w:type="pct"/>
                  <w:vMerge w:val="continue"/>
                  <w:tcBorders>
                    <w:tl2br w:val="nil"/>
                    <w:tr2bl w:val="nil"/>
                  </w:tcBorders>
                  <w:shd w:val="clear" w:color="auto" w:fill="auto"/>
                  <w:vAlign w:val="center"/>
                </w:tcPr>
                <w:p w14:paraId="539576D8">
                  <w:pPr>
                    <w:adjustRightInd w:val="0"/>
                    <w:jc w:val="center"/>
                    <w:rPr>
                      <w:color w:val="auto"/>
                      <w:szCs w:val="21"/>
                      <w:highlight w:val="none"/>
                    </w:rPr>
                  </w:pPr>
                </w:p>
              </w:tc>
              <w:tc>
                <w:tcPr>
                  <w:tcW w:w="464" w:type="pct"/>
                  <w:tcBorders>
                    <w:tl2br w:val="nil"/>
                    <w:tr2bl w:val="nil"/>
                  </w:tcBorders>
                  <w:shd w:val="clear" w:color="auto" w:fill="auto"/>
                  <w:vAlign w:val="center"/>
                </w:tcPr>
                <w:p w14:paraId="3821832A">
                  <w:pPr>
                    <w:adjustRightInd w:val="0"/>
                    <w:jc w:val="center"/>
                    <w:rPr>
                      <w:rFonts w:hint="default"/>
                      <w:color w:val="auto"/>
                      <w:szCs w:val="21"/>
                      <w:highlight w:val="none"/>
                      <w:lang w:val="en-US" w:eastAsia="zh-CN"/>
                    </w:rPr>
                  </w:pPr>
                  <w:r>
                    <w:rPr>
                      <w:rFonts w:hint="eastAsia"/>
                      <w:color w:val="auto"/>
                      <w:szCs w:val="21"/>
                      <w:highlight w:val="none"/>
                      <w:lang w:val="en-US" w:eastAsia="zh-CN"/>
                    </w:rPr>
                    <w:t>870</w:t>
                  </w:r>
                </w:p>
              </w:tc>
            </w:tr>
            <w:tr w14:paraId="55B27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65" w:type="pct"/>
                  <w:tcBorders>
                    <w:tl2br w:val="nil"/>
                    <w:tr2bl w:val="nil"/>
                  </w:tcBorders>
                  <w:shd w:val="clear" w:color="auto" w:fill="auto"/>
                  <w:vAlign w:val="center"/>
                </w:tcPr>
                <w:p w14:paraId="215FCC2B">
                  <w:pPr>
                    <w:adjustRightInd w:val="0"/>
                    <w:jc w:val="center"/>
                    <w:rPr>
                      <w:rFonts w:hint="default"/>
                      <w:color w:val="auto"/>
                      <w:szCs w:val="21"/>
                      <w:highlight w:val="none"/>
                      <w:lang w:val="en-US" w:eastAsia="zh-CN"/>
                    </w:rPr>
                  </w:pPr>
                  <w:r>
                    <w:rPr>
                      <w:rFonts w:hint="eastAsia"/>
                      <w:color w:val="auto"/>
                      <w:szCs w:val="21"/>
                      <w:highlight w:val="none"/>
                      <w:lang w:val="en-US" w:eastAsia="zh-CN"/>
                    </w:rPr>
                    <w:t>13</w:t>
                  </w:r>
                </w:p>
              </w:tc>
              <w:tc>
                <w:tcPr>
                  <w:tcW w:w="720" w:type="pct"/>
                  <w:tcBorders>
                    <w:tl2br w:val="nil"/>
                    <w:tr2bl w:val="nil"/>
                  </w:tcBorders>
                  <w:shd w:val="clear" w:color="auto" w:fill="auto"/>
                  <w:vAlign w:val="center"/>
                </w:tcPr>
                <w:p w14:paraId="64BDE0F8">
                  <w:pPr>
                    <w:adjustRightInd w:val="0"/>
                    <w:jc w:val="center"/>
                    <w:rPr>
                      <w:rFonts w:hint="eastAsia"/>
                      <w:color w:val="auto"/>
                      <w:szCs w:val="21"/>
                      <w:highlight w:val="none"/>
                      <w:lang w:val="en-US" w:eastAsia="zh-CN"/>
                    </w:rPr>
                  </w:pPr>
                  <w:r>
                    <w:rPr>
                      <w:rFonts w:hint="eastAsia"/>
                      <w:color w:val="auto"/>
                      <w:szCs w:val="21"/>
                      <w:highlight w:val="none"/>
                      <w:lang w:val="en-US" w:eastAsia="zh-CN"/>
                    </w:rPr>
                    <w:t>定型机</w:t>
                  </w:r>
                </w:p>
              </w:tc>
              <w:tc>
                <w:tcPr>
                  <w:tcW w:w="648" w:type="pct"/>
                  <w:tcBorders>
                    <w:tl2br w:val="nil"/>
                    <w:tr2bl w:val="nil"/>
                  </w:tcBorders>
                </w:tcPr>
                <w:p w14:paraId="34A7B451">
                  <w:pPr>
                    <w:pStyle w:val="7"/>
                    <w:spacing w:line="360" w:lineRule="exact"/>
                    <w:ind w:firstLine="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5</w:t>
                  </w:r>
                </w:p>
              </w:tc>
              <w:tc>
                <w:tcPr>
                  <w:tcW w:w="438" w:type="pct"/>
                  <w:vMerge w:val="continue"/>
                  <w:tcBorders>
                    <w:tl2br w:val="nil"/>
                    <w:tr2bl w:val="nil"/>
                  </w:tcBorders>
                  <w:shd w:val="clear" w:color="auto" w:fill="auto"/>
                  <w:vAlign w:val="center"/>
                </w:tcPr>
                <w:p w14:paraId="51035499">
                  <w:pPr>
                    <w:adjustRightInd w:val="0"/>
                    <w:jc w:val="center"/>
                    <w:rPr>
                      <w:color w:val="auto"/>
                      <w:szCs w:val="21"/>
                      <w:highlight w:val="none"/>
                    </w:rPr>
                  </w:pPr>
                </w:p>
              </w:tc>
              <w:tc>
                <w:tcPr>
                  <w:tcW w:w="479" w:type="pct"/>
                  <w:tcBorders>
                    <w:tl2br w:val="nil"/>
                    <w:tr2bl w:val="nil"/>
                  </w:tcBorders>
                  <w:shd w:val="clear" w:color="auto" w:fill="auto"/>
                  <w:vAlign w:val="center"/>
                </w:tcPr>
                <w:p w14:paraId="2E8FA939">
                  <w:pPr>
                    <w:adjustRightInd w:val="0"/>
                    <w:jc w:val="center"/>
                    <w:rPr>
                      <w:rFonts w:ascii="Times New Roman" w:hAnsi="Times New Roman" w:eastAsia="宋体" w:cs="Times New Roman"/>
                      <w:color w:val="auto"/>
                      <w:kern w:val="2"/>
                      <w:sz w:val="21"/>
                      <w:szCs w:val="21"/>
                      <w:highlight w:val="none"/>
                      <w:lang w:val="en-US" w:eastAsia="zh-CN" w:bidi="ar-SA"/>
                    </w:rPr>
                  </w:pPr>
                  <w:r>
                    <w:rPr>
                      <w:color w:val="auto"/>
                      <w:szCs w:val="21"/>
                      <w:highlight w:val="none"/>
                    </w:rPr>
                    <w:t>频发</w:t>
                  </w:r>
                </w:p>
              </w:tc>
              <w:tc>
                <w:tcPr>
                  <w:tcW w:w="1049" w:type="pct"/>
                  <w:tcBorders>
                    <w:tl2br w:val="nil"/>
                    <w:tr2bl w:val="nil"/>
                  </w:tcBorders>
                  <w:shd w:val="clear" w:color="auto" w:fill="auto"/>
                  <w:vAlign w:val="center"/>
                </w:tcPr>
                <w:p w14:paraId="4F9D5229">
                  <w:pPr>
                    <w:adjustRightInd w:val="0"/>
                    <w:jc w:val="center"/>
                    <w:rPr>
                      <w:rFonts w:hint="default"/>
                      <w:color w:val="auto"/>
                      <w:kern w:val="24"/>
                      <w:szCs w:val="21"/>
                      <w:highlight w:val="none"/>
                      <w:lang w:val="en-US" w:eastAsia="zh-CN"/>
                    </w:rPr>
                  </w:pPr>
                  <w:r>
                    <w:rPr>
                      <w:rFonts w:hint="eastAsia"/>
                      <w:color w:val="auto"/>
                      <w:kern w:val="24"/>
                      <w:szCs w:val="21"/>
                      <w:highlight w:val="none"/>
                      <w:lang w:val="en-US" w:eastAsia="zh-CN"/>
                    </w:rPr>
                    <w:t>75</w:t>
                  </w:r>
                </w:p>
              </w:tc>
              <w:tc>
                <w:tcPr>
                  <w:tcW w:w="832" w:type="pct"/>
                  <w:vMerge w:val="continue"/>
                  <w:tcBorders>
                    <w:tl2br w:val="nil"/>
                    <w:tr2bl w:val="nil"/>
                  </w:tcBorders>
                  <w:shd w:val="clear" w:color="auto" w:fill="auto"/>
                  <w:vAlign w:val="center"/>
                </w:tcPr>
                <w:p w14:paraId="1784841B">
                  <w:pPr>
                    <w:adjustRightInd w:val="0"/>
                    <w:jc w:val="center"/>
                    <w:rPr>
                      <w:color w:val="auto"/>
                      <w:szCs w:val="21"/>
                      <w:highlight w:val="none"/>
                    </w:rPr>
                  </w:pPr>
                </w:p>
              </w:tc>
              <w:tc>
                <w:tcPr>
                  <w:tcW w:w="464" w:type="pct"/>
                  <w:tcBorders>
                    <w:tl2br w:val="nil"/>
                    <w:tr2bl w:val="nil"/>
                  </w:tcBorders>
                  <w:shd w:val="clear" w:color="auto" w:fill="auto"/>
                  <w:vAlign w:val="center"/>
                </w:tcPr>
                <w:p w14:paraId="47D901F1">
                  <w:pPr>
                    <w:adjustRightInd w:val="0"/>
                    <w:jc w:val="center"/>
                    <w:rPr>
                      <w:rFonts w:hint="default"/>
                      <w:color w:val="auto"/>
                      <w:szCs w:val="21"/>
                      <w:highlight w:val="none"/>
                      <w:lang w:val="en-US" w:eastAsia="zh-CN"/>
                    </w:rPr>
                  </w:pPr>
                  <w:r>
                    <w:rPr>
                      <w:rFonts w:hint="eastAsia"/>
                      <w:color w:val="auto"/>
                      <w:szCs w:val="21"/>
                      <w:highlight w:val="none"/>
                      <w:lang w:val="en-US" w:eastAsia="zh-CN"/>
                    </w:rPr>
                    <w:t>7200</w:t>
                  </w:r>
                </w:p>
              </w:tc>
            </w:tr>
            <w:tr w14:paraId="11E7B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65" w:type="pct"/>
                  <w:tcBorders>
                    <w:tl2br w:val="nil"/>
                    <w:tr2bl w:val="nil"/>
                  </w:tcBorders>
                  <w:shd w:val="clear" w:color="auto" w:fill="auto"/>
                  <w:vAlign w:val="center"/>
                </w:tcPr>
                <w:p w14:paraId="22674E62">
                  <w:pPr>
                    <w:adjustRightInd w:val="0"/>
                    <w:jc w:val="center"/>
                    <w:rPr>
                      <w:rFonts w:hint="default"/>
                      <w:color w:val="auto"/>
                      <w:szCs w:val="21"/>
                      <w:highlight w:val="none"/>
                      <w:lang w:val="en-US" w:eastAsia="zh-CN"/>
                    </w:rPr>
                  </w:pPr>
                  <w:r>
                    <w:rPr>
                      <w:rFonts w:hint="eastAsia"/>
                      <w:color w:val="auto"/>
                      <w:szCs w:val="21"/>
                      <w:highlight w:val="none"/>
                      <w:lang w:val="en-US" w:eastAsia="zh-CN"/>
                    </w:rPr>
                    <w:t>14</w:t>
                  </w:r>
                </w:p>
              </w:tc>
              <w:tc>
                <w:tcPr>
                  <w:tcW w:w="720" w:type="pct"/>
                  <w:tcBorders>
                    <w:tl2br w:val="nil"/>
                    <w:tr2bl w:val="nil"/>
                  </w:tcBorders>
                  <w:shd w:val="clear" w:color="auto" w:fill="auto"/>
                  <w:vAlign w:val="center"/>
                </w:tcPr>
                <w:p w14:paraId="07C6796E">
                  <w:pPr>
                    <w:adjustRightInd w:val="0"/>
                    <w:jc w:val="center"/>
                    <w:rPr>
                      <w:rFonts w:hint="default"/>
                      <w:color w:val="auto"/>
                      <w:szCs w:val="21"/>
                      <w:highlight w:val="none"/>
                      <w:lang w:val="en-US" w:eastAsia="zh-CN"/>
                    </w:rPr>
                  </w:pPr>
                  <w:r>
                    <w:rPr>
                      <w:rFonts w:hint="eastAsia"/>
                      <w:color w:val="auto"/>
                      <w:szCs w:val="21"/>
                      <w:highlight w:val="none"/>
                      <w:lang w:val="en-US" w:eastAsia="zh-CN"/>
                    </w:rPr>
                    <w:t>电晕机</w:t>
                  </w:r>
                </w:p>
              </w:tc>
              <w:tc>
                <w:tcPr>
                  <w:tcW w:w="648" w:type="pct"/>
                  <w:tcBorders>
                    <w:tl2br w:val="nil"/>
                    <w:tr2bl w:val="nil"/>
                  </w:tcBorders>
                </w:tcPr>
                <w:p w14:paraId="58679172">
                  <w:pPr>
                    <w:pStyle w:val="7"/>
                    <w:spacing w:line="360" w:lineRule="exact"/>
                    <w:ind w:firstLine="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5</w:t>
                  </w:r>
                </w:p>
              </w:tc>
              <w:tc>
                <w:tcPr>
                  <w:tcW w:w="438" w:type="pct"/>
                  <w:vMerge w:val="continue"/>
                  <w:tcBorders>
                    <w:tl2br w:val="nil"/>
                    <w:tr2bl w:val="nil"/>
                  </w:tcBorders>
                  <w:shd w:val="clear" w:color="auto" w:fill="auto"/>
                  <w:vAlign w:val="center"/>
                </w:tcPr>
                <w:p w14:paraId="1A93639F">
                  <w:pPr>
                    <w:adjustRightInd w:val="0"/>
                    <w:jc w:val="center"/>
                    <w:rPr>
                      <w:color w:val="auto"/>
                      <w:szCs w:val="21"/>
                      <w:highlight w:val="none"/>
                    </w:rPr>
                  </w:pPr>
                </w:p>
              </w:tc>
              <w:tc>
                <w:tcPr>
                  <w:tcW w:w="479" w:type="pct"/>
                  <w:tcBorders>
                    <w:tl2br w:val="nil"/>
                    <w:tr2bl w:val="nil"/>
                  </w:tcBorders>
                  <w:shd w:val="clear" w:color="auto" w:fill="auto"/>
                  <w:vAlign w:val="center"/>
                </w:tcPr>
                <w:p w14:paraId="37997DA2">
                  <w:pPr>
                    <w:adjustRightInd w:val="0"/>
                    <w:jc w:val="center"/>
                    <w:rPr>
                      <w:rFonts w:ascii="Times New Roman" w:hAnsi="Times New Roman" w:eastAsia="宋体" w:cs="Times New Roman"/>
                      <w:color w:val="auto"/>
                      <w:kern w:val="2"/>
                      <w:sz w:val="21"/>
                      <w:szCs w:val="21"/>
                      <w:highlight w:val="none"/>
                      <w:lang w:val="en-US" w:eastAsia="zh-CN" w:bidi="ar-SA"/>
                    </w:rPr>
                  </w:pPr>
                  <w:r>
                    <w:rPr>
                      <w:color w:val="auto"/>
                      <w:szCs w:val="21"/>
                      <w:highlight w:val="none"/>
                    </w:rPr>
                    <w:t>频发</w:t>
                  </w:r>
                </w:p>
              </w:tc>
              <w:tc>
                <w:tcPr>
                  <w:tcW w:w="1049" w:type="pct"/>
                  <w:tcBorders>
                    <w:tl2br w:val="nil"/>
                    <w:tr2bl w:val="nil"/>
                  </w:tcBorders>
                  <w:shd w:val="clear" w:color="auto" w:fill="auto"/>
                  <w:vAlign w:val="center"/>
                </w:tcPr>
                <w:p w14:paraId="39C8AC30">
                  <w:pPr>
                    <w:adjustRightInd w:val="0"/>
                    <w:jc w:val="center"/>
                    <w:rPr>
                      <w:rFonts w:hint="default"/>
                      <w:color w:val="auto"/>
                      <w:kern w:val="24"/>
                      <w:szCs w:val="21"/>
                      <w:highlight w:val="none"/>
                      <w:lang w:val="en-US" w:eastAsia="zh-CN"/>
                    </w:rPr>
                  </w:pPr>
                  <w:r>
                    <w:rPr>
                      <w:rFonts w:hint="eastAsia"/>
                      <w:color w:val="auto"/>
                      <w:kern w:val="24"/>
                      <w:szCs w:val="21"/>
                      <w:highlight w:val="none"/>
                      <w:lang w:val="en-US" w:eastAsia="zh-CN"/>
                    </w:rPr>
                    <w:t>80</w:t>
                  </w:r>
                </w:p>
              </w:tc>
              <w:tc>
                <w:tcPr>
                  <w:tcW w:w="832" w:type="pct"/>
                  <w:vMerge w:val="continue"/>
                  <w:tcBorders>
                    <w:tl2br w:val="nil"/>
                    <w:tr2bl w:val="nil"/>
                  </w:tcBorders>
                  <w:shd w:val="clear" w:color="auto" w:fill="auto"/>
                  <w:vAlign w:val="center"/>
                </w:tcPr>
                <w:p w14:paraId="1CF62DD1">
                  <w:pPr>
                    <w:adjustRightInd w:val="0"/>
                    <w:jc w:val="center"/>
                    <w:rPr>
                      <w:color w:val="auto"/>
                      <w:szCs w:val="21"/>
                      <w:highlight w:val="none"/>
                    </w:rPr>
                  </w:pPr>
                </w:p>
              </w:tc>
              <w:tc>
                <w:tcPr>
                  <w:tcW w:w="464" w:type="pct"/>
                  <w:tcBorders>
                    <w:tl2br w:val="nil"/>
                    <w:tr2bl w:val="nil"/>
                  </w:tcBorders>
                  <w:shd w:val="clear" w:color="auto" w:fill="auto"/>
                  <w:vAlign w:val="center"/>
                </w:tcPr>
                <w:p w14:paraId="68DFD51A">
                  <w:pPr>
                    <w:adjustRightInd w:val="0"/>
                    <w:jc w:val="center"/>
                    <w:rPr>
                      <w:rFonts w:hint="default"/>
                      <w:color w:val="auto"/>
                      <w:szCs w:val="21"/>
                      <w:highlight w:val="none"/>
                      <w:lang w:val="en-US" w:eastAsia="zh-CN"/>
                    </w:rPr>
                  </w:pPr>
                  <w:r>
                    <w:rPr>
                      <w:rFonts w:hint="eastAsia"/>
                      <w:color w:val="auto"/>
                      <w:szCs w:val="21"/>
                      <w:highlight w:val="none"/>
                      <w:lang w:val="en-US" w:eastAsia="zh-CN"/>
                    </w:rPr>
                    <w:t>7200</w:t>
                  </w:r>
                </w:p>
              </w:tc>
            </w:tr>
            <w:tr w14:paraId="5CE8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65" w:type="pct"/>
                  <w:tcBorders>
                    <w:tl2br w:val="nil"/>
                    <w:tr2bl w:val="nil"/>
                  </w:tcBorders>
                  <w:shd w:val="clear" w:color="auto" w:fill="auto"/>
                  <w:vAlign w:val="center"/>
                </w:tcPr>
                <w:p w14:paraId="0D864F05">
                  <w:pPr>
                    <w:adjustRightInd w:val="0"/>
                    <w:jc w:val="center"/>
                    <w:rPr>
                      <w:rFonts w:hint="default"/>
                      <w:color w:val="auto"/>
                      <w:szCs w:val="21"/>
                      <w:highlight w:val="none"/>
                      <w:lang w:val="en-US" w:eastAsia="zh-CN"/>
                    </w:rPr>
                  </w:pPr>
                  <w:r>
                    <w:rPr>
                      <w:rFonts w:hint="eastAsia"/>
                      <w:color w:val="auto"/>
                      <w:szCs w:val="21"/>
                      <w:highlight w:val="none"/>
                      <w:lang w:val="en-US" w:eastAsia="zh-CN"/>
                    </w:rPr>
                    <w:t>1</w:t>
                  </w:r>
                </w:p>
              </w:tc>
              <w:tc>
                <w:tcPr>
                  <w:tcW w:w="720" w:type="pct"/>
                  <w:tcBorders>
                    <w:tl2br w:val="nil"/>
                    <w:tr2bl w:val="nil"/>
                  </w:tcBorders>
                  <w:shd w:val="clear" w:color="auto" w:fill="auto"/>
                  <w:vAlign w:val="center"/>
                </w:tcPr>
                <w:p w14:paraId="401A8622">
                  <w:pPr>
                    <w:adjustRightInd w:val="0"/>
                    <w:jc w:val="center"/>
                    <w:rPr>
                      <w:rFonts w:hint="default"/>
                      <w:color w:val="auto"/>
                      <w:szCs w:val="21"/>
                      <w:highlight w:val="none"/>
                      <w:lang w:val="en-US" w:eastAsia="zh-CN"/>
                    </w:rPr>
                  </w:pPr>
                  <w:r>
                    <w:rPr>
                      <w:rFonts w:hint="eastAsia"/>
                      <w:color w:val="auto"/>
                      <w:szCs w:val="21"/>
                      <w:highlight w:val="none"/>
                      <w:lang w:val="en-US" w:eastAsia="zh-CN"/>
                    </w:rPr>
                    <w:t>冷却塔</w:t>
                  </w:r>
                </w:p>
              </w:tc>
              <w:tc>
                <w:tcPr>
                  <w:tcW w:w="648" w:type="pct"/>
                  <w:tcBorders>
                    <w:tl2br w:val="nil"/>
                    <w:tr2bl w:val="nil"/>
                  </w:tcBorders>
                </w:tcPr>
                <w:p w14:paraId="6186E99C">
                  <w:pPr>
                    <w:pStyle w:val="7"/>
                    <w:spacing w:line="360" w:lineRule="exact"/>
                    <w:ind w:firstLine="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w:t>
                  </w:r>
                </w:p>
              </w:tc>
              <w:tc>
                <w:tcPr>
                  <w:tcW w:w="438" w:type="pct"/>
                  <w:vMerge w:val="restart"/>
                  <w:tcBorders>
                    <w:tl2br w:val="nil"/>
                    <w:tr2bl w:val="nil"/>
                  </w:tcBorders>
                  <w:shd w:val="clear" w:color="auto" w:fill="auto"/>
                  <w:vAlign w:val="center"/>
                </w:tcPr>
                <w:p w14:paraId="7C30A38E">
                  <w:pPr>
                    <w:adjustRightInd w:val="0"/>
                    <w:jc w:val="center"/>
                    <w:rPr>
                      <w:rFonts w:hint="eastAsia" w:eastAsia="宋体"/>
                      <w:color w:val="auto"/>
                      <w:szCs w:val="21"/>
                      <w:highlight w:val="none"/>
                      <w:lang w:val="en-US" w:eastAsia="zh-CN"/>
                    </w:rPr>
                  </w:pPr>
                  <w:r>
                    <w:rPr>
                      <w:rFonts w:hint="eastAsia"/>
                      <w:color w:val="auto"/>
                      <w:szCs w:val="21"/>
                      <w:highlight w:val="none"/>
                      <w:lang w:val="en-US" w:eastAsia="zh-CN"/>
                    </w:rPr>
                    <w:t>室外</w:t>
                  </w:r>
                </w:p>
              </w:tc>
              <w:tc>
                <w:tcPr>
                  <w:tcW w:w="479" w:type="pct"/>
                  <w:tcBorders>
                    <w:tl2br w:val="nil"/>
                    <w:tr2bl w:val="nil"/>
                  </w:tcBorders>
                  <w:shd w:val="clear" w:color="auto" w:fill="auto"/>
                  <w:vAlign w:val="center"/>
                </w:tcPr>
                <w:p w14:paraId="38C9FCFD">
                  <w:pPr>
                    <w:adjustRightInd w:val="0"/>
                    <w:jc w:val="center"/>
                    <w:rPr>
                      <w:rFonts w:ascii="Times New Roman" w:hAnsi="Times New Roman" w:eastAsia="宋体" w:cs="Times New Roman"/>
                      <w:color w:val="auto"/>
                      <w:kern w:val="2"/>
                      <w:sz w:val="21"/>
                      <w:szCs w:val="21"/>
                      <w:highlight w:val="none"/>
                      <w:lang w:val="en-US" w:eastAsia="zh-CN" w:bidi="ar-SA"/>
                    </w:rPr>
                  </w:pPr>
                  <w:r>
                    <w:rPr>
                      <w:color w:val="auto"/>
                      <w:szCs w:val="21"/>
                      <w:highlight w:val="none"/>
                    </w:rPr>
                    <w:t>频发</w:t>
                  </w:r>
                </w:p>
              </w:tc>
              <w:tc>
                <w:tcPr>
                  <w:tcW w:w="1049" w:type="pct"/>
                  <w:tcBorders>
                    <w:tl2br w:val="nil"/>
                    <w:tr2bl w:val="nil"/>
                  </w:tcBorders>
                  <w:shd w:val="clear" w:color="auto" w:fill="auto"/>
                  <w:vAlign w:val="center"/>
                </w:tcPr>
                <w:p w14:paraId="057985BF">
                  <w:pPr>
                    <w:adjustRightInd w:val="0"/>
                    <w:jc w:val="center"/>
                    <w:rPr>
                      <w:rFonts w:hint="default"/>
                      <w:color w:val="auto"/>
                      <w:kern w:val="24"/>
                      <w:szCs w:val="21"/>
                      <w:highlight w:val="none"/>
                      <w:lang w:val="en-US" w:eastAsia="zh-CN"/>
                    </w:rPr>
                  </w:pPr>
                  <w:r>
                    <w:rPr>
                      <w:rFonts w:hint="eastAsia"/>
                      <w:color w:val="auto"/>
                      <w:kern w:val="24"/>
                      <w:szCs w:val="21"/>
                      <w:highlight w:val="none"/>
                      <w:lang w:val="en-US" w:eastAsia="zh-CN"/>
                    </w:rPr>
                    <w:t>70</w:t>
                  </w:r>
                </w:p>
              </w:tc>
              <w:tc>
                <w:tcPr>
                  <w:tcW w:w="832" w:type="pct"/>
                  <w:vMerge w:val="continue"/>
                  <w:tcBorders>
                    <w:tl2br w:val="nil"/>
                    <w:tr2bl w:val="nil"/>
                  </w:tcBorders>
                  <w:shd w:val="clear" w:color="auto" w:fill="auto"/>
                  <w:vAlign w:val="center"/>
                </w:tcPr>
                <w:p w14:paraId="37856319">
                  <w:pPr>
                    <w:adjustRightInd w:val="0"/>
                    <w:jc w:val="center"/>
                    <w:rPr>
                      <w:color w:val="auto"/>
                      <w:szCs w:val="21"/>
                      <w:highlight w:val="none"/>
                    </w:rPr>
                  </w:pPr>
                </w:p>
              </w:tc>
              <w:tc>
                <w:tcPr>
                  <w:tcW w:w="464" w:type="pct"/>
                  <w:tcBorders>
                    <w:tl2br w:val="nil"/>
                    <w:tr2bl w:val="nil"/>
                  </w:tcBorders>
                  <w:shd w:val="clear" w:color="auto" w:fill="auto"/>
                  <w:vAlign w:val="center"/>
                </w:tcPr>
                <w:p w14:paraId="056987C3">
                  <w:pPr>
                    <w:adjustRightInd w:val="0"/>
                    <w:jc w:val="center"/>
                    <w:rPr>
                      <w:rFonts w:hint="default"/>
                      <w:color w:val="auto"/>
                      <w:szCs w:val="21"/>
                      <w:highlight w:val="none"/>
                      <w:lang w:val="en-US" w:eastAsia="zh-CN"/>
                    </w:rPr>
                  </w:pPr>
                  <w:r>
                    <w:rPr>
                      <w:rFonts w:hint="eastAsia"/>
                      <w:color w:val="auto"/>
                      <w:szCs w:val="21"/>
                      <w:highlight w:val="none"/>
                      <w:lang w:val="en-US" w:eastAsia="zh-CN"/>
                    </w:rPr>
                    <w:t>7200</w:t>
                  </w:r>
                </w:p>
              </w:tc>
            </w:tr>
            <w:tr w14:paraId="4550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65" w:type="pct"/>
                  <w:tcBorders>
                    <w:tl2br w:val="nil"/>
                    <w:tr2bl w:val="nil"/>
                  </w:tcBorders>
                  <w:shd w:val="clear" w:color="auto" w:fill="auto"/>
                  <w:vAlign w:val="center"/>
                </w:tcPr>
                <w:p w14:paraId="7CE364D1">
                  <w:pPr>
                    <w:adjustRightInd w:val="0"/>
                    <w:jc w:val="center"/>
                    <w:rPr>
                      <w:rFonts w:hint="default"/>
                      <w:color w:val="auto"/>
                      <w:szCs w:val="21"/>
                      <w:highlight w:val="none"/>
                      <w:lang w:val="en-US" w:eastAsia="zh-CN"/>
                    </w:rPr>
                  </w:pPr>
                  <w:r>
                    <w:rPr>
                      <w:rFonts w:hint="eastAsia"/>
                      <w:color w:val="auto"/>
                      <w:szCs w:val="21"/>
                      <w:highlight w:val="none"/>
                      <w:lang w:val="en-US" w:eastAsia="zh-CN"/>
                    </w:rPr>
                    <w:t>2</w:t>
                  </w:r>
                </w:p>
              </w:tc>
              <w:tc>
                <w:tcPr>
                  <w:tcW w:w="720" w:type="pct"/>
                  <w:tcBorders>
                    <w:tl2br w:val="nil"/>
                    <w:tr2bl w:val="nil"/>
                  </w:tcBorders>
                  <w:shd w:val="clear" w:color="auto" w:fill="auto"/>
                  <w:vAlign w:val="center"/>
                </w:tcPr>
                <w:p w14:paraId="37B176AE">
                  <w:pPr>
                    <w:adjustRightInd w:val="0"/>
                    <w:jc w:val="center"/>
                    <w:rPr>
                      <w:rFonts w:hint="eastAsia"/>
                      <w:color w:val="auto"/>
                      <w:szCs w:val="21"/>
                      <w:highlight w:val="none"/>
                      <w:lang w:val="en-US" w:eastAsia="zh-CN"/>
                    </w:rPr>
                  </w:pPr>
                  <w:r>
                    <w:rPr>
                      <w:rFonts w:hint="eastAsia"/>
                      <w:color w:val="auto"/>
                      <w:szCs w:val="21"/>
                      <w:highlight w:val="none"/>
                      <w:lang w:val="en-US" w:eastAsia="zh-CN"/>
                    </w:rPr>
                    <w:t>粉碎机</w:t>
                  </w:r>
                </w:p>
              </w:tc>
              <w:tc>
                <w:tcPr>
                  <w:tcW w:w="648" w:type="pct"/>
                  <w:tcBorders>
                    <w:tl2br w:val="nil"/>
                    <w:tr2bl w:val="nil"/>
                  </w:tcBorders>
                </w:tcPr>
                <w:p w14:paraId="6C8EE684">
                  <w:pPr>
                    <w:pStyle w:val="7"/>
                    <w:spacing w:line="360" w:lineRule="exact"/>
                    <w:ind w:firstLine="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w:t>
                  </w:r>
                </w:p>
              </w:tc>
              <w:tc>
                <w:tcPr>
                  <w:tcW w:w="438" w:type="pct"/>
                  <w:vMerge w:val="continue"/>
                  <w:tcBorders>
                    <w:tl2br w:val="nil"/>
                    <w:tr2bl w:val="nil"/>
                  </w:tcBorders>
                  <w:shd w:val="clear" w:color="auto" w:fill="auto"/>
                  <w:vAlign w:val="center"/>
                </w:tcPr>
                <w:p w14:paraId="31337690">
                  <w:pPr>
                    <w:adjustRightInd w:val="0"/>
                    <w:jc w:val="center"/>
                    <w:rPr>
                      <w:color w:val="auto"/>
                      <w:szCs w:val="21"/>
                      <w:highlight w:val="none"/>
                    </w:rPr>
                  </w:pPr>
                </w:p>
              </w:tc>
              <w:tc>
                <w:tcPr>
                  <w:tcW w:w="479" w:type="pct"/>
                  <w:tcBorders>
                    <w:tl2br w:val="nil"/>
                    <w:tr2bl w:val="nil"/>
                  </w:tcBorders>
                  <w:shd w:val="clear" w:color="auto" w:fill="auto"/>
                  <w:vAlign w:val="center"/>
                </w:tcPr>
                <w:p w14:paraId="521B0CA1">
                  <w:pPr>
                    <w:adjustRightInd w:val="0"/>
                    <w:jc w:val="center"/>
                    <w:rPr>
                      <w:rFonts w:ascii="Times New Roman" w:hAnsi="Times New Roman" w:eastAsia="宋体" w:cs="Times New Roman"/>
                      <w:color w:val="auto"/>
                      <w:kern w:val="2"/>
                      <w:sz w:val="21"/>
                      <w:szCs w:val="21"/>
                      <w:highlight w:val="none"/>
                      <w:lang w:val="en-US" w:eastAsia="zh-CN" w:bidi="ar-SA"/>
                    </w:rPr>
                  </w:pPr>
                  <w:r>
                    <w:rPr>
                      <w:color w:val="auto"/>
                      <w:szCs w:val="21"/>
                      <w:highlight w:val="none"/>
                    </w:rPr>
                    <w:t>频发</w:t>
                  </w:r>
                </w:p>
              </w:tc>
              <w:tc>
                <w:tcPr>
                  <w:tcW w:w="1049" w:type="pct"/>
                  <w:tcBorders>
                    <w:tl2br w:val="nil"/>
                    <w:tr2bl w:val="nil"/>
                  </w:tcBorders>
                  <w:shd w:val="clear" w:color="auto" w:fill="auto"/>
                  <w:vAlign w:val="center"/>
                </w:tcPr>
                <w:p w14:paraId="3C78C527">
                  <w:pPr>
                    <w:adjustRightInd w:val="0"/>
                    <w:jc w:val="center"/>
                    <w:rPr>
                      <w:rFonts w:hint="default"/>
                      <w:color w:val="auto"/>
                      <w:kern w:val="24"/>
                      <w:szCs w:val="21"/>
                      <w:highlight w:val="none"/>
                      <w:lang w:val="en-US" w:eastAsia="zh-CN"/>
                    </w:rPr>
                  </w:pPr>
                  <w:r>
                    <w:rPr>
                      <w:rFonts w:hint="eastAsia"/>
                      <w:color w:val="auto"/>
                      <w:kern w:val="24"/>
                      <w:szCs w:val="21"/>
                      <w:highlight w:val="none"/>
                      <w:lang w:val="en-US" w:eastAsia="zh-CN"/>
                    </w:rPr>
                    <w:t>85</w:t>
                  </w:r>
                </w:p>
              </w:tc>
              <w:tc>
                <w:tcPr>
                  <w:tcW w:w="832" w:type="pct"/>
                  <w:vMerge w:val="continue"/>
                  <w:tcBorders>
                    <w:tl2br w:val="nil"/>
                    <w:tr2bl w:val="nil"/>
                  </w:tcBorders>
                  <w:shd w:val="clear" w:color="auto" w:fill="auto"/>
                  <w:vAlign w:val="center"/>
                </w:tcPr>
                <w:p w14:paraId="1A272565">
                  <w:pPr>
                    <w:adjustRightInd w:val="0"/>
                    <w:jc w:val="center"/>
                    <w:rPr>
                      <w:color w:val="auto"/>
                      <w:szCs w:val="21"/>
                      <w:highlight w:val="none"/>
                    </w:rPr>
                  </w:pPr>
                </w:p>
              </w:tc>
              <w:tc>
                <w:tcPr>
                  <w:tcW w:w="464" w:type="pct"/>
                  <w:tcBorders>
                    <w:tl2br w:val="nil"/>
                    <w:tr2bl w:val="nil"/>
                  </w:tcBorders>
                  <w:shd w:val="clear" w:color="auto" w:fill="auto"/>
                  <w:vAlign w:val="center"/>
                </w:tcPr>
                <w:p w14:paraId="58580D94">
                  <w:pPr>
                    <w:adjustRightInd w:val="0"/>
                    <w:jc w:val="center"/>
                    <w:rPr>
                      <w:rFonts w:hint="default"/>
                      <w:color w:val="auto"/>
                      <w:szCs w:val="21"/>
                      <w:highlight w:val="none"/>
                      <w:lang w:val="en-US" w:eastAsia="zh-CN"/>
                    </w:rPr>
                  </w:pPr>
                  <w:r>
                    <w:rPr>
                      <w:rFonts w:hint="eastAsia"/>
                      <w:color w:val="auto"/>
                      <w:szCs w:val="21"/>
                      <w:highlight w:val="none"/>
                      <w:lang w:val="en-US" w:eastAsia="zh-CN"/>
                    </w:rPr>
                    <w:t>7200</w:t>
                  </w:r>
                </w:p>
              </w:tc>
            </w:tr>
          </w:tbl>
          <w:p w14:paraId="65E0B705">
            <w:pPr>
              <w:adjustRightInd w:val="0"/>
              <w:snapToGrid w:val="0"/>
              <w:spacing w:line="360" w:lineRule="auto"/>
              <w:ind w:firstLine="482" w:firstLineChars="200"/>
              <w:jc w:val="left"/>
              <w:rPr>
                <w:b/>
                <w:bCs/>
                <w:color w:val="auto"/>
                <w:sz w:val="24"/>
                <w:highlight w:val="none"/>
              </w:rPr>
            </w:pPr>
            <w:r>
              <w:rPr>
                <w:rFonts w:hint="eastAsia"/>
                <w:b/>
                <w:bCs/>
                <w:color w:val="auto"/>
                <w:sz w:val="24"/>
                <w:highlight w:val="none"/>
              </w:rPr>
              <w:t>2、声环境影响分析</w:t>
            </w:r>
          </w:p>
          <w:p w14:paraId="5CFC2146">
            <w:pPr>
              <w:snapToGrid w:val="0"/>
              <w:spacing w:line="360" w:lineRule="auto"/>
              <w:ind w:firstLine="480" w:firstLineChars="200"/>
              <w:rPr>
                <w:rFonts w:eastAsiaTheme="minorEastAsia"/>
                <w:color w:val="auto"/>
                <w:sz w:val="24"/>
                <w:highlight w:val="none"/>
              </w:rPr>
            </w:pPr>
            <w:r>
              <w:rPr>
                <w:rFonts w:hint="eastAsia" w:eastAsiaTheme="minorEastAsia"/>
                <w:color w:val="auto"/>
                <w:sz w:val="24"/>
                <w:highlight w:val="none"/>
              </w:rPr>
              <w:t>（1）预测模型</w:t>
            </w:r>
          </w:p>
          <w:p w14:paraId="33379496">
            <w:pPr>
              <w:snapToGrid w:val="0"/>
              <w:spacing w:line="360" w:lineRule="auto"/>
              <w:ind w:firstLine="480" w:firstLineChars="200"/>
              <w:rPr>
                <w:rFonts w:eastAsiaTheme="minorEastAsia"/>
                <w:color w:val="auto"/>
                <w:sz w:val="24"/>
                <w:highlight w:val="none"/>
              </w:rPr>
            </w:pPr>
            <w:r>
              <w:rPr>
                <w:rFonts w:eastAsiaTheme="minorEastAsia"/>
                <w:color w:val="auto"/>
                <w:sz w:val="24"/>
                <w:highlight w:val="none"/>
              </w:rPr>
              <w:t>根据项目建设内容及《环境影响评价技术导则</w:t>
            </w:r>
            <w:r>
              <w:rPr>
                <w:rFonts w:hint="eastAsia" w:eastAsiaTheme="minorEastAsia"/>
                <w:color w:val="auto"/>
                <w:sz w:val="24"/>
                <w:highlight w:val="none"/>
              </w:rPr>
              <w:t xml:space="preserve"> </w:t>
            </w:r>
            <w:r>
              <w:rPr>
                <w:rFonts w:eastAsiaTheme="minorEastAsia"/>
                <w:color w:val="auto"/>
                <w:sz w:val="24"/>
                <w:highlight w:val="none"/>
              </w:rPr>
              <w:t>声环境》（HJ2.4-2021）的要求，项目</w:t>
            </w:r>
            <w:r>
              <w:rPr>
                <w:rFonts w:hint="eastAsia" w:eastAsiaTheme="minorEastAsia"/>
                <w:color w:val="auto"/>
                <w:sz w:val="24"/>
                <w:highlight w:val="none"/>
              </w:rPr>
              <w:t>声环境预测</w:t>
            </w:r>
            <w:r>
              <w:rPr>
                <w:rFonts w:eastAsiaTheme="minorEastAsia"/>
                <w:color w:val="auto"/>
                <w:sz w:val="24"/>
                <w:highlight w:val="none"/>
              </w:rPr>
              <w:t>采用的模型为《环境影响评价技术导则 声环境》</w:t>
            </w:r>
            <w:r>
              <w:rPr>
                <w:rFonts w:hint="eastAsia" w:eastAsiaTheme="minorEastAsia"/>
                <w:color w:val="auto"/>
                <w:sz w:val="24"/>
                <w:highlight w:val="none"/>
                <w:lang w:eastAsia="zh-CN"/>
              </w:rPr>
              <w:t>（</w:t>
            </w:r>
            <w:r>
              <w:rPr>
                <w:rFonts w:eastAsiaTheme="minorEastAsia"/>
                <w:color w:val="auto"/>
                <w:sz w:val="24"/>
                <w:highlight w:val="none"/>
              </w:rPr>
              <w:t>HJ2.4.2021</w:t>
            </w:r>
            <w:r>
              <w:rPr>
                <w:rFonts w:hint="eastAsia" w:eastAsiaTheme="minorEastAsia"/>
                <w:color w:val="auto"/>
                <w:sz w:val="24"/>
                <w:highlight w:val="none"/>
                <w:lang w:eastAsia="zh-CN"/>
              </w:rPr>
              <w:t>）</w:t>
            </w:r>
            <w:r>
              <w:rPr>
                <w:rFonts w:eastAsiaTheme="minorEastAsia"/>
                <w:color w:val="auto"/>
                <w:sz w:val="24"/>
                <w:highlight w:val="none"/>
              </w:rPr>
              <w:t>附录A（规范性附录）户外声传播的衰减和附录B（规范性附录）中</w:t>
            </w:r>
            <w:r>
              <w:rPr>
                <w:rFonts w:hint="eastAsia" w:asciiTheme="minorEastAsia" w:hAnsiTheme="minorEastAsia" w:eastAsiaTheme="minorEastAsia"/>
                <w:color w:val="auto"/>
                <w:sz w:val="24"/>
                <w:highlight w:val="none"/>
                <w:lang w:eastAsia="zh-CN"/>
              </w:rPr>
              <w:t>“</w:t>
            </w:r>
            <w:r>
              <w:rPr>
                <w:rFonts w:eastAsiaTheme="minorEastAsia"/>
                <w:color w:val="auto"/>
                <w:sz w:val="24"/>
                <w:highlight w:val="none"/>
              </w:rPr>
              <w:t>B.1工业噪声预测计算模型</w:t>
            </w:r>
            <w:r>
              <w:rPr>
                <w:rFonts w:hint="eastAsia" w:asciiTheme="minorEastAsia" w:hAnsiTheme="minorEastAsia" w:eastAsiaTheme="minorEastAsia"/>
                <w:color w:val="auto"/>
                <w:sz w:val="24"/>
                <w:highlight w:val="none"/>
                <w:lang w:eastAsia="zh-CN"/>
              </w:rPr>
              <w:t>”</w:t>
            </w:r>
            <w:r>
              <w:rPr>
                <w:rFonts w:eastAsiaTheme="minorEastAsia"/>
                <w:color w:val="auto"/>
                <w:sz w:val="24"/>
                <w:highlight w:val="none"/>
              </w:rPr>
              <w:t>。</w:t>
            </w:r>
          </w:p>
          <w:p w14:paraId="76EF887A">
            <w:pPr>
              <w:adjustRightInd w:val="0"/>
              <w:snapToGrid w:val="0"/>
              <w:spacing w:line="360" w:lineRule="auto"/>
              <w:ind w:firstLine="480" w:firstLineChars="200"/>
              <w:rPr>
                <w:color w:val="auto"/>
                <w:sz w:val="24"/>
                <w:highlight w:val="none"/>
              </w:rPr>
            </w:pPr>
            <w:r>
              <w:rPr>
                <w:rFonts w:hint="eastAsia"/>
                <w:color w:val="auto"/>
                <w:sz w:val="24"/>
                <w:highlight w:val="none"/>
              </w:rPr>
              <w:t>（2）声源数据</w:t>
            </w:r>
          </w:p>
          <w:p w14:paraId="715F71FB">
            <w:pPr>
              <w:adjustRightInd w:val="0"/>
              <w:snapToGrid w:val="0"/>
              <w:spacing w:line="360" w:lineRule="auto"/>
              <w:ind w:firstLine="480" w:firstLineChars="200"/>
              <w:rPr>
                <w:color w:val="auto"/>
                <w:sz w:val="24"/>
                <w:highlight w:val="none"/>
              </w:rPr>
            </w:pPr>
            <w:r>
              <w:rPr>
                <w:rFonts w:hint="eastAsia"/>
                <w:color w:val="auto"/>
                <w:sz w:val="24"/>
                <w:highlight w:val="none"/>
              </w:rPr>
              <w:t>项目产生噪声的噪声源强调查清单见表4-</w:t>
            </w:r>
            <w:r>
              <w:rPr>
                <w:rFonts w:hint="eastAsia"/>
                <w:color w:val="auto"/>
                <w:sz w:val="24"/>
                <w:highlight w:val="none"/>
                <w:lang w:val="en-US" w:eastAsia="zh-CN"/>
              </w:rPr>
              <w:t>13</w:t>
            </w:r>
            <w:r>
              <w:rPr>
                <w:rFonts w:hint="eastAsia"/>
                <w:color w:val="auto"/>
                <w:sz w:val="24"/>
                <w:highlight w:val="none"/>
              </w:rPr>
              <w:t>。</w:t>
            </w:r>
          </w:p>
          <w:p w14:paraId="79F3B656">
            <w:pPr>
              <w:adjustRightInd w:val="0"/>
              <w:snapToGrid w:val="0"/>
              <w:spacing w:line="360" w:lineRule="auto"/>
              <w:ind w:firstLine="480" w:firstLineChars="200"/>
              <w:rPr>
                <w:color w:val="auto"/>
                <w:sz w:val="24"/>
                <w:highlight w:val="none"/>
              </w:rPr>
            </w:pPr>
            <w:r>
              <w:rPr>
                <w:rFonts w:eastAsiaTheme="minorEastAsia"/>
                <w:color w:val="auto"/>
                <w:sz w:val="24"/>
                <w:highlight w:val="none"/>
              </w:rPr>
              <w:t>本项目取</w:t>
            </w:r>
            <w:r>
              <w:rPr>
                <w:rFonts w:hint="eastAsia" w:eastAsiaTheme="minorEastAsia"/>
                <w:color w:val="auto"/>
                <w:sz w:val="24"/>
                <w:highlight w:val="none"/>
                <w:lang w:val="en-US" w:eastAsia="zh-CN"/>
              </w:rPr>
              <w:t>生产车间</w:t>
            </w:r>
            <w:r>
              <w:rPr>
                <w:rFonts w:eastAsiaTheme="minorEastAsia"/>
                <w:color w:val="auto"/>
                <w:sz w:val="24"/>
                <w:highlight w:val="none"/>
              </w:rPr>
              <w:t>西厂界与</w:t>
            </w:r>
            <w:r>
              <w:rPr>
                <w:rFonts w:hint="eastAsia" w:eastAsiaTheme="minorEastAsia"/>
                <w:color w:val="auto"/>
                <w:sz w:val="24"/>
                <w:highlight w:val="none"/>
              </w:rPr>
              <w:t>南</w:t>
            </w:r>
            <w:r>
              <w:rPr>
                <w:rFonts w:eastAsiaTheme="minorEastAsia"/>
                <w:color w:val="auto"/>
                <w:sz w:val="24"/>
                <w:highlight w:val="none"/>
              </w:rPr>
              <w:t>厂界交点作为坐标原点（</w:t>
            </w:r>
            <w:r>
              <w:rPr>
                <w:rFonts w:hint="eastAsia" w:eastAsiaTheme="minorEastAsia"/>
                <w:color w:val="auto"/>
                <w:sz w:val="24"/>
                <w:highlight w:val="none"/>
              </w:rPr>
              <w:t>0，0，0</w:t>
            </w:r>
            <w:r>
              <w:rPr>
                <w:rFonts w:eastAsiaTheme="minorEastAsia"/>
                <w:color w:val="auto"/>
                <w:sz w:val="24"/>
                <w:highlight w:val="none"/>
              </w:rPr>
              <w:t>）</w:t>
            </w:r>
            <w:r>
              <w:rPr>
                <w:color w:val="auto"/>
                <w:sz w:val="24"/>
                <w:highlight w:val="none"/>
              </w:rPr>
              <w:t>。</w:t>
            </w:r>
          </w:p>
          <w:p w14:paraId="49F97DC4">
            <w:pPr>
              <w:adjustRightInd w:val="0"/>
              <w:snapToGrid w:val="0"/>
              <w:spacing w:line="360" w:lineRule="auto"/>
              <w:ind w:firstLine="480" w:firstLineChars="200"/>
              <w:rPr>
                <w:color w:val="auto"/>
                <w:sz w:val="24"/>
                <w:highlight w:val="none"/>
              </w:rPr>
            </w:pPr>
            <w:r>
              <w:rPr>
                <w:rFonts w:hint="eastAsia"/>
                <w:color w:val="auto"/>
                <w:sz w:val="24"/>
                <w:highlight w:val="none"/>
              </w:rPr>
              <w:t>（3）环境数据</w:t>
            </w:r>
          </w:p>
          <w:p w14:paraId="7C084BF3">
            <w:pPr>
              <w:adjustRightInd w:val="0"/>
              <w:snapToGrid w:val="0"/>
              <w:spacing w:line="360" w:lineRule="auto"/>
              <w:ind w:firstLine="480" w:firstLineChars="200"/>
              <w:rPr>
                <w:color w:val="auto"/>
                <w:sz w:val="24"/>
                <w:highlight w:val="none"/>
              </w:rPr>
            </w:pPr>
            <w:r>
              <w:rPr>
                <w:color w:val="auto"/>
                <w:sz w:val="24"/>
                <w:highlight w:val="none"/>
              </w:rPr>
              <w:t>项目噪声环境影响预测基础数据见表4-</w:t>
            </w:r>
            <w:r>
              <w:rPr>
                <w:rFonts w:hint="eastAsia"/>
                <w:color w:val="auto"/>
                <w:sz w:val="24"/>
                <w:highlight w:val="none"/>
                <w:lang w:val="en-US" w:eastAsia="zh-CN"/>
              </w:rPr>
              <w:t>14</w:t>
            </w:r>
            <w:r>
              <w:rPr>
                <w:color w:val="auto"/>
                <w:sz w:val="24"/>
                <w:highlight w:val="none"/>
              </w:rPr>
              <w:t>。</w:t>
            </w:r>
          </w:p>
          <w:p w14:paraId="6C5CAB93">
            <w:pPr>
              <w:adjustRightInd w:val="0"/>
              <w:snapToGrid w:val="0"/>
              <w:spacing w:line="360" w:lineRule="auto"/>
              <w:ind w:firstLine="482" w:firstLineChars="200"/>
              <w:jc w:val="center"/>
              <w:rPr>
                <w:b/>
                <w:bCs/>
                <w:color w:val="auto"/>
                <w:kern w:val="24"/>
                <w:sz w:val="24"/>
                <w:highlight w:val="none"/>
              </w:rPr>
            </w:pPr>
            <w:r>
              <w:rPr>
                <w:b/>
                <w:bCs/>
                <w:color w:val="auto"/>
                <w:kern w:val="24"/>
                <w:sz w:val="24"/>
                <w:highlight w:val="none"/>
              </w:rPr>
              <w:t>表4-</w:t>
            </w:r>
            <w:r>
              <w:rPr>
                <w:rFonts w:hint="eastAsia"/>
                <w:b/>
                <w:bCs/>
                <w:color w:val="auto"/>
                <w:kern w:val="24"/>
                <w:sz w:val="24"/>
                <w:highlight w:val="none"/>
                <w:lang w:val="en-US" w:eastAsia="zh-CN"/>
              </w:rPr>
              <w:t>14</w:t>
            </w:r>
            <w:r>
              <w:rPr>
                <w:b/>
                <w:bCs/>
                <w:color w:val="auto"/>
                <w:kern w:val="24"/>
                <w:sz w:val="24"/>
                <w:highlight w:val="none"/>
              </w:rPr>
              <w:t xml:space="preserve"> </w:t>
            </w:r>
            <w:r>
              <w:rPr>
                <w:rFonts w:hint="eastAsia"/>
                <w:b/>
                <w:bCs/>
                <w:color w:val="auto"/>
                <w:kern w:val="24"/>
                <w:sz w:val="24"/>
                <w:highlight w:val="none"/>
              </w:rPr>
              <w:t xml:space="preserve"> </w:t>
            </w:r>
            <w:r>
              <w:rPr>
                <w:b/>
                <w:bCs/>
                <w:color w:val="auto"/>
                <w:kern w:val="24"/>
                <w:sz w:val="24"/>
                <w:highlight w:val="none"/>
              </w:rPr>
              <w:t>项目噪声环境影响预测基础数据表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7"/>
              <w:gridCol w:w="2037"/>
              <w:gridCol w:w="2070"/>
              <w:gridCol w:w="2122"/>
            </w:tblGrid>
            <w:tr w14:paraId="0B9A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vAlign w:val="center"/>
                </w:tcPr>
                <w:p w14:paraId="460FA610">
                  <w:pPr>
                    <w:adjustRightInd w:val="0"/>
                    <w:jc w:val="center"/>
                    <w:rPr>
                      <w:color w:val="auto"/>
                      <w:szCs w:val="21"/>
                      <w:highlight w:val="none"/>
                    </w:rPr>
                  </w:pPr>
                  <w:r>
                    <w:rPr>
                      <w:color w:val="auto"/>
                      <w:szCs w:val="21"/>
                      <w:highlight w:val="none"/>
                    </w:rPr>
                    <w:t>序号</w:t>
                  </w:r>
                </w:p>
              </w:tc>
              <w:tc>
                <w:tcPr>
                  <w:tcW w:w="1232" w:type="pct"/>
                  <w:vAlign w:val="center"/>
                </w:tcPr>
                <w:p w14:paraId="0BA75CEE">
                  <w:pPr>
                    <w:adjustRightInd w:val="0"/>
                    <w:jc w:val="center"/>
                    <w:rPr>
                      <w:color w:val="auto"/>
                      <w:szCs w:val="21"/>
                      <w:highlight w:val="none"/>
                    </w:rPr>
                  </w:pPr>
                  <w:r>
                    <w:rPr>
                      <w:color w:val="auto"/>
                      <w:szCs w:val="21"/>
                      <w:highlight w:val="none"/>
                    </w:rPr>
                    <w:t>名称</w:t>
                  </w:r>
                </w:p>
              </w:tc>
              <w:tc>
                <w:tcPr>
                  <w:tcW w:w="1252" w:type="pct"/>
                  <w:vAlign w:val="center"/>
                </w:tcPr>
                <w:p w14:paraId="6BFA6677">
                  <w:pPr>
                    <w:adjustRightInd w:val="0"/>
                    <w:jc w:val="center"/>
                    <w:rPr>
                      <w:color w:val="auto"/>
                      <w:szCs w:val="21"/>
                      <w:highlight w:val="none"/>
                    </w:rPr>
                  </w:pPr>
                  <w:r>
                    <w:rPr>
                      <w:color w:val="auto"/>
                      <w:szCs w:val="21"/>
                      <w:highlight w:val="none"/>
                    </w:rPr>
                    <w:t>单位</w:t>
                  </w:r>
                </w:p>
              </w:tc>
              <w:tc>
                <w:tcPr>
                  <w:tcW w:w="1283" w:type="pct"/>
                  <w:vAlign w:val="center"/>
                </w:tcPr>
                <w:p w14:paraId="1CB32F15">
                  <w:pPr>
                    <w:adjustRightInd w:val="0"/>
                    <w:jc w:val="center"/>
                    <w:rPr>
                      <w:color w:val="auto"/>
                      <w:szCs w:val="21"/>
                      <w:highlight w:val="none"/>
                    </w:rPr>
                  </w:pPr>
                  <w:r>
                    <w:rPr>
                      <w:color w:val="auto"/>
                      <w:szCs w:val="21"/>
                      <w:highlight w:val="none"/>
                    </w:rPr>
                    <w:t>数据</w:t>
                  </w:r>
                </w:p>
              </w:tc>
            </w:tr>
            <w:tr w14:paraId="467FF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vAlign w:val="center"/>
                </w:tcPr>
                <w:p w14:paraId="7740C670">
                  <w:pPr>
                    <w:adjustRightInd w:val="0"/>
                    <w:jc w:val="center"/>
                    <w:rPr>
                      <w:color w:val="auto"/>
                      <w:szCs w:val="21"/>
                      <w:highlight w:val="none"/>
                    </w:rPr>
                  </w:pPr>
                  <w:r>
                    <w:rPr>
                      <w:rFonts w:hint="eastAsia"/>
                      <w:color w:val="auto"/>
                      <w:szCs w:val="21"/>
                      <w:highlight w:val="none"/>
                    </w:rPr>
                    <w:t>1</w:t>
                  </w:r>
                </w:p>
              </w:tc>
              <w:tc>
                <w:tcPr>
                  <w:tcW w:w="1232" w:type="pct"/>
                  <w:vAlign w:val="center"/>
                </w:tcPr>
                <w:p w14:paraId="618F61C9">
                  <w:pPr>
                    <w:adjustRightInd w:val="0"/>
                    <w:jc w:val="center"/>
                    <w:rPr>
                      <w:color w:val="auto"/>
                      <w:szCs w:val="21"/>
                      <w:highlight w:val="none"/>
                    </w:rPr>
                  </w:pPr>
                  <w:r>
                    <w:rPr>
                      <w:color w:val="auto"/>
                      <w:szCs w:val="21"/>
                      <w:highlight w:val="none"/>
                    </w:rPr>
                    <w:t>年平均风速</w:t>
                  </w:r>
                </w:p>
              </w:tc>
              <w:tc>
                <w:tcPr>
                  <w:tcW w:w="1252" w:type="pct"/>
                  <w:vAlign w:val="center"/>
                </w:tcPr>
                <w:p w14:paraId="67DF32F4">
                  <w:pPr>
                    <w:adjustRightInd w:val="0"/>
                    <w:jc w:val="center"/>
                    <w:rPr>
                      <w:color w:val="auto"/>
                      <w:szCs w:val="21"/>
                      <w:highlight w:val="none"/>
                    </w:rPr>
                  </w:pPr>
                  <w:r>
                    <w:rPr>
                      <w:color w:val="auto"/>
                      <w:szCs w:val="21"/>
                      <w:highlight w:val="none"/>
                    </w:rPr>
                    <w:t>m/s</w:t>
                  </w:r>
                </w:p>
              </w:tc>
              <w:tc>
                <w:tcPr>
                  <w:tcW w:w="1283" w:type="pct"/>
                  <w:vAlign w:val="center"/>
                </w:tcPr>
                <w:p w14:paraId="79577588">
                  <w:pPr>
                    <w:adjustRightInd w:val="0"/>
                    <w:jc w:val="center"/>
                    <w:rPr>
                      <w:rFonts w:hint="default" w:eastAsia="宋体"/>
                      <w:color w:val="auto"/>
                      <w:szCs w:val="21"/>
                      <w:highlight w:val="none"/>
                      <w:lang w:val="en-US" w:eastAsia="zh-CN"/>
                    </w:rPr>
                  </w:pPr>
                  <w:r>
                    <w:rPr>
                      <w:rFonts w:hint="eastAsia"/>
                      <w:color w:val="auto"/>
                      <w:szCs w:val="21"/>
                      <w:highlight w:val="none"/>
                      <w:lang w:val="en-US" w:eastAsia="zh-CN"/>
                    </w:rPr>
                    <w:t>2.0</w:t>
                  </w:r>
                </w:p>
              </w:tc>
            </w:tr>
            <w:tr w14:paraId="0CFEE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vAlign w:val="center"/>
                </w:tcPr>
                <w:p w14:paraId="23AEAB1E">
                  <w:pPr>
                    <w:adjustRightInd w:val="0"/>
                    <w:jc w:val="center"/>
                    <w:rPr>
                      <w:color w:val="auto"/>
                      <w:szCs w:val="21"/>
                      <w:highlight w:val="none"/>
                    </w:rPr>
                  </w:pPr>
                  <w:r>
                    <w:rPr>
                      <w:rFonts w:hint="eastAsia"/>
                      <w:color w:val="auto"/>
                      <w:szCs w:val="21"/>
                      <w:highlight w:val="none"/>
                    </w:rPr>
                    <w:t>2</w:t>
                  </w:r>
                </w:p>
              </w:tc>
              <w:tc>
                <w:tcPr>
                  <w:tcW w:w="1232" w:type="pct"/>
                  <w:vAlign w:val="center"/>
                </w:tcPr>
                <w:p w14:paraId="29974A25">
                  <w:pPr>
                    <w:adjustRightInd w:val="0"/>
                    <w:jc w:val="center"/>
                    <w:rPr>
                      <w:color w:val="auto"/>
                      <w:szCs w:val="21"/>
                      <w:highlight w:val="none"/>
                    </w:rPr>
                  </w:pPr>
                  <w:r>
                    <w:rPr>
                      <w:color w:val="auto"/>
                      <w:szCs w:val="21"/>
                      <w:highlight w:val="none"/>
                    </w:rPr>
                    <w:t>主导风向</w:t>
                  </w:r>
                </w:p>
              </w:tc>
              <w:tc>
                <w:tcPr>
                  <w:tcW w:w="1252" w:type="pct"/>
                  <w:vAlign w:val="center"/>
                </w:tcPr>
                <w:p w14:paraId="3673F57F">
                  <w:pPr>
                    <w:adjustRightInd w:val="0"/>
                    <w:jc w:val="center"/>
                    <w:rPr>
                      <w:color w:val="auto"/>
                      <w:szCs w:val="21"/>
                      <w:highlight w:val="none"/>
                    </w:rPr>
                  </w:pPr>
                  <w:r>
                    <w:rPr>
                      <w:color w:val="auto"/>
                      <w:szCs w:val="21"/>
                      <w:highlight w:val="none"/>
                    </w:rPr>
                    <w:t>/</w:t>
                  </w:r>
                </w:p>
              </w:tc>
              <w:tc>
                <w:tcPr>
                  <w:tcW w:w="1283" w:type="pct"/>
                  <w:vAlign w:val="center"/>
                </w:tcPr>
                <w:p w14:paraId="35B91451">
                  <w:pPr>
                    <w:adjustRightInd w:val="0"/>
                    <w:jc w:val="center"/>
                    <w:rPr>
                      <w:color w:val="auto"/>
                      <w:szCs w:val="21"/>
                      <w:highlight w:val="none"/>
                    </w:rPr>
                  </w:pPr>
                  <w:r>
                    <w:rPr>
                      <w:rFonts w:hint="eastAsia"/>
                      <w:color w:val="auto"/>
                      <w:szCs w:val="21"/>
                      <w:highlight w:val="none"/>
                      <w:lang w:val="en-US" w:eastAsia="zh-CN"/>
                    </w:rPr>
                    <w:t>西</w:t>
                  </w:r>
                  <w:r>
                    <w:rPr>
                      <w:rFonts w:hint="eastAsia"/>
                      <w:color w:val="auto"/>
                      <w:szCs w:val="21"/>
                      <w:highlight w:val="none"/>
                    </w:rPr>
                    <w:t>南风</w:t>
                  </w:r>
                </w:p>
              </w:tc>
            </w:tr>
            <w:tr w14:paraId="416C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vAlign w:val="center"/>
                </w:tcPr>
                <w:p w14:paraId="2FDB5500">
                  <w:pPr>
                    <w:adjustRightInd w:val="0"/>
                    <w:jc w:val="center"/>
                    <w:rPr>
                      <w:color w:val="auto"/>
                      <w:szCs w:val="21"/>
                      <w:highlight w:val="none"/>
                    </w:rPr>
                  </w:pPr>
                  <w:r>
                    <w:rPr>
                      <w:rFonts w:hint="eastAsia"/>
                      <w:color w:val="auto"/>
                      <w:szCs w:val="21"/>
                      <w:highlight w:val="none"/>
                    </w:rPr>
                    <w:t>3</w:t>
                  </w:r>
                </w:p>
              </w:tc>
              <w:tc>
                <w:tcPr>
                  <w:tcW w:w="1232" w:type="pct"/>
                  <w:vAlign w:val="center"/>
                </w:tcPr>
                <w:p w14:paraId="280ABEAD">
                  <w:pPr>
                    <w:adjustRightInd w:val="0"/>
                    <w:jc w:val="center"/>
                    <w:rPr>
                      <w:color w:val="auto"/>
                      <w:szCs w:val="21"/>
                      <w:highlight w:val="none"/>
                    </w:rPr>
                  </w:pPr>
                  <w:r>
                    <w:rPr>
                      <w:color w:val="auto"/>
                      <w:szCs w:val="21"/>
                      <w:highlight w:val="none"/>
                    </w:rPr>
                    <w:t>年平均气温</w:t>
                  </w:r>
                </w:p>
              </w:tc>
              <w:tc>
                <w:tcPr>
                  <w:tcW w:w="1252" w:type="pct"/>
                  <w:vAlign w:val="center"/>
                </w:tcPr>
                <w:p w14:paraId="78B101B0">
                  <w:pPr>
                    <w:adjustRightInd w:val="0"/>
                    <w:jc w:val="center"/>
                    <w:rPr>
                      <w:color w:val="auto"/>
                      <w:szCs w:val="21"/>
                      <w:highlight w:val="none"/>
                    </w:rPr>
                  </w:pPr>
                  <w:r>
                    <w:rPr>
                      <w:rFonts w:hint="eastAsia"/>
                      <w:color w:val="auto"/>
                      <w:szCs w:val="21"/>
                      <w:highlight w:val="none"/>
                    </w:rPr>
                    <w:t>℃</w:t>
                  </w:r>
                </w:p>
              </w:tc>
              <w:tc>
                <w:tcPr>
                  <w:tcW w:w="1283" w:type="pct"/>
                  <w:vAlign w:val="center"/>
                </w:tcPr>
                <w:p w14:paraId="0662274B">
                  <w:pPr>
                    <w:adjustRightInd w:val="0"/>
                    <w:jc w:val="center"/>
                    <w:rPr>
                      <w:color w:val="auto"/>
                      <w:szCs w:val="21"/>
                      <w:highlight w:val="none"/>
                    </w:rPr>
                  </w:pPr>
                  <w:r>
                    <w:rPr>
                      <w:color w:val="auto"/>
                      <w:szCs w:val="21"/>
                      <w:highlight w:val="none"/>
                    </w:rPr>
                    <w:t>16.</w:t>
                  </w:r>
                  <w:r>
                    <w:rPr>
                      <w:rFonts w:hint="eastAsia"/>
                      <w:color w:val="auto"/>
                      <w:szCs w:val="21"/>
                      <w:highlight w:val="none"/>
                    </w:rPr>
                    <w:t>0</w:t>
                  </w:r>
                </w:p>
              </w:tc>
            </w:tr>
            <w:tr w14:paraId="1534B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vAlign w:val="center"/>
                </w:tcPr>
                <w:p w14:paraId="44B0A3C5">
                  <w:pPr>
                    <w:adjustRightInd w:val="0"/>
                    <w:jc w:val="center"/>
                    <w:rPr>
                      <w:color w:val="auto"/>
                      <w:szCs w:val="21"/>
                      <w:highlight w:val="none"/>
                    </w:rPr>
                  </w:pPr>
                  <w:r>
                    <w:rPr>
                      <w:rFonts w:hint="eastAsia"/>
                      <w:color w:val="auto"/>
                      <w:szCs w:val="21"/>
                      <w:highlight w:val="none"/>
                    </w:rPr>
                    <w:t>4</w:t>
                  </w:r>
                </w:p>
              </w:tc>
              <w:tc>
                <w:tcPr>
                  <w:tcW w:w="1232" w:type="pct"/>
                  <w:vAlign w:val="center"/>
                </w:tcPr>
                <w:p w14:paraId="30528C80">
                  <w:pPr>
                    <w:adjustRightInd w:val="0"/>
                    <w:jc w:val="center"/>
                    <w:rPr>
                      <w:color w:val="auto"/>
                      <w:szCs w:val="21"/>
                      <w:highlight w:val="none"/>
                    </w:rPr>
                  </w:pPr>
                  <w:r>
                    <w:rPr>
                      <w:color w:val="auto"/>
                      <w:szCs w:val="21"/>
                      <w:highlight w:val="none"/>
                    </w:rPr>
                    <w:t>年平均相对湿度</w:t>
                  </w:r>
                </w:p>
              </w:tc>
              <w:tc>
                <w:tcPr>
                  <w:tcW w:w="1252" w:type="pct"/>
                  <w:vAlign w:val="center"/>
                </w:tcPr>
                <w:p w14:paraId="3F988568">
                  <w:pPr>
                    <w:adjustRightInd w:val="0"/>
                    <w:jc w:val="center"/>
                    <w:rPr>
                      <w:color w:val="auto"/>
                      <w:szCs w:val="21"/>
                      <w:highlight w:val="none"/>
                    </w:rPr>
                  </w:pPr>
                  <w:r>
                    <w:rPr>
                      <w:color w:val="auto"/>
                      <w:szCs w:val="21"/>
                      <w:highlight w:val="none"/>
                    </w:rPr>
                    <w:t>%</w:t>
                  </w:r>
                </w:p>
              </w:tc>
              <w:tc>
                <w:tcPr>
                  <w:tcW w:w="1283" w:type="pct"/>
                  <w:vAlign w:val="center"/>
                </w:tcPr>
                <w:p w14:paraId="2B6929A9">
                  <w:pPr>
                    <w:adjustRightInd w:val="0"/>
                    <w:jc w:val="center"/>
                    <w:rPr>
                      <w:color w:val="auto"/>
                      <w:szCs w:val="21"/>
                      <w:highlight w:val="none"/>
                    </w:rPr>
                  </w:pPr>
                  <w:r>
                    <w:rPr>
                      <w:color w:val="auto"/>
                      <w:szCs w:val="21"/>
                      <w:highlight w:val="none"/>
                    </w:rPr>
                    <w:t>7</w:t>
                  </w:r>
                  <w:r>
                    <w:rPr>
                      <w:rFonts w:hint="eastAsia"/>
                      <w:color w:val="auto"/>
                      <w:szCs w:val="21"/>
                      <w:highlight w:val="none"/>
                    </w:rPr>
                    <w:t>6</w:t>
                  </w:r>
                </w:p>
              </w:tc>
            </w:tr>
            <w:tr w14:paraId="7E9D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pct"/>
                  <w:vAlign w:val="center"/>
                </w:tcPr>
                <w:p w14:paraId="0B493D09">
                  <w:pPr>
                    <w:adjustRightInd w:val="0"/>
                    <w:jc w:val="center"/>
                    <w:rPr>
                      <w:color w:val="auto"/>
                      <w:szCs w:val="21"/>
                      <w:highlight w:val="none"/>
                    </w:rPr>
                  </w:pPr>
                  <w:r>
                    <w:rPr>
                      <w:rFonts w:hint="eastAsia"/>
                      <w:color w:val="auto"/>
                      <w:szCs w:val="21"/>
                      <w:highlight w:val="none"/>
                    </w:rPr>
                    <w:t>5</w:t>
                  </w:r>
                </w:p>
              </w:tc>
              <w:tc>
                <w:tcPr>
                  <w:tcW w:w="1232" w:type="pct"/>
                  <w:vAlign w:val="center"/>
                </w:tcPr>
                <w:p w14:paraId="0E26DC29">
                  <w:pPr>
                    <w:adjustRightInd w:val="0"/>
                    <w:jc w:val="center"/>
                    <w:rPr>
                      <w:color w:val="auto"/>
                      <w:szCs w:val="21"/>
                      <w:highlight w:val="none"/>
                    </w:rPr>
                  </w:pPr>
                  <w:r>
                    <w:rPr>
                      <w:color w:val="auto"/>
                      <w:szCs w:val="21"/>
                      <w:highlight w:val="none"/>
                    </w:rPr>
                    <w:t>大气压强</w:t>
                  </w:r>
                </w:p>
              </w:tc>
              <w:tc>
                <w:tcPr>
                  <w:tcW w:w="1252" w:type="pct"/>
                  <w:vAlign w:val="center"/>
                </w:tcPr>
                <w:p w14:paraId="2D56C642">
                  <w:pPr>
                    <w:adjustRightInd w:val="0"/>
                    <w:jc w:val="center"/>
                    <w:rPr>
                      <w:color w:val="auto"/>
                      <w:szCs w:val="21"/>
                      <w:highlight w:val="none"/>
                    </w:rPr>
                  </w:pPr>
                  <w:r>
                    <w:rPr>
                      <w:rFonts w:hint="eastAsia"/>
                      <w:color w:val="auto"/>
                      <w:szCs w:val="21"/>
                      <w:highlight w:val="none"/>
                    </w:rPr>
                    <w:t>hPa</w:t>
                  </w:r>
                </w:p>
              </w:tc>
              <w:tc>
                <w:tcPr>
                  <w:tcW w:w="1283" w:type="pct"/>
                  <w:vAlign w:val="center"/>
                </w:tcPr>
                <w:p w14:paraId="08FA5162">
                  <w:pPr>
                    <w:adjustRightInd w:val="0"/>
                    <w:jc w:val="center"/>
                    <w:rPr>
                      <w:color w:val="auto"/>
                      <w:szCs w:val="21"/>
                      <w:highlight w:val="none"/>
                    </w:rPr>
                  </w:pPr>
                  <w:r>
                    <w:rPr>
                      <w:color w:val="auto"/>
                      <w:szCs w:val="21"/>
                      <w:highlight w:val="none"/>
                    </w:rPr>
                    <w:t>778.6</w:t>
                  </w:r>
                </w:p>
              </w:tc>
            </w:tr>
          </w:tbl>
          <w:p w14:paraId="587F5423">
            <w:pPr>
              <w:snapToGrid w:val="0"/>
              <w:spacing w:line="360" w:lineRule="auto"/>
              <w:ind w:firstLine="480" w:firstLineChars="200"/>
              <w:rPr>
                <w:rFonts w:eastAsiaTheme="minorEastAsia"/>
                <w:color w:val="auto"/>
                <w:sz w:val="24"/>
                <w:highlight w:val="none"/>
              </w:rPr>
            </w:pPr>
          </w:p>
          <w:p w14:paraId="4219183A">
            <w:pPr>
              <w:snapToGrid w:val="0"/>
              <w:spacing w:line="360" w:lineRule="auto"/>
              <w:ind w:firstLine="480" w:firstLineChars="200"/>
              <w:rPr>
                <w:rFonts w:eastAsiaTheme="minorEastAsia"/>
                <w:color w:val="auto"/>
                <w:sz w:val="24"/>
                <w:highlight w:val="none"/>
              </w:rPr>
            </w:pPr>
          </w:p>
          <w:p w14:paraId="1F958DFA">
            <w:pPr>
              <w:snapToGrid w:val="0"/>
              <w:spacing w:line="360" w:lineRule="auto"/>
              <w:ind w:firstLine="480" w:firstLineChars="200"/>
              <w:rPr>
                <w:rFonts w:eastAsiaTheme="minorEastAsia"/>
                <w:color w:val="auto"/>
                <w:sz w:val="24"/>
                <w:highlight w:val="none"/>
              </w:rPr>
            </w:pPr>
          </w:p>
          <w:p w14:paraId="7904DA43">
            <w:pPr>
              <w:snapToGrid w:val="0"/>
              <w:spacing w:line="360" w:lineRule="auto"/>
              <w:ind w:firstLine="480" w:firstLineChars="200"/>
              <w:rPr>
                <w:rFonts w:eastAsiaTheme="minorEastAsia"/>
                <w:color w:val="auto"/>
                <w:sz w:val="24"/>
                <w:highlight w:val="none"/>
              </w:rPr>
            </w:pPr>
          </w:p>
          <w:p w14:paraId="47227C63">
            <w:pPr>
              <w:snapToGrid w:val="0"/>
              <w:spacing w:line="360" w:lineRule="auto"/>
              <w:ind w:firstLine="480" w:firstLineChars="200"/>
              <w:rPr>
                <w:rFonts w:eastAsiaTheme="minorEastAsia"/>
                <w:color w:val="auto"/>
                <w:sz w:val="24"/>
                <w:highlight w:val="none"/>
              </w:rPr>
            </w:pPr>
          </w:p>
          <w:p w14:paraId="6B5B7398">
            <w:pPr>
              <w:snapToGrid w:val="0"/>
              <w:spacing w:line="360" w:lineRule="auto"/>
              <w:ind w:firstLine="480" w:firstLineChars="200"/>
              <w:rPr>
                <w:rFonts w:eastAsiaTheme="minorEastAsia"/>
                <w:color w:val="auto"/>
                <w:sz w:val="24"/>
                <w:highlight w:val="none"/>
              </w:rPr>
            </w:pPr>
          </w:p>
          <w:p w14:paraId="0202D91C">
            <w:pPr>
              <w:snapToGrid w:val="0"/>
              <w:spacing w:line="360" w:lineRule="auto"/>
              <w:ind w:firstLine="480" w:firstLineChars="200"/>
              <w:rPr>
                <w:rFonts w:eastAsiaTheme="minorEastAsia"/>
                <w:color w:val="auto"/>
                <w:sz w:val="24"/>
                <w:highlight w:val="none"/>
              </w:rPr>
            </w:pPr>
          </w:p>
          <w:p w14:paraId="412FF617">
            <w:pPr>
              <w:snapToGrid w:val="0"/>
              <w:spacing w:line="360" w:lineRule="auto"/>
              <w:ind w:firstLine="480" w:firstLineChars="200"/>
              <w:rPr>
                <w:rFonts w:eastAsiaTheme="minorEastAsia"/>
                <w:color w:val="auto"/>
                <w:sz w:val="24"/>
                <w:highlight w:val="none"/>
              </w:rPr>
            </w:pPr>
          </w:p>
          <w:p w14:paraId="419C1BA7">
            <w:pPr>
              <w:snapToGrid w:val="0"/>
              <w:spacing w:line="360" w:lineRule="auto"/>
              <w:ind w:firstLine="480" w:firstLineChars="200"/>
              <w:rPr>
                <w:rFonts w:eastAsiaTheme="minorEastAsia"/>
                <w:color w:val="auto"/>
                <w:sz w:val="24"/>
                <w:highlight w:val="none"/>
              </w:rPr>
            </w:pPr>
          </w:p>
          <w:p w14:paraId="4248C83A">
            <w:pPr>
              <w:snapToGrid w:val="0"/>
              <w:spacing w:line="360" w:lineRule="auto"/>
              <w:ind w:firstLine="480" w:firstLineChars="200"/>
              <w:rPr>
                <w:rFonts w:eastAsiaTheme="minorEastAsia"/>
                <w:color w:val="auto"/>
                <w:sz w:val="24"/>
                <w:highlight w:val="none"/>
              </w:rPr>
            </w:pPr>
          </w:p>
          <w:p w14:paraId="7CCFDB0A">
            <w:pPr>
              <w:snapToGrid w:val="0"/>
              <w:spacing w:line="360" w:lineRule="auto"/>
              <w:ind w:firstLine="480" w:firstLineChars="200"/>
              <w:rPr>
                <w:rFonts w:eastAsiaTheme="minorEastAsia"/>
                <w:color w:val="auto"/>
                <w:sz w:val="24"/>
                <w:highlight w:val="none"/>
              </w:rPr>
            </w:pPr>
          </w:p>
          <w:p w14:paraId="500D32CF">
            <w:pPr>
              <w:snapToGrid w:val="0"/>
              <w:spacing w:line="360" w:lineRule="auto"/>
              <w:ind w:firstLine="480" w:firstLineChars="200"/>
              <w:rPr>
                <w:rFonts w:eastAsiaTheme="minorEastAsia"/>
                <w:color w:val="auto"/>
                <w:sz w:val="24"/>
                <w:highlight w:val="none"/>
              </w:rPr>
            </w:pPr>
          </w:p>
          <w:p w14:paraId="0F244628">
            <w:pPr>
              <w:snapToGrid w:val="0"/>
              <w:spacing w:line="360" w:lineRule="auto"/>
              <w:ind w:firstLine="480" w:firstLineChars="200"/>
              <w:rPr>
                <w:rFonts w:eastAsiaTheme="minorEastAsia"/>
                <w:color w:val="auto"/>
                <w:sz w:val="24"/>
                <w:highlight w:val="none"/>
              </w:rPr>
            </w:pPr>
          </w:p>
          <w:p w14:paraId="2794CB5B">
            <w:pPr>
              <w:snapToGrid w:val="0"/>
              <w:spacing w:line="360" w:lineRule="auto"/>
              <w:ind w:firstLine="480" w:firstLineChars="200"/>
              <w:rPr>
                <w:rFonts w:eastAsiaTheme="minorEastAsia"/>
                <w:color w:val="auto"/>
                <w:sz w:val="24"/>
                <w:highlight w:val="none"/>
              </w:rPr>
            </w:pPr>
          </w:p>
          <w:p w14:paraId="0A894875">
            <w:pPr>
              <w:snapToGrid w:val="0"/>
              <w:spacing w:line="360" w:lineRule="auto"/>
              <w:ind w:firstLine="480" w:firstLineChars="200"/>
              <w:rPr>
                <w:rFonts w:eastAsiaTheme="minorEastAsia"/>
                <w:color w:val="auto"/>
                <w:sz w:val="24"/>
                <w:highlight w:val="none"/>
              </w:rPr>
            </w:pPr>
          </w:p>
          <w:p w14:paraId="10F61644">
            <w:pPr>
              <w:snapToGrid w:val="0"/>
              <w:spacing w:line="360" w:lineRule="auto"/>
              <w:rPr>
                <w:rFonts w:eastAsiaTheme="minorEastAsia"/>
                <w:color w:val="auto"/>
                <w:sz w:val="24"/>
                <w:highlight w:val="none"/>
              </w:rPr>
            </w:pPr>
          </w:p>
          <w:p w14:paraId="14A93855">
            <w:pPr>
              <w:adjustRightInd w:val="0"/>
              <w:snapToGrid w:val="0"/>
              <w:spacing w:line="360" w:lineRule="auto"/>
              <w:rPr>
                <w:rFonts w:hint="eastAsia" w:ascii="Times New Roman" w:hAnsi="Times New Roman" w:cs="Times New Roman"/>
                <w:color w:val="auto"/>
                <w:kern w:val="24"/>
                <w:sz w:val="24"/>
                <w:highlight w:val="none"/>
                <w:lang w:eastAsia="zh-CN"/>
              </w:rPr>
            </w:pPr>
          </w:p>
        </w:tc>
      </w:tr>
    </w:tbl>
    <w:p w14:paraId="13D3D376">
      <w:pPr>
        <w:adjustRightInd w:val="0"/>
        <w:snapToGrid w:val="0"/>
        <w:spacing w:line="360" w:lineRule="auto"/>
        <w:rPr>
          <w:b/>
          <w:color w:val="auto"/>
          <w:kern w:val="0"/>
          <w:sz w:val="28"/>
          <w:szCs w:val="28"/>
          <w:highlight w:val="none"/>
        </w:rPr>
        <w:sectPr>
          <w:pgSz w:w="11907" w:h="16840"/>
          <w:pgMar w:top="1701" w:right="1531" w:bottom="2127" w:left="1531" w:header="851" w:footer="851" w:gutter="0"/>
          <w:cols w:space="720" w:num="1"/>
          <w:docGrid w:linePitch="312" w:charSpace="0"/>
        </w:sectPr>
      </w:pPr>
    </w:p>
    <w:p w14:paraId="0996F30F">
      <w:pPr>
        <w:spacing w:line="360" w:lineRule="auto"/>
        <w:jc w:val="center"/>
        <w:rPr>
          <w:b/>
          <w:color w:val="auto"/>
          <w:sz w:val="24"/>
          <w:highlight w:val="none"/>
        </w:rPr>
      </w:pPr>
      <w:r>
        <w:rPr>
          <w:rFonts w:hint="eastAsia"/>
          <w:b/>
          <w:color w:val="auto"/>
          <w:sz w:val="24"/>
          <w:highlight w:val="none"/>
        </w:rPr>
        <w:t>表4-</w:t>
      </w:r>
      <w:r>
        <w:rPr>
          <w:rFonts w:hint="eastAsia"/>
          <w:b/>
          <w:color w:val="auto"/>
          <w:sz w:val="24"/>
          <w:highlight w:val="none"/>
          <w:lang w:val="en-US" w:eastAsia="zh-CN"/>
        </w:rPr>
        <w:t>15</w:t>
      </w:r>
      <w:r>
        <w:rPr>
          <w:rFonts w:hint="eastAsia"/>
          <w:b/>
          <w:color w:val="auto"/>
          <w:sz w:val="24"/>
          <w:highlight w:val="none"/>
        </w:rPr>
        <w:t xml:space="preserve">  工业企业噪声源强调查清单（室内声源）</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60"/>
        <w:gridCol w:w="1527"/>
        <w:gridCol w:w="775"/>
        <w:gridCol w:w="1224"/>
        <w:gridCol w:w="971"/>
        <w:gridCol w:w="850"/>
        <w:gridCol w:w="860"/>
        <w:gridCol w:w="654"/>
        <w:gridCol w:w="725"/>
        <w:gridCol w:w="799"/>
        <w:gridCol w:w="733"/>
        <w:gridCol w:w="1011"/>
        <w:gridCol w:w="791"/>
        <w:gridCol w:w="784"/>
      </w:tblGrid>
      <w:tr w14:paraId="3E95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 w:type="pct"/>
            <w:vMerge w:val="restart"/>
            <w:tcBorders>
              <w:tl2br w:val="nil"/>
              <w:tr2bl w:val="nil"/>
            </w:tcBorders>
            <w:vAlign w:val="center"/>
          </w:tcPr>
          <w:p w14:paraId="5C48A760">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325" w:type="pct"/>
            <w:vMerge w:val="restart"/>
            <w:tcBorders>
              <w:tl2br w:val="nil"/>
              <w:tr2bl w:val="nil"/>
            </w:tcBorders>
            <w:vAlign w:val="center"/>
          </w:tcPr>
          <w:p w14:paraId="151BBC7C">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建筑物名称</w:t>
            </w:r>
          </w:p>
        </w:tc>
        <w:tc>
          <w:tcPr>
            <w:tcW w:w="577" w:type="pct"/>
            <w:vMerge w:val="restart"/>
            <w:tcBorders>
              <w:tl2br w:val="nil"/>
              <w:tr2bl w:val="nil"/>
            </w:tcBorders>
            <w:vAlign w:val="center"/>
          </w:tcPr>
          <w:p w14:paraId="24EF8662">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声源名称</w:t>
            </w:r>
          </w:p>
        </w:tc>
        <w:tc>
          <w:tcPr>
            <w:tcW w:w="293" w:type="pct"/>
            <w:vMerge w:val="restart"/>
            <w:tcBorders>
              <w:tl2br w:val="nil"/>
              <w:tr2bl w:val="nil"/>
            </w:tcBorders>
            <w:vAlign w:val="center"/>
          </w:tcPr>
          <w:p w14:paraId="6237CEBA">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数量（台）</w:t>
            </w:r>
          </w:p>
        </w:tc>
        <w:tc>
          <w:tcPr>
            <w:tcW w:w="462" w:type="pct"/>
            <w:tcBorders>
              <w:tl2br w:val="nil"/>
              <w:tr2bl w:val="nil"/>
            </w:tcBorders>
            <w:vAlign w:val="center"/>
          </w:tcPr>
          <w:p w14:paraId="2D39210D">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声源源强</w:t>
            </w:r>
          </w:p>
        </w:tc>
        <w:tc>
          <w:tcPr>
            <w:tcW w:w="367" w:type="pct"/>
            <w:vMerge w:val="restart"/>
            <w:tcBorders>
              <w:tl2br w:val="nil"/>
              <w:tr2bl w:val="nil"/>
            </w:tcBorders>
            <w:vAlign w:val="center"/>
          </w:tcPr>
          <w:p w14:paraId="0AF9CE0A">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声源控制措施</w:t>
            </w:r>
          </w:p>
        </w:tc>
        <w:tc>
          <w:tcPr>
            <w:tcW w:w="893" w:type="pct"/>
            <w:gridSpan w:val="3"/>
            <w:tcBorders>
              <w:tl2br w:val="nil"/>
              <w:tr2bl w:val="nil"/>
            </w:tcBorders>
            <w:vAlign w:val="center"/>
          </w:tcPr>
          <w:p w14:paraId="32D52883">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空间相对位置/m</w:t>
            </w:r>
          </w:p>
        </w:tc>
        <w:tc>
          <w:tcPr>
            <w:tcW w:w="274" w:type="pct"/>
            <w:vMerge w:val="restart"/>
            <w:tcBorders>
              <w:tl2br w:val="nil"/>
              <w:tr2bl w:val="nil"/>
            </w:tcBorders>
            <w:vAlign w:val="center"/>
          </w:tcPr>
          <w:p w14:paraId="74A8C372">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距室内边界距离/m</w:t>
            </w:r>
          </w:p>
        </w:tc>
        <w:tc>
          <w:tcPr>
            <w:tcW w:w="302" w:type="pct"/>
            <w:vMerge w:val="restart"/>
            <w:tcBorders>
              <w:tl2br w:val="nil"/>
              <w:tr2bl w:val="nil"/>
            </w:tcBorders>
            <w:vAlign w:val="center"/>
          </w:tcPr>
          <w:p w14:paraId="6A3C5743">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室内边界声级/dB</w:t>
            </w: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A</w:t>
            </w:r>
            <w:r>
              <w:rPr>
                <w:rFonts w:hint="default" w:ascii="Times New Roman" w:hAnsi="Times New Roman" w:eastAsia="宋体" w:cs="Times New Roman"/>
                <w:b/>
                <w:bCs/>
                <w:color w:val="auto"/>
                <w:sz w:val="21"/>
                <w:szCs w:val="21"/>
                <w:highlight w:val="none"/>
                <w:lang w:eastAsia="zh-CN"/>
              </w:rPr>
              <w:t>）</w:t>
            </w:r>
          </w:p>
        </w:tc>
        <w:tc>
          <w:tcPr>
            <w:tcW w:w="277" w:type="pct"/>
            <w:vMerge w:val="restart"/>
            <w:tcBorders>
              <w:tl2br w:val="nil"/>
              <w:tr2bl w:val="nil"/>
            </w:tcBorders>
            <w:vAlign w:val="center"/>
          </w:tcPr>
          <w:p w14:paraId="607EBEC3">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运行</w:t>
            </w:r>
          </w:p>
          <w:p w14:paraId="358DB9EA">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时段</w:t>
            </w:r>
          </w:p>
        </w:tc>
        <w:tc>
          <w:tcPr>
            <w:tcW w:w="382" w:type="pct"/>
            <w:vMerge w:val="restart"/>
            <w:tcBorders>
              <w:tl2br w:val="nil"/>
              <w:tr2bl w:val="nil"/>
            </w:tcBorders>
            <w:vAlign w:val="center"/>
          </w:tcPr>
          <w:p w14:paraId="26AF1DA7">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建筑物插入损失/ dB</w:t>
            </w: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A</w:t>
            </w:r>
            <w:r>
              <w:rPr>
                <w:rFonts w:hint="default" w:ascii="Times New Roman" w:hAnsi="Times New Roman" w:eastAsia="宋体" w:cs="Times New Roman"/>
                <w:b/>
                <w:bCs/>
                <w:color w:val="auto"/>
                <w:sz w:val="21"/>
                <w:szCs w:val="21"/>
                <w:highlight w:val="none"/>
                <w:lang w:eastAsia="zh-CN"/>
              </w:rPr>
              <w:t>）</w:t>
            </w:r>
          </w:p>
        </w:tc>
        <w:tc>
          <w:tcPr>
            <w:tcW w:w="595" w:type="pct"/>
            <w:gridSpan w:val="2"/>
            <w:tcBorders>
              <w:tl2br w:val="nil"/>
              <w:tr2bl w:val="nil"/>
            </w:tcBorders>
            <w:vAlign w:val="center"/>
          </w:tcPr>
          <w:p w14:paraId="0E859557">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建筑物外噪声</w:t>
            </w:r>
          </w:p>
        </w:tc>
      </w:tr>
      <w:tr w14:paraId="0468C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 w:type="pct"/>
            <w:vMerge w:val="continue"/>
            <w:tcBorders>
              <w:tl2br w:val="nil"/>
              <w:tr2bl w:val="nil"/>
            </w:tcBorders>
            <w:vAlign w:val="center"/>
          </w:tcPr>
          <w:p w14:paraId="52570347">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p>
        </w:tc>
        <w:tc>
          <w:tcPr>
            <w:tcW w:w="325" w:type="pct"/>
            <w:vMerge w:val="continue"/>
            <w:tcBorders>
              <w:tl2br w:val="nil"/>
              <w:tr2bl w:val="nil"/>
            </w:tcBorders>
            <w:vAlign w:val="center"/>
          </w:tcPr>
          <w:p w14:paraId="6F899243">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p>
        </w:tc>
        <w:tc>
          <w:tcPr>
            <w:tcW w:w="577" w:type="pct"/>
            <w:vMerge w:val="continue"/>
            <w:tcBorders>
              <w:tl2br w:val="nil"/>
              <w:tr2bl w:val="nil"/>
            </w:tcBorders>
            <w:vAlign w:val="center"/>
          </w:tcPr>
          <w:p w14:paraId="3F403B41">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p>
        </w:tc>
        <w:tc>
          <w:tcPr>
            <w:tcW w:w="293" w:type="pct"/>
            <w:vMerge w:val="continue"/>
            <w:tcBorders>
              <w:tl2br w:val="nil"/>
              <w:tr2bl w:val="nil"/>
            </w:tcBorders>
            <w:vAlign w:val="center"/>
          </w:tcPr>
          <w:p w14:paraId="2FCFA941">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p>
        </w:tc>
        <w:tc>
          <w:tcPr>
            <w:tcW w:w="462" w:type="pct"/>
            <w:tcBorders>
              <w:tl2br w:val="nil"/>
              <w:tr2bl w:val="nil"/>
            </w:tcBorders>
            <w:vAlign w:val="center"/>
          </w:tcPr>
          <w:p w14:paraId="7E3D1D10">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（声压级/距声源距离）/（dB</w:t>
            </w: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A</w:t>
            </w: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/1m）</w:t>
            </w:r>
          </w:p>
        </w:tc>
        <w:tc>
          <w:tcPr>
            <w:tcW w:w="367" w:type="pct"/>
            <w:vMerge w:val="continue"/>
            <w:tcBorders>
              <w:tl2br w:val="nil"/>
              <w:tr2bl w:val="nil"/>
            </w:tcBorders>
            <w:vAlign w:val="center"/>
          </w:tcPr>
          <w:p w14:paraId="26953BB3">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p>
        </w:tc>
        <w:tc>
          <w:tcPr>
            <w:tcW w:w="321" w:type="pct"/>
            <w:tcBorders>
              <w:tl2br w:val="nil"/>
              <w:tr2bl w:val="nil"/>
            </w:tcBorders>
            <w:vAlign w:val="center"/>
          </w:tcPr>
          <w:p w14:paraId="741E3F51">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X</w:t>
            </w:r>
          </w:p>
        </w:tc>
        <w:tc>
          <w:tcPr>
            <w:tcW w:w="325" w:type="pct"/>
            <w:tcBorders>
              <w:tl2br w:val="nil"/>
              <w:tr2bl w:val="nil"/>
            </w:tcBorders>
            <w:vAlign w:val="center"/>
          </w:tcPr>
          <w:p w14:paraId="47FE7C43">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Y</w:t>
            </w:r>
          </w:p>
        </w:tc>
        <w:tc>
          <w:tcPr>
            <w:tcW w:w="247" w:type="pct"/>
            <w:tcBorders>
              <w:tl2br w:val="nil"/>
              <w:tr2bl w:val="nil"/>
            </w:tcBorders>
            <w:vAlign w:val="center"/>
          </w:tcPr>
          <w:p w14:paraId="0DCE067C">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Z</w:t>
            </w:r>
          </w:p>
        </w:tc>
        <w:tc>
          <w:tcPr>
            <w:tcW w:w="274" w:type="pct"/>
            <w:vMerge w:val="continue"/>
            <w:tcBorders>
              <w:tl2br w:val="nil"/>
              <w:tr2bl w:val="nil"/>
            </w:tcBorders>
            <w:vAlign w:val="center"/>
          </w:tcPr>
          <w:p w14:paraId="0F550F21">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p>
        </w:tc>
        <w:tc>
          <w:tcPr>
            <w:tcW w:w="302" w:type="pct"/>
            <w:vMerge w:val="continue"/>
            <w:tcBorders>
              <w:tl2br w:val="nil"/>
              <w:tr2bl w:val="nil"/>
            </w:tcBorders>
            <w:vAlign w:val="center"/>
          </w:tcPr>
          <w:p w14:paraId="17FD231F">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p>
        </w:tc>
        <w:tc>
          <w:tcPr>
            <w:tcW w:w="277" w:type="pct"/>
            <w:vMerge w:val="continue"/>
            <w:tcBorders>
              <w:tl2br w:val="nil"/>
              <w:tr2bl w:val="nil"/>
            </w:tcBorders>
            <w:vAlign w:val="center"/>
          </w:tcPr>
          <w:p w14:paraId="084D2C55">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p>
        </w:tc>
        <w:tc>
          <w:tcPr>
            <w:tcW w:w="382" w:type="pct"/>
            <w:vMerge w:val="continue"/>
            <w:tcBorders>
              <w:tl2br w:val="nil"/>
              <w:tr2bl w:val="nil"/>
            </w:tcBorders>
            <w:vAlign w:val="center"/>
          </w:tcPr>
          <w:p w14:paraId="36EBDD67">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p>
        </w:tc>
        <w:tc>
          <w:tcPr>
            <w:tcW w:w="299" w:type="pct"/>
            <w:tcBorders>
              <w:tl2br w:val="nil"/>
              <w:tr2bl w:val="nil"/>
            </w:tcBorders>
            <w:vAlign w:val="center"/>
          </w:tcPr>
          <w:p w14:paraId="23491E5D">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声压级/dB</w:t>
            </w: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A</w:t>
            </w:r>
            <w:r>
              <w:rPr>
                <w:rFonts w:hint="default" w:ascii="Times New Roman" w:hAnsi="Times New Roman" w:eastAsia="宋体" w:cs="Times New Roman"/>
                <w:b/>
                <w:bCs/>
                <w:color w:val="auto"/>
                <w:sz w:val="21"/>
                <w:szCs w:val="21"/>
                <w:highlight w:val="none"/>
                <w:lang w:eastAsia="zh-CN"/>
              </w:rPr>
              <w:t>）</w:t>
            </w:r>
          </w:p>
        </w:tc>
        <w:tc>
          <w:tcPr>
            <w:tcW w:w="296" w:type="pct"/>
            <w:tcBorders>
              <w:tl2br w:val="nil"/>
              <w:tr2bl w:val="nil"/>
            </w:tcBorders>
            <w:vAlign w:val="center"/>
          </w:tcPr>
          <w:p w14:paraId="1D5FC136">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建筑物外距离/m</w:t>
            </w:r>
          </w:p>
        </w:tc>
      </w:tr>
      <w:tr w14:paraId="4B88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49" w:type="pct"/>
            <w:tcBorders>
              <w:tl2br w:val="nil"/>
              <w:tr2bl w:val="nil"/>
            </w:tcBorders>
            <w:vAlign w:val="center"/>
          </w:tcPr>
          <w:p w14:paraId="5C03CD08">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325" w:type="pct"/>
            <w:vMerge w:val="restart"/>
            <w:tcBorders>
              <w:tl2br w:val="nil"/>
              <w:tr2bl w:val="nil"/>
            </w:tcBorders>
            <w:vAlign w:val="center"/>
          </w:tcPr>
          <w:p w14:paraId="23DD1A30">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生产</w:t>
            </w:r>
          </w:p>
          <w:p w14:paraId="28BBADA3">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车间</w:t>
            </w:r>
          </w:p>
        </w:tc>
        <w:tc>
          <w:tcPr>
            <w:tcW w:w="577" w:type="pct"/>
            <w:tcBorders>
              <w:tl2br w:val="nil"/>
              <w:tr2bl w:val="nil"/>
            </w:tcBorders>
            <w:shd w:val="clear" w:color="auto" w:fill="auto"/>
            <w:vAlign w:val="center"/>
          </w:tcPr>
          <w:p w14:paraId="07343DA2">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上料机（等效声源）</w:t>
            </w:r>
          </w:p>
        </w:tc>
        <w:tc>
          <w:tcPr>
            <w:tcW w:w="293" w:type="pct"/>
            <w:tcBorders>
              <w:tl2br w:val="nil"/>
              <w:tr2bl w:val="nil"/>
            </w:tcBorders>
            <w:shd w:val="clear" w:color="auto" w:fill="auto"/>
            <w:vAlign w:val="center"/>
          </w:tcPr>
          <w:p w14:paraId="7668EF33">
            <w:pPr>
              <w:pStyle w:val="7"/>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5</w:t>
            </w:r>
          </w:p>
        </w:tc>
        <w:tc>
          <w:tcPr>
            <w:tcW w:w="462" w:type="pct"/>
            <w:tcBorders>
              <w:tl2br w:val="nil"/>
              <w:tr2bl w:val="nil"/>
            </w:tcBorders>
            <w:shd w:val="clear" w:color="auto" w:fill="auto"/>
            <w:vAlign w:val="center"/>
          </w:tcPr>
          <w:p w14:paraId="6F969F24">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82</w:t>
            </w:r>
          </w:p>
        </w:tc>
        <w:tc>
          <w:tcPr>
            <w:tcW w:w="367" w:type="pct"/>
            <w:vMerge w:val="restart"/>
            <w:tcBorders>
              <w:tl2br w:val="nil"/>
              <w:tr2bl w:val="nil"/>
            </w:tcBorders>
            <w:vAlign w:val="center"/>
          </w:tcPr>
          <w:p w14:paraId="1E49A1B0">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生产设备均置于厂房内封闭生产，合理布局，选用低噪声设备，利用厂房隔声，基础减振</w:t>
            </w:r>
          </w:p>
        </w:tc>
        <w:tc>
          <w:tcPr>
            <w:tcW w:w="321" w:type="pct"/>
            <w:tcBorders>
              <w:tl2br w:val="nil"/>
              <w:tr2bl w:val="nil"/>
            </w:tcBorders>
            <w:vAlign w:val="center"/>
          </w:tcPr>
          <w:p w14:paraId="265FB8AA">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142.16</w:t>
            </w:r>
          </w:p>
        </w:tc>
        <w:tc>
          <w:tcPr>
            <w:tcW w:w="325" w:type="pct"/>
            <w:tcBorders>
              <w:tl2br w:val="nil"/>
              <w:tr2bl w:val="nil"/>
            </w:tcBorders>
            <w:vAlign w:val="center"/>
          </w:tcPr>
          <w:p w14:paraId="3E2AAA96">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49.83</w:t>
            </w:r>
          </w:p>
        </w:tc>
        <w:tc>
          <w:tcPr>
            <w:tcW w:w="247" w:type="pct"/>
            <w:tcBorders>
              <w:tl2br w:val="nil"/>
              <w:tr2bl w:val="nil"/>
            </w:tcBorders>
            <w:vAlign w:val="center"/>
          </w:tcPr>
          <w:p w14:paraId="58B619D9">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274" w:type="pct"/>
            <w:tcBorders>
              <w:tl2br w:val="nil"/>
              <w:tr2bl w:val="nil"/>
            </w:tcBorders>
            <w:vAlign w:val="center"/>
          </w:tcPr>
          <w:p w14:paraId="6680EFFA">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25</w:t>
            </w:r>
          </w:p>
        </w:tc>
        <w:tc>
          <w:tcPr>
            <w:tcW w:w="302" w:type="pct"/>
            <w:tcBorders>
              <w:tl2br w:val="nil"/>
              <w:tr2bl w:val="nil"/>
            </w:tcBorders>
            <w:vAlign w:val="center"/>
          </w:tcPr>
          <w:p w14:paraId="59DD3592">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54.04</w:t>
            </w:r>
          </w:p>
        </w:tc>
        <w:tc>
          <w:tcPr>
            <w:tcW w:w="277" w:type="pct"/>
            <w:vMerge w:val="restart"/>
            <w:tcBorders>
              <w:tl2br w:val="nil"/>
              <w:tr2bl w:val="nil"/>
            </w:tcBorders>
            <w:vAlign w:val="center"/>
          </w:tcPr>
          <w:p w14:paraId="6F06D913">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0:00~24:00</w:t>
            </w:r>
          </w:p>
        </w:tc>
        <w:tc>
          <w:tcPr>
            <w:tcW w:w="382" w:type="pct"/>
            <w:tcBorders>
              <w:tl2br w:val="nil"/>
              <w:tr2bl w:val="nil"/>
            </w:tcBorders>
            <w:vAlign w:val="center"/>
          </w:tcPr>
          <w:p w14:paraId="26F8BF13">
            <w:pPr>
              <w:keepNext w:val="0"/>
              <w:keepLines w:val="0"/>
              <w:pageBreakBefore w:val="0"/>
              <w:kinsoku/>
              <w:wordWrap/>
              <w:overflowPunct/>
              <w:topLinePunct w:val="0"/>
              <w:autoSpaceDE/>
              <w:autoSpaceDN/>
              <w:bidi w:val="0"/>
              <w:adjustRightInd w:val="0"/>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21</w:t>
            </w:r>
          </w:p>
        </w:tc>
        <w:tc>
          <w:tcPr>
            <w:tcW w:w="299" w:type="pct"/>
            <w:tcBorders>
              <w:tl2br w:val="nil"/>
              <w:tr2bl w:val="nil"/>
            </w:tcBorders>
            <w:vAlign w:val="center"/>
          </w:tcPr>
          <w:p w14:paraId="778413BA">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33.04</w:t>
            </w:r>
          </w:p>
        </w:tc>
        <w:tc>
          <w:tcPr>
            <w:tcW w:w="296" w:type="pct"/>
            <w:tcBorders>
              <w:tl2br w:val="nil"/>
              <w:tr2bl w:val="nil"/>
            </w:tcBorders>
            <w:vAlign w:val="center"/>
          </w:tcPr>
          <w:p w14:paraId="1D0BCF28">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14:paraId="6D09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 w:type="pct"/>
            <w:tcBorders>
              <w:tl2br w:val="nil"/>
              <w:tr2bl w:val="nil"/>
            </w:tcBorders>
            <w:vAlign w:val="center"/>
          </w:tcPr>
          <w:p w14:paraId="014E38E9">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325" w:type="pct"/>
            <w:vMerge w:val="continue"/>
            <w:tcBorders>
              <w:tl2br w:val="nil"/>
              <w:tr2bl w:val="nil"/>
            </w:tcBorders>
            <w:vAlign w:val="center"/>
          </w:tcPr>
          <w:p w14:paraId="206D1BBD">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577" w:type="pct"/>
            <w:tcBorders>
              <w:tl2br w:val="nil"/>
              <w:tr2bl w:val="nil"/>
            </w:tcBorders>
            <w:shd w:val="clear" w:color="auto" w:fill="auto"/>
            <w:vAlign w:val="center"/>
          </w:tcPr>
          <w:p w14:paraId="5996B4E9">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拌料机（等效声源）</w:t>
            </w:r>
          </w:p>
        </w:tc>
        <w:tc>
          <w:tcPr>
            <w:tcW w:w="293" w:type="pct"/>
            <w:tcBorders>
              <w:tl2br w:val="nil"/>
              <w:tr2bl w:val="nil"/>
            </w:tcBorders>
            <w:shd w:val="clear" w:color="auto" w:fill="auto"/>
            <w:vAlign w:val="center"/>
          </w:tcPr>
          <w:p w14:paraId="11CF20D0">
            <w:pPr>
              <w:pStyle w:val="7"/>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5</w:t>
            </w:r>
          </w:p>
        </w:tc>
        <w:tc>
          <w:tcPr>
            <w:tcW w:w="462" w:type="pct"/>
            <w:tcBorders>
              <w:tl2br w:val="nil"/>
              <w:tr2bl w:val="nil"/>
            </w:tcBorders>
            <w:shd w:val="clear" w:color="auto" w:fill="auto"/>
            <w:vAlign w:val="center"/>
          </w:tcPr>
          <w:p w14:paraId="2B47FC5A">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87</w:t>
            </w:r>
          </w:p>
        </w:tc>
        <w:tc>
          <w:tcPr>
            <w:tcW w:w="367" w:type="pct"/>
            <w:vMerge w:val="continue"/>
            <w:tcBorders>
              <w:tl2br w:val="nil"/>
              <w:tr2bl w:val="nil"/>
            </w:tcBorders>
            <w:vAlign w:val="center"/>
          </w:tcPr>
          <w:p w14:paraId="479740E8">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21" w:type="pct"/>
            <w:tcBorders>
              <w:tl2br w:val="nil"/>
              <w:tr2bl w:val="nil"/>
            </w:tcBorders>
            <w:vAlign w:val="center"/>
          </w:tcPr>
          <w:p w14:paraId="4AB7C9FA">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135.8</w:t>
            </w:r>
          </w:p>
        </w:tc>
        <w:tc>
          <w:tcPr>
            <w:tcW w:w="325" w:type="pct"/>
            <w:tcBorders>
              <w:tl2br w:val="nil"/>
              <w:tr2bl w:val="nil"/>
            </w:tcBorders>
            <w:vAlign w:val="center"/>
          </w:tcPr>
          <w:p w14:paraId="1C2C3ED0">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49.91</w:t>
            </w:r>
          </w:p>
        </w:tc>
        <w:tc>
          <w:tcPr>
            <w:tcW w:w="247" w:type="pct"/>
            <w:tcBorders>
              <w:tl2br w:val="nil"/>
              <w:tr2bl w:val="nil"/>
            </w:tcBorders>
            <w:vAlign w:val="center"/>
          </w:tcPr>
          <w:p w14:paraId="534B5F0F">
            <w:pPr>
              <w:keepNext w:val="0"/>
              <w:keepLines w:val="0"/>
              <w:pageBreakBefore w:val="0"/>
              <w:kinsoku/>
              <w:wordWrap/>
              <w:overflowPunct/>
              <w:topLinePunct w:val="0"/>
              <w:autoSpaceDE/>
              <w:autoSpaceDN/>
              <w:bidi w:val="0"/>
              <w:adjustRightInd w:val="0"/>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274" w:type="pct"/>
            <w:tcBorders>
              <w:tl2br w:val="nil"/>
              <w:tr2bl w:val="nil"/>
            </w:tcBorders>
            <w:vAlign w:val="center"/>
          </w:tcPr>
          <w:p w14:paraId="423D23E4">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25</w:t>
            </w:r>
          </w:p>
        </w:tc>
        <w:tc>
          <w:tcPr>
            <w:tcW w:w="302" w:type="pct"/>
            <w:tcBorders>
              <w:tl2br w:val="nil"/>
              <w:tr2bl w:val="nil"/>
            </w:tcBorders>
            <w:vAlign w:val="center"/>
          </w:tcPr>
          <w:p w14:paraId="12275926">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59.04</w:t>
            </w:r>
          </w:p>
        </w:tc>
        <w:tc>
          <w:tcPr>
            <w:tcW w:w="277" w:type="pct"/>
            <w:vMerge w:val="continue"/>
            <w:tcBorders>
              <w:tl2br w:val="nil"/>
              <w:tr2bl w:val="nil"/>
            </w:tcBorders>
            <w:vAlign w:val="center"/>
          </w:tcPr>
          <w:p w14:paraId="13414D36">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82" w:type="pct"/>
            <w:tcBorders>
              <w:tl2br w:val="nil"/>
              <w:tr2bl w:val="nil"/>
            </w:tcBorders>
            <w:vAlign w:val="center"/>
          </w:tcPr>
          <w:p w14:paraId="654DE7AF">
            <w:pPr>
              <w:keepNext w:val="0"/>
              <w:keepLines w:val="0"/>
              <w:pageBreakBefore w:val="0"/>
              <w:kinsoku/>
              <w:wordWrap/>
              <w:overflowPunct/>
              <w:topLinePunct w:val="0"/>
              <w:autoSpaceDE/>
              <w:autoSpaceDN/>
              <w:bidi w:val="0"/>
              <w:adjustRightInd w:val="0"/>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21</w:t>
            </w:r>
          </w:p>
        </w:tc>
        <w:tc>
          <w:tcPr>
            <w:tcW w:w="299" w:type="pct"/>
            <w:tcBorders>
              <w:tl2br w:val="nil"/>
              <w:tr2bl w:val="nil"/>
            </w:tcBorders>
            <w:vAlign w:val="center"/>
          </w:tcPr>
          <w:p w14:paraId="05EE20DF">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38.04</w:t>
            </w:r>
          </w:p>
        </w:tc>
        <w:tc>
          <w:tcPr>
            <w:tcW w:w="296" w:type="pct"/>
            <w:tcBorders>
              <w:tl2br w:val="nil"/>
              <w:tr2bl w:val="nil"/>
            </w:tcBorders>
            <w:vAlign w:val="center"/>
          </w:tcPr>
          <w:p w14:paraId="204D3646">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14:paraId="3BAB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 w:type="pct"/>
            <w:tcBorders>
              <w:tl2br w:val="nil"/>
              <w:tr2bl w:val="nil"/>
            </w:tcBorders>
            <w:vAlign w:val="center"/>
          </w:tcPr>
          <w:p w14:paraId="625CE94F">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325" w:type="pct"/>
            <w:vMerge w:val="continue"/>
            <w:tcBorders>
              <w:tl2br w:val="nil"/>
              <w:tr2bl w:val="nil"/>
            </w:tcBorders>
            <w:vAlign w:val="center"/>
          </w:tcPr>
          <w:p w14:paraId="3FD1298C">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577" w:type="pct"/>
            <w:tcBorders>
              <w:tl2br w:val="nil"/>
              <w:tr2bl w:val="nil"/>
            </w:tcBorders>
            <w:shd w:val="clear" w:color="auto" w:fill="auto"/>
            <w:vAlign w:val="center"/>
          </w:tcPr>
          <w:p w14:paraId="4392771B">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模切机</w:t>
            </w:r>
          </w:p>
        </w:tc>
        <w:tc>
          <w:tcPr>
            <w:tcW w:w="293" w:type="pct"/>
            <w:tcBorders>
              <w:tl2br w:val="nil"/>
              <w:tr2bl w:val="nil"/>
            </w:tcBorders>
            <w:shd w:val="clear" w:color="auto" w:fill="auto"/>
            <w:vAlign w:val="center"/>
          </w:tcPr>
          <w:p w14:paraId="76255421">
            <w:pPr>
              <w:pStyle w:val="7"/>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1</w:t>
            </w:r>
          </w:p>
        </w:tc>
        <w:tc>
          <w:tcPr>
            <w:tcW w:w="462" w:type="pct"/>
            <w:tcBorders>
              <w:tl2br w:val="nil"/>
              <w:tr2bl w:val="nil"/>
            </w:tcBorders>
            <w:shd w:val="clear" w:color="auto" w:fill="auto"/>
            <w:vAlign w:val="center"/>
          </w:tcPr>
          <w:p w14:paraId="02C30C27">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80</w:t>
            </w:r>
          </w:p>
        </w:tc>
        <w:tc>
          <w:tcPr>
            <w:tcW w:w="367" w:type="pct"/>
            <w:vMerge w:val="continue"/>
            <w:tcBorders>
              <w:tl2br w:val="nil"/>
              <w:tr2bl w:val="nil"/>
            </w:tcBorders>
            <w:vAlign w:val="center"/>
          </w:tcPr>
          <w:p w14:paraId="29626189">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21" w:type="pct"/>
            <w:tcBorders>
              <w:tl2br w:val="nil"/>
              <w:tr2bl w:val="nil"/>
            </w:tcBorders>
            <w:vAlign w:val="center"/>
          </w:tcPr>
          <w:p w14:paraId="43DDA4FA">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49.91</w:t>
            </w:r>
          </w:p>
        </w:tc>
        <w:tc>
          <w:tcPr>
            <w:tcW w:w="325" w:type="pct"/>
            <w:tcBorders>
              <w:tl2br w:val="nil"/>
              <w:tr2bl w:val="nil"/>
            </w:tcBorders>
            <w:vAlign w:val="center"/>
          </w:tcPr>
          <w:p w14:paraId="1163CEBC">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52.08</w:t>
            </w:r>
          </w:p>
        </w:tc>
        <w:tc>
          <w:tcPr>
            <w:tcW w:w="247" w:type="pct"/>
            <w:tcBorders>
              <w:tl2br w:val="nil"/>
              <w:tr2bl w:val="nil"/>
            </w:tcBorders>
            <w:vAlign w:val="center"/>
          </w:tcPr>
          <w:p w14:paraId="18F17611">
            <w:pPr>
              <w:keepNext w:val="0"/>
              <w:keepLines w:val="0"/>
              <w:pageBreakBefore w:val="0"/>
              <w:kinsoku/>
              <w:wordWrap/>
              <w:overflowPunct/>
              <w:topLinePunct w:val="0"/>
              <w:autoSpaceDE/>
              <w:autoSpaceDN/>
              <w:bidi w:val="0"/>
              <w:adjustRightInd w:val="0"/>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274" w:type="pct"/>
            <w:tcBorders>
              <w:tl2br w:val="nil"/>
              <w:tr2bl w:val="nil"/>
            </w:tcBorders>
            <w:vAlign w:val="center"/>
          </w:tcPr>
          <w:p w14:paraId="59811DE4">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w:t>
            </w:r>
          </w:p>
        </w:tc>
        <w:tc>
          <w:tcPr>
            <w:tcW w:w="302" w:type="pct"/>
            <w:tcBorders>
              <w:tl2br w:val="nil"/>
              <w:tr2bl w:val="nil"/>
            </w:tcBorders>
            <w:vAlign w:val="center"/>
          </w:tcPr>
          <w:p w14:paraId="03427BE2">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53.98</w:t>
            </w:r>
          </w:p>
        </w:tc>
        <w:tc>
          <w:tcPr>
            <w:tcW w:w="277" w:type="pct"/>
            <w:vMerge w:val="continue"/>
            <w:tcBorders>
              <w:tl2br w:val="nil"/>
              <w:tr2bl w:val="nil"/>
            </w:tcBorders>
            <w:vAlign w:val="center"/>
          </w:tcPr>
          <w:p w14:paraId="4580DBCA">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82" w:type="pct"/>
            <w:tcBorders>
              <w:tl2br w:val="nil"/>
              <w:tr2bl w:val="nil"/>
            </w:tcBorders>
            <w:vAlign w:val="center"/>
          </w:tcPr>
          <w:p w14:paraId="365A56A9">
            <w:pPr>
              <w:keepNext w:val="0"/>
              <w:keepLines w:val="0"/>
              <w:pageBreakBefore w:val="0"/>
              <w:kinsoku/>
              <w:wordWrap/>
              <w:overflowPunct/>
              <w:topLinePunct w:val="0"/>
              <w:autoSpaceDE/>
              <w:autoSpaceDN/>
              <w:bidi w:val="0"/>
              <w:adjustRightInd w:val="0"/>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21</w:t>
            </w:r>
          </w:p>
        </w:tc>
        <w:tc>
          <w:tcPr>
            <w:tcW w:w="299" w:type="pct"/>
            <w:tcBorders>
              <w:tl2br w:val="nil"/>
              <w:tr2bl w:val="nil"/>
            </w:tcBorders>
            <w:vAlign w:val="center"/>
          </w:tcPr>
          <w:p w14:paraId="3D4E2F75">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32.98</w:t>
            </w:r>
          </w:p>
        </w:tc>
        <w:tc>
          <w:tcPr>
            <w:tcW w:w="296" w:type="pct"/>
            <w:tcBorders>
              <w:tl2br w:val="nil"/>
              <w:tr2bl w:val="nil"/>
            </w:tcBorders>
            <w:vAlign w:val="center"/>
          </w:tcPr>
          <w:p w14:paraId="4945AA31">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14:paraId="637CD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9" w:type="pct"/>
            <w:tcBorders>
              <w:tl2br w:val="nil"/>
              <w:tr2bl w:val="nil"/>
            </w:tcBorders>
            <w:vAlign w:val="center"/>
          </w:tcPr>
          <w:p w14:paraId="4835161F">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p>
        </w:tc>
        <w:tc>
          <w:tcPr>
            <w:tcW w:w="325" w:type="pct"/>
            <w:vMerge w:val="continue"/>
            <w:tcBorders>
              <w:tl2br w:val="nil"/>
              <w:tr2bl w:val="nil"/>
            </w:tcBorders>
            <w:vAlign w:val="center"/>
          </w:tcPr>
          <w:p w14:paraId="03A500C9">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577" w:type="pct"/>
            <w:tcBorders>
              <w:tl2br w:val="nil"/>
              <w:tr2bl w:val="nil"/>
            </w:tcBorders>
            <w:shd w:val="clear" w:color="auto" w:fill="auto"/>
            <w:vAlign w:val="center"/>
          </w:tcPr>
          <w:p w14:paraId="55869753">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挤出机（等效声源）</w:t>
            </w:r>
          </w:p>
        </w:tc>
        <w:tc>
          <w:tcPr>
            <w:tcW w:w="293" w:type="pct"/>
            <w:tcBorders>
              <w:tl2br w:val="nil"/>
              <w:tr2bl w:val="nil"/>
            </w:tcBorders>
            <w:shd w:val="clear" w:color="auto" w:fill="auto"/>
            <w:vAlign w:val="center"/>
          </w:tcPr>
          <w:p w14:paraId="0565CDE9">
            <w:pPr>
              <w:pStyle w:val="7"/>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5</w:t>
            </w:r>
          </w:p>
        </w:tc>
        <w:tc>
          <w:tcPr>
            <w:tcW w:w="462" w:type="pct"/>
            <w:tcBorders>
              <w:tl2br w:val="nil"/>
              <w:tr2bl w:val="nil"/>
            </w:tcBorders>
            <w:shd w:val="clear" w:color="auto" w:fill="auto"/>
            <w:vAlign w:val="center"/>
          </w:tcPr>
          <w:p w14:paraId="6A6ABE73">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92</w:t>
            </w:r>
          </w:p>
        </w:tc>
        <w:tc>
          <w:tcPr>
            <w:tcW w:w="367" w:type="pct"/>
            <w:vMerge w:val="continue"/>
            <w:tcBorders>
              <w:tl2br w:val="nil"/>
              <w:tr2bl w:val="nil"/>
            </w:tcBorders>
            <w:vAlign w:val="center"/>
          </w:tcPr>
          <w:p w14:paraId="3BCBB937">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21" w:type="pct"/>
            <w:tcBorders>
              <w:tl2br w:val="nil"/>
              <w:tr2bl w:val="nil"/>
            </w:tcBorders>
            <w:vAlign w:val="center"/>
          </w:tcPr>
          <w:p w14:paraId="5712826D">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129.06</w:t>
            </w:r>
          </w:p>
        </w:tc>
        <w:tc>
          <w:tcPr>
            <w:tcW w:w="325" w:type="pct"/>
            <w:tcBorders>
              <w:tl2br w:val="nil"/>
              <w:tr2bl w:val="nil"/>
            </w:tcBorders>
            <w:vAlign w:val="center"/>
          </w:tcPr>
          <w:p w14:paraId="481C03B5">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50.06</w:t>
            </w:r>
          </w:p>
        </w:tc>
        <w:tc>
          <w:tcPr>
            <w:tcW w:w="247" w:type="pct"/>
            <w:tcBorders>
              <w:tl2br w:val="nil"/>
              <w:tr2bl w:val="nil"/>
            </w:tcBorders>
            <w:shd w:val="clear" w:color="auto" w:fill="auto"/>
            <w:vAlign w:val="center"/>
          </w:tcPr>
          <w:p w14:paraId="3B5CC337">
            <w:pPr>
              <w:pStyle w:val="10"/>
              <w:keepNext w:val="0"/>
              <w:keepLines w:val="0"/>
              <w:pageBreakBefore w:val="0"/>
              <w:kinsoku/>
              <w:wordWrap/>
              <w:overflowPunct/>
              <w:topLinePunct w:val="0"/>
              <w:autoSpaceDE/>
              <w:autoSpaceDN/>
              <w:bidi w:val="0"/>
              <w:adjustRightInd w:val="0"/>
              <w:spacing w:before="0" w:after="0" w:line="240" w:lineRule="auto"/>
              <w:ind w:right="0" w:rightChars="0"/>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1</w:t>
            </w:r>
          </w:p>
        </w:tc>
        <w:tc>
          <w:tcPr>
            <w:tcW w:w="274" w:type="pct"/>
            <w:tcBorders>
              <w:tl2br w:val="nil"/>
              <w:tr2bl w:val="nil"/>
            </w:tcBorders>
            <w:vAlign w:val="center"/>
          </w:tcPr>
          <w:p w14:paraId="04D7DD7A">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24</w:t>
            </w:r>
          </w:p>
        </w:tc>
        <w:tc>
          <w:tcPr>
            <w:tcW w:w="302" w:type="pct"/>
            <w:tcBorders>
              <w:tl2br w:val="nil"/>
              <w:tr2bl w:val="nil"/>
            </w:tcBorders>
            <w:vAlign w:val="center"/>
          </w:tcPr>
          <w:p w14:paraId="0B4F7D6E">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64.40</w:t>
            </w:r>
          </w:p>
        </w:tc>
        <w:tc>
          <w:tcPr>
            <w:tcW w:w="277" w:type="pct"/>
            <w:vMerge w:val="continue"/>
            <w:tcBorders>
              <w:tl2br w:val="nil"/>
              <w:tr2bl w:val="nil"/>
            </w:tcBorders>
            <w:vAlign w:val="center"/>
          </w:tcPr>
          <w:p w14:paraId="151552B8">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82" w:type="pct"/>
            <w:tcBorders>
              <w:tl2br w:val="nil"/>
              <w:tr2bl w:val="nil"/>
            </w:tcBorders>
            <w:shd w:val="clear" w:color="auto" w:fill="auto"/>
            <w:vAlign w:val="center"/>
          </w:tcPr>
          <w:p w14:paraId="5207172B">
            <w:pPr>
              <w:keepNext w:val="0"/>
              <w:keepLines w:val="0"/>
              <w:pageBreakBefore w:val="0"/>
              <w:kinsoku/>
              <w:wordWrap/>
              <w:overflowPunct/>
              <w:topLinePunct w:val="0"/>
              <w:autoSpaceDE/>
              <w:autoSpaceDN/>
              <w:bidi w:val="0"/>
              <w:adjustRightInd w:val="0"/>
              <w:spacing w:line="240" w:lineRule="auto"/>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21</w:t>
            </w:r>
          </w:p>
        </w:tc>
        <w:tc>
          <w:tcPr>
            <w:tcW w:w="299" w:type="pct"/>
            <w:tcBorders>
              <w:tl2br w:val="nil"/>
              <w:tr2bl w:val="nil"/>
            </w:tcBorders>
            <w:vAlign w:val="center"/>
          </w:tcPr>
          <w:p w14:paraId="3E04F3B5">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43.4</w:t>
            </w:r>
          </w:p>
        </w:tc>
        <w:tc>
          <w:tcPr>
            <w:tcW w:w="296" w:type="pct"/>
            <w:tcBorders>
              <w:tl2br w:val="nil"/>
              <w:tr2bl w:val="nil"/>
            </w:tcBorders>
            <w:vAlign w:val="center"/>
          </w:tcPr>
          <w:p w14:paraId="3917B7A1">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14:paraId="01E8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249" w:type="pct"/>
            <w:tcBorders>
              <w:tl2br w:val="nil"/>
              <w:tr2bl w:val="nil"/>
            </w:tcBorders>
            <w:vAlign w:val="center"/>
          </w:tcPr>
          <w:p w14:paraId="28B17EAA">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w:t>
            </w:r>
          </w:p>
        </w:tc>
        <w:tc>
          <w:tcPr>
            <w:tcW w:w="325" w:type="pct"/>
            <w:vMerge w:val="continue"/>
            <w:tcBorders>
              <w:tl2br w:val="nil"/>
              <w:tr2bl w:val="nil"/>
            </w:tcBorders>
            <w:vAlign w:val="center"/>
          </w:tcPr>
          <w:p w14:paraId="0EB0A92E">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577" w:type="pct"/>
            <w:tcBorders>
              <w:tl2br w:val="nil"/>
              <w:tr2bl w:val="nil"/>
            </w:tcBorders>
            <w:shd w:val="clear" w:color="auto" w:fill="auto"/>
            <w:vAlign w:val="center"/>
          </w:tcPr>
          <w:p w14:paraId="5B8EB98B">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牵引机（等效声源）</w:t>
            </w:r>
          </w:p>
        </w:tc>
        <w:tc>
          <w:tcPr>
            <w:tcW w:w="293" w:type="pct"/>
            <w:tcBorders>
              <w:tl2br w:val="nil"/>
              <w:tr2bl w:val="nil"/>
            </w:tcBorders>
            <w:shd w:val="clear" w:color="auto" w:fill="auto"/>
            <w:vAlign w:val="center"/>
          </w:tcPr>
          <w:p w14:paraId="46BE999B">
            <w:pPr>
              <w:pStyle w:val="7"/>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10</w:t>
            </w:r>
          </w:p>
        </w:tc>
        <w:tc>
          <w:tcPr>
            <w:tcW w:w="462" w:type="pct"/>
            <w:tcBorders>
              <w:tl2br w:val="nil"/>
              <w:tr2bl w:val="nil"/>
            </w:tcBorders>
            <w:shd w:val="clear" w:color="auto" w:fill="auto"/>
            <w:vAlign w:val="center"/>
          </w:tcPr>
          <w:p w14:paraId="1B4BFBEA">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95</w:t>
            </w:r>
          </w:p>
        </w:tc>
        <w:tc>
          <w:tcPr>
            <w:tcW w:w="367" w:type="pct"/>
            <w:vMerge w:val="continue"/>
            <w:tcBorders>
              <w:tl2br w:val="nil"/>
              <w:tr2bl w:val="nil"/>
            </w:tcBorders>
            <w:vAlign w:val="center"/>
          </w:tcPr>
          <w:p w14:paraId="688C82E6">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21" w:type="pct"/>
            <w:tcBorders>
              <w:tl2br w:val="nil"/>
              <w:tr2bl w:val="nil"/>
            </w:tcBorders>
            <w:vAlign w:val="center"/>
          </w:tcPr>
          <w:p w14:paraId="4B807BB4">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111.87</w:t>
            </w:r>
          </w:p>
        </w:tc>
        <w:tc>
          <w:tcPr>
            <w:tcW w:w="325" w:type="pct"/>
            <w:tcBorders>
              <w:tl2br w:val="nil"/>
              <w:tr2bl w:val="nil"/>
            </w:tcBorders>
            <w:vAlign w:val="center"/>
          </w:tcPr>
          <w:p w14:paraId="41CA194D">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51.12</w:t>
            </w:r>
          </w:p>
        </w:tc>
        <w:tc>
          <w:tcPr>
            <w:tcW w:w="247" w:type="pct"/>
            <w:tcBorders>
              <w:tl2br w:val="nil"/>
              <w:tr2bl w:val="nil"/>
            </w:tcBorders>
            <w:shd w:val="clear" w:color="auto" w:fill="auto"/>
            <w:vAlign w:val="center"/>
          </w:tcPr>
          <w:p w14:paraId="379E94C4">
            <w:pPr>
              <w:keepNext w:val="0"/>
              <w:keepLines w:val="0"/>
              <w:pageBreakBefore w:val="0"/>
              <w:kinsoku/>
              <w:wordWrap/>
              <w:overflowPunct/>
              <w:topLinePunct w:val="0"/>
              <w:autoSpaceDE/>
              <w:autoSpaceDN/>
              <w:bidi w:val="0"/>
              <w:adjustRightInd w:val="0"/>
              <w:spacing w:line="240" w:lineRule="auto"/>
              <w:ind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w:t>
            </w:r>
          </w:p>
        </w:tc>
        <w:tc>
          <w:tcPr>
            <w:tcW w:w="274" w:type="pct"/>
            <w:tcBorders>
              <w:tl2br w:val="nil"/>
              <w:tr2bl w:val="nil"/>
            </w:tcBorders>
            <w:vAlign w:val="center"/>
          </w:tcPr>
          <w:p w14:paraId="794E9AEC">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23</w:t>
            </w:r>
          </w:p>
        </w:tc>
        <w:tc>
          <w:tcPr>
            <w:tcW w:w="302" w:type="pct"/>
            <w:tcBorders>
              <w:tl2br w:val="nil"/>
              <w:tr2bl w:val="nil"/>
            </w:tcBorders>
            <w:vAlign w:val="center"/>
          </w:tcPr>
          <w:p w14:paraId="21BEC425">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67.77</w:t>
            </w:r>
          </w:p>
        </w:tc>
        <w:tc>
          <w:tcPr>
            <w:tcW w:w="277" w:type="pct"/>
            <w:vMerge w:val="continue"/>
            <w:tcBorders>
              <w:tl2br w:val="nil"/>
              <w:tr2bl w:val="nil"/>
            </w:tcBorders>
            <w:vAlign w:val="center"/>
          </w:tcPr>
          <w:p w14:paraId="61FD3D98">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82" w:type="pct"/>
            <w:tcBorders>
              <w:tl2br w:val="nil"/>
              <w:tr2bl w:val="nil"/>
            </w:tcBorders>
            <w:shd w:val="clear" w:color="auto" w:fill="auto"/>
            <w:vAlign w:val="center"/>
          </w:tcPr>
          <w:p w14:paraId="3651DACE">
            <w:pPr>
              <w:keepNext w:val="0"/>
              <w:keepLines w:val="0"/>
              <w:pageBreakBefore w:val="0"/>
              <w:kinsoku/>
              <w:wordWrap/>
              <w:overflowPunct/>
              <w:topLinePunct w:val="0"/>
              <w:autoSpaceDE/>
              <w:autoSpaceDN/>
              <w:bidi w:val="0"/>
              <w:adjustRightInd w:val="0"/>
              <w:spacing w:line="240" w:lineRule="auto"/>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21</w:t>
            </w:r>
          </w:p>
        </w:tc>
        <w:tc>
          <w:tcPr>
            <w:tcW w:w="299" w:type="pct"/>
            <w:tcBorders>
              <w:tl2br w:val="nil"/>
              <w:tr2bl w:val="nil"/>
            </w:tcBorders>
            <w:vAlign w:val="center"/>
          </w:tcPr>
          <w:p w14:paraId="7A5BD006">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46.7</w:t>
            </w:r>
          </w:p>
        </w:tc>
        <w:tc>
          <w:tcPr>
            <w:tcW w:w="296" w:type="pct"/>
            <w:tcBorders>
              <w:tl2br w:val="nil"/>
              <w:tr2bl w:val="nil"/>
            </w:tcBorders>
            <w:vAlign w:val="center"/>
          </w:tcPr>
          <w:p w14:paraId="64755B0D">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14:paraId="1C3D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49" w:type="pct"/>
            <w:tcBorders>
              <w:tl2br w:val="nil"/>
              <w:tr2bl w:val="nil"/>
            </w:tcBorders>
            <w:vAlign w:val="center"/>
          </w:tcPr>
          <w:p w14:paraId="3F9F58E8">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w:t>
            </w:r>
          </w:p>
        </w:tc>
        <w:tc>
          <w:tcPr>
            <w:tcW w:w="325" w:type="pct"/>
            <w:vMerge w:val="continue"/>
            <w:tcBorders>
              <w:tl2br w:val="nil"/>
              <w:tr2bl w:val="nil"/>
            </w:tcBorders>
            <w:vAlign w:val="center"/>
          </w:tcPr>
          <w:p w14:paraId="4040E0A9">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577" w:type="pct"/>
            <w:tcBorders>
              <w:tl2br w:val="nil"/>
              <w:tr2bl w:val="nil"/>
            </w:tcBorders>
            <w:shd w:val="clear" w:color="auto" w:fill="auto"/>
            <w:vAlign w:val="center"/>
          </w:tcPr>
          <w:p w14:paraId="3640579A">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冷却定型机（等效声源）</w:t>
            </w:r>
          </w:p>
        </w:tc>
        <w:tc>
          <w:tcPr>
            <w:tcW w:w="293" w:type="pct"/>
            <w:tcBorders>
              <w:tl2br w:val="nil"/>
              <w:tr2bl w:val="nil"/>
            </w:tcBorders>
            <w:shd w:val="clear" w:color="auto" w:fill="auto"/>
            <w:vAlign w:val="center"/>
          </w:tcPr>
          <w:p w14:paraId="5B35218B">
            <w:pPr>
              <w:pStyle w:val="7"/>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5</w:t>
            </w:r>
          </w:p>
        </w:tc>
        <w:tc>
          <w:tcPr>
            <w:tcW w:w="462" w:type="pct"/>
            <w:tcBorders>
              <w:tl2br w:val="nil"/>
              <w:tr2bl w:val="nil"/>
            </w:tcBorders>
            <w:shd w:val="clear" w:color="auto" w:fill="auto"/>
            <w:vAlign w:val="center"/>
          </w:tcPr>
          <w:p w14:paraId="10C180D8">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77</w:t>
            </w:r>
          </w:p>
        </w:tc>
        <w:tc>
          <w:tcPr>
            <w:tcW w:w="367" w:type="pct"/>
            <w:vMerge w:val="continue"/>
            <w:tcBorders>
              <w:tl2br w:val="nil"/>
              <w:tr2bl w:val="nil"/>
            </w:tcBorders>
            <w:vAlign w:val="center"/>
          </w:tcPr>
          <w:p w14:paraId="7CCDC056">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21" w:type="pct"/>
            <w:tcBorders>
              <w:tl2br w:val="nil"/>
              <w:tr2bl w:val="nil"/>
            </w:tcBorders>
            <w:vAlign w:val="center"/>
          </w:tcPr>
          <w:p w14:paraId="70222C25">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98.3</w:t>
            </w:r>
          </w:p>
        </w:tc>
        <w:tc>
          <w:tcPr>
            <w:tcW w:w="325" w:type="pct"/>
            <w:tcBorders>
              <w:tl2br w:val="nil"/>
              <w:tr2bl w:val="nil"/>
            </w:tcBorders>
            <w:vAlign w:val="center"/>
          </w:tcPr>
          <w:p w14:paraId="4C91E95B">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51.77</w:t>
            </w:r>
          </w:p>
        </w:tc>
        <w:tc>
          <w:tcPr>
            <w:tcW w:w="247" w:type="pct"/>
            <w:tcBorders>
              <w:tl2br w:val="nil"/>
              <w:tr2bl w:val="nil"/>
            </w:tcBorders>
            <w:shd w:val="clear" w:color="auto" w:fill="auto"/>
            <w:vAlign w:val="center"/>
          </w:tcPr>
          <w:p w14:paraId="32FEA267">
            <w:pPr>
              <w:keepNext w:val="0"/>
              <w:keepLines w:val="0"/>
              <w:pageBreakBefore w:val="0"/>
              <w:kinsoku/>
              <w:wordWrap/>
              <w:overflowPunct/>
              <w:topLinePunct w:val="0"/>
              <w:autoSpaceDE/>
              <w:autoSpaceDN/>
              <w:bidi w:val="0"/>
              <w:adjustRightInd w:val="0"/>
              <w:spacing w:line="240" w:lineRule="auto"/>
              <w:ind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w:t>
            </w:r>
          </w:p>
        </w:tc>
        <w:tc>
          <w:tcPr>
            <w:tcW w:w="274" w:type="pct"/>
            <w:tcBorders>
              <w:tl2br w:val="nil"/>
              <w:tr2bl w:val="nil"/>
            </w:tcBorders>
            <w:vAlign w:val="center"/>
          </w:tcPr>
          <w:p w14:paraId="160E5079">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22</w:t>
            </w:r>
          </w:p>
        </w:tc>
        <w:tc>
          <w:tcPr>
            <w:tcW w:w="302" w:type="pct"/>
            <w:tcBorders>
              <w:tl2br w:val="nil"/>
              <w:tr2bl w:val="nil"/>
            </w:tcBorders>
            <w:vAlign w:val="center"/>
          </w:tcPr>
          <w:p w14:paraId="431BB1DF">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50.15</w:t>
            </w:r>
          </w:p>
        </w:tc>
        <w:tc>
          <w:tcPr>
            <w:tcW w:w="277" w:type="pct"/>
            <w:vMerge w:val="continue"/>
            <w:tcBorders>
              <w:tl2br w:val="nil"/>
              <w:tr2bl w:val="nil"/>
            </w:tcBorders>
            <w:vAlign w:val="center"/>
          </w:tcPr>
          <w:p w14:paraId="0F8456B8">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82" w:type="pct"/>
            <w:tcBorders>
              <w:tl2br w:val="nil"/>
              <w:tr2bl w:val="nil"/>
            </w:tcBorders>
            <w:shd w:val="clear" w:color="auto" w:fill="auto"/>
            <w:vAlign w:val="center"/>
          </w:tcPr>
          <w:p w14:paraId="77C9285B">
            <w:pPr>
              <w:keepNext w:val="0"/>
              <w:keepLines w:val="0"/>
              <w:pageBreakBefore w:val="0"/>
              <w:kinsoku/>
              <w:wordWrap/>
              <w:overflowPunct/>
              <w:topLinePunct w:val="0"/>
              <w:autoSpaceDE/>
              <w:autoSpaceDN/>
              <w:bidi w:val="0"/>
              <w:adjustRightInd w:val="0"/>
              <w:spacing w:line="240" w:lineRule="auto"/>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21</w:t>
            </w:r>
          </w:p>
        </w:tc>
        <w:tc>
          <w:tcPr>
            <w:tcW w:w="299" w:type="pct"/>
            <w:tcBorders>
              <w:tl2br w:val="nil"/>
              <w:tr2bl w:val="nil"/>
            </w:tcBorders>
            <w:vAlign w:val="center"/>
          </w:tcPr>
          <w:p w14:paraId="3F78D00B">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29.15</w:t>
            </w:r>
          </w:p>
        </w:tc>
        <w:tc>
          <w:tcPr>
            <w:tcW w:w="296" w:type="pct"/>
            <w:tcBorders>
              <w:tl2br w:val="nil"/>
              <w:tr2bl w:val="nil"/>
            </w:tcBorders>
            <w:vAlign w:val="center"/>
          </w:tcPr>
          <w:p w14:paraId="3AB6DD65">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14:paraId="25F4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 w:type="pct"/>
            <w:tcBorders>
              <w:tl2br w:val="nil"/>
              <w:tr2bl w:val="nil"/>
            </w:tcBorders>
            <w:vAlign w:val="center"/>
          </w:tcPr>
          <w:p w14:paraId="638EBDEA">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w:t>
            </w:r>
          </w:p>
        </w:tc>
        <w:tc>
          <w:tcPr>
            <w:tcW w:w="325" w:type="pct"/>
            <w:vMerge w:val="continue"/>
            <w:tcBorders>
              <w:tl2br w:val="nil"/>
              <w:tr2bl w:val="nil"/>
            </w:tcBorders>
            <w:vAlign w:val="center"/>
          </w:tcPr>
          <w:p w14:paraId="34188650">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577" w:type="pct"/>
            <w:tcBorders>
              <w:tl2br w:val="nil"/>
              <w:tr2bl w:val="nil"/>
            </w:tcBorders>
            <w:shd w:val="clear" w:color="auto" w:fill="auto"/>
            <w:vAlign w:val="center"/>
          </w:tcPr>
          <w:p w14:paraId="15311B94">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粘钉机</w:t>
            </w:r>
          </w:p>
        </w:tc>
        <w:tc>
          <w:tcPr>
            <w:tcW w:w="293" w:type="pct"/>
            <w:tcBorders>
              <w:tl2br w:val="nil"/>
              <w:tr2bl w:val="nil"/>
            </w:tcBorders>
            <w:shd w:val="clear" w:color="auto" w:fill="auto"/>
            <w:vAlign w:val="center"/>
          </w:tcPr>
          <w:p w14:paraId="5571C4F0">
            <w:pPr>
              <w:pStyle w:val="7"/>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1</w:t>
            </w:r>
          </w:p>
        </w:tc>
        <w:tc>
          <w:tcPr>
            <w:tcW w:w="462" w:type="pct"/>
            <w:tcBorders>
              <w:tl2br w:val="nil"/>
              <w:tr2bl w:val="nil"/>
            </w:tcBorders>
            <w:shd w:val="clear" w:color="auto" w:fill="auto"/>
            <w:vAlign w:val="center"/>
          </w:tcPr>
          <w:p w14:paraId="4C8FE2B9">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4"/>
                <w:sz w:val="20"/>
                <w:szCs w:val="21"/>
                <w:highlight w:val="none"/>
                <w:lang w:val="en-US" w:eastAsia="zh-CN" w:bidi="ar-SA"/>
              </w:rPr>
            </w:pPr>
            <w:r>
              <w:rPr>
                <w:rFonts w:hint="eastAsia" w:cs="Times New Roman"/>
                <w:color w:val="auto"/>
                <w:kern w:val="24"/>
                <w:sz w:val="20"/>
                <w:szCs w:val="21"/>
                <w:highlight w:val="none"/>
                <w:lang w:val="en-US" w:eastAsia="zh-CN" w:bidi="ar-SA"/>
              </w:rPr>
              <w:t>70</w:t>
            </w:r>
          </w:p>
        </w:tc>
        <w:tc>
          <w:tcPr>
            <w:tcW w:w="367" w:type="pct"/>
            <w:vMerge w:val="continue"/>
            <w:tcBorders>
              <w:tl2br w:val="nil"/>
              <w:tr2bl w:val="nil"/>
            </w:tcBorders>
            <w:vAlign w:val="center"/>
          </w:tcPr>
          <w:p w14:paraId="4B74F9BD">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21" w:type="pct"/>
            <w:tcBorders>
              <w:tl2br w:val="nil"/>
              <w:tr2bl w:val="nil"/>
            </w:tcBorders>
            <w:vAlign w:val="center"/>
          </w:tcPr>
          <w:p w14:paraId="1857F523">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38.15</w:t>
            </w:r>
          </w:p>
        </w:tc>
        <w:tc>
          <w:tcPr>
            <w:tcW w:w="325" w:type="pct"/>
            <w:tcBorders>
              <w:tl2br w:val="nil"/>
              <w:tr2bl w:val="nil"/>
            </w:tcBorders>
            <w:vAlign w:val="center"/>
          </w:tcPr>
          <w:p w14:paraId="0BAD6230">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60.03</w:t>
            </w:r>
          </w:p>
        </w:tc>
        <w:tc>
          <w:tcPr>
            <w:tcW w:w="247" w:type="pct"/>
            <w:tcBorders>
              <w:tl2br w:val="nil"/>
              <w:tr2bl w:val="nil"/>
            </w:tcBorders>
            <w:shd w:val="clear" w:color="auto" w:fill="auto"/>
            <w:vAlign w:val="center"/>
          </w:tcPr>
          <w:p w14:paraId="0D3ED026">
            <w:pPr>
              <w:pStyle w:val="10"/>
              <w:keepNext w:val="0"/>
              <w:keepLines w:val="0"/>
              <w:pageBreakBefore w:val="0"/>
              <w:kinsoku/>
              <w:wordWrap/>
              <w:overflowPunct/>
              <w:topLinePunct w:val="0"/>
              <w:autoSpaceDE/>
              <w:autoSpaceDN/>
              <w:bidi w:val="0"/>
              <w:adjustRightInd w:val="0"/>
              <w:spacing w:before="0" w:after="0" w:line="240" w:lineRule="auto"/>
              <w:ind w:right="0" w:rightChars="0"/>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1</w:t>
            </w:r>
          </w:p>
        </w:tc>
        <w:tc>
          <w:tcPr>
            <w:tcW w:w="274" w:type="pct"/>
            <w:tcBorders>
              <w:tl2br w:val="nil"/>
              <w:tr2bl w:val="nil"/>
            </w:tcBorders>
            <w:vAlign w:val="center"/>
          </w:tcPr>
          <w:p w14:paraId="653BD794">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14</w:t>
            </w:r>
          </w:p>
        </w:tc>
        <w:tc>
          <w:tcPr>
            <w:tcW w:w="302" w:type="pct"/>
            <w:tcBorders>
              <w:tl2br w:val="nil"/>
              <w:tr2bl w:val="nil"/>
            </w:tcBorders>
            <w:vAlign w:val="center"/>
          </w:tcPr>
          <w:p w14:paraId="5D9BB8F6">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47.08</w:t>
            </w:r>
          </w:p>
        </w:tc>
        <w:tc>
          <w:tcPr>
            <w:tcW w:w="277" w:type="pct"/>
            <w:vMerge w:val="continue"/>
            <w:tcBorders>
              <w:tl2br w:val="nil"/>
              <w:tr2bl w:val="nil"/>
            </w:tcBorders>
            <w:vAlign w:val="center"/>
          </w:tcPr>
          <w:p w14:paraId="3B133E4D">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82" w:type="pct"/>
            <w:tcBorders>
              <w:tl2br w:val="nil"/>
              <w:tr2bl w:val="nil"/>
            </w:tcBorders>
            <w:shd w:val="clear" w:color="auto" w:fill="auto"/>
            <w:vAlign w:val="center"/>
          </w:tcPr>
          <w:p w14:paraId="7767D681">
            <w:pPr>
              <w:keepNext w:val="0"/>
              <w:keepLines w:val="0"/>
              <w:pageBreakBefore w:val="0"/>
              <w:kinsoku/>
              <w:wordWrap/>
              <w:overflowPunct/>
              <w:topLinePunct w:val="0"/>
              <w:autoSpaceDE/>
              <w:autoSpaceDN/>
              <w:bidi w:val="0"/>
              <w:adjustRightInd w:val="0"/>
              <w:spacing w:line="240" w:lineRule="auto"/>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21</w:t>
            </w:r>
          </w:p>
        </w:tc>
        <w:tc>
          <w:tcPr>
            <w:tcW w:w="299" w:type="pct"/>
            <w:tcBorders>
              <w:tl2br w:val="nil"/>
              <w:tr2bl w:val="nil"/>
            </w:tcBorders>
            <w:vAlign w:val="center"/>
          </w:tcPr>
          <w:p w14:paraId="0B31B02F">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26.08</w:t>
            </w:r>
          </w:p>
        </w:tc>
        <w:tc>
          <w:tcPr>
            <w:tcW w:w="296" w:type="pct"/>
            <w:tcBorders>
              <w:tl2br w:val="nil"/>
              <w:tr2bl w:val="nil"/>
            </w:tcBorders>
            <w:vAlign w:val="center"/>
          </w:tcPr>
          <w:p w14:paraId="7BBCA8EC">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14:paraId="37C9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 w:type="pct"/>
            <w:tcBorders>
              <w:tl2br w:val="nil"/>
              <w:tr2bl w:val="nil"/>
            </w:tcBorders>
            <w:vAlign w:val="center"/>
          </w:tcPr>
          <w:p w14:paraId="03180CE7">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p>
        </w:tc>
        <w:tc>
          <w:tcPr>
            <w:tcW w:w="325" w:type="pct"/>
            <w:vMerge w:val="continue"/>
            <w:tcBorders>
              <w:tl2br w:val="nil"/>
              <w:tr2bl w:val="nil"/>
            </w:tcBorders>
            <w:vAlign w:val="center"/>
          </w:tcPr>
          <w:p w14:paraId="488D2030">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577" w:type="pct"/>
            <w:tcBorders>
              <w:tl2br w:val="nil"/>
              <w:tr2bl w:val="nil"/>
            </w:tcBorders>
            <w:shd w:val="clear" w:color="auto" w:fill="auto"/>
            <w:vAlign w:val="center"/>
          </w:tcPr>
          <w:p w14:paraId="4C9711BB">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剪切机（等效声源）</w:t>
            </w:r>
          </w:p>
        </w:tc>
        <w:tc>
          <w:tcPr>
            <w:tcW w:w="293" w:type="pct"/>
            <w:tcBorders>
              <w:tl2br w:val="nil"/>
              <w:tr2bl w:val="nil"/>
            </w:tcBorders>
            <w:shd w:val="clear" w:color="auto" w:fill="auto"/>
            <w:vAlign w:val="center"/>
          </w:tcPr>
          <w:p w14:paraId="08FBD6AF">
            <w:pPr>
              <w:pStyle w:val="7"/>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5</w:t>
            </w:r>
          </w:p>
        </w:tc>
        <w:tc>
          <w:tcPr>
            <w:tcW w:w="462" w:type="pct"/>
            <w:tcBorders>
              <w:tl2br w:val="nil"/>
              <w:tr2bl w:val="nil"/>
            </w:tcBorders>
            <w:shd w:val="clear" w:color="auto" w:fill="auto"/>
            <w:vAlign w:val="center"/>
          </w:tcPr>
          <w:p w14:paraId="4A4058AA">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77</w:t>
            </w:r>
          </w:p>
        </w:tc>
        <w:tc>
          <w:tcPr>
            <w:tcW w:w="367" w:type="pct"/>
            <w:vMerge w:val="continue"/>
            <w:tcBorders>
              <w:tl2br w:val="nil"/>
              <w:tr2bl w:val="nil"/>
            </w:tcBorders>
            <w:vAlign w:val="center"/>
          </w:tcPr>
          <w:p w14:paraId="662E788D">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21" w:type="pct"/>
            <w:tcBorders>
              <w:tl2br w:val="nil"/>
              <w:tr2bl w:val="nil"/>
            </w:tcBorders>
            <w:vAlign w:val="center"/>
          </w:tcPr>
          <w:p w14:paraId="25CA640C">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74.79</w:t>
            </w:r>
          </w:p>
        </w:tc>
        <w:tc>
          <w:tcPr>
            <w:tcW w:w="325" w:type="pct"/>
            <w:tcBorders>
              <w:tl2br w:val="nil"/>
              <w:tr2bl w:val="nil"/>
            </w:tcBorders>
            <w:vAlign w:val="center"/>
          </w:tcPr>
          <w:p w14:paraId="0FDE3814">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52.38</w:t>
            </w:r>
          </w:p>
        </w:tc>
        <w:tc>
          <w:tcPr>
            <w:tcW w:w="247" w:type="pct"/>
            <w:tcBorders>
              <w:tl2br w:val="nil"/>
              <w:tr2bl w:val="nil"/>
            </w:tcBorders>
            <w:shd w:val="clear" w:color="auto" w:fill="auto"/>
            <w:vAlign w:val="center"/>
          </w:tcPr>
          <w:p w14:paraId="64374E75">
            <w:pPr>
              <w:keepNext w:val="0"/>
              <w:keepLines w:val="0"/>
              <w:pageBreakBefore w:val="0"/>
              <w:kinsoku/>
              <w:wordWrap/>
              <w:overflowPunct/>
              <w:topLinePunct w:val="0"/>
              <w:autoSpaceDE/>
              <w:autoSpaceDN/>
              <w:bidi w:val="0"/>
              <w:adjustRightInd w:val="0"/>
              <w:spacing w:line="240" w:lineRule="auto"/>
              <w:ind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w:t>
            </w:r>
          </w:p>
        </w:tc>
        <w:tc>
          <w:tcPr>
            <w:tcW w:w="274" w:type="pct"/>
            <w:tcBorders>
              <w:tl2br w:val="nil"/>
              <w:tr2bl w:val="nil"/>
            </w:tcBorders>
            <w:vAlign w:val="center"/>
          </w:tcPr>
          <w:p w14:paraId="51F75E2C">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w:t>
            </w:r>
          </w:p>
        </w:tc>
        <w:tc>
          <w:tcPr>
            <w:tcW w:w="302" w:type="pct"/>
            <w:tcBorders>
              <w:tl2br w:val="nil"/>
              <w:tr2bl w:val="nil"/>
            </w:tcBorders>
            <w:vAlign w:val="center"/>
          </w:tcPr>
          <w:p w14:paraId="03F44A78">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50.98</w:t>
            </w:r>
          </w:p>
        </w:tc>
        <w:tc>
          <w:tcPr>
            <w:tcW w:w="277" w:type="pct"/>
            <w:vMerge w:val="continue"/>
            <w:tcBorders>
              <w:tl2br w:val="nil"/>
              <w:tr2bl w:val="nil"/>
            </w:tcBorders>
            <w:vAlign w:val="center"/>
          </w:tcPr>
          <w:p w14:paraId="1E92ABD7">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82" w:type="pct"/>
            <w:tcBorders>
              <w:tl2br w:val="nil"/>
              <w:tr2bl w:val="nil"/>
            </w:tcBorders>
            <w:shd w:val="clear" w:color="auto" w:fill="auto"/>
            <w:vAlign w:val="center"/>
          </w:tcPr>
          <w:p w14:paraId="1808391A">
            <w:pPr>
              <w:keepNext w:val="0"/>
              <w:keepLines w:val="0"/>
              <w:pageBreakBefore w:val="0"/>
              <w:kinsoku/>
              <w:wordWrap/>
              <w:overflowPunct/>
              <w:topLinePunct w:val="0"/>
              <w:autoSpaceDE/>
              <w:autoSpaceDN/>
              <w:bidi w:val="0"/>
              <w:adjustRightInd w:val="0"/>
              <w:spacing w:line="240" w:lineRule="auto"/>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21</w:t>
            </w:r>
          </w:p>
        </w:tc>
        <w:tc>
          <w:tcPr>
            <w:tcW w:w="299" w:type="pct"/>
            <w:tcBorders>
              <w:tl2br w:val="nil"/>
              <w:tr2bl w:val="nil"/>
            </w:tcBorders>
            <w:vAlign w:val="center"/>
          </w:tcPr>
          <w:p w14:paraId="346F8B86">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29.98</w:t>
            </w:r>
          </w:p>
        </w:tc>
        <w:tc>
          <w:tcPr>
            <w:tcW w:w="296" w:type="pct"/>
            <w:tcBorders>
              <w:tl2br w:val="nil"/>
              <w:tr2bl w:val="nil"/>
            </w:tcBorders>
            <w:vAlign w:val="center"/>
          </w:tcPr>
          <w:p w14:paraId="4F8C6879">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r>
      <w:tr w14:paraId="61FEA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 w:type="pct"/>
            <w:tcBorders>
              <w:tl2br w:val="nil"/>
              <w:tr2bl w:val="nil"/>
            </w:tcBorders>
            <w:vAlign w:val="center"/>
          </w:tcPr>
          <w:p w14:paraId="4573BD57">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w:t>
            </w:r>
          </w:p>
        </w:tc>
        <w:tc>
          <w:tcPr>
            <w:tcW w:w="325" w:type="pct"/>
            <w:vMerge w:val="continue"/>
            <w:tcBorders>
              <w:tl2br w:val="nil"/>
              <w:tr2bl w:val="nil"/>
            </w:tcBorders>
            <w:vAlign w:val="center"/>
          </w:tcPr>
          <w:p w14:paraId="54737AAF">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577" w:type="pct"/>
            <w:tcBorders>
              <w:tl2br w:val="nil"/>
              <w:tr2bl w:val="nil"/>
            </w:tcBorders>
            <w:shd w:val="clear" w:color="auto" w:fill="auto"/>
            <w:vAlign w:val="center"/>
          </w:tcPr>
          <w:p w14:paraId="73D4242C">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超声波焊接机（等效声源）</w:t>
            </w:r>
          </w:p>
        </w:tc>
        <w:tc>
          <w:tcPr>
            <w:tcW w:w="293" w:type="pct"/>
            <w:tcBorders>
              <w:tl2br w:val="nil"/>
              <w:tr2bl w:val="nil"/>
            </w:tcBorders>
            <w:shd w:val="clear" w:color="auto" w:fill="auto"/>
            <w:vAlign w:val="center"/>
          </w:tcPr>
          <w:p w14:paraId="7F55B58B">
            <w:pPr>
              <w:pStyle w:val="7"/>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3</w:t>
            </w:r>
          </w:p>
        </w:tc>
        <w:tc>
          <w:tcPr>
            <w:tcW w:w="462" w:type="pct"/>
            <w:tcBorders>
              <w:tl2br w:val="nil"/>
              <w:tr2bl w:val="nil"/>
            </w:tcBorders>
            <w:shd w:val="clear" w:color="auto" w:fill="auto"/>
            <w:vAlign w:val="center"/>
          </w:tcPr>
          <w:p w14:paraId="4EC99544">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85</w:t>
            </w:r>
          </w:p>
        </w:tc>
        <w:tc>
          <w:tcPr>
            <w:tcW w:w="367" w:type="pct"/>
            <w:vMerge w:val="continue"/>
            <w:tcBorders>
              <w:tl2br w:val="nil"/>
              <w:tr2bl w:val="nil"/>
            </w:tcBorders>
            <w:vAlign w:val="center"/>
          </w:tcPr>
          <w:p w14:paraId="536DE5A4">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21" w:type="pct"/>
            <w:tcBorders>
              <w:tl2br w:val="nil"/>
              <w:tr2bl w:val="nil"/>
            </w:tcBorders>
            <w:vAlign w:val="center"/>
          </w:tcPr>
          <w:p w14:paraId="4F889985">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38.52</w:t>
            </w:r>
          </w:p>
        </w:tc>
        <w:tc>
          <w:tcPr>
            <w:tcW w:w="325" w:type="pct"/>
            <w:tcBorders>
              <w:tl2br w:val="nil"/>
              <w:tr2bl w:val="nil"/>
            </w:tcBorders>
            <w:vAlign w:val="center"/>
          </w:tcPr>
          <w:p w14:paraId="550D773C">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51.23</w:t>
            </w:r>
          </w:p>
        </w:tc>
        <w:tc>
          <w:tcPr>
            <w:tcW w:w="247" w:type="pct"/>
            <w:tcBorders>
              <w:tl2br w:val="nil"/>
              <w:tr2bl w:val="nil"/>
            </w:tcBorders>
            <w:shd w:val="clear" w:color="auto" w:fill="auto"/>
            <w:vAlign w:val="center"/>
          </w:tcPr>
          <w:p w14:paraId="7D5DDCCB">
            <w:pPr>
              <w:keepNext w:val="0"/>
              <w:keepLines w:val="0"/>
              <w:pageBreakBefore w:val="0"/>
              <w:kinsoku/>
              <w:wordWrap/>
              <w:overflowPunct/>
              <w:topLinePunct w:val="0"/>
              <w:autoSpaceDE/>
              <w:autoSpaceDN/>
              <w:bidi w:val="0"/>
              <w:adjustRightInd w:val="0"/>
              <w:spacing w:line="240" w:lineRule="auto"/>
              <w:ind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w:t>
            </w:r>
          </w:p>
        </w:tc>
        <w:tc>
          <w:tcPr>
            <w:tcW w:w="274" w:type="pct"/>
            <w:tcBorders>
              <w:tl2br w:val="nil"/>
              <w:tr2bl w:val="nil"/>
            </w:tcBorders>
            <w:vAlign w:val="center"/>
          </w:tcPr>
          <w:p w14:paraId="234F073E">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22</w:t>
            </w:r>
          </w:p>
        </w:tc>
        <w:tc>
          <w:tcPr>
            <w:tcW w:w="302" w:type="pct"/>
            <w:tcBorders>
              <w:tl2br w:val="nil"/>
              <w:tr2bl w:val="nil"/>
            </w:tcBorders>
            <w:vAlign w:val="center"/>
          </w:tcPr>
          <w:p w14:paraId="1B983607">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58.15</w:t>
            </w:r>
          </w:p>
        </w:tc>
        <w:tc>
          <w:tcPr>
            <w:tcW w:w="277" w:type="pct"/>
            <w:vMerge w:val="continue"/>
            <w:tcBorders>
              <w:tl2br w:val="nil"/>
              <w:tr2bl w:val="nil"/>
            </w:tcBorders>
            <w:vAlign w:val="center"/>
          </w:tcPr>
          <w:p w14:paraId="19E52028">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82" w:type="pct"/>
            <w:tcBorders>
              <w:tl2br w:val="nil"/>
              <w:tr2bl w:val="nil"/>
            </w:tcBorders>
            <w:shd w:val="clear" w:color="auto" w:fill="auto"/>
            <w:vAlign w:val="center"/>
          </w:tcPr>
          <w:p w14:paraId="5023F5F1">
            <w:pPr>
              <w:keepNext w:val="0"/>
              <w:keepLines w:val="0"/>
              <w:pageBreakBefore w:val="0"/>
              <w:kinsoku/>
              <w:wordWrap/>
              <w:overflowPunct/>
              <w:topLinePunct w:val="0"/>
              <w:autoSpaceDE/>
              <w:autoSpaceDN/>
              <w:bidi w:val="0"/>
              <w:adjustRightInd w:val="0"/>
              <w:spacing w:line="240" w:lineRule="auto"/>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21</w:t>
            </w:r>
          </w:p>
        </w:tc>
        <w:tc>
          <w:tcPr>
            <w:tcW w:w="299" w:type="pct"/>
            <w:tcBorders>
              <w:tl2br w:val="nil"/>
              <w:tr2bl w:val="nil"/>
            </w:tcBorders>
            <w:vAlign w:val="center"/>
          </w:tcPr>
          <w:p w14:paraId="0C677569">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37.15</w:t>
            </w:r>
          </w:p>
        </w:tc>
        <w:tc>
          <w:tcPr>
            <w:tcW w:w="296" w:type="pct"/>
            <w:tcBorders>
              <w:tl2br w:val="nil"/>
              <w:tr2bl w:val="nil"/>
            </w:tcBorders>
            <w:vAlign w:val="center"/>
          </w:tcPr>
          <w:p w14:paraId="4ECF5ED2">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r>
      <w:tr w14:paraId="541A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 w:type="pct"/>
            <w:tcBorders>
              <w:tl2br w:val="nil"/>
              <w:tr2bl w:val="nil"/>
            </w:tcBorders>
            <w:vAlign w:val="center"/>
          </w:tcPr>
          <w:p w14:paraId="27871FBF">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325" w:type="pct"/>
            <w:vMerge w:val="continue"/>
            <w:tcBorders>
              <w:tl2br w:val="nil"/>
              <w:tr2bl w:val="nil"/>
            </w:tcBorders>
            <w:vAlign w:val="center"/>
          </w:tcPr>
          <w:p w14:paraId="6E3A9B1A">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577" w:type="pct"/>
            <w:tcBorders>
              <w:tl2br w:val="nil"/>
              <w:tr2bl w:val="nil"/>
            </w:tcBorders>
            <w:shd w:val="clear" w:color="auto" w:fill="auto"/>
            <w:vAlign w:val="center"/>
          </w:tcPr>
          <w:p w14:paraId="7405F4D8">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废气处理设施风机（DA001）</w:t>
            </w:r>
          </w:p>
        </w:tc>
        <w:tc>
          <w:tcPr>
            <w:tcW w:w="293" w:type="pct"/>
            <w:tcBorders>
              <w:tl2br w:val="nil"/>
              <w:tr2bl w:val="nil"/>
            </w:tcBorders>
            <w:shd w:val="clear" w:color="auto" w:fill="auto"/>
            <w:vAlign w:val="center"/>
          </w:tcPr>
          <w:p w14:paraId="174DBDE2">
            <w:pPr>
              <w:pStyle w:val="7"/>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1</w:t>
            </w:r>
          </w:p>
        </w:tc>
        <w:tc>
          <w:tcPr>
            <w:tcW w:w="462" w:type="pct"/>
            <w:tcBorders>
              <w:tl2br w:val="nil"/>
              <w:tr2bl w:val="nil"/>
            </w:tcBorders>
            <w:shd w:val="clear" w:color="auto" w:fill="auto"/>
            <w:vAlign w:val="center"/>
          </w:tcPr>
          <w:p w14:paraId="7CFB51A4">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85</w:t>
            </w:r>
          </w:p>
        </w:tc>
        <w:tc>
          <w:tcPr>
            <w:tcW w:w="367" w:type="pct"/>
            <w:vMerge w:val="continue"/>
            <w:tcBorders>
              <w:tl2br w:val="nil"/>
              <w:tr2bl w:val="nil"/>
            </w:tcBorders>
            <w:vAlign w:val="center"/>
          </w:tcPr>
          <w:p w14:paraId="6A765A6C">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21" w:type="pct"/>
            <w:tcBorders>
              <w:tl2br w:val="nil"/>
              <w:tr2bl w:val="nil"/>
            </w:tcBorders>
            <w:vAlign w:val="center"/>
          </w:tcPr>
          <w:p w14:paraId="10B9C4E4">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125.53</w:t>
            </w:r>
          </w:p>
        </w:tc>
        <w:tc>
          <w:tcPr>
            <w:tcW w:w="325" w:type="pct"/>
            <w:tcBorders>
              <w:tl2br w:val="nil"/>
              <w:tr2bl w:val="nil"/>
            </w:tcBorders>
            <w:vAlign w:val="center"/>
          </w:tcPr>
          <w:p w14:paraId="7CF6433C">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80.07</w:t>
            </w:r>
          </w:p>
        </w:tc>
        <w:tc>
          <w:tcPr>
            <w:tcW w:w="247" w:type="pct"/>
            <w:tcBorders>
              <w:tl2br w:val="nil"/>
              <w:tr2bl w:val="nil"/>
            </w:tcBorders>
            <w:shd w:val="clear" w:color="auto" w:fill="auto"/>
            <w:vAlign w:val="center"/>
          </w:tcPr>
          <w:p w14:paraId="6CBF9E4B">
            <w:pPr>
              <w:pStyle w:val="10"/>
              <w:keepNext w:val="0"/>
              <w:keepLines w:val="0"/>
              <w:pageBreakBefore w:val="0"/>
              <w:kinsoku/>
              <w:wordWrap/>
              <w:overflowPunct/>
              <w:topLinePunct w:val="0"/>
              <w:autoSpaceDE/>
              <w:autoSpaceDN/>
              <w:bidi w:val="0"/>
              <w:adjustRightInd w:val="0"/>
              <w:spacing w:before="0" w:after="0" w:line="240" w:lineRule="auto"/>
              <w:ind w:right="0" w:rightChars="0"/>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1</w:t>
            </w:r>
          </w:p>
        </w:tc>
        <w:tc>
          <w:tcPr>
            <w:tcW w:w="274" w:type="pct"/>
            <w:tcBorders>
              <w:tl2br w:val="nil"/>
              <w:tr2bl w:val="nil"/>
            </w:tcBorders>
            <w:vAlign w:val="center"/>
          </w:tcPr>
          <w:p w14:paraId="384D8FCB">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w:t>
            </w:r>
          </w:p>
        </w:tc>
        <w:tc>
          <w:tcPr>
            <w:tcW w:w="302" w:type="pct"/>
            <w:tcBorders>
              <w:tl2br w:val="nil"/>
              <w:tr2bl w:val="nil"/>
            </w:tcBorders>
            <w:vAlign w:val="center"/>
          </w:tcPr>
          <w:p w14:paraId="5FFDCEB2">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71.02</w:t>
            </w:r>
          </w:p>
        </w:tc>
        <w:tc>
          <w:tcPr>
            <w:tcW w:w="277" w:type="pct"/>
            <w:vMerge w:val="continue"/>
            <w:tcBorders>
              <w:tl2br w:val="nil"/>
              <w:tr2bl w:val="nil"/>
            </w:tcBorders>
            <w:vAlign w:val="center"/>
          </w:tcPr>
          <w:p w14:paraId="29AF3903">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82" w:type="pct"/>
            <w:tcBorders>
              <w:tl2br w:val="nil"/>
              <w:tr2bl w:val="nil"/>
            </w:tcBorders>
            <w:shd w:val="clear" w:color="auto" w:fill="auto"/>
            <w:vAlign w:val="center"/>
          </w:tcPr>
          <w:p w14:paraId="098E7992">
            <w:pPr>
              <w:keepNext w:val="0"/>
              <w:keepLines w:val="0"/>
              <w:pageBreakBefore w:val="0"/>
              <w:kinsoku/>
              <w:wordWrap/>
              <w:overflowPunct/>
              <w:topLinePunct w:val="0"/>
              <w:autoSpaceDE/>
              <w:autoSpaceDN/>
              <w:bidi w:val="0"/>
              <w:adjustRightInd w:val="0"/>
              <w:spacing w:line="240" w:lineRule="auto"/>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21</w:t>
            </w:r>
          </w:p>
        </w:tc>
        <w:tc>
          <w:tcPr>
            <w:tcW w:w="299" w:type="pct"/>
            <w:tcBorders>
              <w:tl2br w:val="nil"/>
              <w:tr2bl w:val="nil"/>
            </w:tcBorders>
            <w:vAlign w:val="center"/>
          </w:tcPr>
          <w:p w14:paraId="4BDDA90A">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50.02</w:t>
            </w:r>
          </w:p>
        </w:tc>
        <w:tc>
          <w:tcPr>
            <w:tcW w:w="296" w:type="pct"/>
            <w:tcBorders>
              <w:tl2br w:val="nil"/>
              <w:tr2bl w:val="nil"/>
            </w:tcBorders>
            <w:vAlign w:val="center"/>
          </w:tcPr>
          <w:p w14:paraId="64D22263">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r>
      <w:tr w14:paraId="5027A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 w:type="pct"/>
            <w:tcBorders>
              <w:tl2br w:val="nil"/>
              <w:tr2bl w:val="nil"/>
            </w:tcBorders>
            <w:shd w:val="clear" w:color="auto" w:fill="auto"/>
            <w:vAlign w:val="center"/>
          </w:tcPr>
          <w:p w14:paraId="20EB00D7">
            <w:pPr>
              <w:pStyle w:val="10"/>
              <w:keepNext w:val="0"/>
              <w:keepLines w:val="0"/>
              <w:pageBreakBefore w:val="0"/>
              <w:kinsoku/>
              <w:wordWrap/>
              <w:overflowPunct/>
              <w:topLinePunct w:val="0"/>
              <w:autoSpaceDE/>
              <w:autoSpaceDN/>
              <w:bidi w:val="0"/>
              <w:adjustRightIn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11</w:t>
            </w:r>
          </w:p>
        </w:tc>
        <w:tc>
          <w:tcPr>
            <w:tcW w:w="325" w:type="pct"/>
            <w:vMerge w:val="continue"/>
            <w:tcBorders>
              <w:tl2br w:val="nil"/>
              <w:tr2bl w:val="nil"/>
            </w:tcBorders>
            <w:vAlign w:val="center"/>
          </w:tcPr>
          <w:p w14:paraId="6E46DD7C">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577" w:type="pct"/>
            <w:tcBorders>
              <w:tl2br w:val="nil"/>
              <w:tr2bl w:val="nil"/>
            </w:tcBorders>
            <w:shd w:val="clear" w:color="auto" w:fill="auto"/>
            <w:vAlign w:val="center"/>
          </w:tcPr>
          <w:p w14:paraId="15712DFD">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废气处理设施风机（DA002）</w:t>
            </w:r>
          </w:p>
        </w:tc>
        <w:tc>
          <w:tcPr>
            <w:tcW w:w="293" w:type="pct"/>
            <w:tcBorders>
              <w:tl2br w:val="nil"/>
              <w:tr2bl w:val="nil"/>
            </w:tcBorders>
            <w:shd w:val="clear" w:color="auto" w:fill="auto"/>
            <w:vAlign w:val="center"/>
          </w:tcPr>
          <w:p w14:paraId="6885059E">
            <w:pPr>
              <w:pStyle w:val="7"/>
              <w:keepNext w:val="0"/>
              <w:keepLines w:val="0"/>
              <w:pageBreakBefore w:val="0"/>
              <w:kinsoku/>
              <w:wordWrap/>
              <w:overflowPunct/>
              <w:topLinePunct w:val="0"/>
              <w:autoSpaceDE/>
              <w:autoSpaceDN/>
              <w:bidi w:val="0"/>
              <w:spacing w:line="240" w:lineRule="auto"/>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1</w:t>
            </w:r>
          </w:p>
        </w:tc>
        <w:tc>
          <w:tcPr>
            <w:tcW w:w="462" w:type="pct"/>
            <w:tcBorders>
              <w:tl2br w:val="nil"/>
              <w:tr2bl w:val="nil"/>
            </w:tcBorders>
            <w:shd w:val="clear" w:color="auto" w:fill="auto"/>
            <w:vAlign w:val="center"/>
          </w:tcPr>
          <w:p w14:paraId="67198336">
            <w:pPr>
              <w:keepNext w:val="0"/>
              <w:keepLines w:val="0"/>
              <w:pageBreakBefore w:val="0"/>
              <w:kinsoku/>
              <w:wordWrap/>
              <w:overflowPunct/>
              <w:topLinePunct w:val="0"/>
              <w:autoSpaceDE/>
              <w:autoSpaceDN/>
              <w:bidi w:val="0"/>
              <w:adjustRightInd w:val="0"/>
              <w:spacing w:line="240" w:lineRule="auto"/>
              <w:jc w:val="center"/>
              <w:textAlignment w:val="auto"/>
              <w:rPr>
                <w:rFonts w:hint="eastAsia"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85</w:t>
            </w:r>
          </w:p>
        </w:tc>
        <w:tc>
          <w:tcPr>
            <w:tcW w:w="367" w:type="pct"/>
            <w:vMerge w:val="continue"/>
            <w:tcBorders>
              <w:tl2br w:val="nil"/>
              <w:tr2bl w:val="nil"/>
            </w:tcBorders>
            <w:vAlign w:val="center"/>
          </w:tcPr>
          <w:p w14:paraId="5A39F9EF">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21" w:type="pct"/>
            <w:tcBorders>
              <w:tl2br w:val="nil"/>
              <w:tr2bl w:val="nil"/>
            </w:tcBorders>
            <w:vAlign w:val="center"/>
          </w:tcPr>
          <w:p w14:paraId="4161A0AB">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63.41</w:t>
            </w:r>
          </w:p>
        </w:tc>
        <w:tc>
          <w:tcPr>
            <w:tcW w:w="325" w:type="pct"/>
            <w:tcBorders>
              <w:tl2br w:val="nil"/>
              <w:tr2bl w:val="nil"/>
            </w:tcBorders>
            <w:vAlign w:val="center"/>
          </w:tcPr>
          <w:p w14:paraId="2F8A0586">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75.02</w:t>
            </w:r>
          </w:p>
        </w:tc>
        <w:tc>
          <w:tcPr>
            <w:tcW w:w="247" w:type="pct"/>
            <w:tcBorders>
              <w:tl2br w:val="nil"/>
              <w:tr2bl w:val="nil"/>
            </w:tcBorders>
            <w:shd w:val="clear" w:color="auto" w:fill="auto"/>
            <w:vAlign w:val="center"/>
          </w:tcPr>
          <w:p w14:paraId="6F374EA6">
            <w:pPr>
              <w:pStyle w:val="10"/>
              <w:keepNext w:val="0"/>
              <w:keepLines w:val="0"/>
              <w:pageBreakBefore w:val="0"/>
              <w:kinsoku/>
              <w:wordWrap/>
              <w:overflowPunct/>
              <w:topLinePunct w:val="0"/>
              <w:autoSpaceDE/>
              <w:autoSpaceDN/>
              <w:bidi w:val="0"/>
              <w:adjustRightInd w:val="0"/>
              <w:spacing w:before="0" w:after="0" w:line="240" w:lineRule="auto"/>
              <w:ind w:right="0" w:right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274" w:type="pct"/>
            <w:tcBorders>
              <w:tl2br w:val="nil"/>
              <w:tr2bl w:val="nil"/>
            </w:tcBorders>
            <w:vAlign w:val="center"/>
          </w:tcPr>
          <w:p w14:paraId="469CC980">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w:t>
            </w:r>
          </w:p>
        </w:tc>
        <w:tc>
          <w:tcPr>
            <w:tcW w:w="302" w:type="pct"/>
            <w:tcBorders>
              <w:tl2br w:val="nil"/>
              <w:tr2bl w:val="nil"/>
            </w:tcBorders>
            <w:vAlign w:val="center"/>
          </w:tcPr>
          <w:p w14:paraId="691F9F0C">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69.44</w:t>
            </w:r>
          </w:p>
        </w:tc>
        <w:tc>
          <w:tcPr>
            <w:tcW w:w="277" w:type="pct"/>
            <w:vMerge w:val="continue"/>
            <w:tcBorders>
              <w:tl2br w:val="nil"/>
              <w:tr2bl w:val="nil"/>
            </w:tcBorders>
            <w:vAlign w:val="center"/>
          </w:tcPr>
          <w:p w14:paraId="2155A200">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82" w:type="pct"/>
            <w:tcBorders>
              <w:tl2br w:val="nil"/>
              <w:tr2bl w:val="nil"/>
            </w:tcBorders>
            <w:shd w:val="clear" w:color="auto" w:fill="auto"/>
            <w:vAlign w:val="center"/>
          </w:tcPr>
          <w:p w14:paraId="0E7CA6BE">
            <w:pPr>
              <w:keepNext w:val="0"/>
              <w:keepLines w:val="0"/>
              <w:pageBreakBefore w:val="0"/>
              <w:kinsoku/>
              <w:wordWrap/>
              <w:overflowPunct/>
              <w:topLinePunct w:val="0"/>
              <w:autoSpaceDE/>
              <w:autoSpaceDN/>
              <w:bidi w:val="0"/>
              <w:adjustRightInd w:val="0"/>
              <w:spacing w:line="240" w:lineRule="auto"/>
              <w:ind w:right="0" w:right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21</w:t>
            </w:r>
          </w:p>
        </w:tc>
        <w:tc>
          <w:tcPr>
            <w:tcW w:w="299" w:type="pct"/>
            <w:tcBorders>
              <w:tl2br w:val="nil"/>
              <w:tr2bl w:val="nil"/>
            </w:tcBorders>
            <w:vAlign w:val="center"/>
          </w:tcPr>
          <w:p w14:paraId="7CCAC8E9">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48.44</w:t>
            </w:r>
          </w:p>
        </w:tc>
        <w:tc>
          <w:tcPr>
            <w:tcW w:w="296" w:type="pct"/>
            <w:tcBorders>
              <w:tl2br w:val="nil"/>
              <w:tr2bl w:val="nil"/>
            </w:tcBorders>
            <w:vAlign w:val="center"/>
          </w:tcPr>
          <w:p w14:paraId="53CDF171">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r>
      <w:tr w14:paraId="64C5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 w:type="pct"/>
            <w:tcBorders>
              <w:tl2br w:val="nil"/>
              <w:tr2bl w:val="nil"/>
            </w:tcBorders>
            <w:shd w:val="clear" w:color="auto" w:fill="auto"/>
            <w:vAlign w:val="center"/>
          </w:tcPr>
          <w:p w14:paraId="5EB7FB6F">
            <w:pPr>
              <w:pStyle w:val="10"/>
              <w:keepNext w:val="0"/>
              <w:keepLines w:val="0"/>
              <w:pageBreakBefore w:val="0"/>
              <w:kinsoku/>
              <w:wordWrap/>
              <w:overflowPunct/>
              <w:topLinePunct w:val="0"/>
              <w:autoSpaceDE/>
              <w:autoSpaceDN/>
              <w:bidi w:val="0"/>
              <w:adjustRightIn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12</w:t>
            </w:r>
          </w:p>
        </w:tc>
        <w:tc>
          <w:tcPr>
            <w:tcW w:w="325" w:type="pct"/>
            <w:vMerge w:val="continue"/>
            <w:tcBorders>
              <w:tl2br w:val="nil"/>
              <w:tr2bl w:val="nil"/>
            </w:tcBorders>
            <w:vAlign w:val="center"/>
          </w:tcPr>
          <w:p w14:paraId="4FB23F8B">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577" w:type="pct"/>
            <w:tcBorders>
              <w:tl2br w:val="nil"/>
              <w:tr2bl w:val="nil"/>
            </w:tcBorders>
            <w:shd w:val="clear" w:color="auto" w:fill="auto"/>
            <w:vAlign w:val="center"/>
          </w:tcPr>
          <w:p w14:paraId="542B0DAB">
            <w:pPr>
              <w:keepNext w:val="0"/>
              <w:keepLines w:val="0"/>
              <w:pageBreakBefore w:val="0"/>
              <w:kinsoku/>
              <w:wordWrap/>
              <w:overflowPunct/>
              <w:topLinePunct w:val="0"/>
              <w:autoSpaceDE/>
              <w:autoSpaceDN/>
              <w:bidi w:val="0"/>
              <w:adjustRightInd w:val="0"/>
              <w:spacing w:line="240" w:lineRule="auto"/>
              <w:jc w:val="center"/>
              <w:textAlignment w:val="auto"/>
              <w:rPr>
                <w:rFonts w:hint="eastAsia"/>
                <w:color w:val="auto"/>
                <w:szCs w:val="21"/>
                <w:highlight w:val="none"/>
                <w:lang w:val="en-US" w:eastAsia="zh-CN"/>
              </w:rPr>
            </w:pPr>
            <w:r>
              <w:rPr>
                <w:rFonts w:hint="eastAsia"/>
                <w:color w:val="auto"/>
                <w:szCs w:val="21"/>
                <w:highlight w:val="none"/>
                <w:lang w:val="en-US" w:eastAsia="zh-CN"/>
              </w:rPr>
              <w:t>柔板水墨印</w:t>
            </w:r>
          </w:p>
          <w:p w14:paraId="0EA4B33A">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刷机</w:t>
            </w:r>
          </w:p>
        </w:tc>
        <w:tc>
          <w:tcPr>
            <w:tcW w:w="293" w:type="pct"/>
            <w:tcBorders>
              <w:tl2br w:val="nil"/>
              <w:tr2bl w:val="nil"/>
            </w:tcBorders>
            <w:shd w:val="clear" w:color="auto" w:fill="auto"/>
            <w:vAlign w:val="center"/>
          </w:tcPr>
          <w:p w14:paraId="15BB7CF7">
            <w:pPr>
              <w:pStyle w:val="7"/>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1</w:t>
            </w:r>
          </w:p>
        </w:tc>
        <w:tc>
          <w:tcPr>
            <w:tcW w:w="462" w:type="pct"/>
            <w:tcBorders>
              <w:tl2br w:val="nil"/>
              <w:tr2bl w:val="nil"/>
            </w:tcBorders>
            <w:shd w:val="clear" w:color="auto" w:fill="auto"/>
            <w:vAlign w:val="center"/>
          </w:tcPr>
          <w:p w14:paraId="6678A2FD">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75</w:t>
            </w:r>
          </w:p>
        </w:tc>
        <w:tc>
          <w:tcPr>
            <w:tcW w:w="367" w:type="pct"/>
            <w:vMerge w:val="continue"/>
            <w:tcBorders>
              <w:tl2br w:val="nil"/>
              <w:tr2bl w:val="nil"/>
            </w:tcBorders>
            <w:vAlign w:val="center"/>
          </w:tcPr>
          <w:p w14:paraId="16049372">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21" w:type="pct"/>
            <w:tcBorders>
              <w:tl2br w:val="nil"/>
              <w:tr2bl w:val="nil"/>
            </w:tcBorders>
            <w:vAlign w:val="center"/>
          </w:tcPr>
          <w:p w14:paraId="4E1E2E5C">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62.92</w:t>
            </w:r>
          </w:p>
        </w:tc>
        <w:tc>
          <w:tcPr>
            <w:tcW w:w="325" w:type="pct"/>
            <w:tcBorders>
              <w:tl2br w:val="nil"/>
              <w:tr2bl w:val="nil"/>
            </w:tcBorders>
            <w:vAlign w:val="center"/>
          </w:tcPr>
          <w:p w14:paraId="6898BA61">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52.62</w:t>
            </w:r>
          </w:p>
        </w:tc>
        <w:tc>
          <w:tcPr>
            <w:tcW w:w="247" w:type="pct"/>
            <w:tcBorders>
              <w:tl2br w:val="nil"/>
              <w:tr2bl w:val="nil"/>
            </w:tcBorders>
            <w:shd w:val="clear" w:color="auto" w:fill="auto"/>
            <w:vAlign w:val="center"/>
          </w:tcPr>
          <w:p w14:paraId="105B2FF7">
            <w:pPr>
              <w:keepNext w:val="0"/>
              <w:keepLines w:val="0"/>
              <w:pageBreakBefore w:val="0"/>
              <w:kinsoku/>
              <w:wordWrap/>
              <w:overflowPunct/>
              <w:topLinePunct w:val="0"/>
              <w:autoSpaceDE/>
              <w:autoSpaceDN/>
              <w:bidi w:val="0"/>
              <w:adjustRightInd w:val="0"/>
              <w:spacing w:line="240" w:lineRule="auto"/>
              <w:ind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w:t>
            </w:r>
          </w:p>
        </w:tc>
        <w:tc>
          <w:tcPr>
            <w:tcW w:w="274" w:type="pct"/>
            <w:tcBorders>
              <w:tl2br w:val="nil"/>
              <w:tr2bl w:val="nil"/>
            </w:tcBorders>
            <w:vAlign w:val="center"/>
          </w:tcPr>
          <w:p w14:paraId="18B4C602">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21</w:t>
            </w:r>
          </w:p>
        </w:tc>
        <w:tc>
          <w:tcPr>
            <w:tcW w:w="302" w:type="pct"/>
            <w:tcBorders>
              <w:tl2br w:val="nil"/>
              <w:tr2bl w:val="nil"/>
            </w:tcBorders>
            <w:vAlign w:val="center"/>
          </w:tcPr>
          <w:p w14:paraId="359D35A0">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48.56</w:t>
            </w:r>
          </w:p>
        </w:tc>
        <w:tc>
          <w:tcPr>
            <w:tcW w:w="277" w:type="pct"/>
            <w:vMerge w:val="continue"/>
            <w:tcBorders>
              <w:tl2br w:val="nil"/>
              <w:tr2bl w:val="nil"/>
            </w:tcBorders>
            <w:vAlign w:val="center"/>
          </w:tcPr>
          <w:p w14:paraId="6DA5A3FB">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82" w:type="pct"/>
            <w:tcBorders>
              <w:tl2br w:val="nil"/>
              <w:tr2bl w:val="nil"/>
            </w:tcBorders>
            <w:shd w:val="clear" w:color="auto" w:fill="auto"/>
            <w:vAlign w:val="center"/>
          </w:tcPr>
          <w:p w14:paraId="11438AAE">
            <w:pPr>
              <w:keepNext w:val="0"/>
              <w:keepLines w:val="0"/>
              <w:pageBreakBefore w:val="0"/>
              <w:kinsoku/>
              <w:wordWrap/>
              <w:overflowPunct/>
              <w:topLinePunct w:val="0"/>
              <w:autoSpaceDE/>
              <w:autoSpaceDN/>
              <w:bidi w:val="0"/>
              <w:adjustRightInd w:val="0"/>
              <w:spacing w:line="240" w:lineRule="auto"/>
              <w:ind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21</w:t>
            </w:r>
          </w:p>
        </w:tc>
        <w:tc>
          <w:tcPr>
            <w:tcW w:w="299" w:type="pct"/>
            <w:tcBorders>
              <w:tl2br w:val="nil"/>
              <w:tr2bl w:val="nil"/>
            </w:tcBorders>
            <w:vAlign w:val="center"/>
          </w:tcPr>
          <w:p w14:paraId="43114215">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27.56</w:t>
            </w:r>
          </w:p>
        </w:tc>
        <w:tc>
          <w:tcPr>
            <w:tcW w:w="296" w:type="pct"/>
            <w:tcBorders>
              <w:tl2br w:val="nil"/>
              <w:tr2bl w:val="nil"/>
            </w:tcBorders>
            <w:vAlign w:val="center"/>
          </w:tcPr>
          <w:p w14:paraId="4FF1335E">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r>
      <w:tr w14:paraId="6191C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 w:type="pct"/>
            <w:tcBorders>
              <w:tl2br w:val="nil"/>
              <w:tr2bl w:val="nil"/>
            </w:tcBorders>
            <w:shd w:val="clear" w:color="auto" w:fill="auto"/>
            <w:vAlign w:val="center"/>
          </w:tcPr>
          <w:p w14:paraId="0B3BEA53">
            <w:pPr>
              <w:pStyle w:val="10"/>
              <w:keepNext w:val="0"/>
              <w:keepLines w:val="0"/>
              <w:pageBreakBefore w:val="0"/>
              <w:kinsoku/>
              <w:wordWrap/>
              <w:overflowPunct/>
              <w:topLinePunct w:val="0"/>
              <w:autoSpaceDE/>
              <w:autoSpaceDN/>
              <w:bidi w:val="0"/>
              <w:adjustRightIn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13</w:t>
            </w:r>
          </w:p>
        </w:tc>
        <w:tc>
          <w:tcPr>
            <w:tcW w:w="325" w:type="pct"/>
            <w:vMerge w:val="continue"/>
            <w:tcBorders>
              <w:tl2br w:val="nil"/>
              <w:tr2bl w:val="nil"/>
            </w:tcBorders>
            <w:vAlign w:val="center"/>
          </w:tcPr>
          <w:p w14:paraId="530AE491">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577" w:type="pct"/>
            <w:tcBorders>
              <w:tl2br w:val="nil"/>
              <w:tr2bl w:val="nil"/>
            </w:tcBorders>
            <w:shd w:val="clear" w:color="auto" w:fill="auto"/>
            <w:vAlign w:val="center"/>
          </w:tcPr>
          <w:p w14:paraId="31EB59B8">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数码印刷机</w:t>
            </w:r>
          </w:p>
        </w:tc>
        <w:tc>
          <w:tcPr>
            <w:tcW w:w="293" w:type="pct"/>
            <w:tcBorders>
              <w:tl2br w:val="nil"/>
              <w:tr2bl w:val="nil"/>
            </w:tcBorders>
            <w:shd w:val="clear" w:color="auto" w:fill="auto"/>
            <w:vAlign w:val="center"/>
          </w:tcPr>
          <w:p w14:paraId="5E8C21B1">
            <w:pPr>
              <w:pStyle w:val="7"/>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1</w:t>
            </w:r>
          </w:p>
        </w:tc>
        <w:tc>
          <w:tcPr>
            <w:tcW w:w="462" w:type="pct"/>
            <w:tcBorders>
              <w:tl2br w:val="nil"/>
              <w:tr2bl w:val="nil"/>
            </w:tcBorders>
            <w:shd w:val="clear" w:color="auto" w:fill="auto"/>
            <w:vAlign w:val="center"/>
          </w:tcPr>
          <w:p w14:paraId="7DEE19E9">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75</w:t>
            </w:r>
          </w:p>
        </w:tc>
        <w:tc>
          <w:tcPr>
            <w:tcW w:w="367" w:type="pct"/>
            <w:vMerge w:val="continue"/>
            <w:tcBorders>
              <w:tl2br w:val="nil"/>
              <w:tr2bl w:val="nil"/>
            </w:tcBorders>
            <w:vAlign w:val="center"/>
          </w:tcPr>
          <w:p w14:paraId="03D405C4">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21" w:type="pct"/>
            <w:tcBorders>
              <w:tl2br w:val="nil"/>
              <w:tr2bl w:val="nil"/>
            </w:tcBorders>
            <w:vAlign w:val="center"/>
          </w:tcPr>
          <w:p w14:paraId="586A5DD7">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63.48</w:t>
            </w:r>
          </w:p>
        </w:tc>
        <w:tc>
          <w:tcPr>
            <w:tcW w:w="325" w:type="pct"/>
            <w:tcBorders>
              <w:tl2br w:val="nil"/>
              <w:tr2bl w:val="nil"/>
            </w:tcBorders>
            <w:vAlign w:val="center"/>
          </w:tcPr>
          <w:p w14:paraId="5412E285">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30.75</w:t>
            </w:r>
          </w:p>
        </w:tc>
        <w:tc>
          <w:tcPr>
            <w:tcW w:w="247" w:type="pct"/>
            <w:tcBorders>
              <w:tl2br w:val="nil"/>
              <w:tr2bl w:val="nil"/>
            </w:tcBorders>
            <w:shd w:val="clear" w:color="auto" w:fill="auto"/>
            <w:vAlign w:val="center"/>
          </w:tcPr>
          <w:p w14:paraId="3D2DD19F">
            <w:pPr>
              <w:keepNext w:val="0"/>
              <w:keepLines w:val="0"/>
              <w:pageBreakBefore w:val="0"/>
              <w:kinsoku/>
              <w:wordWrap/>
              <w:overflowPunct/>
              <w:topLinePunct w:val="0"/>
              <w:autoSpaceDE/>
              <w:autoSpaceDN/>
              <w:bidi w:val="0"/>
              <w:adjustRightInd w:val="0"/>
              <w:spacing w:line="240" w:lineRule="auto"/>
              <w:ind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w:t>
            </w:r>
          </w:p>
        </w:tc>
        <w:tc>
          <w:tcPr>
            <w:tcW w:w="274" w:type="pct"/>
            <w:tcBorders>
              <w:tl2br w:val="nil"/>
              <w:tr2bl w:val="nil"/>
            </w:tcBorders>
            <w:vAlign w:val="center"/>
          </w:tcPr>
          <w:p w14:paraId="3FA44E93">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c>
          <w:tcPr>
            <w:tcW w:w="302" w:type="pct"/>
            <w:tcBorders>
              <w:tl2br w:val="nil"/>
              <w:tr2bl w:val="nil"/>
            </w:tcBorders>
            <w:vAlign w:val="center"/>
          </w:tcPr>
          <w:p w14:paraId="5F14F6DD">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45.46</w:t>
            </w:r>
          </w:p>
        </w:tc>
        <w:tc>
          <w:tcPr>
            <w:tcW w:w="277" w:type="pct"/>
            <w:vMerge w:val="continue"/>
            <w:tcBorders>
              <w:tl2br w:val="nil"/>
              <w:tr2bl w:val="nil"/>
            </w:tcBorders>
            <w:vAlign w:val="center"/>
          </w:tcPr>
          <w:p w14:paraId="36C38249">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82" w:type="pct"/>
            <w:tcBorders>
              <w:tl2br w:val="nil"/>
              <w:tr2bl w:val="nil"/>
            </w:tcBorders>
            <w:shd w:val="clear" w:color="auto" w:fill="auto"/>
            <w:vAlign w:val="center"/>
          </w:tcPr>
          <w:p w14:paraId="5FAFACDC">
            <w:pPr>
              <w:keepNext w:val="0"/>
              <w:keepLines w:val="0"/>
              <w:pageBreakBefore w:val="0"/>
              <w:kinsoku/>
              <w:wordWrap/>
              <w:overflowPunct/>
              <w:topLinePunct w:val="0"/>
              <w:autoSpaceDE/>
              <w:autoSpaceDN/>
              <w:bidi w:val="0"/>
              <w:adjustRightInd w:val="0"/>
              <w:spacing w:line="240" w:lineRule="auto"/>
              <w:ind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21</w:t>
            </w:r>
          </w:p>
        </w:tc>
        <w:tc>
          <w:tcPr>
            <w:tcW w:w="299" w:type="pct"/>
            <w:tcBorders>
              <w:tl2br w:val="nil"/>
              <w:tr2bl w:val="nil"/>
            </w:tcBorders>
            <w:vAlign w:val="center"/>
          </w:tcPr>
          <w:p w14:paraId="3A3CFAD1">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24.46</w:t>
            </w:r>
          </w:p>
        </w:tc>
        <w:tc>
          <w:tcPr>
            <w:tcW w:w="296" w:type="pct"/>
            <w:tcBorders>
              <w:tl2br w:val="nil"/>
              <w:tr2bl w:val="nil"/>
            </w:tcBorders>
            <w:vAlign w:val="center"/>
          </w:tcPr>
          <w:p w14:paraId="7F541874">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r>
      <w:tr w14:paraId="32A8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 w:type="pct"/>
            <w:tcBorders>
              <w:tl2br w:val="nil"/>
              <w:tr2bl w:val="nil"/>
            </w:tcBorders>
            <w:shd w:val="clear" w:color="auto" w:fill="auto"/>
            <w:vAlign w:val="center"/>
          </w:tcPr>
          <w:p w14:paraId="409F7B05">
            <w:pPr>
              <w:pStyle w:val="10"/>
              <w:keepNext w:val="0"/>
              <w:keepLines w:val="0"/>
              <w:pageBreakBefore w:val="0"/>
              <w:kinsoku/>
              <w:wordWrap/>
              <w:overflowPunct/>
              <w:topLinePunct w:val="0"/>
              <w:autoSpaceDE/>
              <w:autoSpaceDN/>
              <w:bidi w:val="0"/>
              <w:adjustRightInd w:val="0"/>
              <w:spacing w:before="0" w:after="0" w:line="240" w:lineRule="auto"/>
              <w:ind w:right="0" w:right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14</w:t>
            </w:r>
          </w:p>
        </w:tc>
        <w:tc>
          <w:tcPr>
            <w:tcW w:w="325" w:type="pct"/>
            <w:vMerge w:val="continue"/>
            <w:tcBorders>
              <w:tl2br w:val="nil"/>
              <w:tr2bl w:val="nil"/>
            </w:tcBorders>
            <w:vAlign w:val="center"/>
          </w:tcPr>
          <w:p w14:paraId="30A421C8">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577" w:type="pct"/>
            <w:tcBorders>
              <w:tl2br w:val="nil"/>
              <w:tr2bl w:val="nil"/>
            </w:tcBorders>
            <w:shd w:val="clear" w:color="auto" w:fill="auto"/>
            <w:vAlign w:val="center"/>
          </w:tcPr>
          <w:p w14:paraId="4B9A711D">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定型机（等效声源）</w:t>
            </w:r>
          </w:p>
        </w:tc>
        <w:tc>
          <w:tcPr>
            <w:tcW w:w="293" w:type="pct"/>
            <w:tcBorders>
              <w:tl2br w:val="nil"/>
              <w:tr2bl w:val="nil"/>
            </w:tcBorders>
            <w:shd w:val="clear" w:color="auto" w:fill="auto"/>
            <w:vAlign w:val="center"/>
          </w:tcPr>
          <w:p w14:paraId="7324D5DE">
            <w:pPr>
              <w:pStyle w:val="7"/>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5</w:t>
            </w:r>
          </w:p>
        </w:tc>
        <w:tc>
          <w:tcPr>
            <w:tcW w:w="462" w:type="pct"/>
            <w:tcBorders>
              <w:tl2br w:val="nil"/>
              <w:tr2bl w:val="nil"/>
            </w:tcBorders>
            <w:shd w:val="clear" w:color="auto" w:fill="auto"/>
            <w:vAlign w:val="center"/>
          </w:tcPr>
          <w:p w14:paraId="70464804">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82</w:t>
            </w:r>
          </w:p>
        </w:tc>
        <w:tc>
          <w:tcPr>
            <w:tcW w:w="367" w:type="pct"/>
            <w:vMerge w:val="continue"/>
            <w:tcBorders>
              <w:tl2br w:val="nil"/>
              <w:tr2bl w:val="nil"/>
            </w:tcBorders>
            <w:vAlign w:val="center"/>
          </w:tcPr>
          <w:p w14:paraId="45292E45">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21" w:type="pct"/>
            <w:tcBorders>
              <w:tl2br w:val="nil"/>
              <w:tr2bl w:val="nil"/>
            </w:tcBorders>
            <w:vAlign w:val="center"/>
          </w:tcPr>
          <w:p w14:paraId="0EA0F5BE">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120.8</w:t>
            </w:r>
          </w:p>
        </w:tc>
        <w:tc>
          <w:tcPr>
            <w:tcW w:w="325" w:type="pct"/>
            <w:tcBorders>
              <w:tl2br w:val="nil"/>
              <w:tr2bl w:val="nil"/>
            </w:tcBorders>
            <w:vAlign w:val="center"/>
          </w:tcPr>
          <w:p w14:paraId="36C3A323">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50.74</w:t>
            </w:r>
          </w:p>
        </w:tc>
        <w:tc>
          <w:tcPr>
            <w:tcW w:w="247" w:type="pct"/>
            <w:tcBorders>
              <w:tl2br w:val="nil"/>
              <w:tr2bl w:val="nil"/>
            </w:tcBorders>
            <w:vAlign w:val="center"/>
          </w:tcPr>
          <w:p w14:paraId="559FD248">
            <w:pPr>
              <w:keepNext w:val="0"/>
              <w:keepLines w:val="0"/>
              <w:pageBreakBefore w:val="0"/>
              <w:kinsoku/>
              <w:wordWrap/>
              <w:overflowPunct/>
              <w:topLinePunct w:val="0"/>
              <w:autoSpaceDE/>
              <w:autoSpaceDN/>
              <w:bidi w:val="0"/>
              <w:adjustRightInd w:val="0"/>
              <w:spacing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274" w:type="pct"/>
            <w:tcBorders>
              <w:tl2br w:val="nil"/>
              <w:tr2bl w:val="nil"/>
            </w:tcBorders>
            <w:vAlign w:val="center"/>
          </w:tcPr>
          <w:p w14:paraId="01871578">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23</w:t>
            </w:r>
          </w:p>
        </w:tc>
        <w:tc>
          <w:tcPr>
            <w:tcW w:w="302" w:type="pct"/>
            <w:tcBorders>
              <w:tl2br w:val="nil"/>
              <w:tr2bl w:val="nil"/>
            </w:tcBorders>
            <w:vAlign w:val="center"/>
          </w:tcPr>
          <w:p w14:paraId="79D0610B">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54.77</w:t>
            </w:r>
          </w:p>
        </w:tc>
        <w:tc>
          <w:tcPr>
            <w:tcW w:w="277" w:type="pct"/>
            <w:vMerge w:val="continue"/>
            <w:tcBorders>
              <w:tl2br w:val="nil"/>
              <w:tr2bl w:val="nil"/>
            </w:tcBorders>
            <w:vAlign w:val="center"/>
          </w:tcPr>
          <w:p w14:paraId="43C27883">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82" w:type="pct"/>
            <w:tcBorders>
              <w:tl2br w:val="nil"/>
              <w:tr2bl w:val="nil"/>
            </w:tcBorders>
            <w:vAlign w:val="center"/>
          </w:tcPr>
          <w:p w14:paraId="63478DE6">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21</w:t>
            </w:r>
          </w:p>
        </w:tc>
        <w:tc>
          <w:tcPr>
            <w:tcW w:w="299" w:type="pct"/>
            <w:tcBorders>
              <w:tl2br w:val="nil"/>
              <w:tr2bl w:val="nil"/>
            </w:tcBorders>
            <w:vAlign w:val="center"/>
          </w:tcPr>
          <w:p w14:paraId="5DF63CD7">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33.77</w:t>
            </w:r>
          </w:p>
        </w:tc>
        <w:tc>
          <w:tcPr>
            <w:tcW w:w="296" w:type="pct"/>
            <w:tcBorders>
              <w:tl2br w:val="nil"/>
              <w:tr2bl w:val="nil"/>
            </w:tcBorders>
            <w:vAlign w:val="center"/>
          </w:tcPr>
          <w:p w14:paraId="1A2D08BB">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r>
      <w:tr w14:paraId="5EA3D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 w:type="pct"/>
            <w:tcBorders>
              <w:tl2br w:val="nil"/>
              <w:tr2bl w:val="nil"/>
            </w:tcBorders>
            <w:vAlign w:val="center"/>
          </w:tcPr>
          <w:p w14:paraId="0F40B8C6">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w:t>
            </w:r>
          </w:p>
        </w:tc>
        <w:tc>
          <w:tcPr>
            <w:tcW w:w="325" w:type="pct"/>
            <w:vMerge w:val="continue"/>
            <w:tcBorders>
              <w:tl2br w:val="nil"/>
              <w:tr2bl w:val="nil"/>
            </w:tcBorders>
            <w:vAlign w:val="center"/>
          </w:tcPr>
          <w:p w14:paraId="1AAD777F">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577" w:type="pct"/>
            <w:tcBorders>
              <w:tl2br w:val="nil"/>
              <w:tr2bl w:val="nil"/>
            </w:tcBorders>
            <w:shd w:val="clear" w:color="auto" w:fill="auto"/>
            <w:vAlign w:val="center"/>
          </w:tcPr>
          <w:p w14:paraId="0A90DA2F">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电晕机（等效声源）</w:t>
            </w:r>
          </w:p>
        </w:tc>
        <w:tc>
          <w:tcPr>
            <w:tcW w:w="293" w:type="pct"/>
            <w:tcBorders>
              <w:tl2br w:val="nil"/>
              <w:tr2bl w:val="nil"/>
            </w:tcBorders>
            <w:shd w:val="clear" w:color="auto" w:fill="auto"/>
            <w:vAlign w:val="center"/>
          </w:tcPr>
          <w:p w14:paraId="0F93E0F2">
            <w:pPr>
              <w:pStyle w:val="7"/>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5</w:t>
            </w:r>
          </w:p>
        </w:tc>
        <w:tc>
          <w:tcPr>
            <w:tcW w:w="462" w:type="pct"/>
            <w:tcBorders>
              <w:tl2br w:val="nil"/>
              <w:tr2bl w:val="nil"/>
            </w:tcBorders>
            <w:shd w:val="clear" w:color="auto" w:fill="auto"/>
            <w:vAlign w:val="center"/>
          </w:tcPr>
          <w:p w14:paraId="7488EF80">
            <w:pPr>
              <w:keepNext w:val="0"/>
              <w:keepLines w:val="0"/>
              <w:pageBreakBefore w:val="0"/>
              <w:kinsoku/>
              <w:wordWrap/>
              <w:overflowPunct/>
              <w:topLinePunct w:val="0"/>
              <w:autoSpaceDE/>
              <w:autoSpaceDN/>
              <w:bidi w:val="0"/>
              <w:adjustRightInd w:val="0"/>
              <w:spacing w:line="240" w:lineRule="auto"/>
              <w:jc w:val="center"/>
              <w:textAlignment w:val="auto"/>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87</w:t>
            </w:r>
          </w:p>
        </w:tc>
        <w:tc>
          <w:tcPr>
            <w:tcW w:w="367" w:type="pct"/>
            <w:vMerge w:val="continue"/>
            <w:tcBorders>
              <w:tl2br w:val="nil"/>
              <w:tr2bl w:val="nil"/>
            </w:tcBorders>
            <w:vAlign w:val="center"/>
          </w:tcPr>
          <w:p w14:paraId="7D0043D8">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21" w:type="pct"/>
            <w:tcBorders>
              <w:tl2br w:val="nil"/>
              <w:tr2bl w:val="nil"/>
            </w:tcBorders>
            <w:vAlign w:val="center"/>
          </w:tcPr>
          <w:p w14:paraId="3AB090DA">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105.58</w:t>
            </w:r>
          </w:p>
        </w:tc>
        <w:tc>
          <w:tcPr>
            <w:tcW w:w="325" w:type="pct"/>
            <w:tcBorders>
              <w:tl2br w:val="nil"/>
              <w:tr2bl w:val="nil"/>
            </w:tcBorders>
            <w:vAlign w:val="center"/>
          </w:tcPr>
          <w:p w14:paraId="1FD313CE">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51.27</w:t>
            </w:r>
          </w:p>
        </w:tc>
        <w:tc>
          <w:tcPr>
            <w:tcW w:w="247" w:type="pct"/>
            <w:tcBorders>
              <w:tl2br w:val="nil"/>
              <w:tr2bl w:val="nil"/>
            </w:tcBorders>
            <w:vAlign w:val="center"/>
          </w:tcPr>
          <w:p w14:paraId="6D99AD2E">
            <w:pPr>
              <w:keepNext w:val="0"/>
              <w:keepLines w:val="0"/>
              <w:pageBreakBefore w:val="0"/>
              <w:kinsoku/>
              <w:wordWrap/>
              <w:overflowPunct/>
              <w:topLinePunct w:val="0"/>
              <w:autoSpaceDE/>
              <w:autoSpaceDN/>
              <w:bidi w:val="0"/>
              <w:adjustRightInd w:val="0"/>
              <w:spacing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274" w:type="pct"/>
            <w:tcBorders>
              <w:tl2br w:val="nil"/>
              <w:tr2bl w:val="nil"/>
            </w:tcBorders>
            <w:vAlign w:val="center"/>
          </w:tcPr>
          <w:p w14:paraId="433C8D9D">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22</w:t>
            </w:r>
          </w:p>
        </w:tc>
        <w:tc>
          <w:tcPr>
            <w:tcW w:w="302" w:type="pct"/>
            <w:tcBorders>
              <w:tl2br w:val="nil"/>
              <w:tr2bl w:val="nil"/>
            </w:tcBorders>
            <w:vAlign w:val="center"/>
          </w:tcPr>
          <w:p w14:paraId="22117A46">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60.15</w:t>
            </w:r>
          </w:p>
        </w:tc>
        <w:tc>
          <w:tcPr>
            <w:tcW w:w="277" w:type="pct"/>
            <w:vMerge w:val="continue"/>
            <w:tcBorders>
              <w:tl2br w:val="nil"/>
              <w:tr2bl w:val="nil"/>
            </w:tcBorders>
            <w:vAlign w:val="center"/>
          </w:tcPr>
          <w:p w14:paraId="00D198B3">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ascii="Times New Roman" w:hAnsi="Times New Roman" w:eastAsia="宋体" w:cs="Times New Roman"/>
                <w:color w:val="auto"/>
                <w:sz w:val="21"/>
                <w:szCs w:val="21"/>
                <w:highlight w:val="none"/>
              </w:rPr>
            </w:pPr>
          </w:p>
        </w:tc>
        <w:tc>
          <w:tcPr>
            <w:tcW w:w="382" w:type="pct"/>
            <w:tcBorders>
              <w:tl2br w:val="nil"/>
              <w:tr2bl w:val="nil"/>
            </w:tcBorders>
            <w:vAlign w:val="center"/>
          </w:tcPr>
          <w:p w14:paraId="7B2A7C4F">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21</w:t>
            </w:r>
          </w:p>
        </w:tc>
        <w:tc>
          <w:tcPr>
            <w:tcW w:w="299" w:type="pct"/>
            <w:tcBorders>
              <w:tl2br w:val="nil"/>
              <w:tr2bl w:val="nil"/>
            </w:tcBorders>
            <w:vAlign w:val="center"/>
          </w:tcPr>
          <w:p w14:paraId="14E9174F">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39.15</w:t>
            </w:r>
          </w:p>
        </w:tc>
        <w:tc>
          <w:tcPr>
            <w:tcW w:w="296" w:type="pct"/>
            <w:tcBorders>
              <w:tl2br w:val="nil"/>
              <w:tr2bl w:val="nil"/>
            </w:tcBorders>
            <w:vAlign w:val="center"/>
          </w:tcPr>
          <w:p w14:paraId="5464A64E">
            <w:pPr>
              <w:pStyle w:val="10"/>
              <w:keepNext w:val="0"/>
              <w:keepLines w:val="0"/>
              <w:pageBreakBefore w:val="0"/>
              <w:kinsoku/>
              <w:wordWrap/>
              <w:overflowPunct/>
              <w:topLinePunct w:val="0"/>
              <w:autoSpaceDE/>
              <w:autoSpaceDN/>
              <w:bidi w:val="0"/>
              <w:adjustRightInd w:val="0"/>
              <w:spacing w:before="0" w:after="0" w:line="240" w:lineRule="auto"/>
              <w:ind w:righ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r>
    </w:tbl>
    <w:p w14:paraId="7EAA6612">
      <w:pPr>
        <w:jc w:val="center"/>
        <w:rPr>
          <w:b/>
          <w:color w:val="auto"/>
          <w:kern w:val="24"/>
          <w:sz w:val="24"/>
        </w:rPr>
      </w:pPr>
      <w:r>
        <w:rPr>
          <w:rFonts w:hint="eastAsia"/>
          <w:b/>
          <w:color w:val="auto"/>
          <w:kern w:val="24"/>
          <w:sz w:val="24"/>
        </w:rPr>
        <w:t>表4-1</w:t>
      </w:r>
      <w:r>
        <w:rPr>
          <w:rFonts w:hint="eastAsia"/>
          <w:b/>
          <w:color w:val="auto"/>
          <w:kern w:val="24"/>
          <w:sz w:val="24"/>
          <w:lang w:val="en-US" w:eastAsia="zh-CN"/>
        </w:rPr>
        <w:t>6</w:t>
      </w:r>
      <w:r>
        <w:rPr>
          <w:rFonts w:hint="eastAsia"/>
          <w:b/>
          <w:color w:val="auto"/>
          <w:kern w:val="24"/>
          <w:sz w:val="24"/>
        </w:rPr>
        <w:t xml:space="preserve">  工业企业噪声源强调查清单（室外声源）</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801"/>
        <w:gridCol w:w="1129"/>
        <w:gridCol w:w="1129"/>
        <w:gridCol w:w="1129"/>
        <w:gridCol w:w="2163"/>
        <w:gridCol w:w="1499"/>
        <w:gridCol w:w="2120"/>
        <w:gridCol w:w="1812"/>
      </w:tblGrid>
      <w:tr w14:paraId="4C86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vMerge w:val="restart"/>
            <w:vAlign w:val="center"/>
          </w:tcPr>
          <w:p w14:paraId="1A686410">
            <w:pPr>
              <w:pStyle w:val="10"/>
              <w:adjustRightInd w:val="0"/>
              <w:spacing w:after="0" w:line="240" w:lineRule="auto"/>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声源名称</w:t>
            </w:r>
          </w:p>
        </w:tc>
        <w:tc>
          <w:tcPr>
            <w:tcW w:w="801" w:type="dxa"/>
            <w:vMerge w:val="restart"/>
            <w:vAlign w:val="center"/>
          </w:tcPr>
          <w:p w14:paraId="31D3687E">
            <w:pPr>
              <w:pStyle w:val="10"/>
              <w:adjustRightInd w:val="0"/>
              <w:spacing w:after="0" w:line="240" w:lineRule="auto"/>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型号</w:t>
            </w:r>
          </w:p>
        </w:tc>
        <w:tc>
          <w:tcPr>
            <w:tcW w:w="3387" w:type="dxa"/>
            <w:gridSpan w:val="3"/>
            <w:vAlign w:val="center"/>
          </w:tcPr>
          <w:p w14:paraId="165C89D6">
            <w:pPr>
              <w:pStyle w:val="10"/>
              <w:adjustRightInd w:val="0"/>
              <w:spacing w:after="0" w:line="240" w:lineRule="auto"/>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空间相对位置/m</w:t>
            </w:r>
          </w:p>
        </w:tc>
        <w:tc>
          <w:tcPr>
            <w:tcW w:w="2163" w:type="dxa"/>
            <w:vAlign w:val="center"/>
          </w:tcPr>
          <w:p w14:paraId="772084F8">
            <w:pPr>
              <w:pStyle w:val="10"/>
              <w:adjustRightInd w:val="0"/>
              <w:spacing w:after="0" w:line="240" w:lineRule="auto"/>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声源源强</w:t>
            </w:r>
          </w:p>
        </w:tc>
        <w:tc>
          <w:tcPr>
            <w:tcW w:w="1499" w:type="dxa"/>
            <w:vMerge w:val="restart"/>
            <w:vAlign w:val="center"/>
          </w:tcPr>
          <w:p w14:paraId="359A2112">
            <w:pPr>
              <w:pStyle w:val="10"/>
              <w:adjustRightInd w:val="0"/>
              <w:spacing w:after="0" w:line="240" w:lineRule="auto"/>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声源控制措施</w:t>
            </w:r>
          </w:p>
        </w:tc>
        <w:tc>
          <w:tcPr>
            <w:tcW w:w="2120" w:type="dxa"/>
            <w:vAlign w:val="center"/>
          </w:tcPr>
          <w:p w14:paraId="74F3767E">
            <w:pPr>
              <w:pStyle w:val="10"/>
              <w:adjustRightInd w:val="0"/>
              <w:spacing w:after="0" w:line="240" w:lineRule="auto"/>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降噪后源强</w:t>
            </w:r>
          </w:p>
        </w:tc>
        <w:tc>
          <w:tcPr>
            <w:tcW w:w="1812" w:type="dxa"/>
            <w:vMerge w:val="restart"/>
            <w:vAlign w:val="center"/>
          </w:tcPr>
          <w:p w14:paraId="3B15C080">
            <w:pPr>
              <w:pStyle w:val="10"/>
              <w:adjustRightInd w:val="0"/>
              <w:spacing w:after="0" w:line="240" w:lineRule="auto"/>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运行时段</w:t>
            </w:r>
          </w:p>
        </w:tc>
      </w:tr>
      <w:tr w14:paraId="2EBB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446" w:type="dxa"/>
            <w:vMerge w:val="continue"/>
            <w:vAlign w:val="center"/>
          </w:tcPr>
          <w:p w14:paraId="624650AF">
            <w:pPr>
              <w:pStyle w:val="10"/>
              <w:adjustRightInd w:val="0"/>
              <w:spacing w:after="0" w:line="240" w:lineRule="auto"/>
              <w:jc w:val="center"/>
              <w:rPr>
                <w:rFonts w:hint="default" w:ascii="Times New Roman" w:hAnsi="Times New Roman" w:eastAsia="宋体" w:cs="Times New Roman"/>
                <w:color w:val="auto"/>
                <w:sz w:val="21"/>
                <w:szCs w:val="21"/>
              </w:rPr>
            </w:pPr>
          </w:p>
        </w:tc>
        <w:tc>
          <w:tcPr>
            <w:tcW w:w="801" w:type="dxa"/>
            <w:vMerge w:val="continue"/>
            <w:vAlign w:val="center"/>
          </w:tcPr>
          <w:p w14:paraId="3E9223CA">
            <w:pPr>
              <w:pStyle w:val="10"/>
              <w:adjustRightInd w:val="0"/>
              <w:spacing w:after="0" w:line="240" w:lineRule="auto"/>
              <w:jc w:val="center"/>
              <w:rPr>
                <w:rFonts w:hint="default" w:ascii="Times New Roman" w:hAnsi="Times New Roman" w:eastAsia="宋体" w:cs="Times New Roman"/>
                <w:color w:val="auto"/>
                <w:sz w:val="21"/>
                <w:szCs w:val="21"/>
              </w:rPr>
            </w:pPr>
          </w:p>
        </w:tc>
        <w:tc>
          <w:tcPr>
            <w:tcW w:w="1129" w:type="dxa"/>
            <w:vAlign w:val="center"/>
          </w:tcPr>
          <w:p w14:paraId="0773CA89">
            <w:pPr>
              <w:pStyle w:val="10"/>
              <w:adjustRightInd w:val="0"/>
              <w:spacing w:after="0" w:line="240" w:lineRule="auto"/>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X</w:t>
            </w:r>
          </w:p>
        </w:tc>
        <w:tc>
          <w:tcPr>
            <w:tcW w:w="1129" w:type="dxa"/>
            <w:vAlign w:val="center"/>
          </w:tcPr>
          <w:p w14:paraId="002DAE8F">
            <w:pPr>
              <w:pStyle w:val="10"/>
              <w:adjustRightInd w:val="0"/>
              <w:spacing w:after="0" w:line="240" w:lineRule="auto"/>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Y</w:t>
            </w:r>
          </w:p>
        </w:tc>
        <w:tc>
          <w:tcPr>
            <w:tcW w:w="1129" w:type="dxa"/>
            <w:vAlign w:val="center"/>
          </w:tcPr>
          <w:p w14:paraId="738E4DAE">
            <w:pPr>
              <w:pStyle w:val="10"/>
              <w:adjustRightInd w:val="0"/>
              <w:spacing w:after="0" w:line="240" w:lineRule="auto"/>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Z</w:t>
            </w:r>
          </w:p>
        </w:tc>
        <w:tc>
          <w:tcPr>
            <w:tcW w:w="2163" w:type="dxa"/>
            <w:vAlign w:val="center"/>
          </w:tcPr>
          <w:p w14:paraId="35471316">
            <w:pPr>
              <w:pStyle w:val="10"/>
              <w:adjustRightInd w:val="0"/>
              <w:spacing w:after="0" w:line="240" w:lineRule="auto"/>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（声压级/距声源距离）/（dB(A)/1m）</w:t>
            </w:r>
          </w:p>
        </w:tc>
        <w:tc>
          <w:tcPr>
            <w:tcW w:w="1499" w:type="dxa"/>
            <w:vMerge w:val="continue"/>
            <w:vAlign w:val="center"/>
          </w:tcPr>
          <w:p w14:paraId="02B3F30F">
            <w:pPr>
              <w:pStyle w:val="10"/>
              <w:adjustRightInd w:val="0"/>
              <w:spacing w:after="0" w:line="240" w:lineRule="auto"/>
              <w:jc w:val="center"/>
              <w:rPr>
                <w:rFonts w:hint="default" w:ascii="Times New Roman" w:hAnsi="Times New Roman" w:eastAsia="宋体" w:cs="Times New Roman"/>
                <w:color w:val="auto"/>
                <w:sz w:val="21"/>
                <w:szCs w:val="21"/>
              </w:rPr>
            </w:pPr>
          </w:p>
        </w:tc>
        <w:tc>
          <w:tcPr>
            <w:tcW w:w="2120" w:type="dxa"/>
            <w:vAlign w:val="center"/>
          </w:tcPr>
          <w:p w14:paraId="4C80458A">
            <w:pPr>
              <w:pStyle w:val="10"/>
              <w:adjustRightInd w:val="0"/>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（声压级/距声源距离）/（dB(A)/1m）</w:t>
            </w:r>
          </w:p>
        </w:tc>
        <w:tc>
          <w:tcPr>
            <w:tcW w:w="1812" w:type="dxa"/>
            <w:vMerge w:val="continue"/>
            <w:vAlign w:val="center"/>
          </w:tcPr>
          <w:p w14:paraId="6FF896B9">
            <w:pPr>
              <w:pStyle w:val="10"/>
              <w:adjustRightInd w:val="0"/>
              <w:spacing w:after="0" w:line="240" w:lineRule="auto"/>
              <w:jc w:val="center"/>
              <w:rPr>
                <w:rFonts w:hint="default" w:ascii="Times New Roman" w:hAnsi="Times New Roman" w:eastAsia="宋体" w:cs="Times New Roman"/>
                <w:color w:val="auto"/>
                <w:sz w:val="21"/>
                <w:szCs w:val="21"/>
              </w:rPr>
            </w:pPr>
          </w:p>
        </w:tc>
      </w:tr>
      <w:tr w14:paraId="2D05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446" w:type="dxa"/>
            <w:vAlign w:val="center"/>
          </w:tcPr>
          <w:p w14:paraId="1F66BC0E">
            <w:pPr>
              <w:pStyle w:val="10"/>
              <w:adjustRightInd w:val="0"/>
              <w:spacing w:after="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bidi="ar"/>
              </w:rPr>
              <w:t>冷却塔</w:t>
            </w:r>
            <w:r>
              <w:rPr>
                <w:rFonts w:hint="eastAsia" w:cs="Times New Roman"/>
                <w:color w:val="auto"/>
                <w:sz w:val="21"/>
                <w:szCs w:val="21"/>
                <w:lang w:val="en-US" w:eastAsia="zh-CN" w:bidi="ar"/>
              </w:rPr>
              <w:t>1#</w:t>
            </w:r>
          </w:p>
        </w:tc>
        <w:tc>
          <w:tcPr>
            <w:tcW w:w="801" w:type="dxa"/>
            <w:vAlign w:val="center"/>
          </w:tcPr>
          <w:p w14:paraId="43492ED1">
            <w:pPr>
              <w:pStyle w:val="10"/>
              <w:adjustRightInd w:val="0"/>
              <w:spacing w:after="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129" w:type="dxa"/>
            <w:vAlign w:val="center"/>
          </w:tcPr>
          <w:p w14:paraId="6995D793">
            <w:pPr>
              <w:pStyle w:val="10"/>
              <w:adjustRightInd w:val="0"/>
              <w:spacing w:after="0"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143.07</w:t>
            </w:r>
          </w:p>
        </w:tc>
        <w:tc>
          <w:tcPr>
            <w:tcW w:w="1129" w:type="dxa"/>
            <w:vAlign w:val="center"/>
          </w:tcPr>
          <w:p w14:paraId="347BFF77">
            <w:pPr>
              <w:pStyle w:val="10"/>
              <w:adjustRightInd w:val="0"/>
              <w:spacing w:after="0"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64.9</w:t>
            </w:r>
          </w:p>
        </w:tc>
        <w:tc>
          <w:tcPr>
            <w:tcW w:w="1129" w:type="dxa"/>
            <w:vAlign w:val="center"/>
          </w:tcPr>
          <w:p w14:paraId="140442A3">
            <w:pPr>
              <w:pStyle w:val="10"/>
              <w:adjustRightInd w:val="0"/>
              <w:spacing w:after="0"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2163" w:type="dxa"/>
            <w:vAlign w:val="center"/>
          </w:tcPr>
          <w:p w14:paraId="027D28DB">
            <w:pPr>
              <w:pStyle w:val="10"/>
              <w:adjustRightInd w:val="0"/>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75</w:t>
            </w:r>
          </w:p>
        </w:tc>
        <w:tc>
          <w:tcPr>
            <w:tcW w:w="1499" w:type="dxa"/>
            <w:vMerge w:val="restart"/>
            <w:vAlign w:val="center"/>
          </w:tcPr>
          <w:p w14:paraId="16951188">
            <w:pPr>
              <w:pStyle w:val="10"/>
              <w:adjustRightInd w:val="0"/>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基础减振、距离衰减</w:t>
            </w:r>
          </w:p>
        </w:tc>
        <w:tc>
          <w:tcPr>
            <w:tcW w:w="2120" w:type="dxa"/>
            <w:vAlign w:val="center"/>
          </w:tcPr>
          <w:p w14:paraId="6FCE5C2E">
            <w:pPr>
              <w:pStyle w:val="10"/>
              <w:adjustRightInd w:val="0"/>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w:t>
            </w:r>
          </w:p>
        </w:tc>
        <w:tc>
          <w:tcPr>
            <w:tcW w:w="1812" w:type="dxa"/>
            <w:vAlign w:val="center"/>
          </w:tcPr>
          <w:p w14:paraId="5AB35662">
            <w:pPr>
              <w:pStyle w:val="10"/>
              <w:adjustRightInd w:val="0"/>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0:00~24:00</w:t>
            </w:r>
          </w:p>
        </w:tc>
      </w:tr>
      <w:tr w14:paraId="7744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446" w:type="dxa"/>
            <w:vAlign w:val="center"/>
          </w:tcPr>
          <w:p w14:paraId="11C8C3F6">
            <w:pPr>
              <w:pStyle w:val="10"/>
              <w:adjustRightInd w:val="0"/>
              <w:spacing w:after="0" w:line="240" w:lineRule="auto"/>
              <w:jc w:val="center"/>
              <w:rPr>
                <w:rFonts w:hint="default" w:ascii="Times New Roman" w:hAnsi="Times New Roman" w:eastAsia="宋体" w:cs="Times New Roman"/>
                <w:color w:val="auto"/>
                <w:sz w:val="21"/>
                <w:szCs w:val="21"/>
                <w:lang w:bidi="ar"/>
              </w:rPr>
            </w:pPr>
            <w:r>
              <w:rPr>
                <w:rFonts w:hint="default" w:ascii="Times New Roman" w:hAnsi="Times New Roman" w:eastAsia="宋体" w:cs="Times New Roman"/>
                <w:color w:val="auto"/>
                <w:sz w:val="21"/>
                <w:szCs w:val="21"/>
                <w:lang w:bidi="ar"/>
              </w:rPr>
              <w:t>冷却塔1#</w:t>
            </w:r>
          </w:p>
        </w:tc>
        <w:tc>
          <w:tcPr>
            <w:tcW w:w="801" w:type="dxa"/>
            <w:vAlign w:val="center"/>
          </w:tcPr>
          <w:p w14:paraId="1E811C6F">
            <w:pPr>
              <w:pStyle w:val="10"/>
              <w:adjustRightInd w:val="0"/>
              <w:spacing w:after="0"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1129" w:type="dxa"/>
            <w:vAlign w:val="center"/>
          </w:tcPr>
          <w:p w14:paraId="2CE92C22">
            <w:pPr>
              <w:pStyle w:val="10"/>
              <w:adjustRightInd w:val="0"/>
              <w:spacing w:after="0"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143</w:t>
            </w:r>
          </w:p>
        </w:tc>
        <w:tc>
          <w:tcPr>
            <w:tcW w:w="1129" w:type="dxa"/>
            <w:vAlign w:val="center"/>
          </w:tcPr>
          <w:p w14:paraId="642E0A11">
            <w:pPr>
              <w:pStyle w:val="10"/>
              <w:adjustRightInd w:val="0"/>
              <w:spacing w:after="0"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69.22</w:t>
            </w:r>
          </w:p>
        </w:tc>
        <w:tc>
          <w:tcPr>
            <w:tcW w:w="1129" w:type="dxa"/>
            <w:vAlign w:val="center"/>
          </w:tcPr>
          <w:p w14:paraId="26263CED">
            <w:pPr>
              <w:pStyle w:val="10"/>
              <w:adjustRightInd w:val="0"/>
              <w:spacing w:after="0"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2163" w:type="dxa"/>
            <w:vAlign w:val="center"/>
          </w:tcPr>
          <w:p w14:paraId="11761B58">
            <w:pPr>
              <w:pStyle w:val="10"/>
              <w:adjustRightInd w:val="0"/>
              <w:spacing w:after="0"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75</w:t>
            </w:r>
          </w:p>
        </w:tc>
        <w:tc>
          <w:tcPr>
            <w:tcW w:w="1499" w:type="dxa"/>
            <w:vMerge w:val="continue"/>
            <w:vAlign w:val="center"/>
          </w:tcPr>
          <w:p w14:paraId="49BA1F0B">
            <w:pPr>
              <w:pStyle w:val="10"/>
              <w:adjustRightInd w:val="0"/>
              <w:spacing w:after="0" w:line="240" w:lineRule="auto"/>
              <w:jc w:val="center"/>
              <w:rPr>
                <w:rFonts w:hint="default" w:ascii="Times New Roman" w:hAnsi="Times New Roman" w:eastAsia="宋体" w:cs="Times New Roman"/>
                <w:color w:val="auto"/>
                <w:sz w:val="21"/>
                <w:szCs w:val="21"/>
              </w:rPr>
            </w:pPr>
          </w:p>
        </w:tc>
        <w:tc>
          <w:tcPr>
            <w:tcW w:w="2120" w:type="dxa"/>
            <w:vAlign w:val="center"/>
          </w:tcPr>
          <w:p w14:paraId="2D65E26F">
            <w:pPr>
              <w:pStyle w:val="10"/>
              <w:adjustRightInd w:val="0"/>
              <w:spacing w:after="0"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65</w:t>
            </w:r>
          </w:p>
        </w:tc>
        <w:tc>
          <w:tcPr>
            <w:tcW w:w="1812" w:type="dxa"/>
            <w:vAlign w:val="center"/>
          </w:tcPr>
          <w:p w14:paraId="0D8B3516">
            <w:pPr>
              <w:pStyle w:val="10"/>
              <w:adjustRightInd w:val="0"/>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0:00~24:00</w:t>
            </w:r>
          </w:p>
        </w:tc>
      </w:tr>
      <w:tr w14:paraId="285E1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446" w:type="dxa"/>
            <w:vAlign w:val="center"/>
          </w:tcPr>
          <w:p w14:paraId="2190925D">
            <w:pPr>
              <w:pStyle w:val="10"/>
              <w:adjustRightInd w:val="0"/>
              <w:spacing w:after="0" w:line="240" w:lineRule="auto"/>
              <w:jc w:val="center"/>
              <w:rPr>
                <w:rFonts w:hint="default" w:ascii="Times New Roman" w:hAnsi="Times New Roman" w:eastAsia="宋体" w:cs="Times New Roman"/>
                <w:color w:val="auto"/>
                <w:sz w:val="21"/>
                <w:szCs w:val="21"/>
                <w:lang w:bidi="ar"/>
              </w:rPr>
            </w:pPr>
            <w:r>
              <w:rPr>
                <w:rFonts w:hint="default" w:ascii="Times New Roman" w:hAnsi="Times New Roman" w:eastAsia="宋体" w:cs="Times New Roman"/>
                <w:color w:val="auto"/>
                <w:sz w:val="21"/>
                <w:szCs w:val="21"/>
                <w:lang w:bidi="ar"/>
              </w:rPr>
              <w:t>粉碎机</w:t>
            </w:r>
          </w:p>
        </w:tc>
        <w:tc>
          <w:tcPr>
            <w:tcW w:w="801" w:type="dxa"/>
            <w:vAlign w:val="center"/>
          </w:tcPr>
          <w:p w14:paraId="403320A9">
            <w:pPr>
              <w:pStyle w:val="10"/>
              <w:adjustRightInd w:val="0"/>
              <w:spacing w:after="0"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1129" w:type="dxa"/>
            <w:vAlign w:val="center"/>
          </w:tcPr>
          <w:p w14:paraId="6223F458">
            <w:pPr>
              <w:pStyle w:val="10"/>
              <w:adjustRightInd w:val="0"/>
              <w:spacing w:after="0"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143.07</w:t>
            </w:r>
          </w:p>
        </w:tc>
        <w:tc>
          <w:tcPr>
            <w:tcW w:w="1129" w:type="dxa"/>
            <w:vAlign w:val="center"/>
          </w:tcPr>
          <w:p w14:paraId="5D69C578">
            <w:pPr>
              <w:pStyle w:val="10"/>
              <w:adjustRightInd w:val="0"/>
              <w:spacing w:after="0"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79.52</w:t>
            </w:r>
          </w:p>
        </w:tc>
        <w:tc>
          <w:tcPr>
            <w:tcW w:w="1129" w:type="dxa"/>
            <w:vAlign w:val="center"/>
          </w:tcPr>
          <w:p w14:paraId="50AFA229">
            <w:pPr>
              <w:pStyle w:val="10"/>
              <w:adjustRightInd w:val="0"/>
              <w:spacing w:after="0"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2163" w:type="dxa"/>
            <w:vAlign w:val="center"/>
          </w:tcPr>
          <w:p w14:paraId="4E75E2B1">
            <w:pPr>
              <w:pStyle w:val="10"/>
              <w:adjustRightInd w:val="0"/>
              <w:spacing w:after="0"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85</w:t>
            </w:r>
          </w:p>
        </w:tc>
        <w:tc>
          <w:tcPr>
            <w:tcW w:w="1499" w:type="dxa"/>
            <w:vMerge w:val="continue"/>
            <w:vAlign w:val="center"/>
          </w:tcPr>
          <w:p w14:paraId="76042A8C">
            <w:pPr>
              <w:pStyle w:val="10"/>
              <w:adjustRightInd w:val="0"/>
              <w:spacing w:after="0" w:line="240" w:lineRule="auto"/>
              <w:jc w:val="center"/>
              <w:rPr>
                <w:rFonts w:hint="default" w:ascii="Times New Roman" w:hAnsi="Times New Roman" w:eastAsia="宋体" w:cs="Times New Roman"/>
                <w:color w:val="auto"/>
                <w:sz w:val="21"/>
                <w:szCs w:val="21"/>
              </w:rPr>
            </w:pPr>
          </w:p>
        </w:tc>
        <w:tc>
          <w:tcPr>
            <w:tcW w:w="2120" w:type="dxa"/>
            <w:vAlign w:val="center"/>
          </w:tcPr>
          <w:p w14:paraId="2A045A26">
            <w:pPr>
              <w:pStyle w:val="10"/>
              <w:adjustRightInd w:val="0"/>
              <w:spacing w:after="0"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75</w:t>
            </w:r>
          </w:p>
        </w:tc>
        <w:tc>
          <w:tcPr>
            <w:tcW w:w="1812" w:type="dxa"/>
            <w:vAlign w:val="center"/>
          </w:tcPr>
          <w:p w14:paraId="770C1B79">
            <w:pPr>
              <w:pStyle w:val="10"/>
              <w:adjustRightInd w:val="0"/>
              <w:spacing w:after="0"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0:00~24:00</w:t>
            </w:r>
          </w:p>
        </w:tc>
      </w:tr>
    </w:tbl>
    <w:p w14:paraId="7586A923">
      <w:pPr>
        <w:adjustRightInd w:val="0"/>
        <w:snapToGrid w:val="0"/>
        <w:spacing w:line="360" w:lineRule="auto"/>
        <w:rPr>
          <w:b/>
          <w:color w:val="auto"/>
          <w:kern w:val="0"/>
          <w:sz w:val="28"/>
          <w:szCs w:val="28"/>
          <w:highlight w:val="none"/>
        </w:rPr>
      </w:pPr>
    </w:p>
    <w:p w14:paraId="6842215E">
      <w:pPr>
        <w:adjustRightInd w:val="0"/>
        <w:snapToGrid w:val="0"/>
        <w:spacing w:line="360" w:lineRule="auto"/>
        <w:rPr>
          <w:b/>
          <w:color w:val="auto"/>
          <w:kern w:val="0"/>
          <w:sz w:val="28"/>
          <w:szCs w:val="28"/>
          <w:highlight w:val="none"/>
        </w:rPr>
      </w:pPr>
    </w:p>
    <w:p w14:paraId="1D3E6A1C">
      <w:pPr>
        <w:adjustRightInd w:val="0"/>
        <w:snapToGrid w:val="0"/>
        <w:spacing w:line="360" w:lineRule="auto"/>
        <w:rPr>
          <w:b/>
          <w:color w:val="auto"/>
          <w:kern w:val="0"/>
          <w:sz w:val="28"/>
          <w:szCs w:val="28"/>
          <w:highlight w:val="none"/>
        </w:rPr>
        <w:sectPr>
          <w:pgSz w:w="16840" w:h="11907" w:orient="landscape"/>
          <w:pgMar w:top="1531" w:right="1701" w:bottom="1531" w:left="2127" w:header="851" w:footer="851" w:gutter="0"/>
          <w:cols w:space="720" w:num="1"/>
          <w:docGrid w:linePitch="312" w:charSpace="0"/>
        </w:sectPr>
      </w:pPr>
    </w:p>
    <w:tbl>
      <w:tblPr>
        <w:tblStyle w:val="2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8572"/>
      </w:tblGrid>
      <w:tr w14:paraId="7024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 w:type="pct"/>
            <w:vAlign w:val="center"/>
          </w:tcPr>
          <w:p w14:paraId="74326BA0">
            <w:pPr>
              <w:adjustRightInd w:val="0"/>
              <w:snapToGrid w:val="0"/>
              <w:jc w:val="center"/>
              <w:rPr>
                <w:b/>
                <w:color w:val="auto"/>
                <w:kern w:val="0"/>
                <w:sz w:val="28"/>
                <w:szCs w:val="28"/>
                <w:highlight w:val="none"/>
              </w:rPr>
            </w:pPr>
            <w:r>
              <w:rPr>
                <w:rFonts w:ascii="Times New Roman" w:hAnsi="Times New Roman" w:cs="Times New Roman"/>
                <w:color w:val="auto"/>
                <w:kern w:val="0"/>
                <w:sz w:val="24"/>
                <w:highlight w:val="none"/>
              </w:rPr>
              <w:t>运营期环境影响和保护措施</w:t>
            </w:r>
          </w:p>
        </w:tc>
        <w:tc>
          <w:tcPr>
            <w:tcW w:w="4730" w:type="pct"/>
          </w:tcPr>
          <w:p w14:paraId="352AFB25">
            <w:pPr>
              <w:keepNext w:val="0"/>
              <w:keepLines w:val="0"/>
              <w:suppressLineNumbers w:val="0"/>
              <w:adjustRightInd w:val="0"/>
              <w:snapToGrid w:val="0"/>
              <w:spacing w:before="0" w:beforeAutospacing="0" w:after="0" w:afterAutospacing="0" w:line="360" w:lineRule="auto"/>
              <w:ind w:left="0" w:right="0" w:firstLine="480" w:firstLineChars="200"/>
              <w:rPr>
                <w:rFonts w:hint="default" w:eastAsia="宋体"/>
                <w:color w:val="auto"/>
                <w:kern w:val="24"/>
                <w:sz w:val="24"/>
                <w:highlight w:val="none"/>
                <w:lang w:val="en-US" w:eastAsia="zh-CN"/>
              </w:rPr>
            </w:pPr>
            <w:r>
              <w:rPr>
                <w:rFonts w:hint="eastAsia"/>
                <w:color w:val="auto"/>
                <w:kern w:val="24"/>
                <w:sz w:val="24"/>
                <w:highlight w:val="none"/>
              </w:rPr>
              <w:t>（</w:t>
            </w:r>
            <w:r>
              <w:rPr>
                <w:rFonts w:hint="eastAsia"/>
                <w:color w:val="auto"/>
                <w:kern w:val="24"/>
                <w:sz w:val="24"/>
                <w:highlight w:val="none"/>
                <w:lang w:val="en-US" w:eastAsia="zh-CN"/>
              </w:rPr>
              <w:t>4</w:t>
            </w:r>
            <w:r>
              <w:rPr>
                <w:rFonts w:hint="eastAsia"/>
                <w:color w:val="auto"/>
                <w:kern w:val="24"/>
                <w:sz w:val="24"/>
                <w:highlight w:val="none"/>
              </w:rPr>
              <w:t>）</w:t>
            </w:r>
            <w:r>
              <w:rPr>
                <w:rFonts w:hint="eastAsia"/>
                <w:color w:val="auto"/>
                <w:kern w:val="24"/>
                <w:sz w:val="24"/>
                <w:highlight w:val="none"/>
                <w:lang w:val="en-US" w:eastAsia="zh-CN"/>
              </w:rPr>
              <w:t>厂界达标分析</w:t>
            </w:r>
          </w:p>
          <w:p w14:paraId="0BAFA92C">
            <w:pPr>
              <w:pStyle w:val="32"/>
              <w:spacing w:line="360" w:lineRule="auto"/>
              <w:ind w:firstLine="480" w:firstLineChars="200"/>
              <w:rPr>
                <w:rFonts w:eastAsiaTheme="minorEastAsia"/>
                <w:color w:val="auto"/>
                <w:highlight w:val="none"/>
              </w:rPr>
            </w:pPr>
            <w:r>
              <w:rPr>
                <w:rFonts w:eastAsiaTheme="minorEastAsia"/>
                <w:color w:val="auto"/>
                <w:highlight w:val="none"/>
              </w:rPr>
              <w:t>通过预测模型计算，项目厂界噪声的最大值预测结果与达标分</w:t>
            </w:r>
            <w:r>
              <w:rPr>
                <w:rFonts w:ascii="Times New Roman" w:cs="Times New Roman" w:eastAsiaTheme="minorEastAsia"/>
                <w:color w:val="auto"/>
                <w:highlight w:val="none"/>
              </w:rPr>
              <w:t>析见表4-</w:t>
            </w:r>
            <w:r>
              <w:rPr>
                <w:rFonts w:hint="eastAsia" w:ascii="Times New Roman" w:cs="Times New Roman" w:eastAsiaTheme="minorEastAsia"/>
                <w:color w:val="auto"/>
                <w:highlight w:val="none"/>
                <w:lang w:val="en-US" w:eastAsia="zh-CN"/>
              </w:rPr>
              <w:t>17</w:t>
            </w:r>
            <w:r>
              <w:rPr>
                <w:rFonts w:ascii="Times New Roman" w:cs="Times New Roman" w:eastAsiaTheme="minorEastAsia"/>
                <w:color w:val="auto"/>
                <w:highlight w:val="none"/>
              </w:rPr>
              <w:t>。</w:t>
            </w:r>
          </w:p>
          <w:p w14:paraId="7406B50A">
            <w:pPr>
              <w:adjustRightInd w:val="0"/>
              <w:snapToGrid w:val="0"/>
              <w:spacing w:line="360" w:lineRule="auto"/>
              <w:ind w:firstLine="482" w:firstLineChars="200"/>
              <w:jc w:val="center"/>
              <w:rPr>
                <w:b/>
                <w:color w:val="auto"/>
                <w:sz w:val="24"/>
                <w:highlight w:val="none"/>
              </w:rPr>
            </w:pPr>
            <w:r>
              <w:rPr>
                <w:b/>
                <w:color w:val="auto"/>
                <w:sz w:val="24"/>
                <w:highlight w:val="none"/>
              </w:rPr>
              <w:t>表</w:t>
            </w:r>
            <w:r>
              <w:rPr>
                <w:rFonts w:hint="eastAsia"/>
                <w:b/>
                <w:color w:val="auto"/>
                <w:sz w:val="24"/>
                <w:highlight w:val="none"/>
              </w:rPr>
              <w:t>4-</w:t>
            </w:r>
            <w:r>
              <w:rPr>
                <w:rFonts w:hint="eastAsia"/>
                <w:b/>
                <w:color w:val="auto"/>
                <w:sz w:val="24"/>
                <w:highlight w:val="none"/>
                <w:lang w:val="en-US" w:eastAsia="zh-CN"/>
              </w:rPr>
              <w:t>17</w:t>
            </w:r>
            <w:r>
              <w:rPr>
                <w:b/>
                <w:color w:val="auto"/>
                <w:sz w:val="24"/>
                <w:highlight w:val="none"/>
              </w:rPr>
              <w:t xml:space="preserve"> </w:t>
            </w:r>
            <w:r>
              <w:rPr>
                <w:rFonts w:hint="eastAsia"/>
                <w:b/>
                <w:color w:val="auto"/>
                <w:sz w:val="24"/>
                <w:highlight w:val="none"/>
              </w:rPr>
              <w:t xml:space="preserve"> </w:t>
            </w:r>
            <w:r>
              <w:rPr>
                <w:b/>
                <w:color w:val="auto"/>
                <w:sz w:val="24"/>
                <w:highlight w:val="none"/>
              </w:rPr>
              <w:t>厂界噪声预测结果与达标分析表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
              <w:gridCol w:w="950"/>
              <w:gridCol w:w="950"/>
              <w:gridCol w:w="950"/>
              <w:gridCol w:w="975"/>
              <w:gridCol w:w="1243"/>
              <w:gridCol w:w="1207"/>
              <w:gridCol w:w="1113"/>
            </w:tblGrid>
            <w:tr w14:paraId="2E35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restart"/>
                  <w:tcBorders>
                    <w:tl2br w:val="nil"/>
                    <w:tr2bl w:val="nil"/>
                  </w:tcBorders>
                  <w:vAlign w:val="center"/>
                </w:tcPr>
                <w:p w14:paraId="67B308BE">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b/>
                      <w:bCs/>
                      <w:color w:val="auto"/>
                      <w:sz w:val="21"/>
                      <w:szCs w:val="21"/>
                      <w:highlight w:val="none"/>
                    </w:rPr>
                  </w:pPr>
                  <w:r>
                    <w:rPr>
                      <w:rFonts w:hint="eastAsia" w:eastAsiaTheme="minorEastAsia"/>
                      <w:b/>
                      <w:bCs/>
                      <w:color w:val="auto"/>
                      <w:sz w:val="21"/>
                      <w:szCs w:val="21"/>
                      <w:highlight w:val="none"/>
                    </w:rPr>
                    <w:t>预测点</w:t>
                  </w:r>
                </w:p>
              </w:tc>
              <w:tc>
                <w:tcPr>
                  <w:tcW w:w="1708" w:type="pct"/>
                  <w:gridSpan w:val="3"/>
                  <w:tcBorders>
                    <w:tl2br w:val="nil"/>
                    <w:tr2bl w:val="nil"/>
                  </w:tcBorders>
                  <w:vAlign w:val="center"/>
                </w:tcPr>
                <w:p w14:paraId="1266A8C9">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b/>
                      <w:bCs/>
                      <w:color w:val="auto"/>
                      <w:sz w:val="21"/>
                      <w:szCs w:val="21"/>
                      <w:highlight w:val="none"/>
                    </w:rPr>
                  </w:pPr>
                  <w:r>
                    <w:rPr>
                      <w:rFonts w:hint="eastAsia" w:eastAsiaTheme="minorEastAsia"/>
                      <w:b/>
                      <w:bCs/>
                      <w:color w:val="auto"/>
                      <w:sz w:val="21"/>
                      <w:szCs w:val="21"/>
                      <w:highlight w:val="none"/>
                    </w:rPr>
                    <w:t>空间相对位置/m</w:t>
                  </w:r>
                </w:p>
              </w:tc>
              <w:tc>
                <w:tcPr>
                  <w:tcW w:w="584" w:type="pct"/>
                  <w:vMerge w:val="restart"/>
                  <w:tcBorders>
                    <w:tl2br w:val="nil"/>
                    <w:tr2bl w:val="nil"/>
                  </w:tcBorders>
                  <w:vAlign w:val="center"/>
                </w:tcPr>
                <w:p w14:paraId="01669774">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b/>
                      <w:bCs/>
                      <w:color w:val="auto"/>
                      <w:sz w:val="21"/>
                      <w:szCs w:val="21"/>
                      <w:highlight w:val="none"/>
                    </w:rPr>
                  </w:pPr>
                  <w:r>
                    <w:rPr>
                      <w:rFonts w:hint="eastAsia" w:eastAsiaTheme="minorEastAsia"/>
                      <w:b/>
                      <w:bCs/>
                      <w:color w:val="auto"/>
                      <w:sz w:val="21"/>
                      <w:szCs w:val="21"/>
                      <w:highlight w:val="none"/>
                    </w:rPr>
                    <w:t>时段</w:t>
                  </w:r>
                </w:p>
              </w:tc>
              <w:tc>
                <w:tcPr>
                  <w:tcW w:w="744" w:type="pct"/>
                  <w:vMerge w:val="restart"/>
                  <w:tcBorders>
                    <w:tl2br w:val="nil"/>
                    <w:tr2bl w:val="nil"/>
                  </w:tcBorders>
                  <w:vAlign w:val="center"/>
                </w:tcPr>
                <w:p w14:paraId="5255DB3D">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eastAsia" w:eastAsiaTheme="minorEastAsia"/>
                      <w:b/>
                      <w:bCs/>
                      <w:color w:val="auto"/>
                      <w:sz w:val="21"/>
                      <w:szCs w:val="21"/>
                      <w:highlight w:val="none"/>
                      <w:lang w:eastAsia="zh-CN"/>
                    </w:rPr>
                  </w:pPr>
                  <w:r>
                    <w:rPr>
                      <w:rFonts w:hint="eastAsia" w:eastAsiaTheme="minorEastAsia"/>
                      <w:b/>
                      <w:bCs/>
                      <w:color w:val="auto"/>
                      <w:sz w:val="21"/>
                      <w:szCs w:val="21"/>
                      <w:highlight w:val="none"/>
                    </w:rPr>
                    <w:t>噪声贡献值/</w:t>
                  </w:r>
                  <w:r>
                    <w:rPr>
                      <w:rFonts w:eastAsiaTheme="minorEastAsia"/>
                      <w:b/>
                      <w:bCs/>
                      <w:color w:val="auto"/>
                      <w:sz w:val="21"/>
                      <w:szCs w:val="21"/>
                      <w:highlight w:val="none"/>
                    </w:rPr>
                    <w:t>dB</w:t>
                  </w:r>
                  <w:r>
                    <w:rPr>
                      <w:rFonts w:hint="eastAsia" w:eastAsiaTheme="minorEastAsia"/>
                      <w:b/>
                      <w:bCs/>
                      <w:color w:val="auto"/>
                      <w:sz w:val="21"/>
                      <w:szCs w:val="21"/>
                      <w:highlight w:val="none"/>
                      <w:lang w:eastAsia="zh-CN"/>
                    </w:rPr>
                    <w:t>（</w:t>
                  </w:r>
                  <w:r>
                    <w:rPr>
                      <w:rFonts w:eastAsiaTheme="minorEastAsia"/>
                      <w:b/>
                      <w:bCs/>
                      <w:color w:val="auto"/>
                      <w:sz w:val="21"/>
                      <w:szCs w:val="21"/>
                      <w:highlight w:val="none"/>
                    </w:rPr>
                    <w:t>A</w:t>
                  </w:r>
                  <w:r>
                    <w:rPr>
                      <w:rFonts w:hint="eastAsia" w:eastAsiaTheme="minorEastAsia"/>
                      <w:b/>
                      <w:bCs/>
                      <w:color w:val="auto"/>
                      <w:sz w:val="21"/>
                      <w:szCs w:val="21"/>
                      <w:highlight w:val="none"/>
                      <w:lang w:eastAsia="zh-CN"/>
                    </w:rPr>
                    <w:t>）</w:t>
                  </w:r>
                </w:p>
              </w:tc>
              <w:tc>
                <w:tcPr>
                  <w:tcW w:w="723" w:type="pct"/>
                  <w:vMerge w:val="restart"/>
                  <w:tcBorders>
                    <w:tl2br w:val="nil"/>
                    <w:tr2bl w:val="nil"/>
                  </w:tcBorders>
                  <w:vAlign w:val="center"/>
                </w:tcPr>
                <w:p w14:paraId="0370A562">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eastAsia" w:eastAsiaTheme="minorEastAsia"/>
                      <w:b/>
                      <w:bCs/>
                      <w:color w:val="auto"/>
                      <w:sz w:val="21"/>
                      <w:szCs w:val="21"/>
                      <w:highlight w:val="none"/>
                      <w:lang w:eastAsia="zh-CN"/>
                    </w:rPr>
                  </w:pPr>
                  <w:r>
                    <w:rPr>
                      <w:rFonts w:hint="eastAsia" w:eastAsiaTheme="minorEastAsia"/>
                      <w:b/>
                      <w:bCs/>
                      <w:color w:val="auto"/>
                      <w:sz w:val="21"/>
                      <w:szCs w:val="21"/>
                      <w:highlight w:val="none"/>
                    </w:rPr>
                    <w:t>噪声标准值/</w:t>
                  </w:r>
                  <w:r>
                    <w:rPr>
                      <w:rFonts w:eastAsiaTheme="minorEastAsia"/>
                      <w:b/>
                      <w:bCs/>
                      <w:color w:val="auto"/>
                      <w:sz w:val="21"/>
                      <w:szCs w:val="21"/>
                      <w:highlight w:val="none"/>
                    </w:rPr>
                    <w:t>dB</w:t>
                  </w:r>
                  <w:r>
                    <w:rPr>
                      <w:rFonts w:hint="eastAsia" w:eastAsiaTheme="minorEastAsia"/>
                      <w:b/>
                      <w:bCs/>
                      <w:color w:val="auto"/>
                      <w:sz w:val="21"/>
                      <w:szCs w:val="21"/>
                      <w:highlight w:val="none"/>
                      <w:lang w:eastAsia="zh-CN"/>
                    </w:rPr>
                    <w:t>（</w:t>
                  </w:r>
                  <w:r>
                    <w:rPr>
                      <w:rFonts w:eastAsiaTheme="minorEastAsia"/>
                      <w:b/>
                      <w:bCs/>
                      <w:color w:val="auto"/>
                      <w:sz w:val="21"/>
                      <w:szCs w:val="21"/>
                      <w:highlight w:val="none"/>
                    </w:rPr>
                    <w:t>A</w:t>
                  </w:r>
                  <w:r>
                    <w:rPr>
                      <w:rFonts w:hint="eastAsia" w:eastAsiaTheme="minorEastAsia"/>
                      <w:b/>
                      <w:bCs/>
                      <w:color w:val="auto"/>
                      <w:sz w:val="21"/>
                      <w:szCs w:val="21"/>
                      <w:highlight w:val="none"/>
                      <w:lang w:eastAsia="zh-CN"/>
                    </w:rPr>
                    <w:t>）</w:t>
                  </w:r>
                </w:p>
              </w:tc>
              <w:tc>
                <w:tcPr>
                  <w:tcW w:w="667" w:type="pct"/>
                  <w:vMerge w:val="restart"/>
                  <w:tcBorders>
                    <w:tl2br w:val="nil"/>
                    <w:tr2bl w:val="nil"/>
                  </w:tcBorders>
                  <w:vAlign w:val="center"/>
                </w:tcPr>
                <w:p w14:paraId="7385A302">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b/>
                      <w:bCs/>
                      <w:color w:val="auto"/>
                      <w:sz w:val="21"/>
                      <w:szCs w:val="21"/>
                      <w:highlight w:val="none"/>
                    </w:rPr>
                  </w:pPr>
                  <w:r>
                    <w:rPr>
                      <w:rFonts w:hint="eastAsia" w:eastAsiaTheme="minorEastAsia"/>
                      <w:b/>
                      <w:bCs/>
                      <w:color w:val="auto"/>
                      <w:sz w:val="21"/>
                      <w:szCs w:val="21"/>
                      <w:highlight w:val="none"/>
                    </w:rPr>
                    <w:t>达标情况</w:t>
                  </w:r>
                </w:p>
              </w:tc>
            </w:tr>
            <w:tr w14:paraId="11BC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continue"/>
                  <w:tcBorders>
                    <w:tl2br w:val="nil"/>
                    <w:tr2bl w:val="nil"/>
                  </w:tcBorders>
                  <w:vAlign w:val="center"/>
                </w:tcPr>
                <w:p w14:paraId="41B9D5BF">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color w:val="auto"/>
                      <w:sz w:val="21"/>
                      <w:szCs w:val="21"/>
                      <w:highlight w:val="none"/>
                    </w:rPr>
                  </w:pPr>
                </w:p>
              </w:tc>
              <w:tc>
                <w:tcPr>
                  <w:tcW w:w="569" w:type="pct"/>
                  <w:tcBorders>
                    <w:tl2br w:val="nil"/>
                    <w:tr2bl w:val="nil"/>
                  </w:tcBorders>
                  <w:vAlign w:val="center"/>
                </w:tcPr>
                <w:p w14:paraId="570FA243">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b/>
                      <w:bCs/>
                      <w:color w:val="auto"/>
                      <w:sz w:val="21"/>
                      <w:szCs w:val="21"/>
                      <w:highlight w:val="none"/>
                    </w:rPr>
                  </w:pPr>
                  <w:r>
                    <w:rPr>
                      <w:rFonts w:hint="eastAsia" w:eastAsiaTheme="minorEastAsia"/>
                      <w:b/>
                      <w:bCs/>
                      <w:color w:val="auto"/>
                      <w:sz w:val="21"/>
                      <w:szCs w:val="21"/>
                      <w:highlight w:val="none"/>
                    </w:rPr>
                    <w:t>X</w:t>
                  </w:r>
                </w:p>
              </w:tc>
              <w:tc>
                <w:tcPr>
                  <w:tcW w:w="569" w:type="pct"/>
                  <w:tcBorders>
                    <w:tl2br w:val="nil"/>
                    <w:tr2bl w:val="nil"/>
                  </w:tcBorders>
                  <w:vAlign w:val="center"/>
                </w:tcPr>
                <w:p w14:paraId="7A2C3F9B">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b/>
                      <w:bCs/>
                      <w:color w:val="auto"/>
                      <w:sz w:val="21"/>
                      <w:szCs w:val="21"/>
                      <w:highlight w:val="none"/>
                    </w:rPr>
                  </w:pPr>
                  <w:r>
                    <w:rPr>
                      <w:rFonts w:hint="eastAsia" w:eastAsiaTheme="minorEastAsia"/>
                      <w:b/>
                      <w:bCs/>
                      <w:color w:val="auto"/>
                      <w:sz w:val="21"/>
                      <w:szCs w:val="21"/>
                      <w:highlight w:val="none"/>
                    </w:rPr>
                    <w:t>Y</w:t>
                  </w:r>
                </w:p>
              </w:tc>
              <w:tc>
                <w:tcPr>
                  <w:tcW w:w="569" w:type="pct"/>
                  <w:tcBorders>
                    <w:tl2br w:val="nil"/>
                    <w:tr2bl w:val="nil"/>
                  </w:tcBorders>
                  <w:vAlign w:val="center"/>
                </w:tcPr>
                <w:p w14:paraId="07067571">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b/>
                      <w:bCs/>
                      <w:color w:val="auto"/>
                      <w:sz w:val="21"/>
                      <w:szCs w:val="21"/>
                      <w:highlight w:val="none"/>
                    </w:rPr>
                  </w:pPr>
                  <w:r>
                    <w:rPr>
                      <w:rFonts w:hint="eastAsia" w:eastAsiaTheme="minorEastAsia"/>
                      <w:b/>
                      <w:bCs/>
                      <w:color w:val="auto"/>
                      <w:sz w:val="21"/>
                      <w:szCs w:val="21"/>
                      <w:highlight w:val="none"/>
                    </w:rPr>
                    <w:t>Z</w:t>
                  </w:r>
                </w:p>
              </w:tc>
              <w:tc>
                <w:tcPr>
                  <w:tcW w:w="584" w:type="pct"/>
                  <w:vMerge w:val="continue"/>
                  <w:tcBorders>
                    <w:tl2br w:val="nil"/>
                    <w:tr2bl w:val="nil"/>
                  </w:tcBorders>
                  <w:vAlign w:val="center"/>
                </w:tcPr>
                <w:p w14:paraId="765CB21B">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b/>
                      <w:bCs/>
                      <w:color w:val="auto"/>
                      <w:sz w:val="21"/>
                      <w:szCs w:val="21"/>
                      <w:highlight w:val="none"/>
                    </w:rPr>
                  </w:pPr>
                </w:p>
              </w:tc>
              <w:tc>
                <w:tcPr>
                  <w:tcW w:w="744" w:type="pct"/>
                  <w:vMerge w:val="continue"/>
                  <w:tcBorders>
                    <w:tl2br w:val="nil"/>
                    <w:tr2bl w:val="nil"/>
                  </w:tcBorders>
                  <w:vAlign w:val="center"/>
                </w:tcPr>
                <w:p w14:paraId="70BD8FD2">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color w:val="auto"/>
                      <w:sz w:val="21"/>
                      <w:szCs w:val="21"/>
                      <w:highlight w:val="none"/>
                    </w:rPr>
                  </w:pPr>
                </w:p>
              </w:tc>
              <w:tc>
                <w:tcPr>
                  <w:tcW w:w="723" w:type="pct"/>
                  <w:vMerge w:val="continue"/>
                  <w:tcBorders>
                    <w:tl2br w:val="nil"/>
                    <w:tr2bl w:val="nil"/>
                  </w:tcBorders>
                  <w:vAlign w:val="center"/>
                </w:tcPr>
                <w:p w14:paraId="4786B9F8">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color w:val="auto"/>
                      <w:sz w:val="21"/>
                      <w:szCs w:val="21"/>
                      <w:highlight w:val="none"/>
                    </w:rPr>
                  </w:pPr>
                </w:p>
              </w:tc>
              <w:tc>
                <w:tcPr>
                  <w:tcW w:w="667" w:type="pct"/>
                  <w:vMerge w:val="continue"/>
                  <w:tcBorders>
                    <w:tl2br w:val="nil"/>
                    <w:tr2bl w:val="nil"/>
                  </w:tcBorders>
                  <w:vAlign w:val="center"/>
                </w:tcPr>
                <w:p w14:paraId="7D4F3F29">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color w:val="auto"/>
                      <w:sz w:val="21"/>
                      <w:szCs w:val="21"/>
                      <w:highlight w:val="none"/>
                    </w:rPr>
                  </w:pPr>
                </w:p>
              </w:tc>
            </w:tr>
            <w:tr w14:paraId="04344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restart"/>
                  <w:tcBorders>
                    <w:tl2br w:val="nil"/>
                    <w:tr2bl w:val="nil"/>
                  </w:tcBorders>
                  <w:vAlign w:val="center"/>
                </w:tcPr>
                <w:p w14:paraId="5D7CD8F6">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color w:val="auto"/>
                      <w:sz w:val="21"/>
                      <w:szCs w:val="21"/>
                      <w:highlight w:val="none"/>
                    </w:rPr>
                  </w:pPr>
                  <w:r>
                    <w:rPr>
                      <w:rFonts w:eastAsiaTheme="minorEastAsia"/>
                      <w:color w:val="auto"/>
                      <w:sz w:val="21"/>
                      <w:szCs w:val="21"/>
                      <w:highlight w:val="none"/>
                    </w:rPr>
                    <w:t>东厂界</w:t>
                  </w:r>
                </w:p>
              </w:tc>
              <w:tc>
                <w:tcPr>
                  <w:tcW w:w="569" w:type="pct"/>
                  <w:vMerge w:val="restart"/>
                  <w:tcBorders>
                    <w:tl2br w:val="nil"/>
                    <w:tr2bl w:val="nil"/>
                  </w:tcBorders>
                  <w:vAlign w:val="center"/>
                </w:tcPr>
                <w:p w14:paraId="174F82C8">
                  <w:pPr>
                    <w:keepNext w:val="0"/>
                    <w:keepLines w:val="0"/>
                    <w:pageBreakBefore w:val="0"/>
                    <w:widowControl/>
                    <w:kinsoku/>
                    <w:wordWrap/>
                    <w:overflowPunct/>
                    <w:topLinePunct w:val="0"/>
                    <w:autoSpaceDE/>
                    <w:autoSpaceDN/>
                    <w:bidi w:val="0"/>
                    <w:adjustRightInd w:val="0"/>
                    <w:ind w:right="0"/>
                    <w:jc w:val="center"/>
                    <w:textAlignment w:val="auto"/>
                    <w:rPr>
                      <w:rFonts w:hint="default" w:eastAsiaTheme="minorEastAsia"/>
                      <w:color w:val="auto"/>
                      <w:szCs w:val="21"/>
                      <w:highlight w:val="none"/>
                      <w:lang w:val="en-US" w:eastAsia="zh-CN"/>
                    </w:rPr>
                  </w:pPr>
                  <w:r>
                    <w:rPr>
                      <w:rFonts w:hint="eastAsia" w:eastAsiaTheme="minorEastAsia"/>
                      <w:color w:val="auto"/>
                      <w:szCs w:val="21"/>
                      <w:highlight w:val="none"/>
                      <w:lang w:val="en-US" w:eastAsia="zh-CN"/>
                    </w:rPr>
                    <w:t>161.58</w:t>
                  </w:r>
                </w:p>
              </w:tc>
              <w:tc>
                <w:tcPr>
                  <w:tcW w:w="569" w:type="pct"/>
                  <w:vMerge w:val="restart"/>
                  <w:tcBorders>
                    <w:tl2br w:val="nil"/>
                    <w:tr2bl w:val="nil"/>
                  </w:tcBorders>
                  <w:vAlign w:val="center"/>
                </w:tcPr>
                <w:p w14:paraId="6B5BA324">
                  <w:pPr>
                    <w:keepNext w:val="0"/>
                    <w:keepLines w:val="0"/>
                    <w:pageBreakBefore w:val="0"/>
                    <w:widowControl/>
                    <w:kinsoku/>
                    <w:wordWrap/>
                    <w:overflowPunct/>
                    <w:topLinePunct w:val="0"/>
                    <w:autoSpaceDE/>
                    <w:autoSpaceDN/>
                    <w:bidi w:val="0"/>
                    <w:adjustRightInd w:val="0"/>
                    <w:ind w:right="0"/>
                    <w:jc w:val="center"/>
                    <w:textAlignment w:val="auto"/>
                    <w:rPr>
                      <w:rFonts w:hint="default" w:eastAsiaTheme="minorEastAsia"/>
                      <w:color w:val="auto"/>
                      <w:szCs w:val="21"/>
                      <w:highlight w:val="none"/>
                      <w:lang w:val="en-US" w:eastAsia="zh-CN"/>
                    </w:rPr>
                  </w:pPr>
                  <w:r>
                    <w:rPr>
                      <w:rFonts w:hint="eastAsia" w:eastAsiaTheme="minorEastAsia"/>
                      <w:color w:val="auto"/>
                      <w:szCs w:val="21"/>
                      <w:highlight w:val="none"/>
                      <w:lang w:val="en-US" w:eastAsia="zh-CN"/>
                    </w:rPr>
                    <w:t>49.15</w:t>
                  </w:r>
                </w:p>
              </w:tc>
              <w:tc>
                <w:tcPr>
                  <w:tcW w:w="569" w:type="pct"/>
                  <w:vMerge w:val="restart"/>
                  <w:tcBorders>
                    <w:tl2br w:val="nil"/>
                    <w:tr2bl w:val="nil"/>
                  </w:tcBorders>
                  <w:vAlign w:val="center"/>
                </w:tcPr>
                <w:p w14:paraId="25C2D1E0">
                  <w:pPr>
                    <w:keepNext w:val="0"/>
                    <w:keepLines w:val="0"/>
                    <w:pageBreakBefore w:val="0"/>
                    <w:widowControl/>
                    <w:kinsoku/>
                    <w:wordWrap/>
                    <w:overflowPunct/>
                    <w:topLinePunct w:val="0"/>
                    <w:autoSpaceDE/>
                    <w:autoSpaceDN/>
                    <w:bidi w:val="0"/>
                    <w:adjustRightInd w:val="0"/>
                    <w:ind w:right="0"/>
                    <w:jc w:val="center"/>
                    <w:textAlignment w:val="auto"/>
                    <w:rPr>
                      <w:rFonts w:eastAsiaTheme="minorEastAsia"/>
                      <w:color w:val="auto"/>
                      <w:szCs w:val="21"/>
                      <w:highlight w:val="none"/>
                    </w:rPr>
                  </w:pPr>
                  <w:r>
                    <w:rPr>
                      <w:rFonts w:hint="eastAsia"/>
                      <w:color w:val="auto"/>
                      <w:szCs w:val="21"/>
                      <w:highlight w:val="none"/>
                    </w:rPr>
                    <w:t>1.2</w:t>
                  </w:r>
                </w:p>
              </w:tc>
              <w:tc>
                <w:tcPr>
                  <w:tcW w:w="584" w:type="pct"/>
                  <w:tcBorders>
                    <w:tl2br w:val="nil"/>
                    <w:tr2bl w:val="nil"/>
                  </w:tcBorders>
                  <w:vAlign w:val="center"/>
                </w:tcPr>
                <w:p w14:paraId="07689B41">
                  <w:pPr>
                    <w:keepNext w:val="0"/>
                    <w:keepLines w:val="0"/>
                    <w:pageBreakBefore w:val="0"/>
                    <w:widowControl/>
                    <w:kinsoku/>
                    <w:wordWrap/>
                    <w:overflowPunct/>
                    <w:topLinePunct w:val="0"/>
                    <w:autoSpaceDE/>
                    <w:autoSpaceDN/>
                    <w:bidi w:val="0"/>
                    <w:adjustRightInd w:val="0"/>
                    <w:ind w:right="0"/>
                    <w:jc w:val="center"/>
                    <w:textAlignment w:val="auto"/>
                    <w:rPr>
                      <w:rFonts w:eastAsiaTheme="minorEastAsia"/>
                      <w:color w:val="auto"/>
                      <w:szCs w:val="21"/>
                      <w:highlight w:val="none"/>
                    </w:rPr>
                  </w:pPr>
                  <w:r>
                    <w:rPr>
                      <w:rFonts w:hint="eastAsia" w:eastAsiaTheme="minorEastAsia"/>
                      <w:color w:val="auto"/>
                      <w:szCs w:val="21"/>
                      <w:highlight w:val="none"/>
                    </w:rPr>
                    <w:t>昼间</w:t>
                  </w:r>
                </w:p>
              </w:tc>
              <w:tc>
                <w:tcPr>
                  <w:tcW w:w="744" w:type="pct"/>
                  <w:tcBorders>
                    <w:tl2br w:val="nil"/>
                    <w:tr2bl w:val="nil"/>
                  </w:tcBorders>
                  <w:vAlign w:val="center"/>
                </w:tcPr>
                <w:p w14:paraId="08C7FF33">
                  <w:pPr>
                    <w:keepNext w:val="0"/>
                    <w:keepLines w:val="0"/>
                    <w:pageBreakBefore w:val="0"/>
                    <w:widowControl/>
                    <w:kinsoku/>
                    <w:wordWrap/>
                    <w:overflowPunct/>
                    <w:topLinePunct w:val="0"/>
                    <w:autoSpaceDE/>
                    <w:autoSpaceDN/>
                    <w:bidi w:val="0"/>
                    <w:adjustRightInd w:val="0"/>
                    <w:ind w:right="0"/>
                    <w:jc w:val="center"/>
                    <w:textAlignment w:val="auto"/>
                    <w:rPr>
                      <w:rFonts w:hint="default" w:eastAsiaTheme="minorEastAsia"/>
                      <w:color w:val="auto"/>
                      <w:szCs w:val="21"/>
                      <w:highlight w:val="none"/>
                      <w:lang w:val="en-US" w:eastAsia="zh-CN"/>
                    </w:rPr>
                  </w:pPr>
                  <w:r>
                    <w:rPr>
                      <w:rFonts w:hint="eastAsia" w:eastAsiaTheme="minorEastAsia"/>
                      <w:color w:val="auto"/>
                      <w:szCs w:val="21"/>
                      <w:highlight w:val="none"/>
                      <w:lang w:val="en-US" w:eastAsia="zh-CN"/>
                    </w:rPr>
                    <w:t>54.81</w:t>
                  </w:r>
                </w:p>
              </w:tc>
              <w:tc>
                <w:tcPr>
                  <w:tcW w:w="723" w:type="pct"/>
                  <w:tcBorders>
                    <w:tl2br w:val="nil"/>
                    <w:tr2bl w:val="nil"/>
                  </w:tcBorders>
                  <w:vAlign w:val="center"/>
                </w:tcPr>
                <w:p w14:paraId="0B8CC303">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65</w:t>
                  </w:r>
                </w:p>
              </w:tc>
              <w:tc>
                <w:tcPr>
                  <w:tcW w:w="667" w:type="pct"/>
                  <w:tcBorders>
                    <w:tl2br w:val="nil"/>
                    <w:tr2bl w:val="nil"/>
                  </w:tcBorders>
                  <w:vAlign w:val="center"/>
                </w:tcPr>
                <w:p w14:paraId="4B7FF59F">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color w:val="auto"/>
                      <w:sz w:val="21"/>
                      <w:szCs w:val="21"/>
                      <w:highlight w:val="none"/>
                    </w:rPr>
                  </w:pPr>
                  <w:r>
                    <w:rPr>
                      <w:rFonts w:eastAsiaTheme="minorEastAsia"/>
                      <w:color w:val="auto"/>
                      <w:sz w:val="21"/>
                      <w:szCs w:val="21"/>
                      <w:highlight w:val="none"/>
                    </w:rPr>
                    <w:t>达标</w:t>
                  </w:r>
                </w:p>
              </w:tc>
            </w:tr>
            <w:tr w14:paraId="78762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continue"/>
                  <w:tcBorders>
                    <w:tl2br w:val="nil"/>
                    <w:tr2bl w:val="nil"/>
                  </w:tcBorders>
                  <w:vAlign w:val="center"/>
                </w:tcPr>
                <w:p w14:paraId="40254FC2">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color w:val="auto"/>
                      <w:sz w:val="21"/>
                      <w:szCs w:val="21"/>
                      <w:highlight w:val="none"/>
                    </w:rPr>
                  </w:pPr>
                </w:p>
              </w:tc>
              <w:tc>
                <w:tcPr>
                  <w:tcW w:w="569" w:type="pct"/>
                  <w:vMerge w:val="continue"/>
                  <w:tcBorders>
                    <w:tl2br w:val="nil"/>
                    <w:tr2bl w:val="nil"/>
                  </w:tcBorders>
                  <w:vAlign w:val="center"/>
                </w:tcPr>
                <w:p w14:paraId="3CD5982E">
                  <w:pPr>
                    <w:keepNext w:val="0"/>
                    <w:keepLines w:val="0"/>
                    <w:pageBreakBefore w:val="0"/>
                    <w:widowControl/>
                    <w:kinsoku/>
                    <w:wordWrap/>
                    <w:overflowPunct/>
                    <w:topLinePunct w:val="0"/>
                    <w:autoSpaceDE/>
                    <w:autoSpaceDN/>
                    <w:bidi w:val="0"/>
                    <w:adjustRightInd w:val="0"/>
                    <w:ind w:right="0"/>
                    <w:jc w:val="center"/>
                    <w:textAlignment w:val="auto"/>
                    <w:rPr>
                      <w:rFonts w:hint="default" w:eastAsiaTheme="minorEastAsia"/>
                      <w:color w:val="auto"/>
                      <w:szCs w:val="21"/>
                      <w:highlight w:val="none"/>
                      <w:lang w:val="en-US" w:eastAsia="zh-CN"/>
                    </w:rPr>
                  </w:pPr>
                </w:p>
              </w:tc>
              <w:tc>
                <w:tcPr>
                  <w:tcW w:w="569" w:type="pct"/>
                  <w:vMerge w:val="continue"/>
                  <w:tcBorders>
                    <w:tl2br w:val="nil"/>
                    <w:tr2bl w:val="nil"/>
                  </w:tcBorders>
                  <w:vAlign w:val="center"/>
                </w:tcPr>
                <w:p w14:paraId="66895FFE">
                  <w:pPr>
                    <w:keepNext w:val="0"/>
                    <w:keepLines w:val="0"/>
                    <w:pageBreakBefore w:val="0"/>
                    <w:widowControl/>
                    <w:kinsoku/>
                    <w:wordWrap/>
                    <w:overflowPunct/>
                    <w:topLinePunct w:val="0"/>
                    <w:autoSpaceDE/>
                    <w:autoSpaceDN/>
                    <w:bidi w:val="0"/>
                    <w:adjustRightInd w:val="0"/>
                    <w:ind w:right="0"/>
                    <w:jc w:val="center"/>
                    <w:textAlignment w:val="auto"/>
                    <w:rPr>
                      <w:rFonts w:hint="default" w:eastAsiaTheme="minorEastAsia"/>
                      <w:color w:val="auto"/>
                      <w:szCs w:val="21"/>
                      <w:highlight w:val="none"/>
                      <w:lang w:val="en-US" w:eastAsia="zh-CN"/>
                    </w:rPr>
                  </w:pPr>
                </w:p>
              </w:tc>
              <w:tc>
                <w:tcPr>
                  <w:tcW w:w="569" w:type="pct"/>
                  <w:vMerge w:val="continue"/>
                  <w:tcBorders>
                    <w:tl2br w:val="nil"/>
                    <w:tr2bl w:val="nil"/>
                  </w:tcBorders>
                  <w:vAlign w:val="center"/>
                </w:tcPr>
                <w:p w14:paraId="146EFFE8">
                  <w:pPr>
                    <w:keepNext w:val="0"/>
                    <w:keepLines w:val="0"/>
                    <w:pageBreakBefore w:val="0"/>
                    <w:widowControl/>
                    <w:kinsoku/>
                    <w:wordWrap/>
                    <w:overflowPunct/>
                    <w:topLinePunct w:val="0"/>
                    <w:autoSpaceDE/>
                    <w:autoSpaceDN/>
                    <w:bidi w:val="0"/>
                    <w:adjustRightInd w:val="0"/>
                    <w:ind w:right="0"/>
                    <w:jc w:val="center"/>
                    <w:textAlignment w:val="auto"/>
                    <w:rPr>
                      <w:rFonts w:hint="eastAsia"/>
                      <w:color w:val="auto"/>
                      <w:szCs w:val="21"/>
                      <w:highlight w:val="none"/>
                    </w:rPr>
                  </w:pPr>
                </w:p>
              </w:tc>
              <w:tc>
                <w:tcPr>
                  <w:tcW w:w="584" w:type="pct"/>
                  <w:tcBorders>
                    <w:tl2br w:val="nil"/>
                    <w:tr2bl w:val="nil"/>
                  </w:tcBorders>
                  <w:vAlign w:val="center"/>
                </w:tcPr>
                <w:p w14:paraId="0F4F9F08">
                  <w:pPr>
                    <w:keepNext w:val="0"/>
                    <w:keepLines w:val="0"/>
                    <w:pageBreakBefore w:val="0"/>
                    <w:widowControl/>
                    <w:kinsoku/>
                    <w:wordWrap/>
                    <w:overflowPunct/>
                    <w:topLinePunct w:val="0"/>
                    <w:autoSpaceDE/>
                    <w:autoSpaceDN/>
                    <w:bidi w:val="0"/>
                    <w:adjustRightInd w:val="0"/>
                    <w:ind w:right="0"/>
                    <w:jc w:val="center"/>
                    <w:textAlignment w:val="auto"/>
                    <w:rPr>
                      <w:rFonts w:hint="eastAsia" w:eastAsiaTheme="minorEastAsia"/>
                      <w:color w:val="auto"/>
                      <w:szCs w:val="21"/>
                      <w:highlight w:val="none"/>
                      <w:lang w:val="en-US" w:eastAsia="zh-CN"/>
                    </w:rPr>
                  </w:pPr>
                  <w:r>
                    <w:rPr>
                      <w:rFonts w:hint="eastAsia" w:eastAsiaTheme="minorEastAsia"/>
                      <w:color w:val="auto"/>
                      <w:szCs w:val="21"/>
                      <w:highlight w:val="none"/>
                      <w:lang w:val="en-US" w:eastAsia="zh-CN"/>
                    </w:rPr>
                    <w:t>夜间</w:t>
                  </w:r>
                </w:p>
              </w:tc>
              <w:tc>
                <w:tcPr>
                  <w:tcW w:w="744" w:type="pct"/>
                  <w:tcBorders>
                    <w:tl2br w:val="nil"/>
                    <w:tr2bl w:val="nil"/>
                  </w:tcBorders>
                  <w:vAlign w:val="center"/>
                </w:tcPr>
                <w:p w14:paraId="3ED110B3">
                  <w:pPr>
                    <w:keepNext w:val="0"/>
                    <w:keepLines w:val="0"/>
                    <w:pageBreakBefore w:val="0"/>
                    <w:widowControl/>
                    <w:kinsoku/>
                    <w:wordWrap/>
                    <w:overflowPunct/>
                    <w:topLinePunct w:val="0"/>
                    <w:autoSpaceDE/>
                    <w:autoSpaceDN/>
                    <w:bidi w:val="0"/>
                    <w:adjustRightInd w:val="0"/>
                    <w:ind w:right="0"/>
                    <w:jc w:val="center"/>
                    <w:textAlignment w:val="auto"/>
                    <w:rPr>
                      <w:rFonts w:hint="default" w:eastAsiaTheme="minorEastAsia"/>
                      <w:color w:val="auto"/>
                      <w:szCs w:val="21"/>
                      <w:highlight w:val="none"/>
                      <w:lang w:val="en-US" w:eastAsia="zh-CN"/>
                    </w:rPr>
                  </w:pPr>
                  <w:r>
                    <w:rPr>
                      <w:rFonts w:hint="eastAsia" w:eastAsiaTheme="minorEastAsia"/>
                      <w:color w:val="auto"/>
                      <w:szCs w:val="21"/>
                      <w:highlight w:val="none"/>
                      <w:lang w:val="en-US" w:eastAsia="zh-CN"/>
                    </w:rPr>
                    <w:t>54.81</w:t>
                  </w:r>
                </w:p>
              </w:tc>
              <w:tc>
                <w:tcPr>
                  <w:tcW w:w="723" w:type="pct"/>
                  <w:tcBorders>
                    <w:tl2br w:val="nil"/>
                    <w:tr2bl w:val="nil"/>
                  </w:tcBorders>
                  <w:vAlign w:val="center"/>
                </w:tcPr>
                <w:p w14:paraId="37B8A4B5">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55</w:t>
                  </w:r>
                </w:p>
              </w:tc>
              <w:tc>
                <w:tcPr>
                  <w:tcW w:w="667" w:type="pct"/>
                  <w:tcBorders>
                    <w:tl2br w:val="nil"/>
                    <w:tr2bl w:val="nil"/>
                  </w:tcBorders>
                  <w:vAlign w:val="center"/>
                </w:tcPr>
                <w:p w14:paraId="1173E437">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eastAsia"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达标</w:t>
                  </w:r>
                </w:p>
              </w:tc>
            </w:tr>
            <w:tr w14:paraId="756B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restart"/>
                  <w:tcBorders>
                    <w:tl2br w:val="nil"/>
                    <w:tr2bl w:val="nil"/>
                  </w:tcBorders>
                  <w:vAlign w:val="center"/>
                </w:tcPr>
                <w:p w14:paraId="7C1F0117">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color w:val="auto"/>
                      <w:sz w:val="21"/>
                      <w:szCs w:val="21"/>
                      <w:highlight w:val="none"/>
                    </w:rPr>
                  </w:pPr>
                  <w:r>
                    <w:rPr>
                      <w:rFonts w:hint="eastAsia" w:eastAsiaTheme="minorEastAsia"/>
                      <w:color w:val="auto"/>
                      <w:sz w:val="21"/>
                      <w:szCs w:val="21"/>
                      <w:highlight w:val="none"/>
                    </w:rPr>
                    <w:t>南</w:t>
                  </w:r>
                  <w:r>
                    <w:rPr>
                      <w:rFonts w:eastAsiaTheme="minorEastAsia"/>
                      <w:color w:val="auto"/>
                      <w:sz w:val="21"/>
                      <w:szCs w:val="21"/>
                      <w:highlight w:val="none"/>
                    </w:rPr>
                    <w:t>厂界</w:t>
                  </w:r>
                </w:p>
              </w:tc>
              <w:tc>
                <w:tcPr>
                  <w:tcW w:w="569" w:type="pct"/>
                  <w:vMerge w:val="restart"/>
                  <w:tcBorders>
                    <w:tl2br w:val="nil"/>
                    <w:tr2bl w:val="nil"/>
                  </w:tcBorders>
                  <w:vAlign w:val="center"/>
                </w:tcPr>
                <w:p w14:paraId="018A341E">
                  <w:pPr>
                    <w:keepNext w:val="0"/>
                    <w:keepLines w:val="0"/>
                    <w:pageBreakBefore w:val="0"/>
                    <w:widowControl/>
                    <w:kinsoku/>
                    <w:wordWrap/>
                    <w:overflowPunct/>
                    <w:topLinePunct w:val="0"/>
                    <w:autoSpaceDE/>
                    <w:autoSpaceDN/>
                    <w:bidi w:val="0"/>
                    <w:adjustRightInd w:val="0"/>
                    <w:ind w:right="0"/>
                    <w:jc w:val="center"/>
                    <w:textAlignment w:val="auto"/>
                    <w:rPr>
                      <w:rFonts w:hint="default" w:eastAsiaTheme="minorEastAsia"/>
                      <w:color w:val="auto"/>
                      <w:szCs w:val="21"/>
                      <w:highlight w:val="none"/>
                      <w:lang w:val="en-US" w:eastAsia="zh-CN"/>
                    </w:rPr>
                  </w:pPr>
                  <w:r>
                    <w:rPr>
                      <w:rFonts w:hint="eastAsia" w:eastAsiaTheme="minorEastAsia"/>
                      <w:color w:val="auto"/>
                      <w:szCs w:val="21"/>
                      <w:highlight w:val="none"/>
                      <w:lang w:val="en-US" w:eastAsia="zh-CN"/>
                    </w:rPr>
                    <w:t>101.51</w:t>
                  </w:r>
                </w:p>
              </w:tc>
              <w:tc>
                <w:tcPr>
                  <w:tcW w:w="569" w:type="pct"/>
                  <w:vMerge w:val="restart"/>
                  <w:tcBorders>
                    <w:tl2br w:val="nil"/>
                    <w:tr2bl w:val="nil"/>
                  </w:tcBorders>
                  <w:vAlign w:val="center"/>
                </w:tcPr>
                <w:p w14:paraId="67E85066">
                  <w:pPr>
                    <w:keepNext w:val="0"/>
                    <w:keepLines w:val="0"/>
                    <w:pageBreakBefore w:val="0"/>
                    <w:widowControl/>
                    <w:kinsoku/>
                    <w:wordWrap/>
                    <w:overflowPunct/>
                    <w:topLinePunct w:val="0"/>
                    <w:autoSpaceDE/>
                    <w:autoSpaceDN/>
                    <w:bidi w:val="0"/>
                    <w:adjustRightInd w:val="0"/>
                    <w:ind w:right="0"/>
                    <w:jc w:val="center"/>
                    <w:textAlignment w:val="auto"/>
                    <w:rPr>
                      <w:rFonts w:hint="default" w:eastAsiaTheme="minorEastAsia"/>
                      <w:color w:val="auto"/>
                      <w:szCs w:val="21"/>
                      <w:highlight w:val="none"/>
                      <w:lang w:val="en-US" w:eastAsia="zh-CN"/>
                    </w:rPr>
                  </w:pPr>
                  <w:r>
                    <w:rPr>
                      <w:rFonts w:hint="eastAsia" w:eastAsiaTheme="minorEastAsia"/>
                      <w:color w:val="auto"/>
                      <w:szCs w:val="21"/>
                      <w:highlight w:val="none"/>
                      <w:lang w:val="en-US" w:eastAsia="zh-CN"/>
                    </w:rPr>
                    <w:t>1.69</w:t>
                  </w:r>
                </w:p>
              </w:tc>
              <w:tc>
                <w:tcPr>
                  <w:tcW w:w="569" w:type="pct"/>
                  <w:vMerge w:val="restart"/>
                  <w:tcBorders>
                    <w:tl2br w:val="nil"/>
                    <w:tr2bl w:val="nil"/>
                  </w:tcBorders>
                  <w:vAlign w:val="center"/>
                </w:tcPr>
                <w:p w14:paraId="20C9F993">
                  <w:pPr>
                    <w:keepNext w:val="0"/>
                    <w:keepLines w:val="0"/>
                    <w:pageBreakBefore w:val="0"/>
                    <w:widowControl/>
                    <w:kinsoku/>
                    <w:wordWrap/>
                    <w:overflowPunct/>
                    <w:topLinePunct w:val="0"/>
                    <w:autoSpaceDE/>
                    <w:autoSpaceDN/>
                    <w:bidi w:val="0"/>
                    <w:adjustRightInd w:val="0"/>
                    <w:ind w:right="0"/>
                    <w:jc w:val="center"/>
                    <w:textAlignment w:val="auto"/>
                    <w:rPr>
                      <w:rFonts w:eastAsiaTheme="minorEastAsia"/>
                      <w:color w:val="auto"/>
                      <w:szCs w:val="21"/>
                      <w:highlight w:val="none"/>
                    </w:rPr>
                  </w:pPr>
                  <w:r>
                    <w:rPr>
                      <w:rFonts w:hint="eastAsia"/>
                      <w:color w:val="auto"/>
                      <w:szCs w:val="21"/>
                      <w:highlight w:val="none"/>
                    </w:rPr>
                    <w:t>1.2</w:t>
                  </w:r>
                </w:p>
              </w:tc>
              <w:tc>
                <w:tcPr>
                  <w:tcW w:w="584" w:type="pct"/>
                  <w:tcBorders>
                    <w:tl2br w:val="nil"/>
                    <w:tr2bl w:val="nil"/>
                  </w:tcBorders>
                  <w:shd w:val="clear" w:color="auto" w:fill="auto"/>
                  <w:vAlign w:val="center"/>
                </w:tcPr>
                <w:p w14:paraId="3E1237EE">
                  <w:pPr>
                    <w:keepNext w:val="0"/>
                    <w:keepLines w:val="0"/>
                    <w:pageBreakBefore w:val="0"/>
                    <w:widowControl/>
                    <w:kinsoku/>
                    <w:wordWrap/>
                    <w:overflowPunct/>
                    <w:topLinePunct w:val="0"/>
                    <w:autoSpaceDE/>
                    <w:autoSpaceDN/>
                    <w:bidi w:val="0"/>
                    <w:adjustRightInd w:val="0"/>
                    <w:ind w:right="0" w:rightChars="0"/>
                    <w:jc w:val="center"/>
                    <w:textAlignment w:val="auto"/>
                    <w:rPr>
                      <w:rFonts w:ascii="Times New Roman" w:hAnsi="Times New Roman" w:cs="Times New Roman" w:eastAsiaTheme="minorEastAsia"/>
                      <w:color w:val="auto"/>
                      <w:kern w:val="2"/>
                      <w:sz w:val="21"/>
                      <w:szCs w:val="21"/>
                      <w:highlight w:val="none"/>
                      <w:lang w:val="en-US" w:eastAsia="zh-CN" w:bidi="ar-SA"/>
                    </w:rPr>
                  </w:pPr>
                  <w:r>
                    <w:rPr>
                      <w:rFonts w:hint="eastAsia" w:eastAsiaTheme="minorEastAsia"/>
                      <w:color w:val="auto"/>
                      <w:szCs w:val="21"/>
                      <w:highlight w:val="none"/>
                    </w:rPr>
                    <w:t>昼间</w:t>
                  </w:r>
                </w:p>
              </w:tc>
              <w:tc>
                <w:tcPr>
                  <w:tcW w:w="744" w:type="pct"/>
                  <w:tcBorders>
                    <w:tl2br w:val="nil"/>
                    <w:tr2bl w:val="nil"/>
                  </w:tcBorders>
                  <w:vAlign w:val="center"/>
                </w:tcPr>
                <w:p w14:paraId="177049CA">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54.43</w:t>
                  </w:r>
                </w:p>
              </w:tc>
              <w:tc>
                <w:tcPr>
                  <w:tcW w:w="723" w:type="pct"/>
                  <w:tcBorders>
                    <w:tl2br w:val="nil"/>
                    <w:tr2bl w:val="nil"/>
                  </w:tcBorders>
                  <w:vAlign w:val="center"/>
                </w:tcPr>
                <w:p w14:paraId="0B9D8934">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65</w:t>
                  </w:r>
                </w:p>
              </w:tc>
              <w:tc>
                <w:tcPr>
                  <w:tcW w:w="667" w:type="pct"/>
                  <w:tcBorders>
                    <w:tl2br w:val="nil"/>
                    <w:tr2bl w:val="nil"/>
                  </w:tcBorders>
                  <w:shd w:val="clear" w:color="auto" w:fill="auto"/>
                  <w:vAlign w:val="center"/>
                </w:tcPr>
                <w:p w14:paraId="6A757CA5">
                  <w:pPr>
                    <w:pStyle w:val="10"/>
                    <w:keepNext w:val="0"/>
                    <w:keepLines w:val="0"/>
                    <w:pageBreakBefore w:val="0"/>
                    <w:widowControl/>
                    <w:kinsoku/>
                    <w:wordWrap/>
                    <w:overflowPunct/>
                    <w:topLinePunct w:val="0"/>
                    <w:autoSpaceDE/>
                    <w:autoSpaceDN/>
                    <w:bidi w:val="0"/>
                    <w:adjustRightInd w:val="0"/>
                    <w:spacing w:before="0" w:after="0" w:line="240" w:lineRule="auto"/>
                    <w:ind w:right="0" w:rightChars="0"/>
                    <w:jc w:val="center"/>
                    <w:textAlignment w:val="auto"/>
                    <w:rPr>
                      <w:rFonts w:ascii="Times New Roman" w:hAnsi="Times New Roman" w:cs="Times New Roman" w:eastAsiaTheme="minorEastAsia"/>
                      <w:color w:val="auto"/>
                      <w:kern w:val="0"/>
                      <w:sz w:val="21"/>
                      <w:szCs w:val="21"/>
                      <w:highlight w:val="none"/>
                      <w:lang w:val="en-US" w:eastAsia="zh-CN" w:bidi="ar-SA"/>
                    </w:rPr>
                  </w:pPr>
                  <w:r>
                    <w:rPr>
                      <w:rFonts w:eastAsiaTheme="minorEastAsia"/>
                      <w:color w:val="auto"/>
                      <w:sz w:val="21"/>
                      <w:szCs w:val="21"/>
                      <w:highlight w:val="none"/>
                    </w:rPr>
                    <w:t>达标</w:t>
                  </w:r>
                </w:p>
              </w:tc>
            </w:tr>
            <w:tr w14:paraId="7D6B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continue"/>
                  <w:tcBorders>
                    <w:tl2br w:val="nil"/>
                    <w:tr2bl w:val="nil"/>
                  </w:tcBorders>
                  <w:vAlign w:val="center"/>
                </w:tcPr>
                <w:p w14:paraId="2344E752">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eastAsia" w:eastAsiaTheme="minorEastAsia"/>
                      <w:color w:val="auto"/>
                      <w:sz w:val="21"/>
                      <w:szCs w:val="21"/>
                      <w:highlight w:val="none"/>
                    </w:rPr>
                  </w:pPr>
                </w:p>
              </w:tc>
              <w:tc>
                <w:tcPr>
                  <w:tcW w:w="569" w:type="pct"/>
                  <w:vMerge w:val="continue"/>
                  <w:tcBorders>
                    <w:tl2br w:val="nil"/>
                    <w:tr2bl w:val="nil"/>
                  </w:tcBorders>
                  <w:vAlign w:val="center"/>
                </w:tcPr>
                <w:p w14:paraId="233F2305">
                  <w:pPr>
                    <w:keepNext w:val="0"/>
                    <w:keepLines w:val="0"/>
                    <w:pageBreakBefore w:val="0"/>
                    <w:widowControl/>
                    <w:kinsoku/>
                    <w:wordWrap/>
                    <w:overflowPunct/>
                    <w:topLinePunct w:val="0"/>
                    <w:autoSpaceDE/>
                    <w:autoSpaceDN/>
                    <w:bidi w:val="0"/>
                    <w:adjustRightInd w:val="0"/>
                    <w:ind w:right="0"/>
                    <w:jc w:val="center"/>
                    <w:textAlignment w:val="auto"/>
                    <w:rPr>
                      <w:rFonts w:hint="default" w:eastAsiaTheme="minorEastAsia"/>
                      <w:color w:val="auto"/>
                      <w:szCs w:val="21"/>
                      <w:highlight w:val="none"/>
                      <w:lang w:val="en-US" w:eastAsia="zh-CN"/>
                    </w:rPr>
                  </w:pPr>
                </w:p>
              </w:tc>
              <w:tc>
                <w:tcPr>
                  <w:tcW w:w="569" w:type="pct"/>
                  <w:vMerge w:val="continue"/>
                  <w:tcBorders>
                    <w:tl2br w:val="nil"/>
                    <w:tr2bl w:val="nil"/>
                  </w:tcBorders>
                  <w:vAlign w:val="center"/>
                </w:tcPr>
                <w:p w14:paraId="320CDFD4">
                  <w:pPr>
                    <w:keepNext w:val="0"/>
                    <w:keepLines w:val="0"/>
                    <w:pageBreakBefore w:val="0"/>
                    <w:widowControl/>
                    <w:kinsoku/>
                    <w:wordWrap/>
                    <w:overflowPunct/>
                    <w:topLinePunct w:val="0"/>
                    <w:autoSpaceDE/>
                    <w:autoSpaceDN/>
                    <w:bidi w:val="0"/>
                    <w:adjustRightInd w:val="0"/>
                    <w:ind w:right="0"/>
                    <w:jc w:val="center"/>
                    <w:textAlignment w:val="auto"/>
                    <w:rPr>
                      <w:rFonts w:hint="default" w:eastAsiaTheme="minorEastAsia"/>
                      <w:color w:val="auto"/>
                      <w:szCs w:val="21"/>
                      <w:highlight w:val="none"/>
                      <w:lang w:val="en-US" w:eastAsia="zh-CN"/>
                    </w:rPr>
                  </w:pPr>
                </w:p>
              </w:tc>
              <w:tc>
                <w:tcPr>
                  <w:tcW w:w="569" w:type="pct"/>
                  <w:vMerge w:val="continue"/>
                  <w:tcBorders>
                    <w:tl2br w:val="nil"/>
                    <w:tr2bl w:val="nil"/>
                  </w:tcBorders>
                  <w:vAlign w:val="center"/>
                </w:tcPr>
                <w:p w14:paraId="201B2774">
                  <w:pPr>
                    <w:keepNext w:val="0"/>
                    <w:keepLines w:val="0"/>
                    <w:pageBreakBefore w:val="0"/>
                    <w:widowControl/>
                    <w:kinsoku/>
                    <w:wordWrap/>
                    <w:overflowPunct/>
                    <w:topLinePunct w:val="0"/>
                    <w:autoSpaceDE/>
                    <w:autoSpaceDN/>
                    <w:bidi w:val="0"/>
                    <w:adjustRightInd w:val="0"/>
                    <w:ind w:right="0"/>
                    <w:jc w:val="center"/>
                    <w:textAlignment w:val="auto"/>
                    <w:rPr>
                      <w:rFonts w:hint="eastAsia"/>
                      <w:color w:val="auto"/>
                      <w:szCs w:val="21"/>
                      <w:highlight w:val="none"/>
                    </w:rPr>
                  </w:pPr>
                </w:p>
              </w:tc>
              <w:tc>
                <w:tcPr>
                  <w:tcW w:w="584" w:type="pct"/>
                  <w:tcBorders>
                    <w:tl2br w:val="nil"/>
                    <w:tr2bl w:val="nil"/>
                  </w:tcBorders>
                  <w:shd w:val="clear" w:color="auto" w:fill="auto"/>
                  <w:vAlign w:val="center"/>
                </w:tcPr>
                <w:p w14:paraId="33B7EFC4">
                  <w:pPr>
                    <w:keepNext w:val="0"/>
                    <w:keepLines w:val="0"/>
                    <w:pageBreakBefore w:val="0"/>
                    <w:widowControl/>
                    <w:kinsoku/>
                    <w:wordWrap/>
                    <w:overflowPunct/>
                    <w:topLinePunct w:val="0"/>
                    <w:autoSpaceDE/>
                    <w:autoSpaceDN/>
                    <w:bidi w:val="0"/>
                    <w:adjustRightInd w:val="0"/>
                    <w:ind w:right="0" w:right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eastAsiaTheme="minorEastAsia"/>
                      <w:color w:val="auto"/>
                      <w:szCs w:val="21"/>
                      <w:highlight w:val="none"/>
                      <w:lang w:val="en-US" w:eastAsia="zh-CN"/>
                    </w:rPr>
                    <w:t>夜间</w:t>
                  </w:r>
                </w:p>
              </w:tc>
              <w:tc>
                <w:tcPr>
                  <w:tcW w:w="744" w:type="pct"/>
                  <w:tcBorders>
                    <w:tl2br w:val="nil"/>
                    <w:tr2bl w:val="nil"/>
                  </w:tcBorders>
                  <w:vAlign w:val="center"/>
                </w:tcPr>
                <w:p w14:paraId="3CEC4AA1">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54.43</w:t>
                  </w:r>
                </w:p>
              </w:tc>
              <w:tc>
                <w:tcPr>
                  <w:tcW w:w="723" w:type="pct"/>
                  <w:tcBorders>
                    <w:tl2br w:val="nil"/>
                    <w:tr2bl w:val="nil"/>
                  </w:tcBorders>
                  <w:vAlign w:val="center"/>
                </w:tcPr>
                <w:p w14:paraId="7F6F35F0">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55</w:t>
                  </w:r>
                </w:p>
              </w:tc>
              <w:tc>
                <w:tcPr>
                  <w:tcW w:w="667" w:type="pct"/>
                  <w:tcBorders>
                    <w:tl2br w:val="nil"/>
                    <w:tr2bl w:val="nil"/>
                  </w:tcBorders>
                  <w:shd w:val="clear" w:color="auto" w:fill="auto"/>
                  <w:vAlign w:val="center"/>
                </w:tcPr>
                <w:p w14:paraId="6C864D7D">
                  <w:pPr>
                    <w:pStyle w:val="10"/>
                    <w:keepNext w:val="0"/>
                    <w:keepLines w:val="0"/>
                    <w:pageBreakBefore w:val="0"/>
                    <w:widowControl/>
                    <w:kinsoku/>
                    <w:wordWrap/>
                    <w:overflowPunct/>
                    <w:topLinePunct w:val="0"/>
                    <w:autoSpaceDE/>
                    <w:autoSpaceDN/>
                    <w:bidi w:val="0"/>
                    <w:adjustRightInd w:val="0"/>
                    <w:spacing w:before="0" w:after="0" w:line="240" w:lineRule="auto"/>
                    <w:ind w:right="0" w:right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eastAsiaTheme="minorEastAsia"/>
                      <w:color w:val="auto"/>
                      <w:sz w:val="21"/>
                      <w:szCs w:val="21"/>
                      <w:highlight w:val="none"/>
                      <w:lang w:val="en-US" w:eastAsia="zh-CN"/>
                    </w:rPr>
                    <w:t>达标</w:t>
                  </w:r>
                </w:p>
              </w:tc>
            </w:tr>
            <w:tr w14:paraId="1DA22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restart"/>
                  <w:tcBorders>
                    <w:tl2br w:val="nil"/>
                    <w:tr2bl w:val="nil"/>
                  </w:tcBorders>
                  <w:vAlign w:val="center"/>
                </w:tcPr>
                <w:p w14:paraId="057E1D46">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color w:val="auto"/>
                      <w:sz w:val="21"/>
                      <w:szCs w:val="21"/>
                      <w:highlight w:val="none"/>
                    </w:rPr>
                  </w:pPr>
                  <w:r>
                    <w:rPr>
                      <w:rFonts w:eastAsiaTheme="minorEastAsia"/>
                      <w:color w:val="auto"/>
                      <w:sz w:val="21"/>
                      <w:szCs w:val="21"/>
                      <w:highlight w:val="none"/>
                    </w:rPr>
                    <w:t>西厂界</w:t>
                  </w:r>
                </w:p>
              </w:tc>
              <w:tc>
                <w:tcPr>
                  <w:tcW w:w="569" w:type="pct"/>
                  <w:vMerge w:val="restart"/>
                  <w:tcBorders>
                    <w:tl2br w:val="nil"/>
                    <w:tr2bl w:val="nil"/>
                  </w:tcBorders>
                  <w:vAlign w:val="center"/>
                </w:tcPr>
                <w:p w14:paraId="331E7465">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-1.81</w:t>
                  </w:r>
                </w:p>
              </w:tc>
              <w:tc>
                <w:tcPr>
                  <w:tcW w:w="569" w:type="pct"/>
                  <w:vMerge w:val="restart"/>
                  <w:tcBorders>
                    <w:tl2br w:val="nil"/>
                    <w:tr2bl w:val="nil"/>
                  </w:tcBorders>
                  <w:vAlign w:val="center"/>
                </w:tcPr>
                <w:p w14:paraId="2EEEB0D4">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56.65</w:t>
                  </w:r>
                </w:p>
              </w:tc>
              <w:tc>
                <w:tcPr>
                  <w:tcW w:w="569" w:type="pct"/>
                  <w:vMerge w:val="restart"/>
                  <w:tcBorders>
                    <w:tl2br w:val="nil"/>
                    <w:tr2bl w:val="nil"/>
                  </w:tcBorders>
                  <w:vAlign w:val="center"/>
                </w:tcPr>
                <w:p w14:paraId="09042C51">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color w:val="auto"/>
                      <w:sz w:val="21"/>
                      <w:szCs w:val="21"/>
                      <w:highlight w:val="none"/>
                    </w:rPr>
                  </w:pPr>
                  <w:r>
                    <w:rPr>
                      <w:rFonts w:hint="eastAsia" w:eastAsiaTheme="minorEastAsia"/>
                      <w:color w:val="auto"/>
                      <w:sz w:val="21"/>
                      <w:szCs w:val="21"/>
                      <w:highlight w:val="none"/>
                    </w:rPr>
                    <w:t>1.2</w:t>
                  </w:r>
                </w:p>
              </w:tc>
              <w:tc>
                <w:tcPr>
                  <w:tcW w:w="584" w:type="pct"/>
                  <w:tcBorders>
                    <w:tl2br w:val="nil"/>
                    <w:tr2bl w:val="nil"/>
                  </w:tcBorders>
                  <w:shd w:val="clear" w:color="auto" w:fill="auto"/>
                  <w:vAlign w:val="center"/>
                </w:tcPr>
                <w:p w14:paraId="2CE0352A">
                  <w:pPr>
                    <w:keepNext w:val="0"/>
                    <w:keepLines w:val="0"/>
                    <w:pageBreakBefore w:val="0"/>
                    <w:widowControl/>
                    <w:kinsoku/>
                    <w:wordWrap/>
                    <w:overflowPunct/>
                    <w:topLinePunct w:val="0"/>
                    <w:autoSpaceDE/>
                    <w:autoSpaceDN/>
                    <w:bidi w:val="0"/>
                    <w:adjustRightInd w:val="0"/>
                    <w:ind w:right="0" w:rightChars="0"/>
                    <w:jc w:val="center"/>
                    <w:textAlignment w:val="auto"/>
                    <w:rPr>
                      <w:rFonts w:ascii="Times New Roman" w:hAnsi="Times New Roman" w:cs="Times New Roman" w:eastAsiaTheme="minorEastAsia"/>
                      <w:color w:val="auto"/>
                      <w:kern w:val="2"/>
                      <w:sz w:val="21"/>
                      <w:szCs w:val="21"/>
                      <w:highlight w:val="none"/>
                      <w:lang w:val="en-US" w:eastAsia="zh-CN" w:bidi="ar-SA"/>
                    </w:rPr>
                  </w:pPr>
                  <w:r>
                    <w:rPr>
                      <w:rFonts w:hint="eastAsia" w:eastAsiaTheme="minorEastAsia"/>
                      <w:color w:val="auto"/>
                      <w:szCs w:val="21"/>
                      <w:highlight w:val="none"/>
                    </w:rPr>
                    <w:t>昼间</w:t>
                  </w:r>
                </w:p>
              </w:tc>
              <w:tc>
                <w:tcPr>
                  <w:tcW w:w="744" w:type="pct"/>
                  <w:tcBorders>
                    <w:tl2br w:val="nil"/>
                    <w:tr2bl w:val="nil"/>
                  </w:tcBorders>
                  <w:vAlign w:val="center"/>
                </w:tcPr>
                <w:p w14:paraId="7EA963F3">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54.88</w:t>
                  </w:r>
                </w:p>
              </w:tc>
              <w:tc>
                <w:tcPr>
                  <w:tcW w:w="723" w:type="pct"/>
                  <w:tcBorders>
                    <w:tl2br w:val="nil"/>
                    <w:tr2bl w:val="nil"/>
                  </w:tcBorders>
                  <w:vAlign w:val="center"/>
                </w:tcPr>
                <w:p w14:paraId="159A1B85">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65</w:t>
                  </w:r>
                </w:p>
              </w:tc>
              <w:tc>
                <w:tcPr>
                  <w:tcW w:w="667" w:type="pct"/>
                  <w:tcBorders>
                    <w:tl2br w:val="nil"/>
                    <w:tr2bl w:val="nil"/>
                  </w:tcBorders>
                  <w:shd w:val="clear" w:color="auto" w:fill="auto"/>
                  <w:vAlign w:val="center"/>
                </w:tcPr>
                <w:p w14:paraId="203F648C">
                  <w:pPr>
                    <w:pStyle w:val="10"/>
                    <w:keepNext w:val="0"/>
                    <w:keepLines w:val="0"/>
                    <w:pageBreakBefore w:val="0"/>
                    <w:widowControl/>
                    <w:kinsoku/>
                    <w:wordWrap/>
                    <w:overflowPunct/>
                    <w:topLinePunct w:val="0"/>
                    <w:autoSpaceDE/>
                    <w:autoSpaceDN/>
                    <w:bidi w:val="0"/>
                    <w:adjustRightInd w:val="0"/>
                    <w:spacing w:before="0" w:after="0" w:line="240" w:lineRule="auto"/>
                    <w:ind w:right="0" w:rightChars="0"/>
                    <w:jc w:val="center"/>
                    <w:textAlignment w:val="auto"/>
                    <w:rPr>
                      <w:rFonts w:ascii="Times New Roman" w:hAnsi="Times New Roman" w:cs="Times New Roman" w:eastAsiaTheme="minorEastAsia"/>
                      <w:color w:val="auto"/>
                      <w:kern w:val="0"/>
                      <w:sz w:val="21"/>
                      <w:szCs w:val="21"/>
                      <w:highlight w:val="none"/>
                      <w:lang w:val="en-US" w:eastAsia="zh-CN" w:bidi="ar-SA"/>
                    </w:rPr>
                  </w:pPr>
                  <w:r>
                    <w:rPr>
                      <w:rFonts w:eastAsiaTheme="minorEastAsia"/>
                      <w:color w:val="auto"/>
                      <w:sz w:val="21"/>
                      <w:szCs w:val="21"/>
                      <w:highlight w:val="none"/>
                    </w:rPr>
                    <w:t>达标</w:t>
                  </w:r>
                </w:p>
              </w:tc>
            </w:tr>
            <w:tr w14:paraId="6C73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continue"/>
                  <w:tcBorders>
                    <w:tl2br w:val="nil"/>
                    <w:tr2bl w:val="nil"/>
                  </w:tcBorders>
                  <w:vAlign w:val="center"/>
                </w:tcPr>
                <w:p w14:paraId="54E4F94C">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color w:val="auto"/>
                      <w:sz w:val="21"/>
                      <w:szCs w:val="21"/>
                      <w:highlight w:val="none"/>
                    </w:rPr>
                  </w:pPr>
                </w:p>
              </w:tc>
              <w:tc>
                <w:tcPr>
                  <w:tcW w:w="569" w:type="pct"/>
                  <w:vMerge w:val="continue"/>
                  <w:tcBorders>
                    <w:tl2br w:val="nil"/>
                    <w:tr2bl w:val="nil"/>
                  </w:tcBorders>
                  <w:vAlign w:val="center"/>
                </w:tcPr>
                <w:p w14:paraId="3ACFFAAF">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default" w:eastAsiaTheme="minorEastAsia"/>
                      <w:color w:val="auto"/>
                      <w:sz w:val="21"/>
                      <w:szCs w:val="21"/>
                      <w:highlight w:val="none"/>
                      <w:lang w:val="en-US" w:eastAsia="zh-CN"/>
                    </w:rPr>
                  </w:pPr>
                </w:p>
              </w:tc>
              <w:tc>
                <w:tcPr>
                  <w:tcW w:w="569" w:type="pct"/>
                  <w:vMerge w:val="continue"/>
                  <w:tcBorders>
                    <w:tl2br w:val="nil"/>
                    <w:tr2bl w:val="nil"/>
                  </w:tcBorders>
                  <w:vAlign w:val="center"/>
                </w:tcPr>
                <w:p w14:paraId="6FCEB0A7">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default" w:eastAsiaTheme="minorEastAsia"/>
                      <w:color w:val="auto"/>
                      <w:sz w:val="21"/>
                      <w:szCs w:val="21"/>
                      <w:highlight w:val="none"/>
                      <w:lang w:val="en-US" w:eastAsia="zh-CN"/>
                    </w:rPr>
                  </w:pPr>
                </w:p>
              </w:tc>
              <w:tc>
                <w:tcPr>
                  <w:tcW w:w="569" w:type="pct"/>
                  <w:vMerge w:val="continue"/>
                  <w:tcBorders>
                    <w:tl2br w:val="nil"/>
                    <w:tr2bl w:val="nil"/>
                  </w:tcBorders>
                  <w:vAlign w:val="center"/>
                </w:tcPr>
                <w:p w14:paraId="431921AD">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eastAsia" w:eastAsiaTheme="minorEastAsia"/>
                      <w:color w:val="auto"/>
                      <w:sz w:val="21"/>
                      <w:szCs w:val="21"/>
                      <w:highlight w:val="none"/>
                    </w:rPr>
                  </w:pPr>
                </w:p>
              </w:tc>
              <w:tc>
                <w:tcPr>
                  <w:tcW w:w="584" w:type="pct"/>
                  <w:tcBorders>
                    <w:tl2br w:val="nil"/>
                    <w:tr2bl w:val="nil"/>
                  </w:tcBorders>
                  <w:shd w:val="clear" w:color="auto" w:fill="auto"/>
                  <w:vAlign w:val="center"/>
                </w:tcPr>
                <w:p w14:paraId="78BC9EFA">
                  <w:pPr>
                    <w:keepNext w:val="0"/>
                    <w:keepLines w:val="0"/>
                    <w:pageBreakBefore w:val="0"/>
                    <w:widowControl/>
                    <w:kinsoku/>
                    <w:wordWrap/>
                    <w:overflowPunct/>
                    <w:topLinePunct w:val="0"/>
                    <w:autoSpaceDE/>
                    <w:autoSpaceDN/>
                    <w:bidi w:val="0"/>
                    <w:adjustRightInd w:val="0"/>
                    <w:ind w:right="0" w:right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eastAsiaTheme="minorEastAsia"/>
                      <w:color w:val="auto"/>
                      <w:szCs w:val="21"/>
                      <w:highlight w:val="none"/>
                      <w:lang w:val="en-US" w:eastAsia="zh-CN"/>
                    </w:rPr>
                    <w:t>夜间</w:t>
                  </w:r>
                </w:p>
              </w:tc>
              <w:tc>
                <w:tcPr>
                  <w:tcW w:w="744" w:type="pct"/>
                  <w:tcBorders>
                    <w:tl2br w:val="nil"/>
                    <w:tr2bl w:val="nil"/>
                  </w:tcBorders>
                  <w:vAlign w:val="center"/>
                </w:tcPr>
                <w:p w14:paraId="09230A45">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54.88</w:t>
                  </w:r>
                </w:p>
              </w:tc>
              <w:tc>
                <w:tcPr>
                  <w:tcW w:w="723" w:type="pct"/>
                  <w:tcBorders>
                    <w:tl2br w:val="nil"/>
                    <w:tr2bl w:val="nil"/>
                  </w:tcBorders>
                  <w:vAlign w:val="center"/>
                </w:tcPr>
                <w:p w14:paraId="25010AEC">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55</w:t>
                  </w:r>
                </w:p>
              </w:tc>
              <w:tc>
                <w:tcPr>
                  <w:tcW w:w="667" w:type="pct"/>
                  <w:tcBorders>
                    <w:tl2br w:val="nil"/>
                    <w:tr2bl w:val="nil"/>
                  </w:tcBorders>
                  <w:shd w:val="clear" w:color="auto" w:fill="auto"/>
                  <w:vAlign w:val="center"/>
                </w:tcPr>
                <w:p w14:paraId="657D6480">
                  <w:pPr>
                    <w:pStyle w:val="10"/>
                    <w:keepNext w:val="0"/>
                    <w:keepLines w:val="0"/>
                    <w:pageBreakBefore w:val="0"/>
                    <w:widowControl/>
                    <w:kinsoku/>
                    <w:wordWrap/>
                    <w:overflowPunct/>
                    <w:topLinePunct w:val="0"/>
                    <w:autoSpaceDE/>
                    <w:autoSpaceDN/>
                    <w:bidi w:val="0"/>
                    <w:adjustRightInd w:val="0"/>
                    <w:spacing w:before="0" w:after="0" w:line="240" w:lineRule="auto"/>
                    <w:ind w:right="0" w:right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eastAsiaTheme="minorEastAsia"/>
                      <w:color w:val="auto"/>
                      <w:sz w:val="21"/>
                      <w:szCs w:val="21"/>
                      <w:highlight w:val="none"/>
                      <w:lang w:val="en-US" w:eastAsia="zh-CN"/>
                    </w:rPr>
                    <w:t>达标</w:t>
                  </w:r>
                </w:p>
              </w:tc>
            </w:tr>
            <w:tr w14:paraId="7B4E0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restart"/>
                  <w:tcBorders>
                    <w:tl2br w:val="nil"/>
                    <w:tr2bl w:val="nil"/>
                  </w:tcBorders>
                  <w:vAlign w:val="center"/>
                </w:tcPr>
                <w:p w14:paraId="2D8FCB54">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color w:val="auto"/>
                      <w:sz w:val="21"/>
                      <w:szCs w:val="21"/>
                      <w:highlight w:val="none"/>
                    </w:rPr>
                  </w:pPr>
                  <w:r>
                    <w:rPr>
                      <w:rFonts w:eastAsiaTheme="minorEastAsia"/>
                      <w:color w:val="auto"/>
                      <w:sz w:val="21"/>
                      <w:szCs w:val="21"/>
                      <w:highlight w:val="none"/>
                    </w:rPr>
                    <w:t>北厂界</w:t>
                  </w:r>
                </w:p>
              </w:tc>
              <w:tc>
                <w:tcPr>
                  <w:tcW w:w="569" w:type="pct"/>
                  <w:vMerge w:val="restart"/>
                  <w:tcBorders>
                    <w:tl2br w:val="nil"/>
                    <w:tr2bl w:val="nil"/>
                  </w:tcBorders>
                  <w:vAlign w:val="center"/>
                </w:tcPr>
                <w:p w14:paraId="1B95D356">
                  <w:pPr>
                    <w:keepNext w:val="0"/>
                    <w:keepLines w:val="0"/>
                    <w:pageBreakBefore w:val="0"/>
                    <w:widowControl/>
                    <w:kinsoku/>
                    <w:wordWrap/>
                    <w:overflowPunct/>
                    <w:topLinePunct w:val="0"/>
                    <w:autoSpaceDE/>
                    <w:autoSpaceDN/>
                    <w:bidi w:val="0"/>
                    <w:adjustRightInd w:val="0"/>
                    <w:ind w:right="0"/>
                    <w:jc w:val="center"/>
                    <w:textAlignment w:val="auto"/>
                    <w:rPr>
                      <w:rFonts w:hint="default" w:eastAsiaTheme="minorEastAsia"/>
                      <w:color w:val="auto"/>
                      <w:szCs w:val="21"/>
                      <w:highlight w:val="none"/>
                      <w:lang w:val="en-US" w:eastAsia="zh-CN"/>
                    </w:rPr>
                  </w:pPr>
                  <w:r>
                    <w:rPr>
                      <w:rFonts w:hint="eastAsia" w:eastAsiaTheme="minorEastAsia"/>
                      <w:color w:val="auto"/>
                      <w:szCs w:val="21"/>
                      <w:highlight w:val="none"/>
                      <w:lang w:val="en-US" w:eastAsia="zh-CN"/>
                    </w:rPr>
                    <w:t>85.03</w:t>
                  </w:r>
                </w:p>
              </w:tc>
              <w:tc>
                <w:tcPr>
                  <w:tcW w:w="569" w:type="pct"/>
                  <w:vMerge w:val="restart"/>
                  <w:tcBorders>
                    <w:tl2br w:val="nil"/>
                    <w:tr2bl w:val="nil"/>
                  </w:tcBorders>
                  <w:vAlign w:val="center"/>
                </w:tcPr>
                <w:p w14:paraId="1982D3CB">
                  <w:pPr>
                    <w:keepNext w:val="0"/>
                    <w:keepLines w:val="0"/>
                    <w:pageBreakBefore w:val="0"/>
                    <w:widowControl/>
                    <w:kinsoku/>
                    <w:wordWrap/>
                    <w:overflowPunct/>
                    <w:topLinePunct w:val="0"/>
                    <w:autoSpaceDE/>
                    <w:autoSpaceDN/>
                    <w:bidi w:val="0"/>
                    <w:adjustRightInd w:val="0"/>
                    <w:ind w:right="0"/>
                    <w:jc w:val="center"/>
                    <w:textAlignment w:val="auto"/>
                    <w:rPr>
                      <w:rFonts w:hint="default" w:eastAsiaTheme="minorEastAsia"/>
                      <w:color w:val="auto"/>
                      <w:szCs w:val="21"/>
                      <w:highlight w:val="none"/>
                      <w:lang w:val="en-US" w:eastAsia="zh-CN"/>
                    </w:rPr>
                  </w:pPr>
                  <w:r>
                    <w:rPr>
                      <w:rFonts w:hint="eastAsia" w:eastAsiaTheme="minorEastAsia"/>
                      <w:color w:val="auto"/>
                      <w:szCs w:val="21"/>
                      <w:highlight w:val="none"/>
                      <w:lang w:val="en-US" w:eastAsia="zh-CN"/>
                    </w:rPr>
                    <w:t>104.53</w:t>
                  </w:r>
                </w:p>
              </w:tc>
              <w:tc>
                <w:tcPr>
                  <w:tcW w:w="569" w:type="pct"/>
                  <w:vMerge w:val="restart"/>
                  <w:tcBorders>
                    <w:tl2br w:val="nil"/>
                    <w:tr2bl w:val="nil"/>
                  </w:tcBorders>
                  <w:vAlign w:val="center"/>
                </w:tcPr>
                <w:p w14:paraId="7171D5EF">
                  <w:pPr>
                    <w:keepNext w:val="0"/>
                    <w:keepLines w:val="0"/>
                    <w:pageBreakBefore w:val="0"/>
                    <w:widowControl/>
                    <w:kinsoku/>
                    <w:wordWrap/>
                    <w:overflowPunct/>
                    <w:topLinePunct w:val="0"/>
                    <w:autoSpaceDE/>
                    <w:autoSpaceDN/>
                    <w:bidi w:val="0"/>
                    <w:adjustRightInd w:val="0"/>
                    <w:ind w:right="0"/>
                    <w:jc w:val="center"/>
                    <w:textAlignment w:val="auto"/>
                    <w:rPr>
                      <w:rFonts w:eastAsiaTheme="minorEastAsia"/>
                      <w:color w:val="auto"/>
                      <w:szCs w:val="21"/>
                      <w:highlight w:val="none"/>
                    </w:rPr>
                  </w:pPr>
                  <w:r>
                    <w:rPr>
                      <w:rFonts w:hint="eastAsia"/>
                      <w:color w:val="auto"/>
                      <w:szCs w:val="21"/>
                      <w:highlight w:val="none"/>
                    </w:rPr>
                    <w:t>1.2</w:t>
                  </w:r>
                </w:p>
              </w:tc>
              <w:tc>
                <w:tcPr>
                  <w:tcW w:w="584" w:type="pct"/>
                  <w:tcBorders>
                    <w:tl2br w:val="nil"/>
                    <w:tr2bl w:val="nil"/>
                  </w:tcBorders>
                  <w:shd w:val="clear" w:color="auto" w:fill="auto"/>
                  <w:vAlign w:val="center"/>
                </w:tcPr>
                <w:p w14:paraId="77112766">
                  <w:pPr>
                    <w:keepNext w:val="0"/>
                    <w:keepLines w:val="0"/>
                    <w:pageBreakBefore w:val="0"/>
                    <w:widowControl/>
                    <w:kinsoku/>
                    <w:wordWrap/>
                    <w:overflowPunct/>
                    <w:topLinePunct w:val="0"/>
                    <w:autoSpaceDE/>
                    <w:autoSpaceDN/>
                    <w:bidi w:val="0"/>
                    <w:adjustRightInd w:val="0"/>
                    <w:ind w:right="0" w:rightChars="0"/>
                    <w:jc w:val="center"/>
                    <w:textAlignment w:val="auto"/>
                    <w:rPr>
                      <w:rFonts w:ascii="Times New Roman" w:hAnsi="Times New Roman" w:cs="Times New Roman" w:eastAsiaTheme="minorEastAsia"/>
                      <w:color w:val="auto"/>
                      <w:kern w:val="2"/>
                      <w:sz w:val="21"/>
                      <w:szCs w:val="21"/>
                      <w:highlight w:val="none"/>
                      <w:lang w:val="en-US" w:eastAsia="zh-CN" w:bidi="ar-SA"/>
                    </w:rPr>
                  </w:pPr>
                  <w:r>
                    <w:rPr>
                      <w:rFonts w:hint="eastAsia" w:eastAsiaTheme="minorEastAsia"/>
                      <w:color w:val="auto"/>
                      <w:szCs w:val="21"/>
                      <w:highlight w:val="none"/>
                    </w:rPr>
                    <w:t>昼间</w:t>
                  </w:r>
                </w:p>
              </w:tc>
              <w:tc>
                <w:tcPr>
                  <w:tcW w:w="744" w:type="pct"/>
                  <w:tcBorders>
                    <w:tl2br w:val="nil"/>
                    <w:tr2bl w:val="nil"/>
                  </w:tcBorders>
                  <w:vAlign w:val="center"/>
                </w:tcPr>
                <w:p w14:paraId="5FE52B33">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54.79</w:t>
                  </w:r>
                </w:p>
              </w:tc>
              <w:tc>
                <w:tcPr>
                  <w:tcW w:w="723" w:type="pct"/>
                  <w:tcBorders>
                    <w:tl2br w:val="nil"/>
                    <w:tr2bl w:val="nil"/>
                  </w:tcBorders>
                  <w:vAlign w:val="center"/>
                </w:tcPr>
                <w:p w14:paraId="18F09673">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65</w:t>
                  </w:r>
                </w:p>
              </w:tc>
              <w:tc>
                <w:tcPr>
                  <w:tcW w:w="667" w:type="pct"/>
                  <w:tcBorders>
                    <w:tl2br w:val="nil"/>
                    <w:tr2bl w:val="nil"/>
                  </w:tcBorders>
                  <w:shd w:val="clear" w:color="auto" w:fill="auto"/>
                  <w:vAlign w:val="center"/>
                </w:tcPr>
                <w:p w14:paraId="1262E279">
                  <w:pPr>
                    <w:pStyle w:val="10"/>
                    <w:keepNext w:val="0"/>
                    <w:keepLines w:val="0"/>
                    <w:pageBreakBefore w:val="0"/>
                    <w:widowControl/>
                    <w:kinsoku/>
                    <w:wordWrap/>
                    <w:overflowPunct/>
                    <w:topLinePunct w:val="0"/>
                    <w:autoSpaceDE/>
                    <w:autoSpaceDN/>
                    <w:bidi w:val="0"/>
                    <w:adjustRightInd w:val="0"/>
                    <w:spacing w:before="0" w:after="0" w:line="240" w:lineRule="auto"/>
                    <w:ind w:right="0" w:rightChars="0"/>
                    <w:jc w:val="center"/>
                    <w:textAlignment w:val="auto"/>
                    <w:rPr>
                      <w:rFonts w:ascii="Times New Roman" w:hAnsi="Times New Roman" w:cs="Times New Roman" w:eastAsiaTheme="minorEastAsia"/>
                      <w:color w:val="auto"/>
                      <w:kern w:val="0"/>
                      <w:sz w:val="21"/>
                      <w:szCs w:val="21"/>
                      <w:highlight w:val="none"/>
                      <w:lang w:val="en-US" w:eastAsia="zh-CN" w:bidi="ar-SA"/>
                    </w:rPr>
                  </w:pPr>
                  <w:r>
                    <w:rPr>
                      <w:rFonts w:eastAsiaTheme="minorEastAsia"/>
                      <w:color w:val="auto"/>
                      <w:sz w:val="21"/>
                      <w:szCs w:val="21"/>
                      <w:highlight w:val="none"/>
                    </w:rPr>
                    <w:t>达标</w:t>
                  </w:r>
                </w:p>
              </w:tc>
            </w:tr>
            <w:tr w14:paraId="437F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continue"/>
                  <w:tcBorders>
                    <w:tl2br w:val="nil"/>
                    <w:tr2bl w:val="nil"/>
                  </w:tcBorders>
                  <w:vAlign w:val="center"/>
                </w:tcPr>
                <w:p w14:paraId="0231A369">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eastAsiaTheme="minorEastAsia"/>
                      <w:color w:val="auto"/>
                      <w:sz w:val="21"/>
                      <w:szCs w:val="21"/>
                      <w:highlight w:val="none"/>
                    </w:rPr>
                  </w:pPr>
                </w:p>
              </w:tc>
              <w:tc>
                <w:tcPr>
                  <w:tcW w:w="569" w:type="pct"/>
                  <w:vMerge w:val="continue"/>
                  <w:tcBorders>
                    <w:tl2br w:val="nil"/>
                    <w:tr2bl w:val="nil"/>
                  </w:tcBorders>
                  <w:vAlign w:val="center"/>
                </w:tcPr>
                <w:p w14:paraId="205A5BBB">
                  <w:pPr>
                    <w:keepNext w:val="0"/>
                    <w:keepLines w:val="0"/>
                    <w:pageBreakBefore w:val="0"/>
                    <w:widowControl/>
                    <w:kinsoku/>
                    <w:wordWrap/>
                    <w:overflowPunct/>
                    <w:topLinePunct w:val="0"/>
                    <w:autoSpaceDE/>
                    <w:autoSpaceDN/>
                    <w:bidi w:val="0"/>
                    <w:adjustRightInd w:val="0"/>
                    <w:ind w:right="0"/>
                    <w:jc w:val="center"/>
                    <w:textAlignment w:val="auto"/>
                    <w:rPr>
                      <w:rFonts w:hint="default" w:eastAsiaTheme="minorEastAsia"/>
                      <w:color w:val="auto"/>
                      <w:szCs w:val="21"/>
                      <w:highlight w:val="none"/>
                      <w:lang w:val="en-US" w:eastAsia="zh-CN"/>
                    </w:rPr>
                  </w:pPr>
                </w:p>
              </w:tc>
              <w:tc>
                <w:tcPr>
                  <w:tcW w:w="569" w:type="pct"/>
                  <w:vMerge w:val="continue"/>
                  <w:tcBorders>
                    <w:tl2br w:val="nil"/>
                    <w:tr2bl w:val="nil"/>
                  </w:tcBorders>
                  <w:vAlign w:val="center"/>
                </w:tcPr>
                <w:p w14:paraId="089F7ED4">
                  <w:pPr>
                    <w:keepNext w:val="0"/>
                    <w:keepLines w:val="0"/>
                    <w:pageBreakBefore w:val="0"/>
                    <w:widowControl/>
                    <w:kinsoku/>
                    <w:wordWrap/>
                    <w:overflowPunct/>
                    <w:topLinePunct w:val="0"/>
                    <w:autoSpaceDE/>
                    <w:autoSpaceDN/>
                    <w:bidi w:val="0"/>
                    <w:adjustRightInd w:val="0"/>
                    <w:ind w:right="0"/>
                    <w:jc w:val="center"/>
                    <w:textAlignment w:val="auto"/>
                    <w:rPr>
                      <w:rFonts w:hint="default" w:eastAsiaTheme="minorEastAsia"/>
                      <w:color w:val="auto"/>
                      <w:szCs w:val="21"/>
                      <w:highlight w:val="none"/>
                      <w:lang w:val="en-US" w:eastAsia="zh-CN"/>
                    </w:rPr>
                  </w:pPr>
                </w:p>
              </w:tc>
              <w:tc>
                <w:tcPr>
                  <w:tcW w:w="569" w:type="pct"/>
                  <w:vMerge w:val="continue"/>
                  <w:tcBorders>
                    <w:tl2br w:val="nil"/>
                    <w:tr2bl w:val="nil"/>
                  </w:tcBorders>
                  <w:vAlign w:val="center"/>
                </w:tcPr>
                <w:p w14:paraId="7062B65F">
                  <w:pPr>
                    <w:keepNext w:val="0"/>
                    <w:keepLines w:val="0"/>
                    <w:pageBreakBefore w:val="0"/>
                    <w:widowControl/>
                    <w:kinsoku/>
                    <w:wordWrap/>
                    <w:overflowPunct/>
                    <w:topLinePunct w:val="0"/>
                    <w:autoSpaceDE/>
                    <w:autoSpaceDN/>
                    <w:bidi w:val="0"/>
                    <w:adjustRightInd w:val="0"/>
                    <w:ind w:right="0"/>
                    <w:jc w:val="center"/>
                    <w:textAlignment w:val="auto"/>
                    <w:rPr>
                      <w:rFonts w:hint="eastAsia"/>
                      <w:color w:val="auto"/>
                      <w:szCs w:val="21"/>
                      <w:highlight w:val="none"/>
                    </w:rPr>
                  </w:pPr>
                </w:p>
              </w:tc>
              <w:tc>
                <w:tcPr>
                  <w:tcW w:w="584" w:type="pct"/>
                  <w:tcBorders>
                    <w:tl2br w:val="nil"/>
                    <w:tr2bl w:val="nil"/>
                  </w:tcBorders>
                  <w:shd w:val="clear" w:color="auto" w:fill="auto"/>
                  <w:vAlign w:val="center"/>
                </w:tcPr>
                <w:p w14:paraId="60EB3D4C">
                  <w:pPr>
                    <w:keepNext w:val="0"/>
                    <w:keepLines w:val="0"/>
                    <w:pageBreakBefore w:val="0"/>
                    <w:widowControl/>
                    <w:kinsoku/>
                    <w:wordWrap/>
                    <w:overflowPunct/>
                    <w:topLinePunct w:val="0"/>
                    <w:autoSpaceDE/>
                    <w:autoSpaceDN/>
                    <w:bidi w:val="0"/>
                    <w:adjustRightInd w:val="0"/>
                    <w:ind w:right="0" w:right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eastAsiaTheme="minorEastAsia"/>
                      <w:color w:val="auto"/>
                      <w:szCs w:val="21"/>
                      <w:highlight w:val="none"/>
                      <w:lang w:val="en-US" w:eastAsia="zh-CN"/>
                    </w:rPr>
                    <w:t>夜间</w:t>
                  </w:r>
                </w:p>
              </w:tc>
              <w:tc>
                <w:tcPr>
                  <w:tcW w:w="744" w:type="pct"/>
                  <w:tcBorders>
                    <w:tl2br w:val="nil"/>
                    <w:tr2bl w:val="nil"/>
                  </w:tcBorders>
                  <w:vAlign w:val="center"/>
                </w:tcPr>
                <w:p w14:paraId="0E832FF3">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54.79</w:t>
                  </w:r>
                </w:p>
              </w:tc>
              <w:tc>
                <w:tcPr>
                  <w:tcW w:w="723" w:type="pct"/>
                  <w:tcBorders>
                    <w:tl2br w:val="nil"/>
                    <w:tr2bl w:val="nil"/>
                  </w:tcBorders>
                  <w:vAlign w:val="center"/>
                </w:tcPr>
                <w:p w14:paraId="75053ADE">
                  <w:pPr>
                    <w:pStyle w:val="10"/>
                    <w:keepNext w:val="0"/>
                    <w:keepLines w:val="0"/>
                    <w:pageBreakBefore w:val="0"/>
                    <w:widowControl/>
                    <w:kinsoku/>
                    <w:wordWrap/>
                    <w:overflowPunct/>
                    <w:topLinePunct w:val="0"/>
                    <w:autoSpaceDE/>
                    <w:autoSpaceDN/>
                    <w:bidi w:val="0"/>
                    <w:adjustRightInd w:val="0"/>
                    <w:spacing w:before="0" w:after="0" w:line="240" w:lineRule="auto"/>
                    <w:ind w:right="0"/>
                    <w:jc w:val="center"/>
                    <w:textAlignment w:val="auto"/>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55</w:t>
                  </w:r>
                </w:p>
              </w:tc>
              <w:tc>
                <w:tcPr>
                  <w:tcW w:w="667" w:type="pct"/>
                  <w:tcBorders>
                    <w:tl2br w:val="nil"/>
                    <w:tr2bl w:val="nil"/>
                  </w:tcBorders>
                  <w:shd w:val="clear" w:color="auto" w:fill="auto"/>
                  <w:vAlign w:val="center"/>
                </w:tcPr>
                <w:p w14:paraId="40DBC40A">
                  <w:pPr>
                    <w:pStyle w:val="10"/>
                    <w:keepNext w:val="0"/>
                    <w:keepLines w:val="0"/>
                    <w:pageBreakBefore w:val="0"/>
                    <w:widowControl/>
                    <w:kinsoku/>
                    <w:wordWrap/>
                    <w:overflowPunct/>
                    <w:topLinePunct w:val="0"/>
                    <w:autoSpaceDE/>
                    <w:autoSpaceDN/>
                    <w:bidi w:val="0"/>
                    <w:adjustRightInd w:val="0"/>
                    <w:spacing w:before="0" w:after="0" w:line="240" w:lineRule="auto"/>
                    <w:ind w:right="0" w:right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eastAsiaTheme="minorEastAsia"/>
                      <w:color w:val="auto"/>
                      <w:sz w:val="21"/>
                      <w:szCs w:val="21"/>
                      <w:highlight w:val="none"/>
                      <w:lang w:val="en-US" w:eastAsia="zh-CN"/>
                    </w:rPr>
                    <w:t>达标</w:t>
                  </w:r>
                </w:p>
              </w:tc>
            </w:tr>
          </w:tbl>
          <w:p w14:paraId="5D7204EB">
            <w:pPr>
              <w:keepNext w:val="0"/>
              <w:keepLines w:val="0"/>
              <w:pageBreakBefore w:val="0"/>
              <w:widowControl w:val="0"/>
              <w:kinsoku/>
              <w:wordWrap/>
              <w:overflowPunct/>
              <w:topLinePunct w:val="0"/>
              <w:autoSpaceDE/>
              <w:autoSpaceDN/>
              <w:bidi w:val="0"/>
              <w:adjustRightInd/>
              <w:snapToGrid w:val="0"/>
              <w:spacing w:before="157" w:beforeLines="50" w:line="240" w:lineRule="auto"/>
              <w:ind w:firstLine="0" w:firstLineChars="0"/>
              <w:jc w:val="center"/>
              <w:textAlignment w:val="auto"/>
              <w:rPr>
                <w:rFonts w:hint="eastAsia" w:eastAsia="宋体"/>
                <w:color w:val="auto"/>
                <w:kern w:val="24"/>
                <w:sz w:val="24"/>
                <w:highlight w:val="none"/>
                <w:lang w:eastAsia="zh-CN"/>
              </w:rPr>
            </w:pPr>
            <w:r>
              <w:rPr>
                <w:rFonts w:hint="eastAsia" w:eastAsia="宋体"/>
                <w:color w:val="auto"/>
                <w:kern w:val="24"/>
                <w:sz w:val="24"/>
                <w:highlight w:val="none"/>
                <w:lang w:eastAsia="zh-CN"/>
              </w:rPr>
              <w:drawing>
                <wp:inline distT="0" distB="0" distL="114300" distR="114300">
                  <wp:extent cx="5201920" cy="3762375"/>
                  <wp:effectExtent l="0" t="0" r="17780" b="9525"/>
                  <wp:docPr id="6" name="图片 6" descr="捕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捕获"/>
                          <pic:cNvPicPr>
                            <a:picLocks noChangeAspect="1"/>
                          </pic:cNvPicPr>
                        </pic:nvPicPr>
                        <pic:blipFill>
                          <a:blip r:embed="rId10"/>
                          <a:stretch>
                            <a:fillRect/>
                          </a:stretch>
                        </pic:blipFill>
                        <pic:spPr>
                          <a:xfrm>
                            <a:off x="0" y="0"/>
                            <a:ext cx="5201920" cy="3762375"/>
                          </a:xfrm>
                          <a:prstGeom prst="rect">
                            <a:avLst/>
                          </a:prstGeom>
                        </pic:spPr>
                      </pic:pic>
                    </a:graphicData>
                  </a:graphic>
                </wp:inline>
              </w:drawing>
            </w:r>
          </w:p>
          <w:p w14:paraId="0C12FD13">
            <w:pPr>
              <w:adjustRightInd w:val="0"/>
              <w:snapToGrid w:val="0"/>
              <w:spacing w:line="360" w:lineRule="auto"/>
              <w:ind w:firstLine="482" w:firstLineChars="200"/>
              <w:jc w:val="center"/>
              <w:rPr>
                <w:rFonts w:hint="eastAsia"/>
                <w:b/>
                <w:bCs/>
                <w:color w:val="auto"/>
                <w:kern w:val="24"/>
                <w:sz w:val="24"/>
                <w:highlight w:val="none"/>
              </w:rPr>
            </w:pPr>
            <w:r>
              <w:rPr>
                <w:rFonts w:hint="eastAsia"/>
                <w:b/>
                <w:bCs/>
                <w:color w:val="auto"/>
                <w:kern w:val="24"/>
                <w:sz w:val="24"/>
                <w:highlight w:val="none"/>
              </w:rPr>
              <w:t>图4-1</w:t>
            </w:r>
            <w:r>
              <w:rPr>
                <w:b/>
                <w:bCs/>
                <w:color w:val="auto"/>
                <w:kern w:val="24"/>
                <w:sz w:val="24"/>
                <w:highlight w:val="none"/>
              </w:rPr>
              <w:t xml:space="preserve">  </w:t>
            </w:r>
            <w:r>
              <w:rPr>
                <w:rFonts w:hint="eastAsia"/>
                <w:b/>
                <w:bCs/>
                <w:color w:val="auto"/>
                <w:kern w:val="24"/>
                <w:sz w:val="24"/>
                <w:highlight w:val="none"/>
              </w:rPr>
              <w:t>项目声源分布及预测等声级图</w:t>
            </w:r>
          </w:p>
          <w:p w14:paraId="4141473D">
            <w:pPr>
              <w:snapToGrid w:val="0"/>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由上表可知，本项目运营期通过采取基础减振、厂房隔声、进风口消声器等措施后，项目建成后东厂界、西厂界、南厂界</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北厂界</w:t>
            </w:r>
            <w:r>
              <w:rPr>
                <w:rFonts w:hint="eastAsia" w:ascii="Times New Roman" w:hAnsi="Times New Roman" w:eastAsia="宋体" w:cs="Times New Roman"/>
                <w:color w:val="auto"/>
                <w:sz w:val="24"/>
                <w:highlight w:val="none"/>
              </w:rPr>
              <w:t>噪声昼间、夜间贡献值可以达到《工业企业厂界噪声排放标准》（GB 12348-2008）</w:t>
            </w:r>
            <w:r>
              <w:rPr>
                <w:rFonts w:hint="eastAsia" w:ascii="Times New Roman" w:hAnsi="Times New Roman" w:eastAsia="宋体" w:cs="Times New Roman"/>
                <w:color w:val="auto"/>
                <w:sz w:val="24"/>
                <w:highlight w:val="none"/>
                <w:lang w:val="en-US" w:eastAsia="zh-CN"/>
              </w:rPr>
              <w:t>3</w:t>
            </w:r>
            <w:r>
              <w:rPr>
                <w:rFonts w:hint="eastAsia" w:ascii="Times New Roman" w:hAnsi="Times New Roman" w:eastAsia="宋体" w:cs="Times New Roman"/>
                <w:color w:val="auto"/>
                <w:sz w:val="24"/>
                <w:highlight w:val="none"/>
              </w:rPr>
              <w:t>类标准要求。</w:t>
            </w:r>
          </w:p>
          <w:p w14:paraId="50CBF08A">
            <w:pPr>
              <w:snapToGrid w:val="0"/>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综上所述，本项目噪声源主要为设备噪声，项目采取基础减振、厂房隔声、对空气动力性噪声设备安装消声器、合理布局等措施，项目运营期的东厂界、西厂界、南厂界</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北厂界</w:t>
            </w:r>
            <w:r>
              <w:rPr>
                <w:rFonts w:hint="eastAsia" w:ascii="Times New Roman" w:hAnsi="Times New Roman" w:eastAsia="宋体" w:cs="Times New Roman"/>
                <w:color w:val="auto"/>
                <w:sz w:val="24"/>
                <w:highlight w:val="none"/>
              </w:rPr>
              <w:t>噪声昼间、夜间贡献值可以达到《工业企业厂界噪声排放标准》（GB 12348-2008）</w:t>
            </w:r>
            <w:r>
              <w:rPr>
                <w:rFonts w:hint="eastAsia" w:ascii="Times New Roman" w:hAnsi="Times New Roman" w:eastAsia="宋体" w:cs="Times New Roman"/>
                <w:color w:val="auto"/>
                <w:sz w:val="24"/>
                <w:highlight w:val="none"/>
                <w:lang w:val="en-US" w:eastAsia="zh-CN"/>
              </w:rPr>
              <w:t>3</w:t>
            </w:r>
            <w:r>
              <w:rPr>
                <w:rFonts w:hint="eastAsia" w:ascii="Times New Roman" w:hAnsi="Times New Roman" w:eastAsia="宋体" w:cs="Times New Roman"/>
                <w:color w:val="auto"/>
                <w:sz w:val="24"/>
                <w:highlight w:val="none"/>
              </w:rPr>
              <w:t>类标准要求。项目区周边50米范围内，无声环境保护目标。</w:t>
            </w:r>
          </w:p>
          <w:p w14:paraId="7954C834">
            <w:pPr>
              <w:snapToGrid w:val="0"/>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因此，本项目噪声对周围环境影响较小，声环境影响可以接受。</w:t>
            </w:r>
          </w:p>
          <w:p w14:paraId="72D29C2F">
            <w:pPr>
              <w:snapToGrid w:val="0"/>
              <w:spacing w:line="360" w:lineRule="auto"/>
              <w:ind w:firstLine="482" w:firstLineChars="200"/>
              <w:rPr>
                <w:b/>
                <w:bCs/>
                <w:color w:val="auto"/>
                <w:sz w:val="24"/>
                <w:highlight w:val="none"/>
              </w:rPr>
            </w:pPr>
            <w:r>
              <w:rPr>
                <w:rFonts w:hint="eastAsia"/>
                <w:b/>
                <w:bCs/>
                <w:color w:val="auto"/>
                <w:sz w:val="24"/>
                <w:highlight w:val="none"/>
              </w:rPr>
              <w:t>3、监测要求</w:t>
            </w:r>
          </w:p>
          <w:p w14:paraId="63513891">
            <w:pPr>
              <w:snapToGrid w:val="0"/>
              <w:spacing w:line="360" w:lineRule="auto"/>
              <w:ind w:firstLine="480" w:firstLineChars="200"/>
              <w:rPr>
                <w:color w:val="auto"/>
                <w:sz w:val="24"/>
                <w:highlight w:val="none"/>
              </w:rPr>
            </w:pPr>
            <w:r>
              <w:rPr>
                <w:rFonts w:hint="eastAsia"/>
                <w:color w:val="auto"/>
                <w:sz w:val="24"/>
                <w:highlight w:val="none"/>
              </w:rPr>
              <w:t>根据《排污单位自行监测技术指南 总则》</w:t>
            </w:r>
            <w:r>
              <w:rPr>
                <w:rFonts w:hint="eastAsia"/>
                <w:color w:val="auto"/>
                <w:sz w:val="24"/>
                <w:highlight w:val="none"/>
                <w:lang w:eastAsia="zh-CN"/>
              </w:rPr>
              <w:t>（</w:t>
            </w:r>
            <w:r>
              <w:rPr>
                <w:rFonts w:hint="eastAsia"/>
                <w:color w:val="auto"/>
                <w:sz w:val="24"/>
                <w:highlight w:val="none"/>
              </w:rPr>
              <w:t>HJ 819-2017</w:t>
            </w:r>
            <w:r>
              <w:rPr>
                <w:rFonts w:hint="eastAsia"/>
                <w:color w:val="auto"/>
                <w:sz w:val="24"/>
                <w:highlight w:val="none"/>
                <w:lang w:eastAsia="zh-CN"/>
              </w:rPr>
              <w:t>）</w:t>
            </w:r>
            <w:r>
              <w:rPr>
                <w:rFonts w:hint="eastAsia"/>
                <w:color w:val="auto"/>
                <w:sz w:val="24"/>
                <w:highlight w:val="none"/>
              </w:rPr>
              <w:t>中相关要求，本项目运营期噪声监测要求如下表</w:t>
            </w:r>
            <w:r>
              <w:rPr>
                <w:rFonts w:hint="eastAsia"/>
                <w:color w:val="auto"/>
                <w:sz w:val="24"/>
                <w:highlight w:val="none"/>
                <w:lang w:val="en-US" w:eastAsia="zh-CN"/>
              </w:rPr>
              <w:t>4-18</w:t>
            </w:r>
            <w:r>
              <w:rPr>
                <w:rFonts w:hint="eastAsia"/>
                <w:color w:val="auto"/>
                <w:sz w:val="24"/>
                <w:highlight w:val="none"/>
              </w:rPr>
              <w:t>。</w:t>
            </w:r>
          </w:p>
          <w:p w14:paraId="10545C97">
            <w:pPr>
              <w:pStyle w:val="32"/>
              <w:spacing w:line="360" w:lineRule="auto"/>
              <w:jc w:val="center"/>
              <w:rPr>
                <w:rFonts w:ascii="Times New Roman" w:cs="Times New Roman"/>
                <w:b/>
                <w:bCs/>
                <w:color w:val="auto"/>
                <w:highlight w:val="none"/>
              </w:rPr>
            </w:pPr>
            <w:r>
              <w:rPr>
                <w:rFonts w:ascii="Times New Roman" w:cs="Times New Roman"/>
                <w:b/>
                <w:bCs/>
                <w:color w:val="auto"/>
                <w:highlight w:val="none"/>
              </w:rPr>
              <w:t>表4-</w:t>
            </w:r>
            <w:r>
              <w:rPr>
                <w:rFonts w:hint="eastAsia" w:ascii="Times New Roman" w:cs="Times New Roman"/>
                <w:b/>
                <w:bCs/>
                <w:color w:val="auto"/>
                <w:highlight w:val="none"/>
                <w:lang w:val="en-US" w:eastAsia="zh-CN"/>
              </w:rPr>
              <w:t>18</w:t>
            </w:r>
            <w:r>
              <w:rPr>
                <w:rFonts w:ascii="Times New Roman" w:cs="Times New Roman"/>
                <w:b/>
                <w:bCs/>
                <w:color w:val="auto"/>
                <w:highlight w:val="none"/>
              </w:rPr>
              <w:t xml:space="preserve">  </w:t>
            </w:r>
            <w:r>
              <w:rPr>
                <w:rFonts w:hint="eastAsia" w:ascii="Times New Roman" w:cs="Times New Roman"/>
                <w:b/>
                <w:bCs/>
                <w:color w:val="auto"/>
                <w:highlight w:val="none"/>
              </w:rPr>
              <w:t>项目运营期噪声监测要求</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1"/>
              <w:gridCol w:w="1719"/>
              <w:gridCol w:w="1369"/>
              <w:gridCol w:w="3534"/>
            </w:tblGrid>
            <w:tr w14:paraId="67C0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31" w:type="pct"/>
                  <w:vAlign w:val="center"/>
                </w:tcPr>
                <w:p w14:paraId="4D18E0DF">
                  <w:pPr>
                    <w:adjustRightInd w:val="0"/>
                    <w:snapToGrid w:val="0"/>
                    <w:jc w:val="center"/>
                    <w:textAlignment w:val="baseline"/>
                    <w:rPr>
                      <w:b/>
                      <w:bCs/>
                      <w:color w:val="auto"/>
                      <w:szCs w:val="21"/>
                      <w:highlight w:val="none"/>
                    </w:rPr>
                  </w:pPr>
                  <w:r>
                    <w:rPr>
                      <w:rFonts w:hint="eastAsia"/>
                      <w:b/>
                      <w:bCs/>
                      <w:color w:val="auto"/>
                      <w:szCs w:val="21"/>
                      <w:highlight w:val="none"/>
                    </w:rPr>
                    <w:t>监测点位</w:t>
                  </w:r>
                </w:p>
              </w:tc>
              <w:tc>
                <w:tcPr>
                  <w:tcW w:w="1030" w:type="pct"/>
                  <w:vAlign w:val="center"/>
                </w:tcPr>
                <w:p w14:paraId="7BFC1E14">
                  <w:pPr>
                    <w:adjustRightInd w:val="0"/>
                    <w:snapToGrid w:val="0"/>
                    <w:jc w:val="center"/>
                    <w:textAlignment w:val="baseline"/>
                    <w:rPr>
                      <w:b/>
                      <w:bCs/>
                      <w:color w:val="auto"/>
                      <w:szCs w:val="21"/>
                      <w:highlight w:val="none"/>
                    </w:rPr>
                  </w:pPr>
                  <w:r>
                    <w:rPr>
                      <w:rFonts w:hint="eastAsia"/>
                      <w:b/>
                      <w:bCs/>
                      <w:color w:val="auto"/>
                      <w:szCs w:val="21"/>
                      <w:highlight w:val="none"/>
                    </w:rPr>
                    <w:t>监测因子</w:t>
                  </w:r>
                </w:p>
              </w:tc>
              <w:tc>
                <w:tcPr>
                  <w:tcW w:w="820" w:type="pct"/>
                  <w:vAlign w:val="center"/>
                </w:tcPr>
                <w:p w14:paraId="3BA4EEC0">
                  <w:pPr>
                    <w:adjustRightInd w:val="0"/>
                    <w:snapToGrid w:val="0"/>
                    <w:jc w:val="center"/>
                    <w:textAlignment w:val="baseline"/>
                    <w:rPr>
                      <w:b/>
                      <w:bCs/>
                      <w:color w:val="auto"/>
                      <w:szCs w:val="21"/>
                      <w:highlight w:val="none"/>
                    </w:rPr>
                  </w:pPr>
                  <w:r>
                    <w:rPr>
                      <w:rFonts w:hint="eastAsia"/>
                      <w:b/>
                      <w:bCs/>
                      <w:color w:val="auto"/>
                      <w:szCs w:val="21"/>
                      <w:highlight w:val="none"/>
                    </w:rPr>
                    <w:t>监测频次</w:t>
                  </w:r>
                </w:p>
              </w:tc>
              <w:tc>
                <w:tcPr>
                  <w:tcW w:w="2117" w:type="pct"/>
                  <w:vAlign w:val="center"/>
                </w:tcPr>
                <w:p w14:paraId="1533B0C2">
                  <w:pPr>
                    <w:adjustRightInd w:val="0"/>
                    <w:snapToGrid w:val="0"/>
                    <w:jc w:val="center"/>
                    <w:textAlignment w:val="baseline"/>
                    <w:rPr>
                      <w:b/>
                      <w:bCs/>
                      <w:color w:val="auto"/>
                      <w:szCs w:val="21"/>
                      <w:highlight w:val="none"/>
                    </w:rPr>
                  </w:pPr>
                  <w:r>
                    <w:rPr>
                      <w:rFonts w:hint="eastAsia"/>
                      <w:b/>
                      <w:bCs/>
                      <w:color w:val="auto"/>
                      <w:szCs w:val="21"/>
                      <w:highlight w:val="none"/>
                    </w:rPr>
                    <w:t>执行标准</w:t>
                  </w:r>
                </w:p>
              </w:tc>
            </w:tr>
            <w:tr w14:paraId="5F97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31" w:type="pct"/>
                  <w:vAlign w:val="center"/>
                </w:tcPr>
                <w:p w14:paraId="27CC3B34">
                  <w:pPr>
                    <w:adjustRightInd w:val="0"/>
                    <w:snapToGrid w:val="0"/>
                    <w:jc w:val="center"/>
                    <w:textAlignment w:val="baseline"/>
                    <w:rPr>
                      <w:color w:val="auto"/>
                      <w:szCs w:val="21"/>
                      <w:highlight w:val="none"/>
                    </w:rPr>
                  </w:pPr>
                  <w:r>
                    <w:rPr>
                      <w:rFonts w:hint="eastAsia"/>
                      <w:color w:val="auto"/>
                      <w:szCs w:val="21"/>
                      <w:highlight w:val="none"/>
                    </w:rPr>
                    <w:t>东</w:t>
                  </w:r>
                  <w:r>
                    <w:rPr>
                      <w:rFonts w:hint="eastAsia"/>
                      <w:color w:val="auto"/>
                      <w:szCs w:val="21"/>
                      <w:highlight w:val="none"/>
                      <w:lang w:val="en-US" w:eastAsia="zh-CN"/>
                    </w:rPr>
                    <w:t>厂界</w:t>
                  </w:r>
                  <w:r>
                    <w:rPr>
                      <w:rFonts w:hint="eastAsia"/>
                      <w:color w:val="auto"/>
                      <w:szCs w:val="21"/>
                      <w:highlight w:val="none"/>
                    </w:rPr>
                    <w:t>、</w:t>
                  </w:r>
                  <w:r>
                    <w:rPr>
                      <w:rFonts w:hint="eastAsia"/>
                      <w:color w:val="auto"/>
                      <w:szCs w:val="21"/>
                      <w:highlight w:val="none"/>
                      <w:lang w:val="en-US" w:eastAsia="zh-CN"/>
                    </w:rPr>
                    <w:t>西厂界、</w:t>
                  </w:r>
                  <w:r>
                    <w:rPr>
                      <w:rFonts w:hint="eastAsia"/>
                      <w:color w:val="auto"/>
                      <w:szCs w:val="21"/>
                      <w:highlight w:val="none"/>
                    </w:rPr>
                    <w:t>南</w:t>
                  </w:r>
                  <w:r>
                    <w:rPr>
                      <w:rFonts w:hint="eastAsia"/>
                      <w:color w:val="auto"/>
                      <w:szCs w:val="21"/>
                      <w:highlight w:val="none"/>
                      <w:lang w:val="en-US" w:eastAsia="zh-CN"/>
                    </w:rPr>
                    <w:t>厂界</w:t>
                  </w:r>
                  <w:r>
                    <w:rPr>
                      <w:rFonts w:hint="eastAsia"/>
                      <w:color w:val="auto"/>
                      <w:szCs w:val="21"/>
                      <w:highlight w:val="none"/>
                    </w:rPr>
                    <w:t>、北厂界</w:t>
                  </w:r>
                </w:p>
              </w:tc>
              <w:tc>
                <w:tcPr>
                  <w:tcW w:w="1030" w:type="pct"/>
                  <w:vAlign w:val="center"/>
                </w:tcPr>
                <w:p w14:paraId="0E5A651D">
                  <w:pPr>
                    <w:adjustRightInd w:val="0"/>
                    <w:snapToGrid w:val="0"/>
                    <w:jc w:val="center"/>
                    <w:textAlignment w:val="baseline"/>
                    <w:rPr>
                      <w:color w:val="auto"/>
                      <w:szCs w:val="21"/>
                      <w:highlight w:val="none"/>
                    </w:rPr>
                  </w:pPr>
                  <w:r>
                    <w:rPr>
                      <w:rFonts w:hint="eastAsia"/>
                      <w:color w:val="auto"/>
                      <w:szCs w:val="21"/>
                      <w:highlight w:val="none"/>
                    </w:rPr>
                    <w:t>昼间、夜间等效A声级</w:t>
                  </w:r>
                </w:p>
              </w:tc>
              <w:tc>
                <w:tcPr>
                  <w:tcW w:w="820" w:type="pct"/>
                  <w:vAlign w:val="center"/>
                </w:tcPr>
                <w:p w14:paraId="1C3BC7BB">
                  <w:pPr>
                    <w:adjustRightInd w:val="0"/>
                    <w:snapToGrid w:val="0"/>
                    <w:jc w:val="center"/>
                    <w:textAlignment w:val="baseline"/>
                    <w:rPr>
                      <w:color w:val="auto"/>
                      <w:szCs w:val="21"/>
                      <w:highlight w:val="none"/>
                    </w:rPr>
                  </w:pPr>
                  <w:r>
                    <w:rPr>
                      <w:rFonts w:hint="eastAsia"/>
                      <w:color w:val="auto"/>
                      <w:szCs w:val="21"/>
                      <w:highlight w:val="none"/>
                    </w:rPr>
                    <w:t>1次/季度</w:t>
                  </w:r>
                </w:p>
              </w:tc>
              <w:tc>
                <w:tcPr>
                  <w:tcW w:w="2117" w:type="pct"/>
                  <w:vAlign w:val="center"/>
                </w:tcPr>
                <w:p w14:paraId="207961E4">
                  <w:pPr>
                    <w:adjustRightInd w:val="0"/>
                    <w:snapToGrid w:val="0"/>
                    <w:jc w:val="center"/>
                    <w:textAlignment w:val="baseline"/>
                    <w:rPr>
                      <w:color w:val="auto"/>
                      <w:szCs w:val="21"/>
                      <w:highlight w:val="none"/>
                    </w:rPr>
                  </w:pPr>
                  <w:r>
                    <w:rPr>
                      <w:rFonts w:hint="eastAsia"/>
                      <w:color w:val="auto"/>
                      <w:szCs w:val="21"/>
                      <w:highlight w:val="none"/>
                    </w:rPr>
                    <w:t>《工业企业厂界环境噪声排放标准》（GB</w:t>
                  </w:r>
                  <w:r>
                    <w:rPr>
                      <w:rFonts w:hint="eastAsia"/>
                      <w:color w:val="auto"/>
                      <w:szCs w:val="21"/>
                      <w:highlight w:val="none"/>
                      <w:lang w:val="en-US" w:eastAsia="zh-CN"/>
                    </w:rPr>
                    <w:t xml:space="preserve"> </w:t>
                  </w:r>
                  <w:r>
                    <w:rPr>
                      <w:rFonts w:hint="eastAsia"/>
                      <w:color w:val="auto"/>
                      <w:szCs w:val="21"/>
                      <w:highlight w:val="none"/>
                    </w:rPr>
                    <w:t>12348-2008）</w:t>
                  </w:r>
                  <w:r>
                    <w:rPr>
                      <w:rFonts w:hint="eastAsia"/>
                      <w:color w:val="auto"/>
                      <w:szCs w:val="21"/>
                      <w:highlight w:val="none"/>
                      <w:lang w:val="en-US" w:eastAsia="zh-CN"/>
                    </w:rPr>
                    <w:t>3</w:t>
                  </w:r>
                  <w:r>
                    <w:rPr>
                      <w:rFonts w:hint="eastAsia"/>
                      <w:color w:val="auto"/>
                      <w:szCs w:val="21"/>
                      <w:highlight w:val="none"/>
                    </w:rPr>
                    <w:t>类标准限值</w:t>
                  </w:r>
                </w:p>
              </w:tc>
            </w:tr>
          </w:tbl>
          <w:p w14:paraId="2ED230FD">
            <w:pPr>
              <w:snapToGrid w:val="0"/>
              <w:spacing w:line="360" w:lineRule="auto"/>
              <w:ind w:firstLine="482" w:firstLineChars="200"/>
              <w:rPr>
                <w:b/>
                <w:bCs/>
                <w:color w:val="auto"/>
                <w:sz w:val="24"/>
                <w:highlight w:val="none"/>
              </w:rPr>
            </w:pPr>
            <w:r>
              <w:rPr>
                <w:rFonts w:hint="eastAsia"/>
                <w:b/>
                <w:bCs/>
                <w:color w:val="auto"/>
                <w:sz w:val="24"/>
                <w:highlight w:val="none"/>
              </w:rPr>
              <w:t>四、</w:t>
            </w:r>
            <w:r>
              <w:rPr>
                <w:b/>
                <w:bCs/>
                <w:color w:val="auto"/>
                <w:sz w:val="24"/>
                <w:highlight w:val="none"/>
              </w:rPr>
              <w:t>固体废物</w:t>
            </w:r>
          </w:p>
          <w:p w14:paraId="23B286F0">
            <w:pPr>
              <w:snapToGrid w:val="0"/>
              <w:spacing w:line="360" w:lineRule="auto"/>
              <w:ind w:firstLine="482" w:firstLineChars="200"/>
              <w:rPr>
                <w:b/>
                <w:bCs/>
                <w:color w:val="auto"/>
                <w:sz w:val="24"/>
                <w:highlight w:val="none"/>
              </w:rPr>
            </w:pPr>
            <w:r>
              <w:rPr>
                <w:rFonts w:hint="eastAsia"/>
                <w:b/>
                <w:bCs/>
                <w:color w:val="auto"/>
                <w:sz w:val="24"/>
                <w:highlight w:val="none"/>
              </w:rPr>
              <w:t>1、污染源源强核算</w:t>
            </w:r>
          </w:p>
          <w:p w14:paraId="35660188">
            <w:pPr>
              <w:snapToGrid w:val="0"/>
              <w:spacing w:line="360" w:lineRule="auto"/>
              <w:ind w:firstLine="480" w:firstLineChars="200"/>
              <w:rPr>
                <w:rFonts w:hint="eastAsia" w:eastAsia="宋体"/>
                <w:color w:val="auto"/>
                <w:sz w:val="24"/>
                <w:highlight w:val="none"/>
                <w:lang w:eastAsia="zh-CN"/>
              </w:rPr>
            </w:pPr>
            <w:r>
              <w:rPr>
                <w:rFonts w:hint="eastAsia"/>
                <w:color w:val="auto"/>
                <w:sz w:val="24"/>
                <w:highlight w:val="none"/>
              </w:rPr>
              <w:t>项目运营期的固体废物主要包括一般工业固废、危险废物、生活垃圾。一般工业固废包括废包装</w:t>
            </w:r>
            <w:r>
              <w:rPr>
                <w:rFonts w:hint="eastAsia"/>
                <w:color w:val="auto"/>
                <w:sz w:val="24"/>
                <w:highlight w:val="none"/>
                <w:lang w:val="en-US" w:eastAsia="zh-CN"/>
              </w:rPr>
              <w:t>袋、边角料、不合格产品</w:t>
            </w:r>
            <w:r>
              <w:rPr>
                <w:rFonts w:hint="eastAsia"/>
                <w:color w:val="auto"/>
                <w:sz w:val="24"/>
                <w:highlight w:val="none"/>
              </w:rPr>
              <w:t>；危险废物包括废活性炭、废机油及废机油桶</w:t>
            </w:r>
            <w:r>
              <w:rPr>
                <w:rFonts w:hint="eastAsia"/>
                <w:color w:val="auto"/>
                <w:sz w:val="24"/>
                <w:highlight w:val="none"/>
                <w:lang w:eastAsia="zh-CN"/>
              </w:rPr>
              <w:t>、</w:t>
            </w:r>
            <w:r>
              <w:rPr>
                <w:rFonts w:hint="eastAsia"/>
                <w:color w:val="auto"/>
                <w:sz w:val="24"/>
                <w:highlight w:val="none"/>
                <w:lang w:val="en-US" w:eastAsia="zh-CN"/>
              </w:rPr>
              <w:t>废油墨及废油墨桶</w:t>
            </w:r>
            <w:r>
              <w:rPr>
                <w:rFonts w:hint="eastAsia"/>
                <w:color w:val="auto"/>
                <w:sz w:val="24"/>
                <w:highlight w:val="none"/>
                <w:lang w:eastAsia="zh-CN"/>
              </w:rPr>
              <w:t>。</w:t>
            </w:r>
          </w:p>
          <w:p w14:paraId="3DB71F4F">
            <w:pPr>
              <w:snapToGrid w:val="0"/>
              <w:spacing w:line="360" w:lineRule="auto"/>
              <w:ind w:firstLine="480" w:firstLineChars="200"/>
              <w:rPr>
                <w:rFonts w:hint="eastAsia"/>
                <w:color w:val="auto"/>
                <w:sz w:val="24"/>
                <w:highlight w:val="none"/>
              </w:rPr>
            </w:pPr>
            <w:r>
              <w:rPr>
                <w:rFonts w:hint="eastAsia"/>
                <w:color w:val="auto"/>
                <w:sz w:val="24"/>
                <w:highlight w:val="none"/>
              </w:rPr>
              <w:t>项目建成后全厂固废类别及产生、处置情况详见表4-</w:t>
            </w:r>
            <w:r>
              <w:rPr>
                <w:rFonts w:hint="eastAsia"/>
                <w:color w:val="auto"/>
                <w:sz w:val="24"/>
                <w:highlight w:val="none"/>
                <w:lang w:val="en-US" w:eastAsia="zh-CN"/>
              </w:rPr>
              <w:t>19</w:t>
            </w:r>
            <w:r>
              <w:rPr>
                <w:rFonts w:hint="eastAsia"/>
                <w:color w:val="auto"/>
                <w:sz w:val="24"/>
                <w:highlight w:val="none"/>
              </w:rPr>
              <w:t>。</w:t>
            </w:r>
          </w:p>
          <w:p w14:paraId="61F3215D">
            <w:pPr>
              <w:adjustRightInd w:val="0"/>
              <w:snapToGrid w:val="0"/>
              <w:spacing w:line="360" w:lineRule="auto"/>
              <w:ind w:firstLine="482" w:firstLineChars="200"/>
              <w:jc w:val="center"/>
              <w:rPr>
                <w:b/>
                <w:color w:val="auto"/>
                <w:kern w:val="24"/>
                <w:sz w:val="24"/>
                <w:highlight w:val="none"/>
              </w:rPr>
            </w:pPr>
            <w:r>
              <w:rPr>
                <w:b/>
                <w:color w:val="auto"/>
                <w:kern w:val="24"/>
                <w:sz w:val="24"/>
                <w:highlight w:val="none"/>
              </w:rPr>
              <w:t>表4-</w:t>
            </w:r>
            <w:r>
              <w:rPr>
                <w:rFonts w:hint="eastAsia"/>
                <w:b/>
                <w:color w:val="auto"/>
                <w:kern w:val="24"/>
                <w:sz w:val="24"/>
                <w:highlight w:val="none"/>
                <w:lang w:val="en-US" w:eastAsia="zh-CN"/>
              </w:rPr>
              <w:t>19</w:t>
            </w:r>
            <w:r>
              <w:rPr>
                <w:rFonts w:hint="eastAsia"/>
                <w:b/>
                <w:color w:val="auto"/>
                <w:kern w:val="24"/>
                <w:sz w:val="24"/>
                <w:highlight w:val="none"/>
              </w:rPr>
              <w:t xml:space="preserve">  </w:t>
            </w:r>
            <w:r>
              <w:rPr>
                <w:b/>
                <w:color w:val="auto"/>
                <w:kern w:val="24"/>
                <w:sz w:val="24"/>
                <w:highlight w:val="none"/>
              </w:rPr>
              <w:t>项目建成后全厂固体废物一览表</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659"/>
              <w:gridCol w:w="1210"/>
              <w:gridCol w:w="1212"/>
              <w:gridCol w:w="1113"/>
              <w:gridCol w:w="1052"/>
              <w:gridCol w:w="1000"/>
              <w:gridCol w:w="2095"/>
            </w:tblGrid>
            <w:tr w14:paraId="0DF7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395" w:type="pct"/>
                  <w:vAlign w:val="center"/>
                </w:tcPr>
                <w:p w14:paraId="6DD58A3D">
                  <w:pPr>
                    <w:keepNext w:val="0"/>
                    <w:keepLines w:val="0"/>
                    <w:suppressLineNumbers w:val="0"/>
                    <w:adjustRightInd w:val="0"/>
                    <w:snapToGrid w:val="0"/>
                    <w:spacing w:before="0" w:beforeAutospacing="0" w:after="0" w:afterAutospacing="0"/>
                    <w:ind w:left="0" w:right="0"/>
                    <w:jc w:val="center"/>
                    <w:rPr>
                      <w:rFonts w:hint="default"/>
                      <w:b/>
                      <w:bCs/>
                      <w:color w:val="auto"/>
                      <w:kern w:val="24"/>
                      <w:sz w:val="21"/>
                      <w:szCs w:val="21"/>
                      <w:highlight w:val="none"/>
                    </w:rPr>
                  </w:pPr>
                  <w:r>
                    <w:rPr>
                      <w:rFonts w:hint="default"/>
                      <w:b/>
                      <w:bCs/>
                      <w:color w:val="auto"/>
                      <w:kern w:val="24"/>
                      <w:sz w:val="21"/>
                      <w:szCs w:val="21"/>
                      <w:highlight w:val="none"/>
                    </w:rPr>
                    <w:t>序号</w:t>
                  </w:r>
                </w:p>
              </w:tc>
              <w:tc>
                <w:tcPr>
                  <w:tcW w:w="725" w:type="pct"/>
                  <w:vAlign w:val="center"/>
                </w:tcPr>
                <w:p w14:paraId="7A1F9F91">
                  <w:pPr>
                    <w:keepNext w:val="0"/>
                    <w:keepLines w:val="0"/>
                    <w:suppressLineNumbers w:val="0"/>
                    <w:adjustRightInd w:val="0"/>
                    <w:snapToGrid w:val="0"/>
                    <w:spacing w:before="0" w:beforeAutospacing="0" w:after="0" w:afterAutospacing="0"/>
                    <w:ind w:left="0" w:right="0"/>
                    <w:jc w:val="center"/>
                    <w:rPr>
                      <w:rFonts w:hint="default"/>
                      <w:b/>
                      <w:bCs/>
                      <w:color w:val="auto"/>
                      <w:kern w:val="24"/>
                      <w:sz w:val="21"/>
                      <w:szCs w:val="21"/>
                      <w:highlight w:val="none"/>
                    </w:rPr>
                  </w:pPr>
                  <w:r>
                    <w:rPr>
                      <w:rFonts w:hint="default"/>
                      <w:b/>
                      <w:bCs/>
                      <w:color w:val="auto"/>
                      <w:kern w:val="24"/>
                      <w:sz w:val="21"/>
                      <w:szCs w:val="21"/>
                      <w:highlight w:val="none"/>
                    </w:rPr>
                    <w:t>固废名称</w:t>
                  </w:r>
                </w:p>
              </w:tc>
              <w:tc>
                <w:tcPr>
                  <w:tcW w:w="726" w:type="pct"/>
                  <w:vAlign w:val="center"/>
                </w:tcPr>
                <w:p w14:paraId="5AE0A1D4">
                  <w:pPr>
                    <w:keepNext w:val="0"/>
                    <w:keepLines w:val="0"/>
                    <w:suppressLineNumbers w:val="0"/>
                    <w:adjustRightInd w:val="0"/>
                    <w:snapToGrid w:val="0"/>
                    <w:spacing w:before="0" w:beforeAutospacing="0" w:after="0" w:afterAutospacing="0"/>
                    <w:ind w:left="0" w:right="0"/>
                    <w:jc w:val="center"/>
                    <w:rPr>
                      <w:rFonts w:hint="default"/>
                      <w:b/>
                      <w:bCs/>
                      <w:color w:val="auto"/>
                      <w:kern w:val="24"/>
                      <w:sz w:val="21"/>
                      <w:szCs w:val="21"/>
                      <w:highlight w:val="none"/>
                    </w:rPr>
                  </w:pPr>
                  <w:r>
                    <w:rPr>
                      <w:rFonts w:hint="default"/>
                      <w:b/>
                      <w:bCs/>
                      <w:color w:val="auto"/>
                      <w:kern w:val="24"/>
                      <w:sz w:val="21"/>
                      <w:szCs w:val="21"/>
                      <w:highlight w:val="none"/>
                    </w:rPr>
                    <w:t>产生环节</w:t>
                  </w:r>
                </w:p>
              </w:tc>
              <w:tc>
                <w:tcPr>
                  <w:tcW w:w="667" w:type="pct"/>
                  <w:vAlign w:val="center"/>
                </w:tcPr>
                <w:p w14:paraId="35546259">
                  <w:pPr>
                    <w:keepNext w:val="0"/>
                    <w:keepLines w:val="0"/>
                    <w:suppressLineNumbers w:val="0"/>
                    <w:adjustRightInd w:val="0"/>
                    <w:snapToGrid w:val="0"/>
                    <w:spacing w:before="0" w:beforeAutospacing="0" w:after="0" w:afterAutospacing="0"/>
                    <w:ind w:left="0" w:right="0"/>
                    <w:jc w:val="center"/>
                    <w:rPr>
                      <w:rFonts w:hint="default"/>
                      <w:b/>
                      <w:bCs/>
                      <w:color w:val="auto"/>
                      <w:kern w:val="24"/>
                      <w:sz w:val="21"/>
                      <w:szCs w:val="21"/>
                      <w:highlight w:val="none"/>
                    </w:rPr>
                  </w:pPr>
                  <w:r>
                    <w:rPr>
                      <w:rFonts w:hint="default"/>
                      <w:b/>
                      <w:bCs/>
                      <w:color w:val="auto"/>
                      <w:kern w:val="24"/>
                      <w:sz w:val="21"/>
                      <w:szCs w:val="21"/>
                      <w:highlight w:val="none"/>
                    </w:rPr>
                    <w:t>固废属性</w:t>
                  </w:r>
                </w:p>
              </w:tc>
              <w:tc>
                <w:tcPr>
                  <w:tcW w:w="630" w:type="pct"/>
                  <w:vAlign w:val="center"/>
                </w:tcPr>
                <w:p w14:paraId="009A7407">
                  <w:pPr>
                    <w:keepNext w:val="0"/>
                    <w:keepLines w:val="0"/>
                    <w:suppressLineNumbers w:val="0"/>
                    <w:adjustRightInd w:val="0"/>
                    <w:snapToGrid w:val="0"/>
                    <w:spacing w:before="0" w:beforeAutospacing="0" w:after="0" w:afterAutospacing="0"/>
                    <w:ind w:left="0" w:right="0"/>
                    <w:jc w:val="center"/>
                    <w:rPr>
                      <w:rFonts w:hint="default"/>
                      <w:b/>
                      <w:bCs/>
                      <w:color w:val="auto"/>
                      <w:kern w:val="24"/>
                      <w:sz w:val="21"/>
                      <w:szCs w:val="21"/>
                      <w:highlight w:val="none"/>
                    </w:rPr>
                  </w:pPr>
                  <w:r>
                    <w:rPr>
                      <w:rFonts w:hint="default"/>
                      <w:b/>
                      <w:bCs/>
                      <w:color w:val="auto"/>
                      <w:kern w:val="24"/>
                      <w:sz w:val="21"/>
                      <w:szCs w:val="21"/>
                      <w:highlight w:val="none"/>
                    </w:rPr>
                    <w:t>环境危险特性</w:t>
                  </w:r>
                </w:p>
              </w:tc>
              <w:tc>
                <w:tcPr>
                  <w:tcW w:w="599" w:type="pct"/>
                  <w:vAlign w:val="center"/>
                </w:tcPr>
                <w:p w14:paraId="527F54A6">
                  <w:pPr>
                    <w:keepNext w:val="0"/>
                    <w:keepLines w:val="0"/>
                    <w:suppressLineNumbers w:val="0"/>
                    <w:adjustRightInd w:val="0"/>
                    <w:snapToGrid w:val="0"/>
                    <w:spacing w:before="0" w:beforeAutospacing="0" w:after="0" w:afterAutospacing="0"/>
                    <w:ind w:left="0" w:right="0"/>
                    <w:jc w:val="center"/>
                    <w:rPr>
                      <w:rFonts w:hint="default"/>
                      <w:b/>
                      <w:bCs/>
                      <w:color w:val="auto"/>
                      <w:kern w:val="24"/>
                      <w:sz w:val="21"/>
                      <w:szCs w:val="21"/>
                      <w:highlight w:val="none"/>
                    </w:rPr>
                  </w:pPr>
                  <w:r>
                    <w:rPr>
                      <w:rFonts w:hint="default"/>
                      <w:b/>
                      <w:bCs/>
                      <w:color w:val="auto"/>
                      <w:kern w:val="24"/>
                      <w:sz w:val="21"/>
                      <w:szCs w:val="21"/>
                      <w:highlight w:val="none"/>
                    </w:rPr>
                    <w:t>产生量</w:t>
                  </w:r>
                  <w:r>
                    <w:rPr>
                      <w:rFonts w:hint="eastAsia"/>
                      <w:b/>
                      <w:bCs/>
                      <w:color w:val="auto"/>
                      <w:kern w:val="24"/>
                      <w:sz w:val="21"/>
                      <w:szCs w:val="21"/>
                      <w:highlight w:val="none"/>
                    </w:rPr>
                    <w:t>（t/a）</w:t>
                  </w:r>
                </w:p>
              </w:tc>
              <w:tc>
                <w:tcPr>
                  <w:tcW w:w="1255" w:type="pct"/>
                  <w:vAlign w:val="center"/>
                </w:tcPr>
                <w:p w14:paraId="337083F8">
                  <w:pPr>
                    <w:keepNext w:val="0"/>
                    <w:keepLines w:val="0"/>
                    <w:suppressLineNumbers w:val="0"/>
                    <w:adjustRightInd w:val="0"/>
                    <w:snapToGrid w:val="0"/>
                    <w:spacing w:before="0" w:beforeAutospacing="0" w:after="0" w:afterAutospacing="0"/>
                    <w:ind w:left="0" w:right="0"/>
                    <w:jc w:val="center"/>
                    <w:rPr>
                      <w:rFonts w:hint="default"/>
                      <w:b/>
                      <w:bCs/>
                      <w:color w:val="auto"/>
                      <w:kern w:val="24"/>
                      <w:sz w:val="21"/>
                      <w:szCs w:val="21"/>
                      <w:highlight w:val="none"/>
                    </w:rPr>
                  </w:pPr>
                  <w:r>
                    <w:rPr>
                      <w:rFonts w:hint="default"/>
                      <w:b/>
                      <w:bCs/>
                      <w:color w:val="auto"/>
                      <w:kern w:val="24"/>
                      <w:sz w:val="21"/>
                      <w:szCs w:val="21"/>
                      <w:highlight w:val="none"/>
                    </w:rPr>
                    <w:t>拟采取的处置措施</w:t>
                  </w:r>
                </w:p>
              </w:tc>
            </w:tr>
            <w:tr w14:paraId="5925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trPr>
              <w:tc>
                <w:tcPr>
                  <w:tcW w:w="395" w:type="pct"/>
                  <w:vAlign w:val="center"/>
                </w:tcPr>
                <w:p w14:paraId="5F204F60">
                  <w:pPr>
                    <w:keepNext w:val="0"/>
                    <w:keepLines w:val="0"/>
                    <w:suppressLineNumbers w:val="0"/>
                    <w:adjustRightInd w:val="0"/>
                    <w:snapToGrid w:val="0"/>
                    <w:spacing w:before="0" w:beforeAutospacing="0" w:after="0" w:afterAutospacing="0"/>
                    <w:ind w:left="0" w:right="0"/>
                    <w:jc w:val="center"/>
                    <w:rPr>
                      <w:rFonts w:hint="default"/>
                      <w:color w:val="auto"/>
                      <w:kern w:val="24"/>
                      <w:sz w:val="21"/>
                      <w:szCs w:val="21"/>
                      <w:highlight w:val="none"/>
                    </w:rPr>
                  </w:pPr>
                  <w:r>
                    <w:rPr>
                      <w:rFonts w:hint="default"/>
                      <w:color w:val="auto"/>
                      <w:kern w:val="24"/>
                      <w:sz w:val="21"/>
                      <w:szCs w:val="21"/>
                      <w:highlight w:val="none"/>
                    </w:rPr>
                    <w:t>1</w:t>
                  </w:r>
                </w:p>
              </w:tc>
              <w:tc>
                <w:tcPr>
                  <w:tcW w:w="725" w:type="pct"/>
                  <w:vAlign w:val="center"/>
                </w:tcPr>
                <w:p w14:paraId="13945857">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lang w:val="en-US" w:eastAsia="zh-CN" w:bidi="ar-SA"/>
                    </w:rPr>
                    <w:t>废包装袋</w:t>
                  </w:r>
                </w:p>
              </w:tc>
              <w:tc>
                <w:tcPr>
                  <w:tcW w:w="726" w:type="pct"/>
                  <w:vAlign w:val="center"/>
                </w:tcPr>
                <w:p w14:paraId="2BAF1E1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生产</w:t>
                  </w:r>
                </w:p>
              </w:tc>
              <w:tc>
                <w:tcPr>
                  <w:tcW w:w="667" w:type="pct"/>
                  <w:vAlign w:val="center"/>
                </w:tcPr>
                <w:p w14:paraId="7ADF89F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4"/>
                      <w:sz w:val="21"/>
                      <w:szCs w:val="21"/>
                      <w:highlight w:val="none"/>
                      <w:lang w:val="en-US" w:eastAsia="zh-CN" w:bidi="ar-SA"/>
                    </w:rPr>
                  </w:pPr>
                  <w:r>
                    <w:rPr>
                      <w:rFonts w:hint="default"/>
                      <w:color w:val="auto"/>
                      <w:kern w:val="24"/>
                      <w:sz w:val="21"/>
                      <w:szCs w:val="21"/>
                      <w:highlight w:val="none"/>
                    </w:rPr>
                    <w:t>一般</w:t>
                  </w:r>
                  <w:r>
                    <w:rPr>
                      <w:rFonts w:hint="eastAsia"/>
                      <w:color w:val="auto"/>
                      <w:kern w:val="24"/>
                      <w:sz w:val="21"/>
                      <w:szCs w:val="21"/>
                      <w:highlight w:val="none"/>
                      <w:lang w:val="en-US" w:eastAsia="zh-CN"/>
                    </w:rPr>
                    <w:t>工业</w:t>
                  </w:r>
                  <w:r>
                    <w:rPr>
                      <w:rFonts w:hint="default"/>
                      <w:color w:val="auto"/>
                      <w:kern w:val="24"/>
                      <w:sz w:val="21"/>
                      <w:szCs w:val="21"/>
                      <w:highlight w:val="none"/>
                    </w:rPr>
                    <w:t>固废</w:t>
                  </w:r>
                </w:p>
              </w:tc>
              <w:tc>
                <w:tcPr>
                  <w:tcW w:w="630" w:type="pct"/>
                  <w:vAlign w:val="center"/>
                </w:tcPr>
                <w:p w14:paraId="0D122FD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w:t>
                  </w:r>
                </w:p>
              </w:tc>
              <w:tc>
                <w:tcPr>
                  <w:tcW w:w="599" w:type="pct"/>
                  <w:vAlign w:val="center"/>
                </w:tcPr>
                <w:p w14:paraId="7ED51AA7">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10</w:t>
                  </w:r>
                </w:p>
              </w:tc>
              <w:tc>
                <w:tcPr>
                  <w:tcW w:w="1255" w:type="pct"/>
                  <w:vAlign w:val="center"/>
                </w:tcPr>
                <w:p w14:paraId="7AA29BF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lang w:val="en-US" w:eastAsia="zh-CN" w:bidi="ar-SA"/>
                    </w:rPr>
                    <w:t>外售综合利用</w:t>
                  </w:r>
                </w:p>
              </w:tc>
            </w:tr>
            <w:tr w14:paraId="4BFB4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trPr>
              <w:tc>
                <w:tcPr>
                  <w:tcW w:w="395" w:type="pct"/>
                  <w:vAlign w:val="center"/>
                </w:tcPr>
                <w:p w14:paraId="2E78F997">
                  <w:pPr>
                    <w:keepNext w:val="0"/>
                    <w:keepLines w:val="0"/>
                    <w:suppressLineNumbers w:val="0"/>
                    <w:adjustRightInd w:val="0"/>
                    <w:snapToGrid w:val="0"/>
                    <w:spacing w:before="0" w:beforeAutospacing="0" w:after="0" w:afterAutospacing="0"/>
                    <w:ind w:left="0" w:right="0"/>
                    <w:jc w:val="center"/>
                    <w:rPr>
                      <w:rFonts w:hint="default"/>
                      <w:color w:val="auto"/>
                      <w:kern w:val="24"/>
                      <w:sz w:val="21"/>
                      <w:szCs w:val="21"/>
                      <w:highlight w:val="none"/>
                    </w:rPr>
                  </w:pPr>
                  <w:r>
                    <w:rPr>
                      <w:rFonts w:hint="default"/>
                      <w:color w:val="auto"/>
                      <w:kern w:val="24"/>
                      <w:sz w:val="21"/>
                      <w:szCs w:val="21"/>
                      <w:highlight w:val="none"/>
                    </w:rPr>
                    <w:t>2</w:t>
                  </w:r>
                </w:p>
              </w:tc>
              <w:tc>
                <w:tcPr>
                  <w:tcW w:w="725" w:type="pct"/>
                  <w:vAlign w:val="center"/>
                </w:tcPr>
                <w:p w14:paraId="19B26E08">
                  <w:pPr>
                    <w:keepNext w:val="0"/>
                    <w:keepLines w:val="0"/>
                    <w:suppressLineNumbers w:val="0"/>
                    <w:adjustRightInd w:val="0"/>
                    <w:snapToGrid w:val="0"/>
                    <w:spacing w:before="0" w:beforeAutospacing="0" w:after="0" w:afterAutospacing="0"/>
                    <w:ind w:left="0" w:right="0"/>
                    <w:jc w:val="center"/>
                    <w:rPr>
                      <w:rFonts w:hint="default" w:eastAsia="宋体"/>
                      <w:color w:val="auto"/>
                      <w:kern w:val="24"/>
                      <w:sz w:val="21"/>
                      <w:szCs w:val="21"/>
                      <w:highlight w:val="none"/>
                      <w:lang w:val="en-US" w:eastAsia="zh-CN"/>
                    </w:rPr>
                  </w:pPr>
                  <w:r>
                    <w:rPr>
                      <w:rFonts w:hint="default" w:eastAsia="宋体"/>
                      <w:color w:val="auto"/>
                      <w:kern w:val="24"/>
                      <w:sz w:val="21"/>
                      <w:szCs w:val="21"/>
                      <w:highlight w:val="none"/>
                      <w:lang w:val="en-US" w:eastAsia="zh-CN"/>
                    </w:rPr>
                    <w:t>不合格产品及废边角料</w:t>
                  </w:r>
                </w:p>
              </w:tc>
              <w:tc>
                <w:tcPr>
                  <w:tcW w:w="726" w:type="pct"/>
                  <w:vAlign w:val="center"/>
                </w:tcPr>
                <w:p w14:paraId="3300159E">
                  <w:pPr>
                    <w:keepNext w:val="0"/>
                    <w:keepLines w:val="0"/>
                    <w:suppressLineNumbers w:val="0"/>
                    <w:adjustRightInd w:val="0"/>
                    <w:snapToGrid w:val="0"/>
                    <w:spacing w:before="0" w:beforeAutospacing="0" w:after="0" w:afterAutospacing="0"/>
                    <w:ind w:left="0" w:right="0"/>
                    <w:jc w:val="center"/>
                    <w:rPr>
                      <w:rFonts w:hint="default" w:eastAsia="宋体"/>
                      <w:color w:val="auto"/>
                      <w:kern w:val="24"/>
                      <w:sz w:val="21"/>
                      <w:szCs w:val="21"/>
                      <w:highlight w:val="none"/>
                      <w:lang w:val="en-US" w:eastAsia="zh-CN"/>
                    </w:rPr>
                  </w:pPr>
                  <w:r>
                    <w:rPr>
                      <w:rFonts w:hint="eastAsia"/>
                      <w:color w:val="auto"/>
                      <w:kern w:val="24"/>
                      <w:sz w:val="21"/>
                      <w:szCs w:val="21"/>
                      <w:highlight w:val="none"/>
                      <w:lang w:val="en-US" w:eastAsia="zh-CN"/>
                    </w:rPr>
                    <w:t>生产</w:t>
                  </w:r>
                </w:p>
              </w:tc>
              <w:tc>
                <w:tcPr>
                  <w:tcW w:w="667" w:type="pct"/>
                  <w:vAlign w:val="center"/>
                </w:tcPr>
                <w:p w14:paraId="4DD326E9">
                  <w:pPr>
                    <w:keepNext w:val="0"/>
                    <w:keepLines w:val="0"/>
                    <w:suppressLineNumbers w:val="0"/>
                    <w:adjustRightInd w:val="0"/>
                    <w:snapToGrid w:val="0"/>
                    <w:spacing w:before="0" w:beforeAutospacing="0" w:after="0" w:afterAutospacing="0"/>
                    <w:ind w:left="0" w:right="0"/>
                    <w:jc w:val="center"/>
                    <w:rPr>
                      <w:rFonts w:hint="default"/>
                      <w:color w:val="auto"/>
                      <w:kern w:val="24"/>
                      <w:sz w:val="21"/>
                      <w:szCs w:val="21"/>
                      <w:highlight w:val="none"/>
                    </w:rPr>
                  </w:pPr>
                  <w:r>
                    <w:rPr>
                      <w:rFonts w:hint="default"/>
                      <w:color w:val="auto"/>
                      <w:kern w:val="24"/>
                      <w:sz w:val="21"/>
                      <w:szCs w:val="21"/>
                      <w:highlight w:val="none"/>
                    </w:rPr>
                    <w:t>一般</w:t>
                  </w:r>
                  <w:r>
                    <w:rPr>
                      <w:rFonts w:hint="eastAsia"/>
                      <w:color w:val="auto"/>
                      <w:kern w:val="24"/>
                      <w:sz w:val="21"/>
                      <w:szCs w:val="21"/>
                      <w:highlight w:val="none"/>
                      <w:lang w:val="en-US" w:eastAsia="zh-CN"/>
                    </w:rPr>
                    <w:t>工业</w:t>
                  </w:r>
                  <w:r>
                    <w:rPr>
                      <w:rFonts w:hint="default"/>
                      <w:color w:val="auto"/>
                      <w:kern w:val="24"/>
                      <w:sz w:val="21"/>
                      <w:szCs w:val="21"/>
                      <w:highlight w:val="none"/>
                    </w:rPr>
                    <w:t>固废</w:t>
                  </w:r>
                </w:p>
              </w:tc>
              <w:tc>
                <w:tcPr>
                  <w:tcW w:w="630" w:type="pct"/>
                  <w:vAlign w:val="center"/>
                </w:tcPr>
                <w:p w14:paraId="6AD2427D">
                  <w:pPr>
                    <w:keepNext w:val="0"/>
                    <w:keepLines w:val="0"/>
                    <w:suppressLineNumbers w:val="0"/>
                    <w:adjustRightInd w:val="0"/>
                    <w:snapToGrid w:val="0"/>
                    <w:spacing w:before="0" w:beforeAutospacing="0" w:after="0" w:afterAutospacing="0"/>
                    <w:ind w:left="0" w:right="0"/>
                    <w:jc w:val="center"/>
                    <w:rPr>
                      <w:rFonts w:hint="default" w:eastAsia="宋体"/>
                      <w:color w:val="auto"/>
                      <w:kern w:val="24"/>
                      <w:sz w:val="21"/>
                      <w:szCs w:val="21"/>
                      <w:highlight w:val="none"/>
                      <w:lang w:val="en-US" w:eastAsia="zh-CN"/>
                    </w:rPr>
                  </w:pPr>
                  <w:r>
                    <w:rPr>
                      <w:rFonts w:hint="eastAsia" w:cs="Times New Roman"/>
                      <w:color w:val="auto"/>
                      <w:kern w:val="24"/>
                      <w:sz w:val="21"/>
                      <w:szCs w:val="21"/>
                      <w:highlight w:val="none"/>
                      <w:lang w:val="en-US" w:eastAsia="zh-CN" w:bidi="ar-SA"/>
                    </w:rPr>
                    <w:t>/</w:t>
                  </w:r>
                </w:p>
              </w:tc>
              <w:tc>
                <w:tcPr>
                  <w:tcW w:w="599" w:type="pct"/>
                  <w:vAlign w:val="center"/>
                </w:tcPr>
                <w:p w14:paraId="4FA9C1CD">
                  <w:pPr>
                    <w:keepNext w:val="0"/>
                    <w:keepLines w:val="0"/>
                    <w:suppressLineNumbers w:val="0"/>
                    <w:adjustRightInd w:val="0"/>
                    <w:snapToGrid w:val="0"/>
                    <w:spacing w:before="0" w:beforeAutospacing="0" w:after="0" w:afterAutospacing="0"/>
                    <w:ind w:left="0" w:right="0"/>
                    <w:jc w:val="center"/>
                    <w:rPr>
                      <w:rFonts w:hint="default" w:eastAsia="宋体"/>
                      <w:color w:val="auto"/>
                      <w:kern w:val="24"/>
                      <w:sz w:val="21"/>
                      <w:szCs w:val="21"/>
                      <w:highlight w:val="none"/>
                      <w:lang w:val="en-US" w:eastAsia="zh-CN"/>
                    </w:rPr>
                  </w:pPr>
                  <w:r>
                    <w:rPr>
                      <w:rFonts w:hint="eastAsia"/>
                      <w:color w:val="auto"/>
                      <w:kern w:val="24"/>
                      <w:sz w:val="21"/>
                      <w:szCs w:val="21"/>
                      <w:highlight w:val="none"/>
                      <w:lang w:val="en-US" w:eastAsia="zh-CN"/>
                    </w:rPr>
                    <w:t>123.75</w:t>
                  </w:r>
                </w:p>
              </w:tc>
              <w:tc>
                <w:tcPr>
                  <w:tcW w:w="1255" w:type="pct"/>
                  <w:vAlign w:val="center"/>
                </w:tcPr>
                <w:p w14:paraId="7102CB00">
                  <w:pPr>
                    <w:keepNext w:val="0"/>
                    <w:keepLines w:val="0"/>
                    <w:suppressLineNumbers w:val="0"/>
                    <w:adjustRightInd w:val="0"/>
                    <w:snapToGrid w:val="0"/>
                    <w:spacing w:before="0" w:beforeAutospacing="0" w:after="0" w:afterAutospacing="0"/>
                    <w:ind w:left="0" w:right="0"/>
                    <w:jc w:val="center"/>
                    <w:rPr>
                      <w:rFonts w:hint="default" w:eastAsiaTheme="majorEastAsia"/>
                      <w:color w:val="auto"/>
                      <w:kern w:val="24"/>
                      <w:sz w:val="21"/>
                      <w:szCs w:val="21"/>
                      <w:highlight w:val="none"/>
                      <w:lang w:val="en-US" w:eastAsia="zh-CN"/>
                    </w:rPr>
                  </w:pPr>
                  <w:r>
                    <w:rPr>
                      <w:rFonts w:hint="eastAsia" w:eastAsiaTheme="majorEastAsia"/>
                      <w:color w:val="auto"/>
                      <w:kern w:val="24"/>
                      <w:sz w:val="21"/>
                      <w:szCs w:val="21"/>
                      <w:highlight w:val="none"/>
                      <w:lang w:val="en-US" w:eastAsia="zh-CN"/>
                    </w:rPr>
                    <w:t>粉碎机破碎后重新回用于生产</w:t>
                  </w:r>
                </w:p>
              </w:tc>
            </w:tr>
            <w:tr w14:paraId="5C9A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trPr>
              <w:tc>
                <w:tcPr>
                  <w:tcW w:w="395" w:type="pct"/>
                  <w:shd w:val="clear" w:color="auto" w:fill="auto"/>
                  <w:vAlign w:val="center"/>
                </w:tcPr>
                <w:p w14:paraId="0465BEE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3</w:t>
                  </w:r>
                </w:p>
              </w:tc>
              <w:tc>
                <w:tcPr>
                  <w:tcW w:w="725" w:type="pct"/>
                  <w:shd w:val="clear" w:color="auto" w:fill="auto"/>
                  <w:vAlign w:val="center"/>
                </w:tcPr>
                <w:p w14:paraId="4801598B">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生活垃圾</w:t>
                  </w:r>
                </w:p>
              </w:tc>
              <w:tc>
                <w:tcPr>
                  <w:tcW w:w="726" w:type="pct"/>
                  <w:shd w:val="clear" w:color="auto" w:fill="auto"/>
                  <w:vAlign w:val="center"/>
                </w:tcPr>
                <w:p w14:paraId="417519E0">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eastAsia" w:ascii="Times New Roman" w:hAnsi="Times New Roman" w:eastAsia="宋体" w:cs="Times New Roman"/>
                      <w:color w:val="auto"/>
                      <w:kern w:val="24"/>
                      <w:sz w:val="21"/>
                      <w:szCs w:val="21"/>
                      <w:highlight w:val="none"/>
                      <w:lang w:val="en-US" w:eastAsia="zh-CN" w:bidi="ar-SA"/>
                    </w:rPr>
                    <w:t>员工日常生活</w:t>
                  </w:r>
                </w:p>
              </w:tc>
              <w:tc>
                <w:tcPr>
                  <w:tcW w:w="667" w:type="pct"/>
                  <w:shd w:val="clear" w:color="auto" w:fill="auto"/>
                  <w:vAlign w:val="center"/>
                </w:tcPr>
                <w:p w14:paraId="28EB2FA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4"/>
                      <w:sz w:val="21"/>
                      <w:szCs w:val="21"/>
                      <w:highlight w:val="none"/>
                      <w:lang w:val="en-US" w:eastAsia="zh-CN" w:bidi="ar-SA"/>
                    </w:rPr>
                  </w:pPr>
                  <w:r>
                    <w:rPr>
                      <w:rFonts w:hint="eastAsia"/>
                      <w:color w:val="auto"/>
                      <w:kern w:val="24"/>
                      <w:sz w:val="21"/>
                      <w:szCs w:val="21"/>
                      <w:highlight w:val="none"/>
                      <w:lang w:val="en-US" w:eastAsia="zh-CN"/>
                    </w:rPr>
                    <w:t>生活垃圾</w:t>
                  </w:r>
                </w:p>
              </w:tc>
              <w:tc>
                <w:tcPr>
                  <w:tcW w:w="630" w:type="pct"/>
                  <w:shd w:val="clear" w:color="auto" w:fill="auto"/>
                  <w:vAlign w:val="center"/>
                </w:tcPr>
                <w:p w14:paraId="0F44B53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4"/>
                      <w:sz w:val="21"/>
                      <w:szCs w:val="21"/>
                      <w:highlight w:val="none"/>
                      <w:lang w:val="en-US" w:eastAsia="zh-CN" w:bidi="ar-SA"/>
                    </w:rPr>
                  </w:pPr>
                  <w:r>
                    <w:rPr>
                      <w:rFonts w:hint="eastAsia" w:eastAsia="宋体"/>
                      <w:color w:val="auto"/>
                      <w:kern w:val="24"/>
                      <w:sz w:val="21"/>
                      <w:szCs w:val="21"/>
                      <w:highlight w:val="none"/>
                      <w:lang w:val="en-US" w:eastAsia="zh-CN"/>
                    </w:rPr>
                    <w:t>/</w:t>
                  </w:r>
                </w:p>
              </w:tc>
              <w:tc>
                <w:tcPr>
                  <w:tcW w:w="599" w:type="pct"/>
                  <w:shd w:val="clear" w:color="auto" w:fill="auto"/>
                  <w:vAlign w:val="center"/>
                </w:tcPr>
                <w:p w14:paraId="690CAD9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5.25</w:t>
                  </w:r>
                </w:p>
              </w:tc>
              <w:tc>
                <w:tcPr>
                  <w:tcW w:w="1255" w:type="pct"/>
                  <w:shd w:val="clear" w:color="auto" w:fill="auto"/>
                  <w:vAlign w:val="center"/>
                </w:tcPr>
                <w:p w14:paraId="3D05E1C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4"/>
                      <w:sz w:val="21"/>
                      <w:szCs w:val="21"/>
                      <w:highlight w:val="none"/>
                      <w:lang w:val="en-US" w:eastAsia="zh-CN" w:bidi="ar-SA"/>
                    </w:rPr>
                  </w:pPr>
                  <w:r>
                    <w:rPr>
                      <w:rFonts w:hint="default"/>
                      <w:color w:val="auto"/>
                      <w:kern w:val="24"/>
                      <w:sz w:val="21"/>
                      <w:szCs w:val="21"/>
                      <w:highlight w:val="none"/>
                    </w:rPr>
                    <w:t>委托</w:t>
                  </w:r>
                  <w:r>
                    <w:rPr>
                      <w:rFonts w:hint="eastAsia"/>
                      <w:color w:val="auto"/>
                      <w:kern w:val="24"/>
                      <w:sz w:val="21"/>
                      <w:szCs w:val="21"/>
                      <w:highlight w:val="none"/>
                      <w:lang w:val="en-US" w:eastAsia="zh-CN"/>
                    </w:rPr>
                    <w:t>园区</w:t>
                  </w:r>
                  <w:r>
                    <w:rPr>
                      <w:rFonts w:hint="default"/>
                      <w:color w:val="auto"/>
                      <w:kern w:val="24"/>
                      <w:sz w:val="21"/>
                      <w:szCs w:val="21"/>
                      <w:highlight w:val="none"/>
                    </w:rPr>
                    <w:t>环卫部门清运处置</w:t>
                  </w:r>
                </w:p>
              </w:tc>
            </w:tr>
            <w:tr w14:paraId="5D21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trPr>
              <w:tc>
                <w:tcPr>
                  <w:tcW w:w="395" w:type="pct"/>
                  <w:shd w:val="clear" w:color="auto" w:fill="auto"/>
                  <w:vAlign w:val="center"/>
                </w:tcPr>
                <w:p w14:paraId="5C9DE54A">
                  <w:pPr>
                    <w:adjustRightInd w:val="0"/>
                    <w:snapToGrid w:val="0"/>
                    <w:jc w:val="center"/>
                    <w:rPr>
                      <w:rFonts w:hint="eastAsia" w:ascii="Times New Roman" w:hAnsi="Times New Roman" w:eastAsia="宋体" w:cs="Times New Roman"/>
                      <w:color w:val="auto"/>
                      <w:kern w:val="24"/>
                      <w:sz w:val="21"/>
                      <w:szCs w:val="21"/>
                      <w:highlight w:val="none"/>
                      <w:lang w:val="en-US" w:eastAsia="zh-CN" w:bidi="ar-SA"/>
                    </w:rPr>
                  </w:pPr>
                  <w:r>
                    <w:rPr>
                      <w:rFonts w:hint="eastAsia"/>
                      <w:color w:val="auto"/>
                      <w:kern w:val="24"/>
                      <w:szCs w:val="21"/>
                      <w:highlight w:val="none"/>
                      <w:lang w:val="en-US" w:eastAsia="zh-CN"/>
                    </w:rPr>
                    <w:t>4</w:t>
                  </w:r>
                </w:p>
              </w:tc>
              <w:tc>
                <w:tcPr>
                  <w:tcW w:w="725" w:type="pct"/>
                  <w:shd w:val="clear" w:color="auto" w:fill="auto"/>
                  <w:vAlign w:val="center"/>
                </w:tcPr>
                <w:p w14:paraId="2BA9AF23">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lang w:val="en-US" w:eastAsia="zh-CN" w:bidi="ar-SA"/>
                    </w:rPr>
                    <w:t>废活性炭</w:t>
                  </w:r>
                </w:p>
              </w:tc>
              <w:tc>
                <w:tcPr>
                  <w:tcW w:w="726" w:type="pct"/>
                  <w:shd w:val="clear" w:color="auto" w:fill="auto"/>
                  <w:vAlign w:val="center"/>
                </w:tcPr>
                <w:p w14:paraId="61FA48BD">
                  <w:pPr>
                    <w:adjustRightInd w:val="0"/>
                    <w:snapToGrid w:val="0"/>
                    <w:jc w:val="center"/>
                    <w:rPr>
                      <w:rFonts w:hint="eastAsia"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废气治理</w:t>
                  </w:r>
                </w:p>
              </w:tc>
              <w:tc>
                <w:tcPr>
                  <w:tcW w:w="667" w:type="pct"/>
                  <w:shd w:val="clear" w:color="auto" w:fill="auto"/>
                  <w:vAlign w:val="center"/>
                </w:tcPr>
                <w:p w14:paraId="244BBDBF">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lang w:val="en-US" w:eastAsia="zh-CN" w:bidi="ar-SA"/>
                    </w:rPr>
                    <w:t>危险</w:t>
                  </w:r>
                  <w:r>
                    <w:rPr>
                      <w:rFonts w:hint="eastAsia" w:cs="Times New Roman"/>
                      <w:color w:val="auto"/>
                      <w:kern w:val="24"/>
                      <w:sz w:val="21"/>
                      <w:szCs w:val="21"/>
                      <w:highlight w:val="none"/>
                      <w:lang w:val="en-US" w:eastAsia="zh-CN" w:bidi="ar-SA"/>
                    </w:rPr>
                    <w:t>废物</w:t>
                  </w:r>
                </w:p>
              </w:tc>
              <w:tc>
                <w:tcPr>
                  <w:tcW w:w="630" w:type="pct"/>
                  <w:shd w:val="clear" w:color="auto" w:fill="auto"/>
                  <w:vAlign w:val="center"/>
                </w:tcPr>
                <w:p w14:paraId="461AD517">
                  <w:pPr>
                    <w:adjustRightInd w:val="0"/>
                    <w:snapToGrid w:val="0"/>
                    <w:jc w:val="center"/>
                    <w:rPr>
                      <w:rFonts w:hint="eastAsia"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lang w:val="en-US" w:eastAsia="zh-CN" w:bidi="ar-SA"/>
                    </w:rPr>
                    <w:t>毒性、易燃性</w:t>
                  </w:r>
                </w:p>
              </w:tc>
              <w:tc>
                <w:tcPr>
                  <w:tcW w:w="599" w:type="pct"/>
                  <w:shd w:val="clear" w:color="auto" w:fill="auto"/>
                  <w:vAlign w:val="center"/>
                </w:tcPr>
                <w:p w14:paraId="6F3CB9DE">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8</w:t>
                  </w:r>
                </w:p>
              </w:tc>
              <w:tc>
                <w:tcPr>
                  <w:tcW w:w="1255" w:type="pct"/>
                  <w:shd w:val="clear" w:color="auto" w:fill="auto"/>
                  <w:vAlign w:val="center"/>
                </w:tcPr>
                <w:p w14:paraId="22F5A529">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lang w:val="en-US" w:eastAsia="zh-CN" w:bidi="ar-SA"/>
                    </w:rPr>
                    <w:t>100%处置，并建立台账、转移联单制度</w:t>
                  </w:r>
                </w:p>
              </w:tc>
            </w:tr>
            <w:tr w14:paraId="692D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trPr>
              <w:tc>
                <w:tcPr>
                  <w:tcW w:w="395" w:type="pct"/>
                  <w:shd w:val="clear" w:color="auto" w:fill="auto"/>
                  <w:vAlign w:val="center"/>
                </w:tcPr>
                <w:p w14:paraId="1920F8C1">
                  <w:pPr>
                    <w:adjustRightInd w:val="0"/>
                    <w:snapToGrid w:val="0"/>
                    <w:jc w:val="center"/>
                    <w:rPr>
                      <w:rFonts w:hint="default"/>
                      <w:color w:val="auto"/>
                      <w:kern w:val="24"/>
                      <w:szCs w:val="21"/>
                      <w:highlight w:val="none"/>
                      <w:lang w:val="en-US" w:eastAsia="zh-CN"/>
                    </w:rPr>
                  </w:pPr>
                  <w:r>
                    <w:rPr>
                      <w:rFonts w:hint="eastAsia"/>
                      <w:color w:val="auto"/>
                      <w:kern w:val="24"/>
                      <w:szCs w:val="21"/>
                      <w:highlight w:val="none"/>
                      <w:lang w:val="en-US" w:eastAsia="zh-CN"/>
                    </w:rPr>
                    <w:t>5</w:t>
                  </w:r>
                </w:p>
              </w:tc>
              <w:tc>
                <w:tcPr>
                  <w:tcW w:w="725" w:type="pct"/>
                  <w:shd w:val="clear" w:color="auto" w:fill="auto"/>
                  <w:vAlign w:val="center"/>
                </w:tcPr>
                <w:p w14:paraId="58A6BED7">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废催化剂</w:t>
                  </w:r>
                </w:p>
              </w:tc>
              <w:tc>
                <w:tcPr>
                  <w:tcW w:w="726" w:type="pct"/>
                  <w:shd w:val="clear" w:color="auto" w:fill="auto"/>
                  <w:vAlign w:val="center"/>
                </w:tcPr>
                <w:p w14:paraId="63AD1438">
                  <w:pPr>
                    <w:adjustRightInd w:val="0"/>
                    <w:snapToGrid w:val="0"/>
                    <w:jc w:val="center"/>
                    <w:rPr>
                      <w:rFonts w:hint="eastAsia"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废气治理</w:t>
                  </w:r>
                </w:p>
              </w:tc>
              <w:tc>
                <w:tcPr>
                  <w:tcW w:w="667" w:type="pct"/>
                  <w:shd w:val="clear" w:color="auto" w:fill="auto"/>
                  <w:vAlign w:val="center"/>
                </w:tcPr>
                <w:p w14:paraId="56B282BA">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lang w:val="en-US" w:eastAsia="zh-CN" w:bidi="ar-SA"/>
                    </w:rPr>
                    <w:t>危险废物</w:t>
                  </w:r>
                </w:p>
              </w:tc>
              <w:tc>
                <w:tcPr>
                  <w:tcW w:w="630" w:type="pct"/>
                  <w:shd w:val="clear" w:color="auto" w:fill="auto"/>
                  <w:vAlign w:val="center"/>
                </w:tcPr>
                <w:p w14:paraId="710B923C">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毒性</w:t>
                  </w:r>
                </w:p>
              </w:tc>
              <w:tc>
                <w:tcPr>
                  <w:tcW w:w="599" w:type="pct"/>
                  <w:shd w:val="clear" w:color="auto" w:fill="auto"/>
                  <w:vAlign w:val="center"/>
                </w:tcPr>
                <w:p w14:paraId="2CC07473">
                  <w:pPr>
                    <w:adjustRightInd w:val="0"/>
                    <w:snapToGrid w:val="0"/>
                    <w:jc w:val="center"/>
                    <w:rPr>
                      <w:rFonts w:hint="default"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0.075</w:t>
                  </w:r>
                </w:p>
              </w:tc>
              <w:tc>
                <w:tcPr>
                  <w:tcW w:w="1255" w:type="pct"/>
                  <w:shd w:val="clear" w:color="auto" w:fill="auto"/>
                  <w:vAlign w:val="center"/>
                </w:tcPr>
                <w:p w14:paraId="4D7E22E8">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lang w:val="en-US" w:eastAsia="zh-CN" w:bidi="ar-SA"/>
                    </w:rPr>
                    <w:t>100%处置，并建立台账、转移联单制度</w:t>
                  </w:r>
                </w:p>
              </w:tc>
            </w:tr>
            <w:tr w14:paraId="3A0C2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trPr>
              <w:tc>
                <w:tcPr>
                  <w:tcW w:w="395" w:type="pct"/>
                  <w:shd w:val="clear" w:color="auto" w:fill="auto"/>
                  <w:vAlign w:val="center"/>
                </w:tcPr>
                <w:p w14:paraId="59D00BE9">
                  <w:pPr>
                    <w:adjustRightInd w:val="0"/>
                    <w:snapToGrid w:val="0"/>
                    <w:jc w:val="center"/>
                    <w:rPr>
                      <w:rFonts w:hint="eastAsia" w:ascii="Times New Roman" w:hAnsi="Times New Roman" w:eastAsia="宋体" w:cs="Times New Roman"/>
                      <w:color w:val="auto"/>
                      <w:kern w:val="24"/>
                      <w:sz w:val="21"/>
                      <w:szCs w:val="21"/>
                      <w:highlight w:val="none"/>
                      <w:lang w:val="en-US" w:eastAsia="zh-CN" w:bidi="ar-SA"/>
                    </w:rPr>
                  </w:pPr>
                  <w:r>
                    <w:rPr>
                      <w:rFonts w:hint="eastAsia"/>
                      <w:color w:val="auto"/>
                      <w:kern w:val="24"/>
                      <w:szCs w:val="21"/>
                      <w:highlight w:val="none"/>
                      <w:lang w:val="en-US" w:eastAsia="zh-CN"/>
                    </w:rPr>
                    <w:t>6</w:t>
                  </w:r>
                </w:p>
              </w:tc>
              <w:tc>
                <w:tcPr>
                  <w:tcW w:w="725" w:type="pct"/>
                  <w:shd w:val="clear" w:color="auto" w:fill="auto"/>
                  <w:vAlign w:val="center"/>
                </w:tcPr>
                <w:p w14:paraId="6AD5505C">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lang w:val="en-US" w:eastAsia="zh-CN" w:bidi="ar-SA"/>
                    </w:rPr>
                    <w:t>废机油</w:t>
                  </w:r>
                  <w:r>
                    <w:rPr>
                      <w:rFonts w:hint="eastAsia" w:cs="Times New Roman"/>
                      <w:color w:val="auto"/>
                      <w:kern w:val="24"/>
                      <w:sz w:val="21"/>
                      <w:szCs w:val="21"/>
                      <w:highlight w:val="none"/>
                      <w:lang w:val="en-US" w:eastAsia="zh-CN" w:bidi="ar-SA"/>
                    </w:rPr>
                    <w:t>、废机油桶</w:t>
                  </w:r>
                </w:p>
              </w:tc>
              <w:tc>
                <w:tcPr>
                  <w:tcW w:w="726" w:type="pct"/>
                  <w:shd w:val="clear" w:color="auto" w:fill="auto"/>
                  <w:vAlign w:val="center"/>
                </w:tcPr>
                <w:p w14:paraId="386BB6C5">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lang w:val="en-US" w:eastAsia="zh-CN" w:bidi="ar-SA"/>
                    </w:rPr>
                    <w:t>机修、保养</w:t>
                  </w:r>
                </w:p>
              </w:tc>
              <w:tc>
                <w:tcPr>
                  <w:tcW w:w="667" w:type="pct"/>
                  <w:shd w:val="clear" w:color="auto" w:fill="auto"/>
                  <w:vAlign w:val="center"/>
                </w:tcPr>
                <w:p w14:paraId="4D1565DE">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lang w:val="en-US" w:eastAsia="zh-CN" w:bidi="ar-SA"/>
                    </w:rPr>
                    <w:t>危险废物</w:t>
                  </w:r>
                </w:p>
              </w:tc>
              <w:tc>
                <w:tcPr>
                  <w:tcW w:w="630" w:type="pct"/>
                  <w:shd w:val="clear" w:color="auto" w:fill="auto"/>
                  <w:vAlign w:val="center"/>
                </w:tcPr>
                <w:p w14:paraId="4B025BE8">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lang w:val="en-US" w:eastAsia="zh-CN" w:bidi="ar-SA"/>
                    </w:rPr>
                    <w:t>毒性、易燃性</w:t>
                  </w:r>
                </w:p>
              </w:tc>
              <w:tc>
                <w:tcPr>
                  <w:tcW w:w="599" w:type="pct"/>
                  <w:shd w:val="clear" w:color="auto" w:fill="auto"/>
                  <w:vAlign w:val="center"/>
                </w:tcPr>
                <w:p w14:paraId="2241076B">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eastAsia"/>
                      <w:color w:val="auto"/>
                      <w:kern w:val="24"/>
                      <w:szCs w:val="21"/>
                      <w:highlight w:val="none"/>
                    </w:rPr>
                    <w:t>0.1</w:t>
                  </w:r>
                </w:p>
              </w:tc>
              <w:tc>
                <w:tcPr>
                  <w:tcW w:w="1255" w:type="pct"/>
                  <w:shd w:val="clear" w:color="auto" w:fill="auto"/>
                  <w:vAlign w:val="center"/>
                </w:tcPr>
                <w:p w14:paraId="3A6052A3">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eastAsia"/>
                      <w:color w:val="auto"/>
                      <w:kern w:val="24"/>
                      <w:szCs w:val="21"/>
                      <w:highlight w:val="none"/>
                    </w:rPr>
                    <w:t>100%处置，并建立台账、转移联单制度</w:t>
                  </w:r>
                </w:p>
              </w:tc>
            </w:tr>
            <w:tr w14:paraId="53E9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trPr>
              <w:tc>
                <w:tcPr>
                  <w:tcW w:w="395" w:type="pct"/>
                  <w:shd w:val="clear" w:color="auto" w:fill="auto"/>
                  <w:vAlign w:val="center"/>
                </w:tcPr>
                <w:p w14:paraId="7B1264CE">
                  <w:pPr>
                    <w:adjustRightInd w:val="0"/>
                    <w:snapToGrid w:val="0"/>
                    <w:jc w:val="center"/>
                    <w:rPr>
                      <w:rFonts w:hint="default"/>
                      <w:color w:val="auto"/>
                      <w:kern w:val="24"/>
                      <w:szCs w:val="21"/>
                      <w:highlight w:val="none"/>
                      <w:lang w:val="en-US" w:eastAsia="zh-CN"/>
                    </w:rPr>
                  </w:pPr>
                  <w:r>
                    <w:rPr>
                      <w:rFonts w:hint="eastAsia"/>
                      <w:color w:val="auto"/>
                      <w:kern w:val="24"/>
                      <w:szCs w:val="21"/>
                      <w:highlight w:val="none"/>
                      <w:lang w:val="en-US" w:eastAsia="zh-CN"/>
                    </w:rPr>
                    <w:t>7</w:t>
                  </w:r>
                </w:p>
              </w:tc>
              <w:tc>
                <w:tcPr>
                  <w:tcW w:w="725" w:type="pct"/>
                  <w:shd w:val="clear" w:color="auto" w:fill="auto"/>
                  <w:vAlign w:val="center"/>
                </w:tcPr>
                <w:p w14:paraId="6991E544">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废油墨</w:t>
                  </w:r>
                </w:p>
              </w:tc>
              <w:tc>
                <w:tcPr>
                  <w:tcW w:w="726" w:type="pct"/>
                  <w:shd w:val="clear" w:color="auto" w:fill="auto"/>
                  <w:vAlign w:val="center"/>
                </w:tcPr>
                <w:p w14:paraId="593793D7">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印刷、印刷机自清洁</w:t>
                  </w:r>
                </w:p>
              </w:tc>
              <w:tc>
                <w:tcPr>
                  <w:tcW w:w="667" w:type="pct"/>
                  <w:shd w:val="clear" w:color="auto" w:fill="auto"/>
                  <w:vAlign w:val="center"/>
                </w:tcPr>
                <w:p w14:paraId="7546149A">
                  <w:pPr>
                    <w:adjustRightInd w:val="0"/>
                    <w:snapToGrid w:val="0"/>
                    <w:jc w:val="center"/>
                    <w:rPr>
                      <w:rFonts w:hint="eastAsia" w:ascii="Times New Roman" w:hAnsi="Times New Roman" w:eastAsia="宋体" w:cs="Times New Roman"/>
                      <w:color w:val="auto"/>
                      <w:kern w:val="24"/>
                      <w:sz w:val="21"/>
                      <w:szCs w:val="21"/>
                      <w:highlight w:val="none"/>
                      <w:lang w:val="en-US" w:eastAsia="zh-CN" w:bidi="ar-SA"/>
                    </w:rPr>
                  </w:pPr>
                  <w:r>
                    <w:rPr>
                      <w:rFonts w:hint="eastAsia"/>
                      <w:color w:val="auto"/>
                      <w:kern w:val="24"/>
                      <w:szCs w:val="21"/>
                      <w:highlight w:val="none"/>
                    </w:rPr>
                    <w:t>危险固废</w:t>
                  </w:r>
                </w:p>
              </w:tc>
              <w:tc>
                <w:tcPr>
                  <w:tcW w:w="630" w:type="pct"/>
                  <w:shd w:val="clear" w:color="auto" w:fill="auto"/>
                  <w:vAlign w:val="center"/>
                </w:tcPr>
                <w:p w14:paraId="0677DBFE">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lang w:val="en-US" w:eastAsia="zh-CN" w:bidi="ar-SA"/>
                    </w:rPr>
                    <w:t>毒性</w:t>
                  </w:r>
                </w:p>
              </w:tc>
              <w:tc>
                <w:tcPr>
                  <w:tcW w:w="599" w:type="pct"/>
                  <w:shd w:val="clear" w:color="auto" w:fill="auto"/>
                  <w:vAlign w:val="center"/>
                </w:tcPr>
                <w:p w14:paraId="145C557D">
                  <w:pPr>
                    <w:adjustRightInd w:val="0"/>
                    <w:snapToGrid w:val="0"/>
                    <w:jc w:val="center"/>
                    <w:rPr>
                      <w:rFonts w:hint="default" w:eastAsia="宋体"/>
                      <w:color w:val="auto"/>
                      <w:kern w:val="24"/>
                      <w:szCs w:val="21"/>
                      <w:highlight w:val="none"/>
                      <w:lang w:val="en-US" w:eastAsia="zh-CN"/>
                    </w:rPr>
                  </w:pPr>
                  <w:r>
                    <w:rPr>
                      <w:rFonts w:hint="eastAsia"/>
                      <w:color w:val="auto"/>
                      <w:kern w:val="24"/>
                      <w:szCs w:val="21"/>
                      <w:highlight w:val="none"/>
                      <w:lang w:val="en-US" w:eastAsia="zh-CN"/>
                    </w:rPr>
                    <w:t>0.08</w:t>
                  </w:r>
                </w:p>
              </w:tc>
              <w:tc>
                <w:tcPr>
                  <w:tcW w:w="1255" w:type="pct"/>
                  <w:shd w:val="clear" w:color="auto" w:fill="auto"/>
                  <w:vAlign w:val="center"/>
                </w:tcPr>
                <w:p w14:paraId="36A62B09">
                  <w:pPr>
                    <w:adjustRightInd w:val="0"/>
                    <w:snapToGrid w:val="0"/>
                    <w:jc w:val="center"/>
                    <w:rPr>
                      <w:rFonts w:hint="eastAsia"/>
                      <w:color w:val="auto"/>
                      <w:kern w:val="24"/>
                      <w:szCs w:val="21"/>
                      <w:highlight w:val="none"/>
                    </w:rPr>
                  </w:pPr>
                  <w:r>
                    <w:rPr>
                      <w:rFonts w:hint="eastAsia"/>
                      <w:color w:val="auto"/>
                      <w:kern w:val="24"/>
                      <w:szCs w:val="21"/>
                      <w:highlight w:val="none"/>
                    </w:rPr>
                    <w:t>100%处置，并建立台账、转移联单制度</w:t>
                  </w:r>
                </w:p>
              </w:tc>
            </w:tr>
            <w:tr w14:paraId="4251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0" w:hRule="atLeast"/>
              </w:trPr>
              <w:tc>
                <w:tcPr>
                  <w:tcW w:w="395" w:type="pct"/>
                  <w:shd w:val="clear" w:color="auto" w:fill="auto"/>
                  <w:vAlign w:val="center"/>
                </w:tcPr>
                <w:p w14:paraId="3F0C7AE4">
                  <w:pPr>
                    <w:adjustRightInd w:val="0"/>
                    <w:snapToGrid w:val="0"/>
                    <w:jc w:val="center"/>
                    <w:rPr>
                      <w:rFonts w:hint="default"/>
                      <w:color w:val="auto"/>
                      <w:kern w:val="24"/>
                      <w:szCs w:val="21"/>
                      <w:highlight w:val="none"/>
                      <w:lang w:val="en-US" w:eastAsia="zh-CN"/>
                    </w:rPr>
                  </w:pPr>
                  <w:r>
                    <w:rPr>
                      <w:rFonts w:hint="eastAsia"/>
                      <w:color w:val="auto"/>
                      <w:kern w:val="24"/>
                      <w:szCs w:val="21"/>
                      <w:highlight w:val="none"/>
                      <w:lang w:val="en-US" w:eastAsia="zh-CN"/>
                    </w:rPr>
                    <w:t>8</w:t>
                  </w:r>
                </w:p>
              </w:tc>
              <w:tc>
                <w:tcPr>
                  <w:tcW w:w="725" w:type="pct"/>
                  <w:shd w:val="clear" w:color="auto" w:fill="auto"/>
                  <w:vAlign w:val="center"/>
                </w:tcPr>
                <w:p w14:paraId="68C7D5AE">
                  <w:pPr>
                    <w:adjustRightInd w:val="0"/>
                    <w:snapToGrid w:val="0"/>
                    <w:jc w:val="center"/>
                    <w:rPr>
                      <w:rFonts w:hint="eastAsia"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废油墨桶</w:t>
                  </w:r>
                </w:p>
              </w:tc>
              <w:tc>
                <w:tcPr>
                  <w:tcW w:w="726" w:type="pct"/>
                  <w:shd w:val="clear" w:color="auto" w:fill="auto"/>
                  <w:vAlign w:val="center"/>
                </w:tcPr>
                <w:p w14:paraId="2C874B3F">
                  <w:pPr>
                    <w:adjustRightInd w:val="0"/>
                    <w:snapToGrid w:val="0"/>
                    <w:jc w:val="center"/>
                    <w:rPr>
                      <w:rFonts w:hint="eastAsia"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印刷、印刷机自清洁</w:t>
                  </w:r>
                </w:p>
              </w:tc>
              <w:tc>
                <w:tcPr>
                  <w:tcW w:w="667" w:type="pct"/>
                  <w:shd w:val="clear" w:color="auto" w:fill="auto"/>
                  <w:vAlign w:val="center"/>
                </w:tcPr>
                <w:p w14:paraId="316A25F2">
                  <w:pPr>
                    <w:adjustRightInd w:val="0"/>
                    <w:snapToGrid w:val="0"/>
                    <w:jc w:val="center"/>
                    <w:rPr>
                      <w:rFonts w:hint="eastAsia" w:ascii="Times New Roman" w:hAnsi="Times New Roman" w:eastAsia="宋体" w:cs="Times New Roman"/>
                      <w:color w:val="auto"/>
                      <w:kern w:val="24"/>
                      <w:sz w:val="21"/>
                      <w:szCs w:val="21"/>
                      <w:highlight w:val="none"/>
                      <w:lang w:val="en-US" w:eastAsia="zh-CN" w:bidi="ar-SA"/>
                    </w:rPr>
                  </w:pPr>
                  <w:r>
                    <w:rPr>
                      <w:rFonts w:hint="eastAsia"/>
                      <w:color w:val="auto"/>
                      <w:kern w:val="24"/>
                      <w:szCs w:val="21"/>
                      <w:highlight w:val="none"/>
                    </w:rPr>
                    <w:t>危险固废</w:t>
                  </w:r>
                </w:p>
              </w:tc>
              <w:tc>
                <w:tcPr>
                  <w:tcW w:w="630" w:type="pct"/>
                  <w:shd w:val="clear" w:color="auto" w:fill="auto"/>
                  <w:vAlign w:val="center"/>
                </w:tcPr>
                <w:p w14:paraId="2A7269F3">
                  <w:pPr>
                    <w:adjustRightInd w:val="0"/>
                    <w:snapToGrid w:val="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lang w:val="en-US" w:eastAsia="zh-CN" w:bidi="ar-SA"/>
                    </w:rPr>
                    <w:t>毒性</w:t>
                  </w:r>
                </w:p>
              </w:tc>
              <w:tc>
                <w:tcPr>
                  <w:tcW w:w="599" w:type="pct"/>
                  <w:shd w:val="clear" w:color="auto" w:fill="auto"/>
                  <w:vAlign w:val="center"/>
                </w:tcPr>
                <w:p w14:paraId="479C3CA5">
                  <w:pPr>
                    <w:adjustRightInd w:val="0"/>
                    <w:snapToGrid w:val="0"/>
                    <w:jc w:val="center"/>
                    <w:rPr>
                      <w:rFonts w:hint="eastAsia" w:ascii="Times New Roman" w:hAnsi="Times New Roman" w:eastAsia="宋体" w:cs="Times New Roman"/>
                      <w:color w:val="auto"/>
                      <w:kern w:val="24"/>
                      <w:sz w:val="21"/>
                      <w:szCs w:val="21"/>
                      <w:highlight w:val="none"/>
                      <w:lang w:val="en-US" w:eastAsia="zh-CN" w:bidi="ar-SA"/>
                    </w:rPr>
                  </w:pPr>
                  <w:r>
                    <w:rPr>
                      <w:rFonts w:hint="eastAsia"/>
                      <w:color w:val="auto"/>
                      <w:kern w:val="24"/>
                      <w:szCs w:val="21"/>
                      <w:highlight w:val="none"/>
                      <w:lang w:val="en-US" w:eastAsia="zh-CN"/>
                    </w:rPr>
                    <w:t>0.1</w:t>
                  </w:r>
                </w:p>
              </w:tc>
              <w:tc>
                <w:tcPr>
                  <w:tcW w:w="1255" w:type="pct"/>
                  <w:shd w:val="clear" w:color="auto" w:fill="auto"/>
                  <w:vAlign w:val="center"/>
                </w:tcPr>
                <w:p w14:paraId="16E5C4FC">
                  <w:pPr>
                    <w:adjustRightInd w:val="0"/>
                    <w:snapToGrid w:val="0"/>
                    <w:jc w:val="center"/>
                    <w:rPr>
                      <w:rFonts w:hint="eastAsia" w:ascii="Times New Roman" w:hAnsi="Times New Roman" w:eastAsia="宋体" w:cs="Times New Roman"/>
                      <w:color w:val="auto"/>
                      <w:kern w:val="24"/>
                      <w:sz w:val="21"/>
                      <w:szCs w:val="21"/>
                      <w:highlight w:val="none"/>
                      <w:lang w:val="en-US" w:eastAsia="zh-CN" w:bidi="ar-SA"/>
                    </w:rPr>
                  </w:pPr>
                  <w:r>
                    <w:rPr>
                      <w:rFonts w:hint="eastAsia"/>
                      <w:color w:val="auto"/>
                      <w:kern w:val="24"/>
                      <w:szCs w:val="21"/>
                      <w:highlight w:val="none"/>
                    </w:rPr>
                    <w:t>100%处置，并建立台账、转移联单制度</w:t>
                  </w:r>
                </w:p>
              </w:tc>
            </w:tr>
          </w:tbl>
          <w:p w14:paraId="25D76C4E">
            <w:pPr>
              <w:pStyle w:val="91"/>
              <w:adjustRightInd w:val="0"/>
              <w:snapToGrid w:val="0"/>
              <w:spacing w:line="360" w:lineRule="auto"/>
              <w:ind w:firstLine="480"/>
              <w:jc w:val="left"/>
              <w:rPr>
                <w:rFonts w:hint="default"/>
                <w:b/>
                <w:bCs/>
                <w:caps/>
                <w:color w:val="auto"/>
                <w:sz w:val="24"/>
                <w:highlight w:val="none"/>
                <w:lang w:val="en-US" w:eastAsia="zh-CN"/>
              </w:rPr>
            </w:pPr>
            <w:r>
              <w:rPr>
                <w:rFonts w:hint="eastAsia"/>
                <w:b/>
                <w:bCs/>
                <w:caps/>
                <w:color w:val="auto"/>
                <w:sz w:val="24"/>
                <w:highlight w:val="none"/>
                <w:lang w:val="en-US" w:eastAsia="zh-CN"/>
              </w:rPr>
              <w:t>2、固体废物源强核算</w:t>
            </w:r>
          </w:p>
          <w:p w14:paraId="58DBA0A1">
            <w:pPr>
              <w:pStyle w:val="91"/>
              <w:adjustRightInd w:val="0"/>
              <w:snapToGrid w:val="0"/>
              <w:spacing w:line="360" w:lineRule="auto"/>
              <w:ind w:firstLine="480"/>
              <w:jc w:val="left"/>
              <w:rPr>
                <w:b/>
                <w:bCs/>
                <w:color w:val="auto"/>
                <w:sz w:val="24"/>
                <w:highlight w:val="none"/>
              </w:rPr>
            </w:pPr>
            <w:r>
              <w:rPr>
                <w:rFonts w:hint="eastAsia"/>
                <w:b/>
                <w:bCs/>
                <w:caps/>
                <w:color w:val="auto"/>
                <w:sz w:val="24"/>
                <w:highlight w:val="none"/>
                <w:lang w:val="en-US" w:eastAsia="zh-CN"/>
              </w:rPr>
              <w:t>2.1</w:t>
            </w:r>
            <w:r>
              <w:rPr>
                <w:rFonts w:hint="eastAsia"/>
                <w:b/>
                <w:bCs/>
                <w:color w:val="auto"/>
                <w:sz w:val="24"/>
                <w:highlight w:val="none"/>
              </w:rPr>
              <w:t>生活垃圾</w:t>
            </w:r>
          </w:p>
          <w:p w14:paraId="051B3765">
            <w:pPr>
              <w:snapToGrid w:val="0"/>
              <w:spacing w:line="360" w:lineRule="auto"/>
              <w:ind w:firstLine="480" w:firstLineChars="200"/>
              <w:rPr>
                <w:rFonts w:hint="eastAsia"/>
                <w:color w:val="auto"/>
                <w:sz w:val="24"/>
                <w:highlight w:val="none"/>
              </w:rPr>
            </w:pPr>
            <w:r>
              <w:rPr>
                <w:rFonts w:hint="eastAsia"/>
                <w:color w:val="auto"/>
                <w:sz w:val="24"/>
                <w:highlight w:val="none"/>
              </w:rPr>
              <w:t>项目劳动定员</w:t>
            </w:r>
            <w:r>
              <w:rPr>
                <w:rFonts w:hint="eastAsia"/>
                <w:color w:val="auto"/>
                <w:sz w:val="24"/>
                <w:highlight w:val="none"/>
                <w:lang w:val="en-US" w:eastAsia="zh-CN"/>
              </w:rPr>
              <w:t>35</w:t>
            </w:r>
            <w:r>
              <w:rPr>
                <w:rFonts w:hint="eastAsia"/>
                <w:color w:val="auto"/>
                <w:sz w:val="24"/>
                <w:highlight w:val="none"/>
              </w:rPr>
              <w:t>人，垃圾产生量按0.5kg/人•d计，生活垃圾产生量约为</w:t>
            </w:r>
            <w:r>
              <w:rPr>
                <w:rFonts w:hint="eastAsia"/>
                <w:color w:val="auto"/>
                <w:sz w:val="24"/>
                <w:highlight w:val="none"/>
                <w:lang w:val="en-US" w:eastAsia="zh-CN"/>
              </w:rPr>
              <w:t>5.25</w:t>
            </w:r>
            <w:r>
              <w:rPr>
                <w:rFonts w:hint="eastAsia"/>
                <w:color w:val="auto"/>
                <w:sz w:val="24"/>
                <w:highlight w:val="none"/>
              </w:rPr>
              <w:t>t/a，生活垃圾统一收集后，委托</w:t>
            </w:r>
            <w:r>
              <w:rPr>
                <w:rFonts w:hint="eastAsia"/>
                <w:color w:val="auto"/>
                <w:sz w:val="24"/>
                <w:highlight w:val="none"/>
                <w:lang w:val="en-US" w:eastAsia="zh-CN"/>
              </w:rPr>
              <w:t>园区</w:t>
            </w:r>
            <w:r>
              <w:rPr>
                <w:rFonts w:hint="eastAsia"/>
                <w:color w:val="auto"/>
                <w:sz w:val="24"/>
                <w:highlight w:val="none"/>
              </w:rPr>
              <w:t>环卫部门清运处置。</w:t>
            </w:r>
          </w:p>
          <w:p w14:paraId="2F51F198">
            <w:pPr>
              <w:pStyle w:val="91"/>
              <w:adjustRightInd w:val="0"/>
              <w:snapToGrid w:val="0"/>
              <w:spacing w:line="360" w:lineRule="auto"/>
              <w:ind w:firstLine="480"/>
              <w:jc w:val="left"/>
              <w:rPr>
                <w:rFonts w:hint="default"/>
                <w:b/>
                <w:bCs/>
                <w:color w:val="auto"/>
                <w:sz w:val="24"/>
                <w:highlight w:val="none"/>
                <w:lang w:val="en-US"/>
              </w:rPr>
            </w:pPr>
            <w:r>
              <w:rPr>
                <w:rFonts w:hint="eastAsia"/>
                <w:b/>
                <w:bCs/>
                <w:caps/>
                <w:color w:val="auto"/>
                <w:sz w:val="24"/>
                <w:highlight w:val="none"/>
                <w:lang w:val="en-US" w:eastAsia="zh-CN"/>
              </w:rPr>
              <w:t>2.2一般工业固废</w:t>
            </w:r>
          </w:p>
          <w:p w14:paraId="79E8E9BE">
            <w:pPr>
              <w:snapToGrid w:val="0"/>
              <w:spacing w:line="360" w:lineRule="auto"/>
              <w:ind w:firstLine="480" w:firstLineChars="200"/>
              <w:rPr>
                <w:rFonts w:hint="default" w:eastAsia="宋体"/>
                <w:color w:val="auto"/>
                <w:sz w:val="24"/>
                <w:highlight w:val="none"/>
                <w:lang w:val="en-US" w:eastAsia="zh-CN"/>
              </w:rPr>
            </w:pPr>
            <w:r>
              <w:rPr>
                <w:rFonts w:hint="eastAsia"/>
                <w:color w:val="auto"/>
                <w:sz w:val="24"/>
                <w:highlight w:val="none"/>
              </w:rPr>
              <w:t>（</w:t>
            </w:r>
            <w:r>
              <w:rPr>
                <w:rFonts w:hint="eastAsia"/>
                <w:color w:val="auto"/>
                <w:sz w:val="24"/>
                <w:highlight w:val="none"/>
                <w:lang w:val="en-US" w:eastAsia="zh-CN"/>
              </w:rPr>
              <w:t>1</w:t>
            </w:r>
            <w:r>
              <w:rPr>
                <w:rFonts w:hint="eastAsia"/>
                <w:color w:val="auto"/>
                <w:sz w:val="24"/>
                <w:highlight w:val="none"/>
              </w:rPr>
              <w:t>）不合格产品及废边角料</w:t>
            </w:r>
          </w:p>
          <w:p w14:paraId="062B869A">
            <w:pPr>
              <w:snapToGrid w:val="0"/>
              <w:spacing w:line="360" w:lineRule="auto"/>
              <w:ind w:firstLine="480" w:firstLineChars="200"/>
              <w:rPr>
                <w:rFonts w:hint="eastAsia"/>
                <w:color w:val="auto"/>
                <w:sz w:val="24"/>
                <w:highlight w:val="none"/>
                <w:lang w:eastAsia="zh-CN"/>
              </w:rPr>
            </w:pPr>
            <w:r>
              <w:rPr>
                <w:rFonts w:hint="eastAsia"/>
                <w:color w:val="auto"/>
                <w:sz w:val="24"/>
                <w:highlight w:val="none"/>
              </w:rPr>
              <w:t>项目</w:t>
            </w:r>
            <w:r>
              <w:rPr>
                <w:rFonts w:hint="eastAsia"/>
                <w:color w:val="auto"/>
                <w:sz w:val="24"/>
                <w:highlight w:val="none"/>
                <w:lang w:val="en-US" w:eastAsia="zh-CN"/>
              </w:rPr>
              <w:t>生产</w:t>
            </w:r>
            <w:r>
              <w:rPr>
                <w:rFonts w:hint="eastAsia"/>
                <w:color w:val="auto"/>
                <w:sz w:val="24"/>
                <w:highlight w:val="none"/>
              </w:rPr>
              <w:t>过程会产生一定不合格产品及废边角料，根据《排放源统计调查产排污核算方法和系数手册》（2021）</w:t>
            </w:r>
            <w:r>
              <w:rPr>
                <w:rFonts w:hint="eastAsia"/>
                <w:color w:val="auto"/>
                <w:sz w:val="24"/>
                <w:highlight w:val="none"/>
                <w:lang w:eastAsia="zh-CN"/>
              </w:rPr>
              <w:t>“</w:t>
            </w:r>
            <w:r>
              <w:rPr>
                <w:rFonts w:hint="eastAsia"/>
                <w:color w:val="auto"/>
                <w:sz w:val="24"/>
                <w:highlight w:val="none"/>
              </w:rPr>
              <w:t>2926 塑料包装箱及容器制造</w:t>
            </w:r>
            <w:r>
              <w:rPr>
                <w:rFonts w:hint="eastAsia"/>
                <w:color w:val="auto"/>
                <w:sz w:val="24"/>
                <w:highlight w:val="none"/>
                <w:lang w:val="en-US" w:eastAsia="zh-CN"/>
              </w:rPr>
              <w:t>-</w:t>
            </w:r>
            <w:r>
              <w:rPr>
                <w:rFonts w:hint="eastAsia"/>
                <w:color w:val="auto"/>
                <w:sz w:val="24"/>
                <w:highlight w:val="none"/>
              </w:rPr>
              <w:t>树脂、助剂</w:t>
            </w:r>
            <w:r>
              <w:rPr>
                <w:rFonts w:hint="eastAsia"/>
                <w:color w:val="auto"/>
                <w:sz w:val="24"/>
                <w:highlight w:val="none"/>
                <w:lang w:val="en-US" w:eastAsia="zh-CN"/>
              </w:rPr>
              <w:t>-配料-混合-挤出/注（吹）塑</w:t>
            </w:r>
            <w:r>
              <w:rPr>
                <w:rFonts w:hint="eastAsia"/>
                <w:color w:val="auto"/>
                <w:sz w:val="24"/>
                <w:highlight w:val="none"/>
              </w:rPr>
              <w:t>中一般固废：</w:t>
            </w:r>
            <w:r>
              <w:rPr>
                <w:rFonts w:hint="eastAsia"/>
                <w:color w:val="auto"/>
                <w:sz w:val="24"/>
                <w:highlight w:val="none"/>
                <w:lang w:val="en-US" w:eastAsia="zh-CN"/>
              </w:rPr>
              <w:t>2.50</w:t>
            </w:r>
            <w:r>
              <w:rPr>
                <w:rFonts w:hint="eastAsia"/>
                <w:color w:val="auto"/>
                <w:sz w:val="24"/>
                <w:highlight w:val="none"/>
              </w:rPr>
              <w:t>kg/吨-产品”，本项目预计年产量</w:t>
            </w:r>
            <w:r>
              <w:rPr>
                <w:rFonts w:hint="eastAsia"/>
                <w:color w:val="auto"/>
                <w:sz w:val="24"/>
                <w:highlight w:val="none"/>
                <w:lang w:val="en-US" w:eastAsia="zh-CN"/>
              </w:rPr>
              <w:t>49500</w:t>
            </w:r>
            <w:r>
              <w:rPr>
                <w:rFonts w:hint="eastAsia"/>
                <w:color w:val="auto"/>
                <w:sz w:val="24"/>
                <w:highlight w:val="none"/>
              </w:rPr>
              <w:t>t/a，则项目运行过</w:t>
            </w:r>
            <w:r>
              <w:rPr>
                <w:rFonts w:hint="eastAsia"/>
                <w:color w:val="auto"/>
                <w:sz w:val="24"/>
                <w:highlight w:val="none"/>
                <w:lang w:eastAsia="zh-CN"/>
              </w:rPr>
              <w:t>程中</w:t>
            </w:r>
            <w:r>
              <w:rPr>
                <w:rFonts w:hint="eastAsia"/>
                <w:color w:val="auto"/>
                <w:sz w:val="24"/>
                <w:highlight w:val="none"/>
              </w:rPr>
              <w:t>产生的不合格产品及废边角料预计</w:t>
            </w:r>
            <w:r>
              <w:rPr>
                <w:rFonts w:hint="eastAsia"/>
                <w:color w:val="auto"/>
                <w:sz w:val="24"/>
                <w:highlight w:val="none"/>
                <w:lang w:val="en-US" w:eastAsia="zh-CN"/>
              </w:rPr>
              <w:t>123.75</w:t>
            </w:r>
            <w:r>
              <w:rPr>
                <w:rFonts w:hint="eastAsia"/>
                <w:color w:val="auto"/>
                <w:sz w:val="24"/>
                <w:highlight w:val="none"/>
              </w:rPr>
              <w:t>t/a。属于一般固废，</w:t>
            </w:r>
            <w:r>
              <w:rPr>
                <w:rFonts w:hint="eastAsia"/>
                <w:color w:val="auto"/>
                <w:sz w:val="24"/>
                <w:highlight w:val="none"/>
                <w:lang w:val="en-US" w:eastAsia="zh-CN"/>
              </w:rPr>
              <w:t>全部统一收集后经</w:t>
            </w:r>
            <w:r>
              <w:rPr>
                <w:rFonts w:hint="eastAsia"/>
                <w:color w:val="auto"/>
                <w:sz w:val="24"/>
                <w:highlight w:val="none"/>
              </w:rPr>
              <w:t>粉碎机破碎</w:t>
            </w:r>
            <w:r>
              <w:rPr>
                <w:rFonts w:hint="eastAsia"/>
                <w:color w:val="auto"/>
                <w:sz w:val="24"/>
                <w:highlight w:val="none"/>
                <w:lang w:val="en-US" w:eastAsia="zh-CN"/>
              </w:rPr>
              <w:t>成为颗粒后</w:t>
            </w:r>
            <w:r>
              <w:rPr>
                <w:rFonts w:hint="eastAsia"/>
                <w:color w:val="auto"/>
                <w:sz w:val="24"/>
                <w:highlight w:val="none"/>
              </w:rPr>
              <w:t>重新</w:t>
            </w:r>
            <w:r>
              <w:rPr>
                <w:rFonts w:hint="eastAsia"/>
                <w:color w:val="auto"/>
                <w:sz w:val="24"/>
                <w:highlight w:val="none"/>
                <w:lang w:val="en-US" w:eastAsia="zh-CN"/>
              </w:rPr>
              <w:t>作为原辅料</w:t>
            </w:r>
            <w:r>
              <w:rPr>
                <w:rFonts w:hint="eastAsia"/>
                <w:color w:val="auto"/>
                <w:sz w:val="24"/>
                <w:highlight w:val="none"/>
              </w:rPr>
              <w:t>回用于生产</w:t>
            </w:r>
            <w:r>
              <w:rPr>
                <w:rFonts w:hint="eastAsia"/>
                <w:color w:val="auto"/>
                <w:sz w:val="24"/>
                <w:highlight w:val="none"/>
                <w:lang w:eastAsia="zh-CN"/>
              </w:rPr>
              <w:t>，100%处置。</w:t>
            </w:r>
          </w:p>
          <w:p w14:paraId="72EF28C5">
            <w:pPr>
              <w:snapToGrid w:val="0"/>
              <w:spacing w:line="360" w:lineRule="auto"/>
              <w:ind w:firstLine="480" w:firstLineChars="200"/>
              <w:rPr>
                <w:rFonts w:hint="eastAsia" w:eastAsia="宋体"/>
                <w:color w:val="auto"/>
                <w:sz w:val="24"/>
                <w:highlight w:val="none"/>
                <w:lang w:val="en-US" w:eastAsia="zh-CN"/>
              </w:rPr>
            </w:pP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）废包装</w:t>
            </w:r>
            <w:r>
              <w:rPr>
                <w:rFonts w:hint="eastAsia"/>
                <w:color w:val="auto"/>
                <w:sz w:val="24"/>
                <w:highlight w:val="none"/>
                <w:lang w:val="en-US" w:eastAsia="zh-CN"/>
              </w:rPr>
              <w:t>袋</w:t>
            </w:r>
          </w:p>
          <w:p w14:paraId="3EE9A50C">
            <w:pPr>
              <w:snapToGrid w:val="0"/>
              <w:spacing w:line="360" w:lineRule="auto"/>
              <w:ind w:firstLine="480" w:firstLineChars="200"/>
              <w:rPr>
                <w:rFonts w:hint="eastAsia"/>
                <w:color w:val="auto"/>
                <w:sz w:val="24"/>
                <w:highlight w:val="none"/>
              </w:rPr>
            </w:pPr>
            <w:r>
              <w:rPr>
                <w:rFonts w:hint="eastAsia"/>
                <w:color w:val="auto"/>
                <w:sz w:val="24"/>
                <w:highlight w:val="none"/>
              </w:rPr>
              <w:t>本项目原材料均为袋装，原料使用后会产生废弃包装袋，根据建设单位提供的资料，本项目包装袋年产生量约为</w:t>
            </w:r>
            <w:r>
              <w:rPr>
                <w:rFonts w:hint="eastAsia"/>
                <w:color w:val="auto"/>
                <w:sz w:val="24"/>
                <w:highlight w:val="none"/>
                <w:lang w:val="en-US" w:eastAsia="zh-CN"/>
              </w:rPr>
              <w:t>10</w:t>
            </w:r>
            <w:r>
              <w:rPr>
                <w:rFonts w:hint="eastAsia"/>
                <w:color w:val="auto"/>
                <w:sz w:val="24"/>
                <w:highlight w:val="none"/>
              </w:rPr>
              <w:t>t，属于一般工业固废，统一收集后定期外售。</w:t>
            </w:r>
          </w:p>
          <w:p w14:paraId="4EC0379D">
            <w:pPr>
              <w:pStyle w:val="91"/>
              <w:adjustRightInd w:val="0"/>
              <w:snapToGrid w:val="0"/>
              <w:spacing w:line="360" w:lineRule="auto"/>
              <w:ind w:firstLine="480"/>
              <w:jc w:val="left"/>
              <w:rPr>
                <w:rFonts w:hint="eastAsia"/>
                <w:b/>
                <w:bCs/>
                <w:color w:val="auto"/>
                <w:sz w:val="24"/>
                <w:highlight w:val="none"/>
                <w:lang w:val="en-US" w:eastAsia="zh-CN"/>
              </w:rPr>
            </w:pPr>
            <w:r>
              <w:rPr>
                <w:rFonts w:hint="eastAsia"/>
                <w:b/>
                <w:bCs/>
                <w:color w:val="auto"/>
                <w:sz w:val="24"/>
                <w:highlight w:val="none"/>
                <w:lang w:val="en-US" w:eastAsia="zh-CN"/>
              </w:rPr>
              <w:t>2.3危险固体废物</w:t>
            </w:r>
          </w:p>
          <w:p w14:paraId="0BDF0E7A">
            <w:pPr>
              <w:pStyle w:val="91"/>
              <w:adjustRightInd w:val="0"/>
              <w:snapToGrid w:val="0"/>
              <w:spacing w:line="360" w:lineRule="auto"/>
              <w:ind w:firstLine="480"/>
              <w:jc w:val="left"/>
              <w:rPr>
                <w:rFonts w:hint="default"/>
                <w:b w:val="0"/>
                <w:bCs w:val="0"/>
                <w:color w:val="auto"/>
                <w:sz w:val="24"/>
                <w:highlight w:val="none"/>
                <w:lang w:val="en-US" w:eastAsia="zh-CN"/>
              </w:rPr>
            </w:pPr>
            <w:r>
              <w:rPr>
                <w:rFonts w:hint="eastAsia"/>
                <w:b w:val="0"/>
                <w:bCs w:val="0"/>
                <w:color w:val="auto"/>
                <w:sz w:val="24"/>
                <w:highlight w:val="none"/>
                <w:lang w:val="en-US" w:eastAsia="zh-CN"/>
              </w:rPr>
              <w:t>（1）机修废物</w:t>
            </w:r>
          </w:p>
          <w:p w14:paraId="55B40FF5">
            <w:pPr>
              <w:pStyle w:val="77"/>
              <w:ind w:firstLine="480"/>
              <w:rPr>
                <w:color w:val="auto"/>
                <w:highlight w:val="none"/>
              </w:rPr>
            </w:pPr>
            <w:r>
              <w:rPr>
                <w:color w:val="auto"/>
                <w:highlight w:val="none"/>
              </w:rPr>
              <w:t>项目机械设备在日常的保养和维修过</w:t>
            </w:r>
            <w:r>
              <w:rPr>
                <w:rFonts w:hint="eastAsia"/>
                <w:color w:val="auto"/>
                <w:highlight w:val="none"/>
                <w:lang w:eastAsia="zh-CN"/>
              </w:rPr>
              <w:t>程中</w:t>
            </w:r>
            <w:r>
              <w:rPr>
                <w:rFonts w:hint="eastAsia"/>
                <w:color w:val="auto"/>
                <w:highlight w:val="none"/>
              </w:rPr>
              <w:t>，</w:t>
            </w:r>
            <w:r>
              <w:rPr>
                <w:color w:val="auto"/>
                <w:highlight w:val="none"/>
              </w:rPr>
              <w:t>会产生一定量的废机油</w:t>
            </w:r>
            <w:r>
              <w:rPr>
                <w:rFonts w:hint="eastAsia"/>
                <w:color w:val="auto"/>
                <w:highlight w:val="none"/>
              </w:rPr>
              <w:t>、废机油桶，根据现有项目运行情况，废机油</w:t>
            </w:r>
            <w:r>
              <w:rPr>
                <w:rFonts w:hint="eastAsia"/>
                <w:color w:val="auto"/>
                <w:highlight w:val="none"/>
                <w:lang w:eastAsia="zh-CN"/>
              </w:rPr>
              <w:t>、废机油桶</w:t>
            </w:r>
            <w:r>
              <w:rPr>
                <w:color w:val="auto"/>
                <w:highlight w:val="none"/>
              </w:rPr>
              <w:t>产生量约</w:t>
            </w:r>
            <w:r>
              <w:rPr>
                <w:rFonts w:hint="eastAsia"/>
                <w:color w:val="auto"/>
                <w:highlight w:val="none"/>
              </w:rPr>
              <w:t>0.</w:t>
            </w:r>
            <w:r>
              <w:rPr>
                <w:rFonts w:hint="eastAsia"/>
                <w:color w:val="auto"/>
                <w:highlight w:val="none"/>
                <w:lang w:val="en-US" w:eastAsia="zh-CN"/>
              </w:rPr>
              <w:t>1</w:t>
            </w:r>
            <w:r>
              <w:rPr>
                <w:color w:val="auto"/>
                <w:highlight w:val="none"/>
              </w:rPr>
              <w:t>t/a</w:t>
            </w:r>
            <w:r>
              <w:rPr>
                <w:rFonts w:hint="eastAsia"/>
                <w:color w:val="auto"/>
                <w:highlight w:val="none"/>
              </w:rPr>
              <w:t>。</w:t>
            </w:r>
            <w:r>
              <w:rPr>
                <w:color w:val="auto"/>
                <w:highlight w:val="none"/>
              </w:rPr>
              <w:t>根据《国家危险废物名录（2025年版）》，属于HW08</w:t>
            </w:r>
            <w:r>
              <w:rPr>
                <w:rFonts w:hint="eastAsia"/>
                <w:color w:val="auto"/>
                <w:highlight w:val="none"/>
                <w:lang w:eastAsia="zh-CN"/>
              </w:rPr>
              <w:t>—</w:t>
            </w:r>
            <w:r>
              <w:rPr>
                <w:color w:val="auto"/>
                <w:highlight w:val="none"/>
              </w:rPr>
              <w:t>废矿物油与含矿物油废物中的</w:t>
            </w:r>
            <w:r>
              <w:rPr>
                <w:rFonts w:hint="eastAsia"/>
                <w:color w:val="auto"/>
                <w:highlight w:val="none"/>
                <w:lang w:eastAsia="zh-CN"/>
              </w:rPr>
              <w:t>”</w:t>
            </w:r>
            <w:r>
              <w:rPr>
                <w:color w:val="auto"/>
                <w:highlight w:val="none"/>
              </w:rPr>
              <w:t>900-214-08</w:t>
            </w:r>
            <w:r>
              <w:rPr>
                <w:rFonts w:hint="eastAsia"/>
                <w:color w:val="auto"/>
                <w:highlight w:val="none"/>
              </w:rPr>
              <w:t>车辆、轮船及其它机械维修过程中产生的废发动机油、制动器油、自动变速器油、齿轮油等废润滑油</w:t>
            </w:r>
            <w:r>
              <w:rPr>
                <w:rFonts w:hint="eastAsia"/>
                <w:color w:val="auto"/>
                <w:highlight w:val="none"/>
                <w:lang w:eastAsia="zh-CN"/>
              </w:rPr>
              <w:t>”</w:t>
            </w:r>
            <w:r>
              <w:rPr>
                <w:color w:val="auto"/>
                <w:highlight w:val="none"/>
              </w:rPr>
              <w:t>，</w:t>
            </w:r>
            <w:r>
              <w:rPr>
                <w:rFonts w:hint="eastAsia"/>
                <w:color w:val="auto"/>
                <w:highlight w:val="none"/>
                <w:lang w:eastAsia="zh-CN"/>
              </w:rPr>
              <w:t>”</w:t>
            </w:r>
            <w:r>
              <w:rPr>
                <w:color w:val="auto"/>
                <w:highlight w:val="none"/>
              </w:rPr>
              <w:t>900-249-08其他生产、销售、使用过程中产生的废矿物油及沾染矿物油的废弃包装物</w:t>
            </w:r>
            <w:r>
              <w:rPr>
                <w:rFonts w:hint="eastAsia"/>
                <w:color w:val="auto"/>
                <w:highlight w:val="none"/>
                <w:lang w:eastAsia="zh-CN"/>
              </w:rPr>
              <w:t>”</w:t>
            </w:r>
            <w:r>
              <w:rPr>
                <w:color w:val="auto"/>
                <w:highlight w:val="none"/>
              </w:rPr>
              <w:t>。</w:t>
            </w:r>
          </w:p>
          <w:p w14:paraId="0866DBFD">
            <w:pPr>
              <w:pStyle w:val="77"/>
              <w:ind w:firstLine="480"/>
              <w:rPr>
                <w:color w:val="auto"/>
                <w:highlight w:val="none"/>
              </w:rPr>
            </w:pPr>
            <w:r>
              <w:rPr>
                <w:rFonts w:hint="eastAsia"/>
                <w:color w:val="auto"/>
                <w:highlight w:val="none"/>
              </w:rPr>
              <w:t>项目产生的废机油、废机油桶分类收集后暂存于危废暂存间，委托有资质单位处置。</w:t>
            </w:r>
          </w:p>
          <w:p w14:paraId="49505231">
            <w:pPr>
              <w:snapToGrid w:val="0"/>
              <w:spacing w:line="360" w:lineRule="auto"/>
              <w:ind w:firstLine="480" w:firstLineChars="200"/>
              <w:rPr>
                <w:rFonts w:hint="default" w:eastAsia="宋体"/>
                <w:color w:val="auto"/>
                <w:sz w:val="24"/>
                <w:highlight w:val="none"/>
                <w:lang w:val="en-US" w:eastAsia="zh-CN"/>
              </w:rPr>
            </w:pPr>
            <w:r>
              <w:rPr>
                <w:rFonts w:hint="eastAsia"/>
                <w:color w:val="auto"/>
                <w:sz w:val="24"/>
                <w:highlight w:val="none"/>
                <w:lang w:val="zh-CN" w:eastAsia="zh-CN"/>
              </w:rPr>
              <w:t>（</w:t>
            </w:r>
            <w:r>
              <w:rPr>
                <w:rFonts w:hint="eastAsia"/>
                <w:color w:val="auto"/>
                <w:sz w:val="24"/>
                <w:highlight w:val="none"/>
                <w:lang w:val="en-US" w:eastAsia="zh-CN"/>
              </w:rPr>
              <w:t>2</w:t>
            </w:r>
            <w:r>
              <w:rPr>
                <w:rFonts w:hint="eastAsia"/>
                <w:color w:val="auto"/>
                <w:sz w:val="24"/>
                <w:highlight w:val="none"/>
                <w:lang w:val="zh-CN" w:eastAsia="zh-CN"/>
              </w:rPr>
              <w:t>）</w:t>
            </w:r>
            <w:r>
              <w:rPr>
                <w:rFonts w:hint="eastAsia"/>
                <w:color w:val="auto"/>
                <w:sz w:val="24"/>
                <w:highlight w:val="none"/>
                <w:lang w:val="zh-CN"/>
              </w:rPr>
              <w:t>废活性炭、</w:t>
            </w:r>
            <w:r>
              <w:rPr>
                <w:rFonts w:hint="eastAsia"/>
                <w:color w:val="auto"/>
                <w:sz w:val="24"/>
                <w:highlight w:val="none"/>
                <w:lang w:val="en-US" w:eastAsia="zh-CN"/>
              </w:rPr>
              <w:t>废催化剂</w:t>
            </w:r>
          </w:p>
          <w:p w14:paraId="4DED17AC">
            <w:pPr>
              <w:snapToGrid w:val="0"/>
              <w:spacing w:line="360" w:lineRule="auto"/>
              <w:ind w:firstLine="480" w:firstLineChars="200"/>
              <w:rPr>
                <w:rFonts w:hint="eastAsia"/>
                <w:color w:val="auto"/>
                <w:sz w:val="24"/>
                <w:highlight w:val="none"/>
              </w:rPr>
            </w:pPr>
            <w:r>
              <w:rPr>
                <w:rFonts w:hint="eastAsia"/>
                <w:color w:val="auto"/>
                <w:sz w:val="24"/>
                <w:highlight w:val="none"/>
              </w:rPr>
              <w:t>本项目废气处理设施采用</w:t>
            </w:r>
            <w:r>
              <w:rPr>
                <w:rFonts w:hint="eastAsia"/>
                <w:color w:val="auto"/>
                <w:sz w:val="24"/>
                <w:highlight w:val="none"/>
                <w:lang w:eastAsia="zh-CN"/>
              </w:rPr>
              <w:t>“</w:t>
            </w:r>
            <w:r>
              <w:rPr>
                <w:rFonts w:hint="eastAsia"/>
                <w:color w:val="auto"/>
                <w:sz w:val="24"/>
                <w:highlight w:val="none"/>
              </w:rPr>
              <w:t>活性炭吸附浓缩+CO处理工艺”</w:t>
            </w:r>
            <w:r>
              <w:rPr>
                <w:rFonts w:hint="eastAsia"/>
                <w:color w:val="auto"/>
                <w:sz w:val="24"/>
                <w:highlight w:val="none"/>
                <w:lang w:eastAsia="zh-CN"/>
              </w:rPr>
              <w:t>“</w:t>
            </w:r>
            <w:r>
              <w:rPr>
                <w:rFonts w:hint="eastAsia"/>
                <w:color w:val="auto"/>
                <w:sz w:val="24"/>
                <w:highlight w:val="none"/>
                <w:lang w:val="en-US" w:eastAsia="zh-CN"/>
              </w:rPr>
              <w:t>二级活性炭吸附工艺</w:t>
            </w:r>
            <w:r>
              <w:rPr>
                <w:rFonts w:hint="eastAsia"/>
                <w:color w:val="auto"/>
                <w:sz w:val="24"/>
                <w:highlight w:val="none"/>
                <w:lang w:eastAsia="zh-CN"/>
              </w:rPr>
              <w:t>”</w:t>
            </w:r>
            <w:r>
              <w:rPr>
                <w:rFonts w:hint="eastAsia"/>
                <w:color w:val="auto"/>
                <w:sz w:val="24"/>
                <w:highlight w:val="none"/>
              </w:rPr>
              <w:t>，活性炭和催化剂经过一段时间使用后需进行更换。</w:t>
            </w:r>
          </w:p>
          <w:p w14:paraId="3FB0AAD5">
            <w:pPr>
              <w:snapToGrid w:val="0"/>
              <w:spacing w:line="360" w:lineRule="auto"/>
              <w:ind w:firstLine="480" w:firstLineChars="200"/>
              <w:rPr>
                <w:rFonts w:hint="eastAsia"/>
                <w:color w:val="auto"/>
                <w:sz w:val="24"/>
                <w:highlight w:val="none"/>
              </w:rPr>
            </w:pPr>
            <w:r>
              <w:rPr>
                <w:rFonts w:hint="eastAsia"/>
                <w:color w:val="auto"/>
                <w:sz w:val="24"/>
                <w:highlight w:val="none"/>
              </w:rPr>
              <w:t>本项目</w:t>
            </w:r>
            <w:r>
              <w:rPr>
                <w:rFonts w:hint="eastAsia"/>
                <w:color w:val="auto"/>
                <w:sz w:val="24"/>
                <w:highlight w:val="none"/>
                <w:lang w:eastAsia="zh-CN"/>
              </w:rPr>
              <w:t>“</w:t>
            </w:r>
            <w:r>
              <w:rPr>
                <w:rFonts w:hint="eastAsia"/>
                <w:color w:val="auto"/>
                <w:sz w:val="24"/>
                <w:highlight w:val="none"/>
              </w:rPr>
              <w:t>活性炭吸附浓缩+CO处理工艺</w:t>
            </w:r>
            <w:r>
              <w:rPr>
                <w:rFonts w:hint="eastAsia"/>
                <w:color w:val="auto"/>
                <w:sz w:val="24"/>
                <w:highlight w:val="none"/>
                <w:lang w:eastAsia="zh-CN"/>
              </w:rPr>
              <w:t>”</w:t>
            </w:r>
            <w:r>
              <w:rPr>
                <w:rFonts w:hint="eastAsia"/>
                <w:color w:val="auto"/>
                <w:sz w:val="24"/>
                <w:highlight w:val="none"/>
              </w:rPr>
              <w:t>共设置2个活性炭箱（1吸附+1脱附）交替进行吸附和脱附，通过吸附脱附浓缩后的有机废气再通过CO进行处理。项目每个活性炭箱活性炭装填量约为0.5t，总活性炭装填量约为1t。活性炭经过长时间吸附和脱附后，使用寿命下降，根据设计方案，2个活性炭箱的活性炭每12个月更换一次，更换前两个活性炭箱的活性炭全部进行脱附处理。CO催化剂填充量约为0.3t，催化剂一般每4年更换一次。</w:t>
            </w:r>
          </w:p>
          <w:p w14:paraId="4BC8ED1A">
            <w:pPr>
              <w:snapToGrid w:val="0"/>
              <w:spacing w:line="360" w:lineRule="auto"/>
              <w:ind w:firstLine="480" w:firstLineChars="200"/>
              <w:rPr>
                <w:rFonts w:hint="eastAsia"/>
                <w:color w:val="auto"/>
                <w:sz w:val="24"/>
                <w:highlight w:val="none"/>
              </w:rPr>
            </w:pPr>
            <w:r>
              <w:rPr>
                <w:rFonts w:hint="eastAsia"/>
                <w:color w:val="auto"/>
                <w:sz w:val="24"/>
                <w:highlight w:val="none"/>
              </w:rPr>
              <w:t>因此，本项目</w:t>
            </w:r>
            <w:r>
              <w:rPr>
                <w:rFonts w:hint="eastAsia"/>
                <w:color w:val="auto"/>
                <w:sz w:val="24"/>
                <w:highlight w:val="none"/>
                <w:lang w:eastAsia="zh-CN"/>
              </w:rPr>
              <w:t>“</w:t>
            </w:r>
            <w:r>
              <w:rPr>
                <w:rFonts w:hint="eastAsia"/>
                <w:color w:val="auto"/>
                <w:sz w:val="24"/>
                <w:highlight w:val="none"/>
              </w:rPr>
              <w:t>活性炭吸附浓缩+CO处理工艺</w:t>
            </w:r>
            <w:r>
              <w:rPr>
                <w:rFonts w:hint="eastAsia"/>
                <w:color w:val="auto"/>
                <w:sz w:val="24"/>
                <w:highlight w:val="none"/>
                <w:lang w:eastAsia="zh-CN"/>
              </w:rPr>
              <w:t>”</w:t>
            </w:r>
            <w:r>
              <w:rPr>
                <w:rFonts w:hint="eastAsia"/>
                <w:color w:val="auto"/>
                <w:sz w:val="24"/>
                <w:highlight w:val="none"/>
              </w:rPr>
              <w:t>的废活性炭产生量为7t/a，废催化剂</w:t>
            </w:r>
            <w:r>
              <w:rPr>
                <w:rFonts w:hint="eastAsia"/>
                <w:color w:val="auto"/>
                <w:sz w:val="24"/>
                <w:highlight w:val="none"/>
                <w:lang w:val="en-US" w:eastAsia="zh-CN"/>
              </w:rPr>
              <w:t>的</w:t>
            </w:r>
            <w:r>
              <w:rPr>
                <w:rFonts w:hint="eastAsia"/>
                <w:color w:val="auto"/>
                <w:sz w:val="24"/>
                <w:highlight w:val="none"/>
              </w:rPr>
              <w:t>产生量为0.3t/4a（0.075t/a）。</w:t>
            </w:r>
          </w:p>
          <w:p w14:paraId="38998FBD">
            <w:pPr>
              <w:snapToGrid w:val="0"/>
              <w:spacing w:line="360" w:lineRule="auto"/>
              <w:ind w:firstLine="480" w:firstLineChars="200"/>
              <w:rPr>
                <w:rFonts w:hint="eastAsia"/>
                <w:color w:val="auto"/>
                <w:sz w:val="24"/>
                <w:highlight w:val="none"/>
              </w:rPr>
            </w:pPr>
            <w:r>
              <w:rPr>
                <w:rFonts w:hint="eastAsia"/>
                <w:color w:val="auto"/>
                <w:sz w:val="24"/>
                <w:highlight w:val="none"/>
              </w:rPr>
              <w:t>本项目二级活性炭吸附的总活性炭装填量约为1.5t。废活性炭产生量参照《污染源源强核算技术指南 汽车制造》（HJ 1097-2020）中废活性炭产生量核算公式计算。</w:t>
            </w:r>
          </w:p>
          <w:p w14:paraId="24893F12">
            <w:pPr>
              <w:snapToGrid w:val="0"/>
              <w:spacing w:line="360" w:lineRule="auto"/>
              <w:ind w:firstLine="480" w:firstLineChars="200"/>
              <w:jc w:val="center"/>
              <w:rPr>
                <w:rFonts w:hint="default"/>
                <w:color w:val="auto"/>
                <w:sz w:val="24"/>
                <w:highlight w:val="none"/>
                <w:lang w:val="en-US"/>
              </w:rPr>
            </w:pPr>
            <m:oMathPara>
              <m:oMath>
                <m:r>
                  <m:rPr/>
                  <w:rPr>
                    <w:rFonts w:hint="default" w:ascii="Cambria Math" w:hAnsi="Cambria Math" w:cs="Times New Roman"/>
                    <w:color w:val="auto"/>
                    <w:kern w:val="2"/>
                    <w:sz w:val="24"/>
                    <w:szCs w:val="24"/>
                    <w:highlight w:val="none"/>
                    <w:lang w:val="en-US" w:eastAsia="zh-CN" w:bidi="ar-SA"/>
                  </w:rPr>
                  <m:t>D=</m:t>
                </m:r>
                <m:f>
                  <m:fPr>
                    <m:ctrlPr>
                      <w:rPr>
                        <w:rFonts w:hint="default" w:ascii="Cambria Math" w:hAnsi="Cambria Math" w:cs="Times New Roman"/>
                        <w:i/>
                        <w:color w:val="auto"/>
                        <w:kern w:val="2"/>
                        <w:sz w:val="24"/>
                        <w:szCs w:val="24"/>
                        <w:highlight w:val="none"/>
                        <w:lang w:val="en-US" w:eastAsia="zh-CN" w:bidi="ar-SA"/>
                      </w:rPr>
                    </m:ctrlPr>
                  </m:fPr>
                  <m:num>
                    <m:r>
                      <m:rPr/>
                      <w:rPr>
                        <w:rFonts w:hint="default" w:ascii="Cambria Math" w:hAnsi="Cambria Math" w:cs="Times New Roman"/>
                        <w:color w:val="auto"/>
                        <w:kern w:val="2"/>
                        <w:sz w:val="24"/>
                        <w:szCs w:val="24"/>
                        <w:highlight w:val="none"/>
                        <w:lang w:val="en-US" w:eastAsia="zh-CN" w:bidi="ar-SA"/>
                      </w:rPr>
                      <m:t>100G</m:t>
                    </m:r>
                    <m:ctrlPr>
                      <w:rPr>
                        <w:rFonts w:hint="default" w:ascii="Cambria Math" w:hAnsi="Cambria Math" w:cs="Times New Roman"/>
                        <w:i/>
                        <w:color w:val="auto"/>
                        <w:kern w:val="2"/>
                        <w:sz w:val="24"/>
                        <w:szCs w:val="24"/>
                        <w:highlight w:val="none"/>
                        <w:lang w:val="en-US" w:eastAsia="zh-CN" w:bidi="ar-SA"/>
                      </w:rPr>
                    </m:ctrlPr>
                  </m:num>
                  <m:den>
                    <m:r>
                      <m:rPr/>
                      <w:rPr>
                        <w:rFonts w:hint="default" w:ascii="Cambria Math" w:hAnsi="Cambria Math" w:cs="Times New Roman"/>
                        <w:color w:val="auto"/>
                        <w:kern w:val="2"/>
                        <w:sz w:val="24"/>
                        <w:szCs w:val="24"/>
                        <w:highlight w:val="none"/>
                        <w:lang w:val="en-US" w:eastAsia="zh-CN" w:bidi="ar-SA"/>
                      </w:rPr>
                      <m:t>y</m:t>
                    </m:r>
                    <m:ctrlPr>
                      <w:rPr>
                        <w:rFonts w:hint="default" w:ascii="Cambria Math" w:hAnsi="Cambria Math" w:cs="Times New Roman"/>
                        <w:i/>
                        <w:color w:val="auto"/>
                        <w:kern w:val="2"/>
                        <w:sz w:val="24"/>
                        <w:szCs w:val="24"/>
                        <w:highlight w:val="none"/>
                        <w:lang w:val="en-US" w:eastAsia="zh-CN" w:bidi="ar-SA"/>
                      </w:rPr>
                    </m:ctrlPr>
                  </m:den>
                </m:f>
                <m:r>
                  <m:rPr/>
                  <w:rPr>
                    <w:rFonts w:hint="default" w:ascii="Cambria Math" w:hAnsi="Cambria Math" w:cs="Times New Roman"/>
                    <w:color w:val="auto"/>
                    <w:kern w:val="2"/>
                    <w:sz w:val="24"/>
                    <w:szCs w:val="24"/>
                    <w:highlight w:val="none"/>
                    <w:lang w:val="en-US" w:eastAsia="zh-CN" w:bidi="ar-SA"/>
                  </w:rPr>
                  <m:t>+G</m:t>
                </m:r>
              </m:oMath>
            </m:oMathPara>
          </w:p>
          <w:p w14:paraId="6283A960">
            <w:pPr>
              <w:snapToGrid w:val="0"/>
              <w:spacing w:line="360" w:lineRule="auto"/>
              <w:ind w:firstLine="480" w:firstLineChars="200"/>
              <w:rPr>
                <w:rFonts w:hint="eastAsia"/>
                <w:color w:val="auto"/>
                <w:sz w:val="24"/>
                <w:highlight w:val="none"/>
              </w:rPr>
            </w:pPr>
            <w:r>
              <w:rPr>
                <w:rFonts w:hint="eastAsia"/>
                <w:color w:val="auto"/>
                <w:sz w:val="24"/>
                <w:highlight w:val="none"/>
              </w:rPr>
              <w:t>式中：D—核算时段内废活性炭产生量，t：</w:t>
            </w:r>
          </w:p>
          <w:p w14:paraId="1653C401">
            <w:pPr>
              <w:snapToGrid w:val="0"/>
              <w:spacing w:line="360" w:lineRule="auto"/>
              <w:ind w:firstLine="480" w:firstLineChars="200"/>
              <w:rPr>
                <w:rFonts w:hint="eastAsia"/>
                <w:color w:val="auto"/>
                <w:sz w:val="24"/>
                <w:highlight w:val="none"/>
              </w:rPr>
            </w:pPr>
            <w:r>
              <w:rPr>
                <w:rFonts w:hint="eastAsia"/>
                <w:color w:val="auto"/>
                <w:sz w:val="24"/>
                <w:highlight w:val="none"/>
              </w:rPr>
              <w:t>G—核算时段内活性炭吸附挥发性有机物，t；</w:t>
            </w:r>
          </w:p>
          <w:p w14:paraId="54581FA1">
            <w:pPr>
              <w:snapToGrid w:val="0"/>
              <w:spacing w:line="360" w:lineRule="auto"/>
              <w:ind w:firstLine="480" w:firstLineChars="200"/>
              <w:rPr>
                <w:rFonts w:hint="eastAsia"/>
                <w:color w:val="auto"/>
                <w:sz w:val="24"/>
                <w:highlight w:val="none"/>
              </w:rPr>
            </w:pPr>
            <w:r>
              <w:rPr>
                <w:rFonts w:hint="eastAsia"/>
                <w:color w:val="auto"/>
                <w:sz w:val="24"/>
                <w:highlight w:val="none"/>
              </w:rPr>
              <w:t>y—活性炭的吸附饱和率，%，采用设计值，无设计值时参考附录E确定。根据附录E，活性炭吸附饱和率取15%。</w:t>
            </w:r>
          </w:p>
          <w:p w14:paraId="20687F2B">
            <w:pPr>
              <w:snapToGrid w:val="0"/>
              <w:spacing w:line="360" w:lineRule="auto"/>
              <w:ind w:firstLine="480" w:firstLineChars="200"/>
              <w:rPr>
                <w:rFonts w:hint="default"/>
                <w:color w:val="auto"/>
                <w:sz w:val="24"/>
                <w:highlight w:val="none"/>
                <w:lang w:val="en-US"/>
              </w:rPr>
            </w:pPr>
            <w:r>
              <w:rPr>
                <w:rFonts w:hint="eastAsia"/>
                <w:color w:val="auto"/>
                <w:sz w:val="24"/>
                <w:highlight w:val="none"/>
              </w:rPr>
              <w:t>根据废气源强核算，本项目二级活性炭吸附量为G=</w:t>
            </w:r>
            <w:r>
              <w:rPr>
                <w:rFonts w:hint="eastAsia"/>
                <w:color w:val="auto"/>
                <w:sz w:val="24"/>
                <w:highlight w:val="none"/>
                <w:lang w:val="en-US" w:eastAsia="zh-CN"/>
              </w:rPr>
              <w:t>0.13</w:t>
            </w:r>
            <w:r>
              <w:rPr>
                <w:rFonts w:hint="eastAsia"/>
                <w:color w:val="auto"/>
                <w:sz w:val="24"/>
                <w:highlight w:val="none"/>
              </w:rPr>
              <w:t>t/a。则根据公式计算</w:t>
            </w:r>
            <m:oMath>
              <m:r>
                <m:rPr/>
                <w:rPr>
                  <w:rFonts w:hint="default" w:ascii="Cambria Math" w:hAnsi="Cambria Math" w:cs="Times New Roman"/>
                  <w:color w:val="auto"/>
                  <w:kern w:val="2"/>
                  <w:sz w:val="24"/>
                  <w:szCs w:val="24"/>
                  <w:highlight w:val="none"/>
                  <w:lang w:val="en-US" w:eastAsia="zh-CN" w:bidi="ar-SA"/>
                </w:rPr>
                <m:t>D=</m:t>
              </m:r>
              <m:f>
                <m:fPr>
                  <m:ctrlPr>
                    <w:rPr>
                      <w:rFonts w:hint="default" w:ascii="Cambria Math" w:hAnsi="Cambria Math" w:cs="Times New Roman"/>
                      <w:i/>
                      <w:color w:val="auto"/>
                      <w:kern w:val="2"/>
                      <w:sz w:val="24"/>
                      <w:szCs w:val="24"/>
                      <w:highlight w:val="none"/>
                      <w:lang w:val="en-US" w:eastAsia="zh-CN" w:bidi="ar-SA"/>
                    </w:rPr>
                  </m:ctrlPr>
                </m:fPr>
                <m:num>
                  <m:r>
                    <m:rPr/>
                    <w:rPr>
                      <w:rFonts w:hint="default" w:ascii="Cambria Math" w:hAnsi="Cambria Math" w:cs="Times New Roman"/>
                      <w:color w:val="auto"/>
                      <w:kern w:val="2"/>
                      <w:sz w:val="24"/>
                      <w:szCs w:val="24"/>
                      <w:highlight w:val="none"/>
                      <w:lang w:val="en-US" w:eastAsia="zh-CN" w:bidi="ar-SA"/>
                    </w:rPr>
                    <m:t>100</m:t>
                  </m:r>
                  <m:r>
                    <m:rPr/>
                    <w:rPr>
                      <w:rFonts w:ascii="Cambria Math" w:hAnsi="Cambria Math" w:cs="Times New Roman"/>
                      <w:color w:val="auto"/>
                      <w:kern w:val="2"/>
                      <w:sz w:val="24"/>
                      <w:szCs w:val="24"/>
                      <w:highlight w:val="none"/>
                      <w:lang w:val="en-US" w:bidi="ar-SA"/>
                    </w:rPr>
                    <m:t>×</m:t>
                  </m:r>
                  <m:r>
                    <m:rPr/>
                    <w:rPr>
                      <w:rFonts w:hint="default" w:ascii="Cambria Math" w:hAnsi="Cambria Math" w:cs="Times New Roman"/>
                      <w:color w:val="auto"/>
                      <w:kern w:val="2"/>
                      <w:sz w:val="24"/>
                      <w:szCs w:val="24"/>
                      <w:highlight w:val="none"/>
                      <w:lang w:val="en-US" w:eastAsia="zh-CN" w:bidi="ar-SA"/>
                    </w:rPr>
                    <m:t>0.13</m:t>
                  </m:r>
                  <m:ctrlPr>
                    <w:rPr>
                      <w:rFonts w:hint="default" w:ascii="Cambria Math" w:hAnsi="Cambria Math" w:cs="Times New Roman"/>
                      <w:i/>
                      <w:color w:val="auto"/>
                      <w:kern w:val="2"/>
                      <w:sz w:val="24"/>
                      <w:szCs w:val="24"/>
                      <w:highlight w:val="none"/>
                      <w:lang w:val="en-US" w:eastAsia="zh-CN" w:bidi="ar-SA"/>
                    </w:rPr>
                  </m:ctrlPr>
                </m:num>
                <m:den>
                  <m:r>
                    <m:rPr/>
                    <w:rPr>
                      <w:rFonts w:hint="default" w:ascii="Cambria Math" w:hAnsi="Cambria Math" w:cs="Times New Roman"/>
                      <w:color w:val="auto"/>
                      <w:kern w:val="2"/>
                      <w:sz w:val="24"/>
                      <w:szCs w:val="24"/>
                      <w:highlight w:val="none"/>
                      <w:lang w:val="en-US" w:eastAsia="zh-CN" w:bidi="ar-SA"/>
                    </w:rPr>
                    <m:t>15</m:t>
                  </m:r>
                  <m:ctrlPr>
                    <w:rPr>
                      <w:rFonts w:hint="default" w:ascii="Cambria Math" w:hAnsi="Cambria Math" w:cs="Times New Roman"/>
                      <w:i/>
                      <w:color w:val="auto"/>
                      <w:kern w:val="2"/>
                      <w:sz w:val="24"/>
                      <w:szCs w:val="24"/>
                      <w:highlight w:val="none"/>
                      <w:lang w:val="en-US" w:eastAsia="zh-CN" w:bidi="ar-SA"/>
                    </w:rPr>
                  </m:ctrlPr>
                </m:den>
              </m:f>
              <m:r>
                <m:rPr/>
                <w:rPr>
                  <w:rFonts w:hint="default" w:ascii="Cambria Math" w:hAnsi="Cambria Math" w:cs="Times New Roman"/>
                  <w:color w:val="auto"/>
                  <w:kern w:val="2"/>
                  <w:sz w:val="24"/>
                  <w:szCs w:val="24"/>
                  <w:highlight w:val="none"/>
                  <w:lang w:val="en-US" w:eastAsia="zh-CN" w:bidi="ar-SA"/>
                </w:rPr>
                <m:t>+0.13=1</m:t>
              </m:r>
            </m:oMath>
            <w:r>
              <w:rPr>
                <w:rFonts w:hint="eastAsia" w:hAnsi="Cambria Math" w:cs="Times New Roman"/>
                <w:i w:val="0"/>
                <w:color w:val="auto"/>
                <w:kern w:val="2"/>
                <w:sz w:val="24"/>
                <w:szCs w:val="24"/>
                <w:highlight w:val="none"/>
                <w:lang w:val="en-US" w:eastAsia="zh-CN" w:bidi="ar-SA"/>
              </w:rPr>
              <w:t>t/a。</w:t>
            </w:r>
          </w:p>
          <w:p w14:paraId="7F4FFA30">
            <w:pPr>
              <w:snapToGrid w:val="0"/>
              <w:spacing w:line="360" w:lineRule="auto"/>
              <w:ind w:firstLine="480" w:firstLineChars="200"/>
              <w:rPr>
                <w:rFonts w:hint="eastAsia"/>
                <w:color w:val="auto"/>
                <w:sz w:val="24"/>
                <w:highlight w:val="none"/>
              </w:rPr>
            </w:pPr>
            <w:r>
              <w:rPr>
                <w:rFonts w:hint="eastAsia"/>
                <w:color w:val="auto"/>
                <w:sz w:val="24"/>
                <w:highlight w:val="none"/>
              </w:rPr>
              <w:t>因此，本项目二级活性炭吸附的废活性炭产生量为</w:t>
            </w:r>
            <w:r>
              <w:rPr>
                <w:rFonts w:hint="eastAsia"/>
                <w:color w:val="auto"/>
                <w:sz w:val="24"/>
                <w:highlight w:val="none"/>
                <w:lang w:val="en-US" w:eastAsia="zh-CN"/>
              </w:rPr>
              <w:t>1</w:t>
            </w:r>
            <w:r>
              <w:rPr>
                <w:rFonts w:hint="eastAsia"/>
                <w:color w:val="auto"/>
                <w:sz w:val="24"/>
                <w:highlight w:val="none"/>
              </w:rPr>
              <w:t>t/a。建设单位每</w:t>
            </w:r>
            <w:r>
              <w:rPr>
                <w:rFonts w:hint="eastAsia"/>
                <w:color w:val="auto"/>
                <w:sz w:val="24"/>
                <w:highlight w:val="none"/>
                <w:lang w:val="en-US" w:eastAsia="zh-CN"/>
              </w:rPr>
              <w:t>年</w:t>
            </w:r>
            <w:r>
              <w:rPr>
                <w:rFonts w:hint="eastAsia"/>
                <w:color w:val="auto"/>
                <w:sz w:val="24"/>
                <w:highlight w:val="none"/>
              </w:rPr>
              <w:t>更换一次活性炭。</w:t>
            </w:r>
          </w:p>
          <w:p w14:paraId="48EC47E9">
            <w:pPr>
              <w:snapToGrid w:val="0"/>
              <w:spacing w:line="360" w:lineRule="auto"/>
              <w:ind w:firstLine="480" w:firstLineChars="200"/>
              <w:rPr>
                <w:rFonts w:hint="eastAsia"/>
                <w:color w:val="auto"/>
                <w:sz w:val="24"/>
                <w:highlight w:val="none"/>
              </w:rPr>
            </w:pPr>
            <w:r>
              <w:rPr>
                <w:rFonts w:hint="eastAsia"/>
                <w:color w:val="auto"/>
                <w:sz w:val="24"/>
                <w:highlight w:val="none"/>
              </w:rPr>
              <w:t>综上</w:t>
            </w:r>
            <w:r>
              <w:rPr>
                <w:rFonts w:hint="eastAsia"/>
                <w:color w:val="auto"/>
                <w:sz w:val="24"/>
                <w:highlight w:val="none"/>
                <w:lang w:val="en-US" w:eastAsia="zh-CN"/>
              </w:rPr>
              <w:t>所述</w:t>
            </w:r>
            <w:r>
              <w:rPr>
                <w:rFonts w:hint="eastAsia"/>
                <w:color w:val="auto"/>
                <w:sz w:val="24"/>
                <w:highlight w:val="none"/>
              </w:rPr>
              <w:t>，则本项目废活性炭总产生量为</w:t>
            </w:r>
            <w:r>
              <w:rPr>
                <w:rFonts w:hint="eastAsia"/>
                <w:color w:val="auto"/>
                <w:sz w:val="24"/>
                <w:highlight w:val="none"/>
                <w:lang w:val="en-US" w:eastAsia="zh-CN"/>
              </w:rPr>
              <w:t>8</w:t>
            </w:r>
            <w:r>
              <w:rPr>
                <w:rFonts w:hint="eastAsia"/>
                <w:color w:val="auto"/>
                <w:sz w:val="24"/>
                <w:highlight w:val="none"/>
              </w:rPr>
              <w:t>t/a，废催化剂产生量为0.3t/4a（0.075t/a）。</w:t>
            </w:r>
          </w:p>
          <w:p w14:paraId="5D989782">
            <w:pPr>
              <w:snapToGrid w:val="0"/>
              <w:spacing w:line="360" w:lineRule="auto"/>
              <w:ind w:firstLine="480" w:firstLineChars="200"/>
              <w:rPr>
                <w:rFonts w:hint="eastAsia"/>
                <w:color w:val="auto"/>
                <w:sz w:val="24"/>
                <w:highlight w:val="none"/>
              </w:rPr>
            </w:pPr>
            <w:r>
              <w:rPr>
                <w:rFonts w:hint="eastAsia"/>
                <w:color w:val="auto"/>
                <w:sz w:val="24"/>
                <w:highlight w:val="none"/>
              </w:rPr>
              <w:t>根据《国家危险废物名录（2025年版）》，废活性炭属于HW49其他废物中的“900-039-49烟气、VOCs治理过程（不包括餐饮行业油烟治理过程）产生的废活性炭”。</w:t>
            </w:r>
          </w:p>
          <w:p w14:paraId="77F52AEA">
            <w:pPr>
              <w:snapToGrid w:val="0"/>
              <w:spacing w:line="360" w:lineRule="auto"/>
              <w:ind w:firstLine="480" w:firstLineChars="200"/>
              <w:rPr>
                <w:rFonts w:hint="eastAsia"/>
                <w:color w:val="auto"/>
                <w:sz w:val="24"/>
                <w:highlight w:val="none"/>
              </w:rPr>
            </w:pPr>
            <w:r>
              <w:rPr>
                <w:rFonts w:hint="eastAsia"/>
                <w:color w:val="auto"/>
                <w:sz w:val="24"/>
                <w:highlight w:val="none"/>
              </w:rPr>
              <w:t>废催化剂HW49其他废物中的“900-041-49含有或者沾染毒性、感染性危险废物的废弃的包装物、容器、过滤吸附介质”。</w:t>
            </w:r>
          </w:p>
          <w:p w14:paraId="35BD3EF1">
            <w:pPr>
              <w:snapToGrid w:val="0"/>
              <w:spacing w:line="360" w:lineRule="auto"/>
              <w:ind w:firstLine="480" w:firstLineChars="200"/>
              <w:rPr>
                <w:rFonts w:hint="eastAsia"/>
                <w:color w:val="auto"/>
                <w:sz w:val="24"/>
                <w:highlight w:val="none"/>
              </w:rPr>
            </w:pPr>
            <w:r>
              <w:rPr>
                <w:rFonts w:hint="eastAsia"/>
                <w:color w:val="auto"/>
                <w:sz w:val="24"/>
                <w:highlight w:val="none"/>
              </w:rPr>
              <w:t>废活性炭、废催化剂分类收集后分</w:t>
            </w:r>
            <w:r>
              <w:rPr>
                <w:rFonts w:hint="eastAsia"/>
                <w:color w:val="auto"/>
                <w:sz w:val="24"/>
                <w:highlight w:val="none"/>
                <w:lang w:val="en-US" w:eastAsia="zh-CN"/>
              </w:rPr>
              <w:t>类暂存于危废暂存间</w:t>
            </w:r>
            <w:r>
              <w:rPr>
                <w:rFonts w:hint="eastAsia"/>
                <w:color w:val="auto"/>
                <w:sz w:val="24"/>
                <w:highlight w:val="none"/>
              </w:rPr>
              <w:t>，委托有资质单位处置。</w:t>
            </w:r>
          </w:p>
          <w:p w14:paraId="2788D9FA">
            <w:pPr>
              <w:snapToGrid w:val="0"/>
              <w:spacing w:line="360" w:lineRule="auto"/>
              <w:ind w:firstLine="480" w:firstLineChars="200"/>
              <w:rPr>
                <w:rFonts w:hint="default"/>
                <w:color w:val="auto"/>
                <w:sz w:val="24"/>
                <w:highlight w:val="none"/>
                <w:lang w:val="en-US" w:eastAsia="zh-CN"/>
              </w:rPr>
            </w:pPr>
            <w:r>
              <w:rPr>
                <w:rFonts w:hint="eastAsia"/>
                <w:color w:val="auto"/>
                <w:sz w:val="24"/>
                <w:highlight w:val="none"/>
                <w:lang w:eastAsia="zh-CN"/>
              </w:rPr>
              <w:t>（</w:t>
            </w:r>
            <w:r>
              <w:rPr>
                <w:rFonts w:hint="eastAsia"/>
                <w:color w:val="auto"/>
                <w:sz w:val="24"/>
                <w:highlight w:val="none"/>
                <w:lang w:val="en-US" w:eastAsia="zh-CN"/>
              </w:rPr>
              <w:t>3</w:t>
            </w:r>
            <w:r>
              <w:rPr>
                <w:rFonts w:hint="eastAsia"/>
                <w:color w:val="auto"/>
                <w:sz w:val="24"/>
                <w:highlight w:val="none"/>
                <w:lang w:eastAsia="zh-CN"/>
              </w:rPr>
              <w:t>）</w:t>
            </w:r>
            <w:r>
              <w:rPr>
                <w:rFonts w:hint="eastAsia"/>
                <w:color w:val="auto"/>
                <w:sz w:val="24"/>
                <w:highlight w:val="none"/>
                <w:lang w:val="en-US" w:eastAsia="zh-CN"/>
              </w:rPr>
              <w:t>废油墨、废油墨桶</w:t>
            </w:r>
          </w:p>
          <w:p w14:paraId="7484AF84">
            <w:pPr>
              <w:snapToGrid w:val="0"/>
              <w:spacing w:line="360" w:lineRule="auto"/>
              <w:ind w:firstLine="480" w:firstLineChars="200"/>
              <w:rPr>
                <w:rFonts w:hint="eastAsia" w:eastAsia="宋体"/>
                <w:color w:val="auto"/>
                <w:sz w:val="24"/>
                <w:highlight w:val="none"/>
                <w:lang w:eastAsia="zh-CN"/>
              </w:rPr>
            </w:pPr>
            <w:r>
              <w:rPr>
                <w:rFonts w:hint="eastAsia"/>
                <w:color w:val="auto"/>
                <w:sz w:val="24"/>
                <w:highlight w:val="none"/>
                <w:lang w:val="en-US" w:eastAsia="zh-CN"/>
              </w:rPr>
              <w:t>本项目生产过程中会产生少量含油墨类危险废物，主要来源为项目用完后残留少量油墨的油墨包装桶，以及印刷机自清洁刮板作业产生的废油墨，</w:t>
            </w:r>
            <w:r>
              <w:rPr>
                <w:rFonts w:hint="eastAsia"/>
                <w:color w:val="auto"/>
                <w:sz w:val="24"/>
                <w:highlight w:val="none"/>
                <w:lang w:eastAsia="zh-CN"/>
              </w:rPr>
              <w:t>对照《国家危险废物名录》（2021年版），废物类别为HW</w:t>
            </w:r>
            <w:r>
              <w:rPr>
                <w:rFonts w:hint="eastAsia"/>
                <w:color w:val="auto"/>
                <w:sz w:val="24"/>
                <w:highlight w:val="none"/>
                <w:lang w:val="en-US" w:eastAsia="zh-CN"/>
              </w:rPr>
              <w:t>12</w:t>
            </w:r>
            <w:r>
              <w:rPr>
                <w:rFonts w:hint="eastAsia"/>
                <w:color w:val="auto"/>
                <w:sz w:val="24"/>
                <w:highlight w:val="none"/>
                <w:lang w:eastAsia="zh-CN"/>
              </w:rPr>
              <w:t>，废物代码为“900-</w:t>
            </w:r>
            <w:r>
              <w:rPr>
                <w:rFonts w:hint="eastAsia"/>
                <w:color w:val="auto"/>
                <w:sz w:val="24"/>
                <w:highlight w:val="none"/>
                <w:lang w:val="en-US" w:eastAsia="zh-CN"/>
              </w:rPr>
              <w:t>253</w:t>
            </w:r>
            <w:r>
              <w:rPr>
                <w:rFonts w:hint="eastAsia"/>
                <w:color w:val="auto"/>
                <w:sz w:val="24"/>
                <w:highlight w:val="none"/>
                <w:lang w:eastAsia="zh-CN"/>
              </w:rPr>
              <w:t>-</w:t>
            </w:r>
            <w:r>
              <w:rPr>
                <w:rFonts w:hint="eastAsia"/>
                <w:color w:val="auto"/>
                <w:sz w:val="24"/>
                <w:highlight w:val="none"/>
                <w:lang w:val="en-US" w:eastAsia="zh-CN"/>
              </w:rPr>
              <w:t>12使用油墨和有机溶剂进行印刷、涂布过程中产生的废物</w:t>
            </w:r>
            <w:r>
              <w:rPr>
                <w:rFonts w:hint="eastAsia"/>
                <w:color w:val="auto"/>
                <w:sz w:val="24"/>
                <w:highlight w:val="none"/>
                <w:lang w:eastAsia="zh-CN"/>
              </w:rPr>
              <w:t>。”废油墨年产生量约为0.</w:t>
            </w:r>
            <w:r>
              <w:rPr>
                <w:rFonts w:hint="eastAsia"/>
                <w:color w:val="auto"/>
                <w:sz w:val="24"/>
                <w:highlight w:val="none"/>
                <w:lang w:val="en-US" w:eastAsia="zh-CN"/>
              </w:rPr>
              <w:t>0</w:t>
            </w:r>
            <w:r>
              <w:rPr>
                <w:rFonts w:hint="eastAsia"/>
                <w:color w:val="auto"/>
                <w:sz w:val="24"/>
                <w:highlight w:val="none"/>
                <w:lang w:eastAsia="zh-CN"/>
              </w:rPr>
              <w:t>8t/a、</w:t>
            </w:r>
            <w:r>
              <w:rPr>
                <w:rFonts w:hint="eastAsia"/>
                <w:color w:val="auto"/>
                <w:sz w:val="24"/>
                <w:highlight w:val="none"/>
                <w:lang w:val="en-US" w:eastAsia="zh-CN"/>
              </w:rPr>
              <w:t>废油墨桶年产生量约为0.1t/a</w:t>
            </w:r>
            <w:r>
              <w:rPr>
                <w:rFonts w:hint="eastAsia"/>
                <w:color w:val="auto"/>
                <w:sz w:val="24"/>
                <w:highlight w:val="none"/>
                <w:lang w:eastAsia="zh-CN"/>
              </w:rPr>
              <w:t>，分类暂存于危废暂存间，</w:t>
            </w:r>
            <w:r>
              <w:rPr>
                <w:rFonts w:hint="eastAsia"/>
                <w:color w:val="auto"/>
                <w:sz w:val="24"/>
                <w:highlight w:val="none"/>
                <w:lang w:val="en-US" w:eastAsia="zh-CN"/>
              </w:rPr>
              <w:t>委托有</w:t>
            </w:r>
            <w:r>
              <w:rPr>
                <w:rFonts w:hint="eastAsia"/>
                <w:color w:val="auto"/>
                <w:sz w:val="24"/>
                <w:highlight w:val="none"/>
                <w:lang w:eastAsia="zh-CN"/>
              </w:rPr>
              <w:t>处理资质的单位进行处理。</w:t>
            </w:r>
          </w:p>
          <w:p w14:paraId="675FF9B6">
            <w:pPr>
              <w:adjustRightInd w:val="0"/>
              <w:snapToGrid w:val="0"/>
              <w:spacing w:line="360" w:lineRule="auto"/>
              <w:ind w:firstLine="482" w:firstLineChars="200"/>
              <w:jc w:val="left"/>
              <w:rPr>
                <w:b/>
                <w:bCs/>
                <w:color w:val="auto"/>
                <w:sz w:val="24"/>
                <w:highlight w:val="none"/>
              </w:rPr>
            </w:pPr>
            <w:r>
              <w:rPr>
                <w:rFonts w:hint="eastAsia"/>
                <w:b/>
                <w:bCs/>
                <w:color w:val="auto"/>
                <w:sz w:val="24"/>
                <w:highlight w:val="none"/>
                <w:lang w:val="en-US" w:eastAsia="zh-CN"/>
              </w:rPr>
              <w:t>3</w:t>
            </w:r>
            <w:r>
              <w:rPr>
                <w:rFonts w:hint="eastAsia"/>
                <w:b/>
                <w:bCs/>
                <w:color w:val="auto"/>
                <w:sz w:val="24"/>
                <w:highlight w:val="none"/>
              </w:rPr>
              <w:t>、</w:t>
            </w:r>
            <w:r>
              <w:rPr>
                <w:b/>
                <w:bCs/>
                <w:color w:val="auto"/>
                <w:sz w:val="24"/>
                <w:highlight w:val="none"/>
              </w:rPr>
              <w:t>固体废物环境管理要求</w:t>
            </w:r>
          </w:p>
          <w:p w14:paraId="3AF63E09">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项目固体废物按一般固废、危险废物、生活垃圾进行分类管理。</w:t>
            </w:r>
          </w:p>
          <w:p w14:paraId="5C22B45C">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一般固废：废包装统一收集后定期外售，不合格产品及废边角料收集后暂存于一般固废暂存间，经粉碎机破碎成为颗粒后重新作为原辅料回用于生产，100%处置。</w:t>
            </w:r>
          </w:p>
          <w:p w14:paraId="154A8AF7">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危险废物：废机油、废机油桶、废活性炭、废催化剂</w:t>
            </w:r>
            <w:r>
              <w:rPr>
                <w:rFonts w:hint="eastAsia"/>
                <w:color w:val="auto"/>
                <w:sz w:val="24"/>
                <w:highlight w:val="none"/>
                <w:lang w:val="en-US" w:eastAsia="zh-CN"/>
              </w:rPr>
              <w:t>和废油墨及废油墨桶</w:t>
            </w:r>
            <w:r>
              <w:rPr>
                <w:rFonts w:hint="eastAsia"/>
                <w:color w:val="auto"/>
                <w:sz w:val="24"/>
                <w:highlight w:val="none"/>
                <w:lang w:eastAsia="zh-CN"/>
              </w:rPr>
              <w:t>分类收集后暂存于危险废物</w:t>
            </w:r>
            <w:r>
              <w:rPr>
                <w:rFonts w:hint="eastAsia"/>
                <w:color w:val="auto"/>
                <w:sz w:val="24"/>
                <w:highlight w:val="none"/>
                <w:lang w:val="en-US" w:eastAsia="zh-CN"/>
              </w:rPr>
              <w:t>暂存间</w:t>
            </w:r>
            <w:r>
              <w:rPr>
                <w:rFonts w:hint="eastAsia"/>
                <w:color w:val="auto"/>
                <w:sz w:val="24"/>
                <w:highlight w:val="none"/>
                <w:lang w:eastAsia="zh-CN"/>
              </w:rPr>
              <w:t>，建立危废管理台账、转移联单制度，委托有资质单位处置。</w:t>
            </w:r>
          </w:p>
          <w:p w14:paraId="17497BFD">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生活垃圾委托</w:t>
            </w:r>
            <w:r>
              <w:rPr>
                <w:rFonts w:hint="eastAsia"/>
                <w:color w:val="auto"/>
                <w:sz w:val="24"/>
                <w:highlight w:val="none"/>
                <w:lang w:val="en-US" w:eastAsia="zh-CN"/>
              </w:rPr>
              <w:t>园区</w:t>
            </w:r>
            <w:r>
              <w:rPr>
                <w:rFonts w:hint="eastAsia"/>
                <w:color w:val="auto"/>
                <w:sz w:val="24"/>
                <w:highlight w:val="none"/>
                <w:lang w:eastAsia="zh-CN"/>
              </w:rPr>
              <w:t>环卫部门清运处置，化粪池污泥委托</w:t>
            </w:r>
            <w:r>
              <w:rPr>
                <w:rFonts w:hint="eastAsia"/>
                <w:color w:val="auto"/>
                <w:sz w:val="24"/>
                <w:highlight w:val="none"/>
                <w:lang w:val="en-US" w:eastAsia="zh-CN"/>
              </w:rPr>
              <w:t>园区</w:t>
            </w:r>
            <w:r>
              <w:rPr>
                <w:rFonts w:hint="eastAsia"/>
                <w:color w:val="auto"/>
                <w:sz w:val="24"/>
                <w:highlight w:val="none"/>
                <w:lang w:eastAsia="zh-CN"/>
              </w:rPr>
              <w:t>环卫部门清掏处置。</w:t>
            </w:r>
          </w:p>
          <w:p w14:paraId="2F404C22">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本项目于</w:t>
            </w:r>
            <w:r>
              <w:rPr>
                <w:rFonts w:hint="eastAsia"/>
                <w:color w:val="auto"/>
                <w:sz w:val="24"/>
                <w:highlight w:val="none"/>
                <w:lang w:val="en-US" w:eastAsia="zh-CN"/>
              </w:rPr>
              <w:t>生产车间</w:t>
            </w:r>
            <w:r>
              <w:rPr>
                <w:rFonts w:hint="eastAsia"/>
                <w:color w:val="auto"/>
                <w:sz w:val="24"/>
                <w:highlight w:val="none"/>
                <w:lang w:eastAsia="zh-CN"/>
              </w:rPr>
              <w:t>内设置一个</w:t>
            </w:r>
            <w:r>
              <w:rPr>
                <w:rFonts w:hint="eastAsia"/>
                <w:color w:val="auto"/>
                <w:sz w:val="24"/>
                <w:highlight w:val="none"/>
                <w:lang w:val="en-US" w:eastAsia="zh-CN"/>
              </w:rPr>
              <w:t>10㎡</w:t>
            </w:r>
            <w:r>
              <w:rPr>
                <w:rFonts w:hint="eastAsia"/>
                <w:color w:val="auto"/>
                <w:sz w:val="24"/>
                <w:highlight w:val="none"/>
                <w:lang w:eastAsia="zh-CN"/>
              </w:rPr>
              <w:t>的一般固废暂存间，本次环评要求建设单位做好防风、风雨、防渗漏措施，严格按照《一般工业固体废物贮存和填埋污染控制标准》（GB 18599-2020）及《一般固体废物分类与代码》（GB T39198-2020）中相关要求进行建设。</w:t>
            </w:r>
          </w:p>
          <w:p w14:paraId="1284BAD0">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本项目新建1间危险废物暂存间用于暂存危险废物，面积为10</w:t>
            </w:r>
            <w:r>
              <w:rPr>
                <w:rFonts w:hint="eastAsia"/>
                <w:color w:val="auto"/>
                <w:sz w:val="24"/>
                <w:highlight w:val="none"/>
                <w:lang w:val="en-US" w:eastAsia="zh-CN"/>
              </w:rPr>
              <w:t>㎡</w:t>
            </w:r>
            <w:r>
              <w:rPr>
                <w:rFonts w:hint="eastAsia"/>
                <w:color w:val="auto"/>
                <w:sz w:val="24"/>
                <w:highlight w:val="none"/>
                <w:lang w:eastAsia="zh-CN"/>
              </w:rPr>
              <w:t>。项目危险废物贮存库进行重点防渗，其防渗措施采用2mm厚高密度聚乙烯膜。</w:t>
            </w:r>
          </w:p>
          <w:p w14:paraId="660435DD">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按《危险废物识别标志设置技术规范》（HJ 1276-2022）要求设置危险废物标志牌，按照《危险废物贮存污染控制标准》（GB 18597-2023）的相关规定进行防渗处理，并配套导流沟、集液池、标识牌、分类分区分隔等相关设施。</w:t>
            </w:r>
          </w:p>
          <w:p w14:paraId="7184DB9D">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危险废物贮存库防渗工程的施工监理及其相关材料的留档备查要求（隐蔽工程的原材料购置和使用票据、阶段性施工图像等资料）。</w:t>
            </w:r>
          </w:p>
          <w:p w14:paraId="62EFC243">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本项目危险废物的收集、贮存、运输及处置全流程，需严格执行《危险废物收集、贮存、运输技术规范》（HJ 2025-2012）及相关管理规定，确保各环节环境安全。</w:t>
            </w:r>
          </w:p>
          <w:p w14:paraId="23248BA2">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建设单位需建立固体废物环境管理责任制，配备专职环保管理人员负责固废分类管理、暂存设施维护及转移手续办理等工作，定期对固废产生及处置情况进行核查，保障各项污染防治措施落实到位。</w:t>
            </w:r>
          </w:p>
          <w:p w14:paraId="16BC78E8">
            <w:pPr>
              <w:adjustRightInd w:val="0"/>
              <w:snapToGrid w:val="0"/>
              <w:spacing w:line="360" w:lineRule="auto"/>
              <w:ind w:firstLine="482" w:firstLineChars="200"/>
              <w:rPr>
                <w:b/>
                <w:bCs/>
                <w:color w:val="auto"/>
                <w:sz w:val="24"/>
                <w:highlight w:val="none"/>
              </w:rPr>
            </w:pPr>
            <w:r>
              <w:rPr>
                <w:rFonts w:hint="eastAsia"/>
                <w:b/>
                <w:bCs/>
                <w:color w:val="auto"/>
                <w:kern w:val="24"/>
                <w:sz w:val="24"/>
                <w:highlight w:val="none"/>
              </w:rPr>
              <w:t>3、</w:t>
            </w:r>
            <w:r>
              <w:rPr>
                <w:b/>
                <w:bCs/>
                <w:color w:val="auto"/>
                <w:sz w:val="24"/>
                <w:highlight w:val="none"/>
              </w:rPr>
              <w:t>固体废物环境影响分析</w:t>
            </w:r>
          </w:p>
          <w:p w14:paraId="3DA83BCC">
            <w:pPr>
              <w:adjustRightInd w:val="0"/>
              <w:snapToGrid w:val="0"/>
              <w:spacing w:line="360" w:lineRule="auto"/>
              <w:ind w:firstLine="480" w:firstLineChars="200"/>
              <w:rPr>
                <w:color w:val="auto"/>
                <w:kern w:val="24"/>
                <w:sz w:val="24"/>
                <w:highlight w:val="none"/>
              </w:rPr>
            </w:pPr>
            <w:r>
              <w:rPr>
                <w:rFonts w:hint="eastAsia"/>
                <w:color w:val="auto"/>
                <w:kern w:val="24"/>
                <w:sz w:val="24"/>
                <w:highlight w:val="none"/>
              </w:rPr>
              <w:t>本项目产生的固废经妥善处理、处置后，对周围环境不会造成影响，所采取的治理措施是可行的。本项目产生的一般固废和危险废物均得到合理有效处置，处置方式均可行，处理率达100%，对周边环境影响较小。</w:t>
            </w:r>
          </w:p>
          <w:p w14:paraId="5CE074EF">
            <w:pPr>
              <w:pStyle w:val="77"/>
              <w:ind w:firstLine="482"/>
              <w:rPr>
                <w:color w:val="auto"/>
                <w:kern w:val="24"/>
                <w:highlight w:val="none"/>
              </w:rPr>
            </w:pPr>
            <w:r>
              <w:rPr>
                <w:rFonts w:hint="eastAsia"/>
                <w:b/>
                <w:bCs/>
                <w:color w:val="auto"/>
                <w:highlight w:val="none"/>
              </w:rPr>
              <w:t>五、运营期地下水、土壤环境影响和保护措施</w:t>
            </w:r>
          </w:p>
          <w:p w14:paraId="6D74C2B8">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w:t>
            </w:r>
            <w:r>
              <w:rPr>
                <w:rFonts w:hint="eastAsia"/>
                <w:color w:val="auto"/>
                <w:sz w:val="24"/>
                <w:highlight w:val="none"/>
                <w:lang w:val="en-US" w:eastAsia="zh-CN"/>
              </w:rPr>
              <w:t>1</w:t>
            </w:r>
            <w:r>
              <w:rPr>
                <w:rFonts w:hint="eastAsia"/>
                <w:color w:val="auto"/>
                <w:sz w:val="24"/>
                <w:highlight w:val="none"/>
                <w:lang w:eastAsia="zh-CN"/>
              </w:rPr>
              <w:t>）地下水、土壤污染分析</w:t>
            </w:r>
          </w:p>
          <w:p w14:paraId="4242959C">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本项目地下水、土壤污染途径主要为垂直入渗、大气沉降。若发生防渗层破损等非正常状况下，危险废物贮存</w:t>
            </w:r>
            <w:r>
              <w:rPr>
                <w:rFonts w:hint="eastAsia"/>
                <w:color w:val="auto"/>
                <w:sz w:val="24"/>
                <w:highlight w:val="none"/>
                <w:lang w:val="en-US" w:eastAsia="zh-CN"/>
              </w:rPr>
              <w:t>间</w:t>
            </w:r>
            <w:r>
              <w:rPr>
                <w:rFonts w:hint="eastAsia"/>
                <w:color w:val="auto"/>
                <w:sz w:val="24"/>
                <w:highlight w:val="none"/>
                <w:lang w:eastAsia="zh-CN"/>
              </w:rPr>
              <w:t>液体废物泄漏、生活污水垂直入渗，可能对区域地下水及土壤造成影响。</w:t>
            </w:r>
          </w:p>
          <w:p w14:paraId="52E413C1">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本项目地下水、土壤污染分析见下表</w:t>
            </w:r>
            <w:r>
              <w:rPr>
                <w:rFonts w:hint="eastAsia"/>
                <w:color w:val="auto"/>
                <w:sz w:val="24"/>
                <w:highlight w:val="none"/>
                <w:lang w:val="en-US" w:eastAsia="zh-CN"/>
              </w:rPr>
              <w:t>4-20</w:t>
            </w:r>
            <w:r>
              <w:rPr>
                <w:rFonts w:hint="eastAsia"/>
                <w:color w:val="auto"/>
                <w:sz w:val="24"/>
                <w:highlight w:val="none"/>
                <w:lang w:eastAsia="zh-CN"/>
              </w:rPr>
              <w:t>。</w:t>
            </w:r>
          </w:p>
          <w:p w14:paraId="1E2F8F1B">
            <w:pPr>
              <w:adjustRightInd w:val="0"/>
              <w:snapToGrid w:val="0"/>
              <w:spacing w:line="360" w:lineRule="auto"/>
              <w:ind w:firstLine="482" w:firstLineChars="200"/>
              <w:jc w:val="center"/>
              <w:rPr>
                <w:b/>
                <w:color w:val="auto"/>
                <w:kern w:val="24"/>
                <w:sz w:val="24"/>
                <w:highlight w:val="none"/>
              </w:rPr>
            </w:pPr>
            <w:r>
              <w:rPr>
                <w:rFonts w:hint="eastAsia"/>
                <w:b/>
                <w:color w:val="auto"/>
                <w:kern w:val="24"/>
                <w:sz w:val="24"/>
                <w:highlight w:val="none"/>
              </w:rPr>
              <w:t>表4-</w:t>
            </w:r>
            <w:r>
              <w:rPr>
                <w:rFonts w:hint="eastAsia"/>
                <w:b/>
                <w:color w:val="auto"/>
                <w:kern w:val="24"/>
                <w:sz w:val="24"/>
                <w:highlight w:val="none"/>
                <w:lang w:val="en-US" w:eastAsia="zh-CN"/>
              </w:rPr>
              <w:t xml:space="preserve">20 </w:t>
            </w:r>
            <w:r>
              <w:rPr>
                <w:rFonts w:hint="eastAsia"/>
                <w:b/>
                <w:color w:val="auto"/>
                <w:kern w:val="24"/>
                <w:sz w:val="24"/>
                <w:highlight w:val="none"/>
              </w:rPr>
              <w:t xml:space="preserve"> 地下水、土壤污染分析一览表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169"/>
              <w:gridCol w:w="1626"/>
              <w:gridCol w:w="3127"/>
              <w:gridCol w:w="1424"/>
            </w:tblGrid>
            <w:tr w14:paraId="59F7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1299" w:type="pct"/>
                  <w:vAlign w:val="center"/>
                </w:tcPr>
                <w:p w14:paraId="1F20B284">
                  <w:pPr>
                    <w:adjustRightInd w:val="0"/>
                    <w:snapToGrid w:val="0"/>
                    <w:jc w:val="center"/>
                    <w:rPr>
                      <w:b/>
                      <w:bCs/>
                      <w:color w:val="auto"/>
                      <w:kern w:val="24"/>
                      <w:szCs w:val="21"/>
                      <w:highlight w:val="none"/>
                    </w:rPr>
                  </w:pPr>
                  <w:r>
                    <w:rPr>
                      <w:rFonts w:hint="eastAsia"/>
                      <w:b/>
                      <w:bCs/>
                      <w:color w:val="auto"/>
                      <w:kern w:val="24"/>
                      <w:szCs w:val="21"/>
                      <w:highlight w:val="none"/>
                    </w:rPr>
                    <w:t>地下水、土壤污染源</w:t>
                  </w:r>
                </w:p>
              </w:tc>
              <w:tc>
                <w:tcPr>
                  <w:tcW w:w="974" w:type="pct"/>
                  <w:vAlign w:val="center"/>
                </w:tcPr>
                <w:p w14:paraId="59D15930">
                  <w:pPr>
                    <w:adjustRightInd w:val="0"/>
                    <w:snapToGrid w:val="0"/>
                    <w:jc w:val="center"/>
                    <w:rPr>
                      <w:b/>
                      <w:bCs/>
                      <w:color w:val="auto"/>
                      <w:kern w:val="24"/>
                      <w:szCs w:val="21"/>
                      <w:highlight w:val="none"/>
                    </w:rPr>
                  </w:pPr>
                  <w:r>
                    <w:rPr>
                      <w:rFonts w:hint="eastAsia"/>
                      <w:b/>
                      <w:bCs/>
                      <w:color w:val="auto"/>
                      <w:kern w:val="24"/>
                      <w:szCs w:val="21"/>
                      <w:highlight w:val="none"/>
                    </w:rPr>
                    <w:t>污染物类型</w:t>
                  </w:r>
                </w:p>
              </w:tc>
              <w:tc>
                <w:tcPr>
                  <w:tcW w:w="1873" w:type="pct"/>
                  <w:vAlign w:val="center"/>
                </w:tcPr>
                <w:p w14:paraId="43556328">
                  <w:pPr>
                    <w:adjustRightInd w:val="0"/>
                    <w:snapToGrid w:val="0"/>
                    <w:jc w:val="center"/>
                    <w:rPr>
                      <w:b/>
                      <w:bCs/>
                      <w:color w:val="auto"/>
                      <w:kern w:val="24"/>
                      <w:szCs w:val="21"/>
                      <w:highlight w:val="none"/>
                    </w:rPr>
                  </w:pPr>
                  <w:r>
                    <w:rPr>
                      <w:rFonts w:hint="eastAsia"/>
                      <w:b/>
                      <w:bCs/>
                      <w:color w:val="auto"/>
                      <w:kern w:val="24"/>
                      <w:szCs w:val="21"/>
                      <w:highlight w:val="none"/>
                    </w:rPr>
                    <w:t>污染途径</w:t>
                  </w:r>
                </w:p>
              </w:tc>
              <w:tc>
                <w:tcPr>
                  <w:tcW w:w="853" w:type="pct"/>
                  <w:vAlign w:val="center"/>
                </w:tcPr>
                <w:p w14:paraId="6CAEB052">
                  <w:pPr>
                    <w:adjustRightInd w:val="0"/>
                    <w:snapToGrid w:val="0"/>
                    <w:jc w:val="center"/>
                    <w:rPr>
                      <w:b/>
                      <w:bCs/>
                      <w:color w:val="auto"/>
                      <w:kern w:val="24"/>
                      <w:szCs w:val="21"/>
                      <w:highlight w:val="none"/>
                    </w:rPr>
                  </w:pPr>
                  <w:r>
                    <w:rPr>
                      <w:rFonts w:hint="eastAsia"/>
                      <w:b/>
                      <w:bCs/>
                      <w:color w:val="auto"/>
                      <w:kern w:val="24"/>
                      <w:szCs w:val="21"/>
                      <w:highlight w:val="none"/>
                    </w:rPr>
                    <w:t>分区防控</w:t>
                  </w:r>
                </w:p>
              </w:tc>
            </w:tr>
            <w:tr w14:paraId="5D824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1299" w:type="pct"/>
                  <w:vAlign w:val="center"/>
                </w:tcPr>
                <w:p w14:paraId="3B3E3433">
                  <w:pPr>
                    <w:adjustRightInd w:val="0"/>
                    <w:snapToGrid w:val="0"/>
                    <w:jc w:val="center"/>
                    <w:rPr>
                      <w:color w:val="auto"/>
                      <w:kern w:val="24"/>
                      <w:szCs w:val="21"/>
                      <w:highlight w:val="none"/>
                    </w:rPr>
                  </w:pPr>
                  <w:r>
                    <w:rPr>
                      <w:rFonts w:hint="eastAsia"/>
                      <w:color w:val="auto"/>
                      <w:kern w:val="24"/>
                      <w:szCs w:val="21"/>
                      <w:highlight w:val="none"/>
                    </w:rPr>
                    <w:t>化粪池</w:t>
                  </w:r>
                </w:p>
              </w:tc>
              <w:tc>
                <w:tcPr>
                  <w:tcW w:w="974" w:type="pct"/>
                  <w:vAlign w:val="center"/>
                </w:tcPr>
                <w:p w14:paraId="098E465F">
                  <w:pPr>
                    <w:adjustRightInd w:val="0"/>
                    <w:snapToGrid w:val="0"/>
                    <w:jc w:val="center"/>
                    <w:rPr>
                      <w:color w:val="auto"/>
                      <w:kern w:val="24"/>
                      <w:szCs w:val="21"/>
                      <w:highlight w:val="none"/>
                    </w:rPr>
                  </w:pPr>
                  <w:r>
                    <w:rPr>
                      <w:rFonts w:hint="eastAsia"/>
                      <w:color w:val="auto"/>
                      <w:kern w:val="24"/>
                      <w:szCs w:val="21"/>
                      <w:highlight w:val="none"/>
                    </w:rPr>
                    <w:t>pH、CODcr、NH</w:t>
                  </w:r>
                  <w:r>
                    <w:rPr>
                      <w:rFonts w:hint="eastAsia"/>
                      <w:color w:val="auto"/>
                      <w:kern w:val="24"/>
                      <w:szCs w:val="21"/>
                      <w:highlight w:val="none"/>
                      <w:vertAlign w:val="subscript"/>
                    </w:rPr>
                    <w:t>3</w:t>
                  </w:r>
                  <w:r>
                    <w:rPr>
                      <w:rFonts w:hint="eastAsia"/>
                      <w:color w:val="auto"/>
                      <w:kern w:val="24"/>
                      <w:szCs w:val="21"/>
                      <w:highlight w:val="none"/>
                    </w:rPr>
                    <w:t>-N、TP</w:t>
                  </w:r>
                </w:p>
              </w:tc>
              <w:tc>
                <w:tcPr>
                  <w:tcW w:w="1873" w:type="pct"/>
                  <w:vAlign w:val="center"/>
                </w:tcPr>
                <w:p w14:paraId="13CCF3D2">
                  <w:pPr>
                    <w:adjustRightInd w:val="0"/>
                    <w:snapToGrid w:val="0"/>
                    <w:jc w:val="center"/>
                    <w:rPr>
                      <w:color w:val="auto"/>
                      <w:kern w:val="24"/>
                      <w:szCs w:val="21"/>
                      <w:highlight w:val="none"/>
                    </w:rPr>
                  </w:pPr>
                  <w:r>
                    <w:rPr>
                      <w:rFonts w:hint="eastAsia"/>
                      <w:color w:val="auto"/>
                      <w:kern w:val="24"/>
                      <w:szCs w:val="21"/>
                      <w:highlight w:val="none"/>
                    </w:rPr>
                    <w:t>化粪池池体、池壁破裂导致生活污水渗漏（垂直入渗）</w:t>
                  </w:r>
                </w:p>
              </w:tc>
              <w:tc>
                <w:tcPr>
                  <w:tcW w:w="853" w:type="pct"/>
                  <w:vAlign w:val="center"/>
                </w:tcPr>
                <w:p w14:paraId="253B6272">
                  <w:pPr>
                    <w:adjustRightInd w:val="0"/>
                    <w:snapToGrid w:val="0"/>
                    <w:jc w:val="center"/>
                    <w:rPr>
                      <w:color w:val="auto"/>
                      <w:kern w:val="24"/>
                      <w:szCs w:val="21"/>
                      <w:highlight w:val="none"/>
                    </w:rPr>
                  </w:pPr>
                  <w:r>
                    <w:rPr>
                      <w:rFonts w:hint="eastAsia"/>
                      <w:color w:val="auto"/>
                      <w:kern w:val="24"/>
                      <w:szCs w:val="21"/>
                      <w:highlight w:val="none"/>
                    </w:rPr>
                    <w:t>一般防渗区</w:t>
                  </w:r>
                </w:p>
              </w:tc>
            </w:tr>
            <w:tr w14:paraId="5DF4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1299" w:type="pct"/>
                  <w:vAlign w:val="center"/>
                </w:tcPr>
                <w:p w14:paraId="37719C4A">
                  <w:pPr>
                    <w:adjustRightInd w:val="0"/>
                    <w:snapToGrid w:val="0"/>
                    <w:jc w:val="center"/>
                    <w:rPr>
                      <w:rFonts w:hint="eastAsia" w:eastAsia="宋体"/>
                      <w:color w:val="auto"/>
                      <w:szCs w:val="21"/>
                      <w:highlight w:val="none"/>
                      <w:lang w:val="en-US" w:eastAsia="zh-CN"/>
                    </w:rPr>
                  </w:pPr>
                  <w:r>
                    <w:rPr>
                      <w:rFonts w:hint="eastAsia"/>
                      <w:color w:val="auto"/>
                      <w:szCs w:val="21"/>
                      <w:highlight w:val="none"/>
                    </w:rPr>
                    <w:t>危险废物</w:t>
                  </w:r>
                  <w:r>
                    <w:rPr>
                      <w:rFonts w:hint="eastAsia"/>
                      <w:color w:val="auto"/>
                      <w:szCs w:val="21"/>
                      <w:highlight w:val="none"/>
                      <w:lang w:val="en-US" w:eastAsia="zh-CN"/>
                    </w:rPr>
                    <w:t>暂存间</w:t>
                  </w:r>
                </w:p>
              </w:tc>
              <w:tc>
                <w:tcPr>
                  <w:tcW w:w="974" w:type="pct"/>
                  <w:vAlign w:val="center"/>
                </w:tcPr>
                <w:p w14:paraId="739BE907">
                  <w:pPr>
                    <w:adjustRightInd w:val="0"/>
                    <w:snapToGrid w:val="0"/>
                    <w:jc w:val="center"/>
                    <w:rPr>
                      <w:rFonts w:hint="default" w:eastAsia="宋体"/>
                      <w:color w:val="auto"/>
                      <w:kern w:val="24"/>
                      <w:szCs w:val="21"/>
                      <w:highlight w:val="none"/>
                      <w:lang w:val="en-US" w:eastAsia="zh-CN"/>
                    </w:rPr>
                  </w:pPr>
                  <w:r>
                    <w:rPr>
                      <w:rFonts w:hint="eastAsia"/>
                      <w:color w:val="auto"/>
                      <w:kern w:val="24"/>
                      <w:szCs w:val="21"/>
                      <w:highlight w:val="none"/>
                      <w:lang w:val="en-US" w:eastAsia="zh-CN"/>
                    </w:rPr>
                    <w:t>废机油、废油墨</w:t>
                  </w:r>
                </w:p>
              </w:tc>
              <w:tc>
                <w:tcPr>
                  <w:tcW w:w="1873" w:type="pct"/>
                  <w:vAlign w:val="center"/>
                </w:tcPr>
                <w:p w14:paraId="21BCB2D2">
                  <w:pPr>
                    <w:adjustRightInd w:val="0"/>
                    <w:snapToGrid w:val="0"/>
                    <w:jc w:val="center"/>
                    <w:rPr>
                      <w:rFonts w:hint="eastAsia"/>
                      <w:color w:val="auto"/>
                      <w:kern w:val="24"/>
                      <w:szCs w:val="21"/>
                      <w:highlight w:val="none"/>
                    </w:rPr>
                  </w:pPr>
                  <w:r>
                    <w:rPr>
                      <w:rFonts w:hint="eastAsia"/>
                      <w:color w:val="auto"/>
                      <w:kern w:val="24"/>
                      <w:szCs w:val="21"/>
                      <w:highlight w:val="none"/>
                    </w:rPr>
                    <w:t>危险废物容器破损导致液体废物</w:t>
                  </w:r>
                  <w:r>
                    <w:rPr>
                      <w:rFonts w:hint="eastAsia"/>
                      <w:color w:val="auto"/>
                      <w:kern w:val="24"/>
                      <w:szCs w:val="21"/>
                      <w:highlight w:val="none"/>
                      <w:lang w:eastAsia="zh-CN"/>
                    </w:rPr>
                    <w:t>泄漏</w:t>
                  </w:r>
                  <w:r>
                    <w:rPr>
                      <w:rFonts w:hint="eastAsia"/>
                      <w:color w:val="auto"/>
                      <w:kern w:val="24"/>
                      <w:szCs w:val="21"/>
                      <w:highlight w:val="none"/>
                    </w:rPr>
                    <w:t>（垂直入渗）</w:t>
                  </w:r>
                </w:p>
              </w:tc>
              <w:tc>
                <w:tcPr>
                  <w:tcW w:w="853" w:type="pct"/>
                  <w:vAlign w:val="center"/>
                </w:tcPr>
                <w:p w14:paraId="4C61B8BE">
                  <w:pPr>
                    <w:adjustRightInd w:val="0"/>
                    <w:snapToGrid w:val="0"/>
                    <w:jc w:val="center"/>
                    <w:rPr>
                      <w:rFonts w:hint="eastAsia"/>
                      <w:color w:val="auto"/>
                      <w:kern w:val="24"/>
                      <w:szCs w:val="21"/>
                      <w:highlight w:val="none"/>
                    </w:rPr>
                  </w:pPr>
                  <w:r>
                    <w:rPr>
                      <w:rFonts w:hint="eastAsia"/>
                      <w:color w:val="auto"/>
                      <w:kern w:val="24"/>
                      <w:szCs w:val="21"/>
                      <w:highlight w:val="none"/>
                    </w:rPr>
                    <w:t>重点防渗区</w:t>
                  </w:r>
                </w:p>
              </w:tc>
            </w:tr>
          </w:tbl>
          <w:p w14:paraId="2CFCE8D2">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（2）污染防控措施</w:t>
            </w:r>
          </w:p>
          <w:p w14:paraId="41CBA49C">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①源头控制措施</w:t>
            </w:r>
          </w:p>
          <w:p w14:paraId="19E1AC26">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①源头控制措施</w:t>
            </w:r>
          </w:p>
          <w:p w14:paraId="0195FA9C">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污水管严格按照国家相关规范要求，使用合格的管材尽可能从源头上减少污染物的产生；防止和降低可能污染物的跑、冒、滴、漏，将废水泄漏的环境风险事故降低到最低程度。</w:t>
            </w:r>
          </w:p>
          <w:p w14:paraId="71BBED1D">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②分区防控措施</w:t>
            </w:r>
          </w:p>
          <w:p w14:paraId="51846573">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根据项目地下水、土壤污染分析，本项目按照分区防控的要求，将厂区分为重点防渗区、一般防渗区和简单防渗区，不同的分区采取相应的防渗措施。</w:t>
            </w:r>
          </w:p>
          <w:p w14:paraId="5F34D227">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本项目运行期地下水、土壤防控措施见下表。</w:t>
            </w:r>
          </w:p>
          <w:p w14:paraId="086F1928">
            <w:pPr>
              <w:adjustRightInd w:val="0"/>
              <w:snapToGrid w:val="0"/>
              <w:spacing w:line="360" w:lineRule="auto"/>
              <w:ind w:firstLine="482" w:firstLineChars="200"/>
              <w:jc w:val="center"/>
              <w:rPr>
                <w:rFonts w:hint="eastAsia"/>
                <w:b/>
                <w:color w:val="auto"/>
                <w:kern w:val="24"/>
                <w:sz w:val="24"/>
                <w:highlight w:val="none"/>
              </w:rPr>
            </w:pPr>
            <w:r>
              <w:rPr>
                <w:rFonts w:hint="eastAsia"/>
                <w:b/>
                <w:color w:val="auto"/>
                <w:kern w:val="24"/>
                <w:sz w:val="24"/>
                <w:highlight w:val="none"/>
              </w:rPr>
              <w:t>表4-2</w:t>
            </w:r>
            <w:r>
              <w:rPr>
                <w:rFonts w:hint="eastAsia"/>
                <w:b/>
                <w:color w:val="auto"/>
                <w:kern w:val="24"/>
                <w:sz w:val="24"/>
                <w:highlight w:val="none"/>
                <w:lang w:val="en-US" w:eastAsia="zh-CN"/>
              </w:rPr>
              <w:t>1</w:t>
            </w:r>
            <w:r>
              <w:rPr>
                <w:rFonts w:hint="eastAsia"/>
                <w:b/>
                <w:color w:val="auto"/>
                <w:kern w:val="24"/>
                <w:sz w:val="24"/>
                <w:highlight w:val="none"/>
              </w:rPr>
              <w:t xml:space="preserve">  本项目分区防渗内容及要求汇总表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626"/>
              <w:gridCol w:w="2421"/>
              <w:gridCol w:w="4299"/>
            </w:tblGrid>
            <w:tr w14:paraId="6DFC1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0" w:hRule="atLeast"/>
              </w:trPr>
              <w:tc>
                <w:tcPr>
                  <w:tcW w:w="974" w:type="pct"/>
                  <w:vAlign w:val="center"/>
                </w:tcPr>
                <w:p w14:paraId="2924D81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kern w:val="24"/>
                      <w:sz w:val="21"/>
                      <w:szCs w:val="21"/>
                      <w:highlight w:val="none"/>
                    </w:rPr>
                  </w:pPr>
                  <w:r>
                    <w:rPr>
                      <w:rFonts w:hint="default" w:ascii="Times New Roman" w:hAnsi="Times New Roman" w:eastAsia="宋体" w:cs="Times New Roman"/>
                      <w:b/>
                      <w:bCs/>
                      <w:color w:val="auto"/>
                      <w:kern w:val="24"/>
                      <w:sz w:val="21"/>
                      <w:szCs w:val="21"/>
                      <w:highlight w:val="none"/>
                    </w:rPr>
                    <w:t>防渗分区</w:t>
                  </w:r>
                </w:p>
              </w:tc>
              <w:tc>
                <w:tcPr>
                  <w:tcW w:w="1450" w:type="pct"/>
                  <w:vAlign w:val="center"/>
                </w:tcPr>
                <w:p w14:paraId="0582CBE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kern w:val="24"/>
                      <w:sz w:val="21"/>
                      <w:szCs w:val="21"/>
                      <w:highlight w:val="none"/>
                    </w:rPr>
                  </w:pPr>
                  <w:r>
                    <w:rPr>
                      <w:rFonts w:hint="default" w:ascii="Times New Roman" w:hAnsi="Times New Roman" w:eastAsia="宋体" w:cs="Times New Roman"/>
                      <w:b/>
                      <w:bCs/>
                      <w:color w:val="auto"/>
                      <w:kern w:val="24"/>
                      <w:sz w:val="21"/>
                      <w:szCs w:val="21"/>
                      <w:highlight w:val="none"/>
                    </w:rPr>
                    <w:t>区域</w:t>
                  </w:r>
                </w:p>
              </w:tc>
              <w:tc>
                <w:tcPr>
                  <w:tcW w:w="2574" w:type="pct"/>
                  <w:vAlign w:val="center"/>
                </w:tcPr>
                <w:p w14:paraId="05D5968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bCs/>
                      <w:color w:val="auto"/>
                      <w:kern w:val="24"/>
                      <w:sz w:val="21"/>
                      <w:szCs w:val="21"/>
                      <w:highlight w:val="none"/>
                    </w:rPr>
                  </w:pPr>
                  <w:r>
                    <w:rPr>
                      <w:rFonts w:hint="default" w:ascii="Times New Roman" w:hAnsi="Times New Roman" w:eastAsia="宋体" w:cs="Times New Roman"/>
                      <w:b/>
                      <w:bCs/>
                      <w:color w:val="auto"/>
                      <w:kern w:val="24"/>
                      <w:sz w:val="21"/>
                      <w:szCs w:val="21"/>
                      <w:highlight w:val="none"/>
                    </w:rPr>
                    <w:t>防渗要求、措施</w:t>
                  </w:r>
                </w:p>
              </w:tc>
            </w:tr>
            <w:tr w14:paraId="2E9D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0" w:hRule="atLeast"/>
              </w:trPr>
              <w:tc>
                <w:tcPr>
                  <w:tcW w:w="974" w:type="pct"/>
                  <w:vAlign w:val="center"/>
                </w:tcPr>
                <w:p w14:paraId="7BEC657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重点防渗区</w:t>
                  </w:r>
                </w:p>
              </w:tc>
              <w:tc>
                <w:tcPr>
                  <w:tcW w:w="1450" w:type="pct"/>
                  <w:vAlign w:val="center"/>
                </w:tcPr>
                <w:p w14:paraId="36FD409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危废暂存间</w:t>
                  </w:r>
                </w:p>
              </w:tc>
              <w:tc>
                <w:tcPr>
                  <w:tcW w:w="2574" w:type="pct"/>
                  <w:vAlign w:val="center"/>
                </w:tcPr>
                <w:p w14:paraId="2CA41A9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0"/>
                      <w:sz w:val="21"/>
                      <w:szCs w:val="21"/>
                      <w:highlight w:val="none"/>
                      <w:lang w:bidi="ar"/>
                    </w:rPr>
                    <w:t>防渗措施采用2mm厚高密度聚乙烯膜</w:t>
                  </w:r>
                  <w:r>
                    <w:rPr>
                      <w:rFonts w:hint="default" w:ascii="Times New Roman" w:hAnsi="Times New Roman" w:eastAsia="宋体" w:cs="Times New Roman"/>
                      <w:color w:val="auto"/>
                      <w:kern w:val="0"/>
                      <w:sz w:val="21"/>
                      <w:szCs w:val="21"/>
                      <w:highlight w:val="none"/>
                    </w:rPr>
                    <w:t>。</w:t>
                  </w:r>
                  <w:r>
                    <w:rPr>
                      <w:rFonts w:hint="default" w:ascii="Times New Roman" w:hAnsi="Times New Roman" w:eastAsia="宋体" w:cs="Times New Roman"/>
                      <w:color w:val="auto"/>
                      <w:kern w:val="24"/>
                      <w:sz w:val="21"/>
                      <w:szCs w:val="21"/>
                      <w:highlight w:val="none"/>
                    </w:rPr>
                    <w:t>渗透系数≦10</w:t>
                  </w:r>
                  <w:r>
                    <w:rPr>
                      <w:rFonts w:hint="default" w:ascii="Times New Roman" w:hAnsi="Times New Roman" w:eastAsia="宋体" w:cs="Times New Roman"/>
                      <w:color w:val="auto"/>
                      <w:kern w:val="24"/>
                      <w:sz w:val="21"/>
                      <w:szCs w:val="21"/>
                      <w:highlight w:val="none"/>
                      <w:vertAlign w:val="superscript"/>
                    </w:rPr>
                    <w:t>-10</w:t>
                  </w:r>
                  <w:r>
                    <w:rPr>
                      <w:rFonts w:hint="default" w:ascii="Times New Roman" w:hAnsi="Times New Roman" w:eastAsia="宋体" w:cs="Times New Roman"/>
                      <w:color w:val="auto"/>
                      <w:kern w:val="24"/>
                      <w:sz w:val="21"/>
                      <w:szCs w:val="21"/>
                      <w:highlight w:val="none"/>
                    </w:rPr>
                    <w:t>cm/s。</w:t>
                  </w:r>
                </w:p>
              </w:tc>
            </w:tr>
            <w:tr w14:paraId="04550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0" w:hRule="atLeast"/>
              </w:trPr>
              <w:tc>
                <w:tcPr>
                  <w:tcW w:w="974" w:type="pct"/>
                  <w:vAlign w:val="center"/>
                </w:tcPr>
                <w:p w14:paraId="681700A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4"/>
                      <w:sz w:val="21"/>
                      <w:szCs w:val="21"/>
                      <w:highlight w:val="none"/>
                    </w:rPr>
                  </w:pPr>
                  <w:r>
                    <w:rPr>
                      <w:rFonts w:hint="eastAsia" w:cs="Times New Roman"/>
                      <w:color w:val="auto"/>
                      <w:kern w:val="24"/>
                      <w:sz w:val="21"/>
                      <w:szCs w:val="21"/>
                      <w:highlight w:val="none"/>
                      <w:lang w:val="en-US" w:eastAsia="zh-CN"/>
                    </w:rPr>
                    <w:t>一般</w:t>
                  </w:r>
                  <w:r>
                    <w:rPr>
                      <w:rFonts w:hint="default" w:ascii="Times New Roman" w:hAnsi="Times New Roman" w:eastAsia="宋体" w:cs="Times New Roman"/>
                      <w:color w:val="auto"/>
                      <w:kern w:val="24"/>
                      <w:sz w:val="21"/>
                      <w:szCs w:val="21"/>
                      <w:highlight w:val="none"/>
                    </w:rPr>
                    <w:t>防渗区</w:t>
                  </w:r>
                </w:p>
              </w:tc>
              <w:tc>
                <w:tcPr>
                  <w:tcW w:w="1450" w:type="pct"/>
                  <w:vAlign w:val="center"/>
                </w:tcPr>
                <w:p w14:paraId="5581F49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sz w:val="21"/>
                      <w:szCs w:val="21"/>
                      <w:highlight w:val="none"/>
                    </w:rPr>
                    <w:t>化粪池</w:t>
                  </w:r>
                </w:p>
              </w:tc>
              <w:tc>
                <w:tcPr>
                  <w:tcW w:w="2574" w:type="pct"/>
                  <w:vAlign w:val="center"/>
                </w:tcPr>
                <w:p w14:paraId="7592305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sz w:val="21"/>
                      <w:szCs w:val="21"/>
                      <w:highlight w:val="none"/>
                    </w:rPr>
                    <w:t>防渗措施采用抗渗混凝土</w:t>
                  </w:r>
                  <w:r>
                    <w:rPr>
                      <w:rFonts w:hint="default" w:ascii="Times New Roman" w:hAnsi="Times New Roman" w:eastAsia="宋体" w:cs="Times New Roman"/>
                      <w:color w:val="auto"/>
                      <w:kern w:val="24"/>
                      <w:sz w:val="21"/>
                      <w:szCs w:val="21"/>
                      <w:highlight w:val="none"/>
                    </w:rPr>
                    <w:t>。渗透系数≤10</w:t>
                  </w:r>
                  <w:r>
                    <w:rPr>
                      <w:rFonts w:hint="default" w:ascii="Times New Roman" w:hAnsi="Times New Roman" w:eastAsia="宋体" w:cs="Times New Roman"/>
                      <w:color w:val="auto"/>
                      <w:kern w:val="24"/>
                      <w:sz w:val="21"/>
                      <w:szCs w:val="21"/>
                      <w:highlight w:val="none"/>
                      <w:vertAlign w:val="superscript"/>
                    </w:rPr>
                    <w:t>-7</w:t>
                  </w:r>
                  <w:r>
                    <w:rPr>
                      <w:rFonts w:hint="default" w:ascii="Times New Roman" w:hAnsi="Times New Roman" w:eastAsia="宋体" w:cs="Times New Roman"/>
                      <w:color w:val="auto"/>
                      <w:kern w:val="24"/>
                      <w:sz w:val="21"/>
                      <w:szCs w:val="21"/>
                      <w:highlight w:val="none"/>
                    </w:rPr>
                    <w:t>cm/s</w:t>
                  </w:r>
                </w:p>
              </w:tc>
            </w:tr>
            <w:tr w14:paraId="2A49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0" w:hRule="atLeast"/>
              </w:trPr>
              <w:tc>
                <w:tcPr>
                  <w:tcW w:w="974" w:type="pct"/>
                  <w:vAlign w:val="center"/>
                </w:tcPr>
                <w:p w14:paraId="18AB0F0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简单防渗区</w:t>
                  </w:r>
                </w:p>
              </w:tc>
              <w:tc>
                <w:tcPr>
                  <w:tcW w:w="1450" w:type="pct"/>
                  <w:vAlign w:val="center"/>
                </w:tcPr>
                <w:p w14:paraId="6220D4B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生产车间</w:t>
                  </w:r>
                </w:p>
              </w:tc>
              <w:tc>
                <w:tcPr>
                  <w:tcW w:w="2574" w:type="pct"/>
                  <w:vAlign w:val="center"/>
                </w:tcPr>
                <w:p w14:paraId="2C193B7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一般地面硬化</w:t>
                  </w:r>
                </w:p>
              </w:tc>
            </w:tr>
          </w:tbl>
          <w:p w14:paraId="39C7149A">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w:t>
            </w:r>
            <w:r>
              <w:rPr>
                <w:rFonts w:hint="eastAsia"/>
                <w:color w:val="auto"/>
                <w:sz w:val="24"/>
                <w:highlight w:val="none"/>
                <w:lang w:val="en-US" w:eastAsia="zh-CN"/>
              </w:rPr>
              <w:t>3</w:t>
            </w:r>
            <w:r>
              <w:rPr>
                <w:rFonts w:hint="eastAsia"/>
                <w:color w:val="auto"/>
                <w:sz w:val="24"/>
                <w:highlight w:val="none"/>
                <w:lang w:eastAsia="zh-CN"/>
              </w:rPr>
              <w:t>）地下水、土壤环境影响分析</w:t>
            </w:r>
          </w:p>
          <w:p w14:paraId="2E6BA286">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本项目地下水、土壤污染途径主要为垂直入渗、大气沉降。若发生防渗层破损等非正常状况下，辅料泄漏、危险废物贮存库液体废物泄漏、生活污水垂直入渗，可能对区域地下水及土壤造成影响。</w:t>
            </w:r>
          </w:p>
          <w:p w14:paraId="2A36728A">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根据项目地下水、土壤污染分析，本项目按照分区防控的要求，将厂区分为重点防渗区、一般防渗区和简单防渗区，不同的分区采取相应的防渗措施。杜绝污水及泄漏物料的跑、冒、滴、漏，并在日常管理中加强设施维护。</w:t>
            </w:r>
          </w:p>
          <w:p w14:paraId="60AFFC24">
            <w:pPr>
              <w:snapToGrid w:val="0"/>
              <w:spacing w:line="360" w:lineRule="auto"/>
              <w:ind w:firstLine="480" w:firstLineChars="200"/>
              <w:rPr>
                <w:rFonts w:hint="eastAsia"/>
                <w:color w:val="auto"/>
                <w:sz w:val="24"/>
                <w:highlight w:val="none"/>
                <w:lang w:eastAsia="zh-CN"/>
              </w:rPr>
            </w:pPr>
            <w:r>
              <w:rPr>
                <w:rFonts w:hint="eastAsia"/>
                <w:color w:val="auto"/>
                <w:sz w:val="24"/>
                <w:highlight w:val="none"/>
                <w:lang w:eastAsia="zh-CN"/>
              </w:rPr>
              <w:t>综上所述，经采取有效分区防控措施后，项目对地下水、土壤环境影响较小。</w:t>
            </w:r>
          </w:p>
          <w:p w14:paraId="1E240E22">
            <w:pPr>
              <w:snapToGrid w:val="0"/>
              <w:spacing w:line="360" w:lineRule="auto"/>
              <w:ind w:firstLine="482" w:firstLineChars="200"/>
              <w:rPr>
                <w:b/>
                <w:bCs/>
                <w:color w:val="auto"/>
                <w:sz w:val="24"/>
                <w:highlight w:val="none"/>
              </w:rPr>
            </w:pPr>
            <w:r>
              <w:rPr>
                <w:rFonts w:hint="eastAsia"/>
                <w:b/>
                <w:bCs/>
                <w:color w:val="auto"/>
                <w:sz w:val="24"/>
                <w:highlight w:val="none"/>
              </w:rPr>
              <w:t>六、环境风险分析</w:t>
            </w:r>
          </w:p>
          <w:p w14:paraId="565C0767">
            <w:pPr>
              <w:snapToGrid w:val="0"/>
              <w:spacing w:line="360" w:lineRule="auto"/>
              <w:ind w:firstLine="480" w:firstLineChars="200"/>
              <w:rPr>
                <w:bCs/>
                <w:color w:val="auto"/>
                <w:sz w:val="24"/>
                <w:highlight w:val="none"/>
              </w:rPr>
            </w:pPr>
            <w:r>
              <w:rPr>
                <w:rFonts w:hint="eastAsia"/>
                <w:bCs/>
                <w:color w:val="auto"/>
                <w:sz w:val="24"/>
                <w:highlight w:val="none"/>
              </w:rPr>
              <w:t>1、风险识别</w:t>
            </w:r>
          </w:p>
          <w:p w14:paraId="69F87442">
            <w:pPr>
              <w:snapToGrid w:val="0"/>
              <w:spacing w:line="360" w:lineRule="auto"/>
              <w:ind w:firstLine="480" w:firstLineChars="200"/>
              <w:rPr>
                <w:rFonts w:hint="eastAsia"/>
                <w:bCs/>
                <w:color w:val="auto"/>
                <w:sz w:val="24"/>
                <w:highlight w:val="none"/>
              </w:rPr>
            </w:pPr>
            <w:r>
              <w:rPr>
                <w:rFonts w:hint="eastAsia"/>
                <w:bCs/>
                <w:color w:val="auto"/>
                <w:sz w:val="24"/>
                <w:highlight w:val="none"/>
              </w:rPr>
              <w:t>对照《建设项目环境风险评价技术导则》（HJ169－2018）相关附录，本项目</w:t>
            </w:r>
            <w:r>
              <w:rPr>
                <w:rFonts w:hint="eastAsia"/>
                <w:bCs/>
                <w:color w:val="auto"/>
                <w:sz w:val="24"/>
                <w:highlight w:val="none"/>
                <w:lang w:val="en-US" w:eastAsia="zh-CN"/>
              </w:rPr>
              <w:t>使用的原辅料中不涉及环境风险物质，“三废”产生过程中涉及的风险物质为废机油、废机油桶、废活性炭、废催化剂、废油墨及废油墨桶</w:t>
            </w:r>
            <w:r>
              <w:rPr>
                <w:rFonts w:hint="eastAsia"/>
                <w:bCs/>
                <w:color w:val="auto"/>
                <w:sz w:val="24"/>
                <w:highlight w:val="none"/>
              </w:rPr>
              <w:t>。</w:t>
            </w:r>
          </w:p>
          <w:p w14:paraId="1C5E83F9">
            <w:pPr>
              <w:numPr>
                <w:ilvl w:val="0"/>
                <w:numId w:val="0"/>
              </w:numPr>
              <w:snapToGrid w:val="0"/>
              <w:spacing w:line="360" w:lineRule="auto"/>
              <w:ind w:firstLine="480" w:firstLineChars="200"/>
              <w:rPr>
                <w:rFonts w:hint="eastAsia"/>
                <w:bCs/>
                <w:color w:val="auto"/>
                <w:sz w:val="24"/>
                <w:highlight w:val="none"/>
                <w:lang w:val="en-US" w:eastAsia="zh-CN"/>
              </w:rPr>
            </w:pPr>
            <w:r>
              <w:rPr>
                <w:rFonts w:hint="eastAsia" w:ascii="Times New Roman" w:hAnsi="Times New Roman" w:eastAsia="宋体" w:cs="Times New Roman"/>
                <w:bCs/>
                <w:color w:val="auto"/>
                <w:kern w:val="2"/>
                <w:sz w:val="24"/>
                <w:szCs w:val="24"/>
                <w:highlight w:val="none"/>
                <w:lang w:val="en-US" w:eastAsia="zh-CN" w:bidi="ar-SA"/>
              </w:rPr>
              <w:t>2、</w:t>
            </w:r>
            <w:r>
              <w:rPr>
                <w:rFonts w:hint="eastAsia"/>
                <w:bCs/>
                <w:color w:val="auto"/>
                <w:sz w:val="24"/>
                <w:highlight w:val="none"/>
                <w:lang w:val="en-US" w:eastAsia="zh-CN"/>
              </w:rPr>
              <w:t>风险源分布</w:t>
            </w:r>
          </w:p>
          <w:p w14:paraId="3C5390CF">
            <w:pPr>
              <w:numPr>
                <w:ilvl w:val="0"/>
                <w:numId w:val="0"/>
              </w:numPr>
              <w:snapToGrid w:val="0"/>
              <w:spacing w:line="360" w:lineRule="auto"/>
              <w:ind w:firstLine="480" w:firstLineChars="200"/>
              <w:rPr>
                <w:rFonts w:hint="default" w:ascii="Times New Roman" w:hAnsi="Times New Roman" w:eastAsia="宋体"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本项目运营期涉及的危险物质和风险源分布情况及可能影响途径识别见下表4-22</w:t>
            </w:r>
            <w:r>
              <w:rPr>
                <w:rFonts w:hint="default" w:ascii="Times New Roman" w:hAnsi="Times New Roman" w:eastAsia="宋体" w:cs="Times New Roman"/>
                <w:bCs/>
                <w:color w:val="auto"/>
                <w:kern w:val="2"/>
                <w:sz w:val="24"/>
                <w:szCs w:val="24"/>
                <w:highlight w:val="none"/>
                <w:lang w:val="en-US" w:eastAsia="zh-CN" w:bidi="ar-SA"/>
              </w:rPr>
              <w:t>。</w:t>
            </w:r>
          </w:p>
          <w:p w14:paraId="7A531512">
            <w:pPr>
              <w:adjustRightInd w:val="0"/>
              <w:snapToGrid w:val="0"/>
              <w:spacing w:line="360" w:lineRule="auto"/>
              <w:ind w:firstLine="482" w:firstLineChars="200"/>
              <w:jc w:val="center"/>
              <w:rPr>
                <w:b/>
                <w:color w:val="auto"/>
                <w:kern w:val="24"/>
                <w:sz w:val="24"/>
              </w:rPr>
            </w:pPr>
            <w:r>
              <w:rPr>
                <w:rFonts w:hint="eastAsia"/>
                <w:b/>
                <w:color w:val="auto"/>
                <w:kern w:val="24"/>
                <w:sz w:val="24"/>
              </w:rPr>
              <w:t>表4-2</w:t>
            </w:r>
            <w:r>
              <w:rPr>
                <w:rFonts w:hint="eastAsia"/>
                <w:b/>
                <w:color w:val="auto"/>
                <w:kern w:val="24"/>
                <w:sz w:val="24"/>
                <w:lang w:val="en-US" w:eastAsia="zh-CN"/>
              </w:rPr>
              <w:t>2</w:t>
            </w:r>
            <w:r>
              <w:rPr>
                <w:rFonts w:hint="eastAsia"/>
                <w:b/>
                <w:color w:val="auto"/>
                <w:kern w:val="24"/>
                <w:sz w:val="24"/>
              </w:rPr>
              <w:t xml:space="preserve">  环境风险识别汇总表</w:t>
            </w:r>
          </w:p>
          <w:tbl>
            <w:tblPr>
              <w:tblStyle w:val="26"/>
              <w:tblW w:w="83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
              <w:gridCol w:w="743"/>
              <w:gridCol w:w="920"/>
              <w:gridCol w:w="804"/>
              <w:gridCol w:w="743"/>
              <w:gridCol w:w="693"/>
              <w:gridCol w:w="823"/>
              <w:gridCol w:w="675"/>
              <w:gridCol w:w="987"/>
              <w:gridCol w:w="1540"/>
            </w:tblGrid>
            <w:tr w14:paraId="5EAC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dxa"/>
                  <w:vAlign w:val="center"/>
                </w:tcPr>
                <w:p w14:paraId="605C401C">
                  <w:pPr>
                    <w:jc w:val="center"/>
                    <w:rPr>
                      <w:color w:val="auto"/>
                      <w:kern w:val="24"/>
                      <w:sz w:val="18"/>
                      <w:szCs w:val="18"/>
                    </w:rPr>
                  </w:pPr>
                  <w:r>
                    <w:rPr>
                      <w:rFonts w:hint="eastAsia"/>
                      <w:color w:val="auto"/>
                      <w:kern w:val="24"/>
                      <w:sz w:val="18"/>
                      <w:szCs w:val="18"/>
                    </w:rPr>
                    <w:t>序号</w:t>
                  </w:r>
                </w:p>
              </w:tc>
              <w:tc>
                <w:tcPr>
                  <w:tcW w:w="743" w:type="dxa"/>
                  <w:vAlign w:val="center"/>
                </w:tcPr>
                <w:p w14:paraId="4E1453A7">
                  <w:pPr>
                    <w:jc w:val="center"/>
                    <w:rPr>
                      <w:color w:val="auto"/>
                      <w:kern w:val="24"/>
                      <w:sz w:val="18"/>
                      <w:szCs w:val="18"/>
                    </w:rPr>
                  </w:pPr>
                  <w:r>
                    <w:rPr>
                      <w:rFonts w:hint="eastAsia"/>
                      <w:color w:val="auto"/>
                      <w:kern w:val="24"/>
                      <w:sz w:val="18"/>
                      <w:szCs w:val="18"/>
                    </w:rPr>
                    <w:t>风险源</w:t>
                  </w:r>
                </w:p>
              </w:tc>
              <w:tc>
                <w:tcPr>
                  <w:tcW w:w="920" w:type="dxa"/>
                  <w:vAlign w:val="center"/>
                </w:tcPr>
                <w:p w14:paraId="7CDA1391">
                  <w:pPr>
                    <w:jc w:val="center"/>
                    <w:rPr>
                      <w:color w:val="auto"/>
                      <w:kern w:val="24"/>
                      <w:sz w:val="18"/>
                      <w:szCs w:val="18"/>
                    </w:rPr>
                  </w:pPr>
                  <w:r>
                    <w:rPr>
                      <w:rFonts w:hint="eastAsia"/>
                      <w:color w:val="auto"/>
                      <w:kern w:val="24"/>
                      <w:sz w:val="18"/>
                      <w:szCs w:val="18"/>
                    </w:rPr>
                    <w:t>危险物质</w:t>
                  </w:r>
                </w:p>
              </w:tc>
              <w:tc>
                <w:tcPr>
                  <w:tcW w:w="804" w:type="dxa"/>
                  <w:vAlign w:val="center"/>
                </w:tcPr>
                <w:p w14:paraId="552DA313">
                  <w:pPr>
                    <w:jc w:val="center"/>
                    <w:rPr>
                      <w:color w:val="auto"/>
                      <w:kern w:val="24"/>
                      <w:sz w:val="18"/>
                      <w:szCs w:val="18"/>
                    </w:rPr>
                  </w:pPr>
                  <w:r>
                    <w:rPr>
                      <w:rFonts w:hint="eastAsia"/>
                      <w:color w:val="auto"/>
                      <w:kern w:val="24"/>
                      <w:sz w:val="18"/>
                      <w:szCs w:val="18"/>
                    </w:rPr>
                    <w:t>危险性</w:t>
                  </w:r>
                </w:p>
              </w:tc>
              <w:tc>
                <w:tcPr>
                  <w:tcW w:w="743" w:type="dxa"/>
                  <w:vAlign w:val="center"/>
                </w:tcPr>
                <w:p w14:paraId="52D6046A">
                  <w:pPr>
                    <w:jc w:val="center"/>
                    <w:rPr>
                      <w:color w:val="auto"/>
                      <w:kern w:val="24"/>
                      <w:sz w:val="18"/>
                      <w:szCs w:val="18"/>
                    </w:rPr>
                  </w:pPr>
                  <w:r>
                    <w:rPr>
                      <w:rFonts w:hint="eastAsia"/>
                      <w:color w:val="auto"/>
                      <w:kern w:val="24"/>
                      <w:sz w:val="18"/>
                      <w:szCs w:val="18"/>
                    </w:rPr>
                    <w:t>最大储存量t</w:t>
                  </w:r>
                </w:p>
              </w:tc>
              <w:tc>
                <w:tcPr>
                  <w:tcW w:w="693" w:type="dxa"/>
                  <w:vAlign w:val="center"/>
                </w:tcPr>
                <w:p w14:paraId="777441A7">
                  <w:pPr>
                    <w:jc w:val="center"/>
                    <w:rPr>
                      <w:color w:val="auto"/>
                      <w:kern w:val="24"/>
                      <w:sz w:val="18"/>
                      <w:szCs w:val="18"/>
                    </w:rPr>
                  </w:pPr>
                  <w:r>
                    <w:rPr>
                      <w:rFonts w:hint="eastAsia"/>
                      <w:color w:val="auto"/>
                      <w:kern w:val="24"/>
                      <w:sz w:val="18"/>
                      <w:szCs w:val="18"/>
                    </w:rPr>
                    <w:t>临界量t</w:t>
                  </w:r>
                </w:p>
              </w:tc>
              <w:tc>
                <w:tcPr>
                  <w:tcW w:w="823" w:type="dxa"/>
                  <w:vAlign w:val="center"/>
                </w:tcPr>
                <w:p w14:paraId="52ABB890">
                  <w:pPr>
                    <w:jc w:val="center"/>
                    <w:rPr>
                      <w:color w:val="auto"/>
                      <w:kern w:val="24"/>
                      <w:sz w:val="18"/>
                      <w:szCs w:val="18"/>
                    </w:rPr>
                  </w:pPr>
                  <w:r>
                    <w:rPr>
                      <w:rFonts w:hint="eastAsia"/>
                      <w:color w:val="auto"/>
                      <w:kern w:val="24"/>
                      <w:sz w:val="18"/>
                      <w:szCs w:val="18"/>
                    </w:rPr>
                    <w:t>Q值</w:t>
                  </w:r>
                </w:p>
              </w:tc>
              <w:tc>
                <w:tcPr>
                  <w:tcW w:w="675" w:type="dxa"/>
                  <w:vAlign w:val="center"/>
                </w:tcPr>
                <w:p w14:paraId="42079A21">
                  <w:pPr>
                    <w:jc w:val="center"/>
                    <w:rPr>
                      <w:color w:val="auto"/>
                      <w:kern w:val="24"/>
                      <w:sz w:val="18"/>
                      <w:szCs w:val="18"/>
                    </w:rPr>
                  </w:pPr>
                  <w:r>
                    <w:rPr>
                      <w:rFonts w:hint="eastAsia"/>
                      <w:color w:val="auto"/>
                      <w:kern w:val="24"/>
                      <w:sz w:val="18"/>
                      <w:szCs w:val="18"/>
                    </w:rPr>
                    <w:t>储存方式</w:t>
                  </w:r>
                </w:p>
              </w:tc>
              <w:tc>
                <w:tcPr>
                  <w:tcW w:w="987" w:type="dxa"/>
                  <w:vAlign w:val="center"/>
                </w:tcPr>
                <w:p w14:paraId="38B0C492">
                  <w:pPr>
                    <w:jc w:val="center"/>
                    <w:rPr>
                      <w:color w:val="auto"/>
                      <w:kern w:val="24"/>
                      <w:sz w:val="18"/>
                      <w:szCs w:val="18"/>
                    </w:rPr>
                  </w:pPr>
                  <w:r>
                    <w:rPr>
                      <w:rFonts w:hint="eastAsia"/>
                      <w:color w:val="auto"/>
                      <w:kern w:val="24"/>
                      <w:sz w:val="18"/>
                      <w:szCs w:val="18"/>
                    </w:rPr>
                    <w:t>风险类型</w:t>
                  </w:r>
                </w:p>
              </w:tc>
              <w:tc>
                <w:tcPr>
                  <w:tcW w:w="1540" w:type="dxa"/>
                  <w:vAlign w:val="center"/>
                </w:tcPr>
                <w:p w14:paraId="7071F40C">
                  <w:pPr>
                    <w:jc w:val="center"/>
                    <w:rPr>
                      <w:color w:val="auto"/>
                      <w:kern w:val="24"/>
                      <w:sz w:val="18"/>
                      <w:szCs w:val="18"/>
                    </w:rPr>
                  </w:pPr>
                  <w:r>
                    <w:rPr>
                      <w:rFonts w:hint="eastAsia"/>
                      <w:color w:val="auto"/>
                      <w:kern w:val="24"/>
                      <w:sz w:val="18"/>
                      <w:szCs w:val="18"/>
                    </w:rPr>
                    <w:t>可能影响途径</w:t>
                  </w:r>
                </w:p>
              </w:tc>
            </w:tr>
            <w:tr w14:paraId="7FC4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dxa"/>
                  <w:vAlign w:val="center"/>
                </w:tcPr>
                <w:p w14:paraId="147EC311">
                  <w:pPr>
                    <w:jc w:val="center"/>
                    <w:rPr>
                      <w:rFonts w:hint="eastAsia" w:eastAsia="宋体"/>
                      <w:color w:val="auto"/>
                      <w:kern w:val="24"/>
                      <w:sz w:val="18"/>
                      <w:szCs w:val="18"/>
                      <w:lang w:val="en-US" w:eastAsia="zh-CN"/>
                    </w:rPr>
                  </w:pPr>
                  <w:r>
                    <w:rPr>
                      <w:rFonts w:hint="eastAsia"/>
                      <w:color w:val="auto"/>
                      <w:kern w:val="24"/>
                      <w:sz w:val="18"/>
                      <w:szCs w:val="18"/>
                      <w:lang w:val="en-US" w:eastAsia="zh-CN"/>
                    </w:rPr>
                    <w:t>1</w:t>
                  </w:r>
                </w:p>
              </w:tc>
              <w:tc>
                <w:tcPr>
                  <w:tcW w:w="743" w:type="dxa"/>
                  <w:vMerge w:val="restart"/>
                  <w:vAlign w:val="center"/>
                </w:tcPr>
                <w:p w14:paraId="5E0E2BDB">
                  <w:pPr>
                    <w:jc w:val="center"/>
                    <w:rPr>
                      <w:rFonts w:hint="eastAsia" w:eastAsia="宋体"/>
                      <w:color w:val="auto"/>
                      <w:kern w:val="24"/>
                      <w:sz w:val="18"/>
                      <w:szCs w:val="18"/>
                      <w:lang w:val="en-US" w:eastAsia="zh-CN"/>
                    </w:rPr>
                  </w:pPr>
                  <w:r>
                    <w:rPr>
                      <w:rFonts w:hint="eastAsia"/>
                      <w:color w:val="auto"/>
                      <w:kern w:val="24"/>
                      <w:sz w:val="18"/>
                      <w:szCs w:val="18"/>
                    </w:rPr>
                    <w:t>危险废物</w:t>
                  </w:r>
                  <w:r>
                    <w:rPr>
                      <w:rFonts w:hint="eastAsia"/>
                      <w:color w:val="auto"/>
                      <w:kern w:val="24"/>
                      <w:sz w:val="18"/>
                      <w:szCs w:val="18"/>
                      <w:lang w:val="en-US" w:eastAsia="zh-CN"/>
                    </w:rPr>
                    <w:t>暂存间</w:t>
                  </w:r>
                </w:p>
              </w:tc>
              <w:tc>
                <w:tcPr>
                  <w:tcW w:w="920" w:type="dxa"/>
                  <w:vAlign w:val="center"/>
                </w:tcPr>
                <w:p w14:paraId="60B551BD">
                  <w:pPr>
                    <w:jc w:val="center"/>
                    <w:rPr>
                      <w:rFonts w:hint="default" w:eastAsia="宋体"/>
                      <w:color w:val="auto"/>
                      <w:kern w:val="24"/>
                      <w:sz w:val="18"/>
                      <w:szCs w:val="18"/>
                      <w:lang w:val="en-US" w:eastAsia="zh-CN"/>
                    </w:rPr>
                  </w:pPr>
                  <w:r>
                    <w:rPr>
                      <w:rFonts w:hint="eastAsia"/>
                      <w:color w:val="auto"/>
                      <w:kern w:val="24"/>
                      <w:sz w:val="18"/>
                      <w:szCs w:val="18"/>
                      <w:lang w:val="en-US" w:eastAsia="zh-CN"/>
                    </w:rPr>
                    <w:t>废机油、废机油桶</w:t>
                  </w:r>
                </w:p>
              </w:tc>
              <w:tc>
                <w:tcPr>
                  <w:tcW w:w="804" w:type="dxa"/>
                  <w:vAlign w:val="center"/>
                </w:tcPr>
                <w:p w14:paraId="270DB00E">
                  <w:pPr>
                    <w:jc w:val="center"/>
                    <w:rPr>
                      <w:rFonts w:hint="default" w:eastAsia="宋体"/>
                      <w:color w:val="auto"/>
                      <w:kern w:val="24"/>
                      <w:sz w:val="18"/>
                      <w:szCs w:val="18"/>
                      <w:lang w:val="en-US" w:eastAsia="zh-CN"/>
                    </w:rPr>
                  </w:pPr>
                  <w:r>
                    <w:rPr>
                      <w:rFonts w:hint="eastAsia"/>
                      <w:color w:val="auto"/>
                      <w:kern w:val="24"/>
                      <w:sz w:val="18"/>
                      <w:szCs w:val="18"/>
                      <w:lang w:val="en-US" w:eastAsia="zh-CN"/>
                    </w:rPr>
                    <w:t>毒性、易燃性</w:t>
                  </w:r>
                </w:p>
              </w:tc>
              <w:tc>
                <w:tcPr>
                  <w:tcW w:w="743" w:type="dxa"/>
                  <w:vAlign w:val="center"/>
                </w:tcPr>
                <w:p w14:paraId="5327CE3E">
                  <w:pPr>
                    <w:jc w:val="center"/>
                    <w:rPr>
                      <w:rFonts w:hint="default" w:eastAsia="宋体"/>
                      <w:color w:val="auto"/>
                      <w:kern w:val="24"/>
                      <w:sz w:val="18"/>
                      <w:szCs w:val="18"/>
                      <w:lang w:val="en-US" w:eastAsia="zh-CN"/>
                    </w:rPr>
                  </w:pPr>
                  <w:r>
                    <w:rPr>
                      <w:rFonts w:hint="eastAsia"/>
                      <w:color w:val="auto"/>
                      <w:kern w:val="24"/>
                      <w:sz w:val="18"/>
                      <w:szCs w:val="18"/>
                      <w:lang w:val="en-US" w:eastAsia="zh-CN"/>
                    </w:rPr>
                    <w:t>0.1</w:t>
                  </w:r>
                </w:p>
              </w:tc>
              <w:tc>
                <w:tcPr>
                  <w:tcW w:w="693" w:type="dxa"/>
                  <w:vAlign w:val="center"/>
                </w:tcPr>
                <w:p w14:paraId="39201377">
                  <w:pPr>
                    <w:jc w:val="center"/>
                    <w:rPr>
                      <w:rFonts w:hint="default" w:eastAsia="宋体"/>
                      <w:color w:val="auto"/>
                      <w:kern w:val="24"/>
                      <w:sz w:val="18"/>
                      <w:szCs w:val="18"/>
                      <w:lang w:val="en-US" w:eastAsia="zh-CN"/>
                    </w:rPr>
                  </w:pPr>
                  <w:r>
                    <w:rPr>
                      <w:rFonts w:hint="eastAsia"/>
                      <w:color w:val="auto"/>
                      <w:kern w:val="24"/>
                      <w:sz w:val="18"/>
                      <w:szCs w:val="18"/>
                      <w:lang w:val="en-US" w:eastAsia="zh-CN"/>
                    </w:rPr>
                    <w:t>2500</w:t>
                  </w:r>
                </w:p>
              </w:tc>
              <w:tc>
                <w:tcPr>
                  <w:tcW w:w="823" w:type="dxa"/>
                  <w:vAlign w:val="center"/>
                </w:tcPr>
                <w:p w14:paraId="10A83810">
                  <w:pPr>
                    <w:jc w:val="center"/>
                    <w:rPr>
                      <w:rFonts w:hint="default" w:eastAsia="宋体"/>
                      <w:color w:val="auto"/>
                      <w:kern w:val="24"/>
                      <w:sz w:val="18"/>
                      <w:szCs w:val="18"/>
                      <w:lang w:val="en-US" w:eastAsia="zh-CN"/>
                    </w:rPr>
                  </w:pPr>
                  <w:r>
                    <w:rPr>
                      <w:rFonts w:hint="eastAsia"/>
                      <w:color w:val="auto"/>
                      <w:kern w:val="24"/>
                      <w:sz w:val="18"/>
                      <w:szCs w:val="18"/>
                      <w:lang w:val="en-US" w:eastAsia="zh-CN"/>
                    </w:rPr>
                    <w:t>0.00004</w:t>
                  </w:r>
                </w:p>
              </w:tc>
              <w:tc>
                <w:tcPr>
                  <w:tcW w:w="675" w:type="dxa"/>
                  <w:vAlign w:val="center"/>
                </w:tcPr>
                <w:p w14:paraId="1E978823">
                  <w:pPr>
                    <w:jc w:val="center"/>
                    <w:rPr>
                      <w:rFonts w:hint="eastAsia" w:eastAsia="宋体"/>
                      <w:color w:val="auto"/>
                      <w:kern w:val="24"/>
                      <w:sz w:val="18"/>
                      <w:szCs w:val="18"/>
                      <w:lang w:val="en-US" w:eastAsia="zh-CN"/>
                    </w:rPr>
                  </w:pPr>
                  <w:r>
                    <w:rPr>
                      <w:rFonts w:hint="eastAsia"/>
                      <w:color w:val="auto"/>
                      <w:kern w:val="24"/>
                      <w:sz w:val="18"/>
                      <w:szCs w:val="18"/>
                      <w:lang w:val="en-US" w:eastAsia="zh-CN"/>
                    </w:rPr>
                    <w:t>桶装</w:t>
                  </w:r>
                </w:p>
              </w:tc>
              <w:tc>
                <w:tcPr>
                  <w:tcW w:w="987" w:type="dxa"/>
                  <w:vAlign w:val="center"/>
                </w:tcPr>
                <w:p w14:paraId="364E5A44">
                  <w:pPr>
                    <w:jc w:val="center"/>
                    <w:rPr>
                      <w:color w:val="auto"/>
                      <w:kern w:val="24"/>
                      <w:sz w:val="18"/>
                      <w:szCs w:val="18"/>
                    </w:rPr>
                  </w:pPr>
                  <w:r>
                    <w:rPr>
                      <w:rFonts w:hint="eastAsia"/>
                      <w:color w:val="auto"/>
                      <w:kern w:val="24"/>
                      <w:sz w:val="18"/>
                      <w:szCs w:val="18"/>
                    </w:rPr>
                    <w:t>泄漏、火灾次生/伴生污染</w:t>
                  </w:r>
                </w:p>
              </w:tc>
              <w:tc>
                <w:tcPr>
                  <w:tcW w:w="1540" w:type="dxa"/>
                  <w:vAlign w:val="center"/>
                </w:tcPr>
                <w:p w14:paraId="76E9BB57">
                  <w:pPr>
                    <w:jc w:val="center"/>
                    <w:rPr>
                      <w:color w:val="auto"/>
                      <w:kern w:val="24"/>
                      <w:sz w:val="18"/>
                      <w:szCs w:val="18"/>
                    </w:rPr>
                  </w:pPr>
                  <w:r>
                    <w:rPr>
                      <w:rFonts w:hint="eastAsia"/>
                      <w:color w:val="auto"/>
                      <w:kern w:val="24"/>
                      <w:sz w:val="18"/>
                      <w:szCs w:val="18"/>
                    </w:rPr>
                    <w:t>容器破损泄漏，垂直入渗污染土壤、地下水；遇明火引发火灾，次生消防废水漫流，伴生有毒烟气扩散。</w:t>
                  </w:r>
                </w:p>
              </w:tc>
            </w:tr>
            <w:tr w14:paraId="2954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dxa"/>
                  <w:vAlign w:val="center"/>
                </w:tcPr>
                <w:p w14:paraId="7FF70CB5">
                  <w:pPr>
                    <w:jc w:val="center"/>
                    <w:rPr>
                      <w:rFonts w:hint="default"/>
                      <w:color w:val="auto"/>
                      <w:kern w:val="24"/>
                      <w:sz w:val="18"/>
                      <w:szCs w:val="18"/>
                      <w:lang w:val="en-US" w:eastAsia="zh-CN"/>
                    </w:rPr>
                  </w:pPr>
                  <w:r>
                    <w:rPr>
                      <w:rFonts w:hint="eastAsia"/>
                      <w:color w:val="auto"/>
                      <w:kern w:val="24"/>
                      <w:sz w:val="18"/>
                      <w:szCs w:val="18"/>
                      <w:lang w:val="en-US" w:eastAsia="zh-CN"/>
                    </w:rPr>
                    <w:t>2</w:t>
                  </w:r>
                </w:p>
              </w:tc>
              <w:tc>
                <w:tcPr>
                  <w:tcW w:w="743" w:type="dxa"/>
                  <w:vMerge w:val="continue"/>
                  <w:vAlign w:val="center"/>
                </w:tcPr>
                <w:p w14:paraId="71C2CC03">
                  <w:pPr>
                    <w:jc w:val="center"/>
                    <w:rPr>
                      <w:rFonts w:hint="eastAsia"/>
                      <w:color w:val="auto"/>
                      <w:kern w:val="24"/>
                      <w:sz w:val="18"/>
                      <w:szCs w:val="18"/>
                    </w:rPr>
                  </w:pPr>
                </w:p>
              </w:tc>
              <w:tc>
                <w:tcPr>
                  <w:tcW w:w="920" w:type="dxa"/>
                  <w:vAlign w:val="center"/>
                </w:tcPr>
                <w:p w14:paraId="2DDE8E26">
                  <w:pPr>
                    <w:jc w:val="center"/>
                    <w:rPr>
                      <w:rFonts w:hint="default" w:hAnsi="Calibri" w:eastAsia="宋体"/>
                      <w:color w:val="auto"/>
                      <w:sz w:val="18"/>
                      <w:szCs w:val="18"/>
                      <w:lang w:val="en-US" w:eastAsia="zh-CN"/>
                    </w:rPr>
                  </w:pPr>
                  <w:r>
                    <w:rPr>
                      <w:rFonts w:hint="eastAsia" w:hAnsi="Calibri"/>
                      <w:color w:val="auto"/>
                      <w:sz w:val="18"/>
                      <w:szCs w:val="18"/>
                      <w:lang w:val="en-US" w:eastAsia="zh-CN"/>
                    </w:rPr>
                    <w:t>废油墨</w:t>
                  </w:r>
                </w:p>
              </w:tc>
              <w:tc>
                <w:tcPr>
                  <w:tcW w:w="804" w:type="dxa"/>
                  <w:vAlign w:val="center"/>
                </w:tcPr>
                <w:p w14:paraId="5E3AE719">
                  <w:pPr>
                    <w:jc w:val="center"/>
                    <w:rPr>
                      <w:rFonts w:hint="eastAsia" w:eastAsia="宋体"/>
                      <w:color w:val="auto"/>
                      <w:kern w:val="24"/>
                      <w:sz w:val="18"/>
                      <w:szCs w:val="18"/>
                      <w:lang w:val="en-US" w:eastAsia="zh-CN"/>
                    </w:rPr>
                  </w:pPr>
                  <w:r>
                    <w:rPr>
                      <w:rFonts w:hint="eastAsia"/>
                      <w:color w:val="auto"/>
                      <w:kern w:val="24"/>
                      <w:sz w:val="18"/>
                      <w:szCs w:val="18"/>
                      <w:lang w:val="en-US" w:eastAsia="zh-CN"/>
                    </w:rPr>
                    <w:t>毒性</w:t>
                  </w:r>
                </w:p>
              </w:tc>
              <w:tc>
                <w:tcPr>
                  <w:tcW w:w="743" w:type="dxa"/>
                  <w:vAlign w:val="center"/>
                </w:tcPr>
                <w:p w14:paraId="6A4B3A00">
                  <w:pPr>
                    <w:jc w:val="center"/>
                    <w:rPr>
                      <w:rFonts w:hint="default" w:eastAsia="宋体"/>
                      <w:color w:val="auto"/>
                      <w:kern w:val="24"/>
                      <w:sz w:val="18"/>
                      <w:szCs w:val="18"/>
                      <w:lang w:val="en-US" w:eastAsia="zh-CN"/>
                    </w:rPr>
                  </w:pPr>
                  <w:r>
                    <w:rPr>
                      <w:rFonts w:hint="eastAsia"/>
                      <w:color w:val="auto"/>
                      <w:kern w:val="24"/>
                      <w:sz w:val="18"/>
                      <w:szCs w:val="18"/>
                      <w:lang w:val="en-US" w:eastAsia="zh-CN"/>
                    </w:rPr>
                    <w:t>0.08</w:t>
                  </w:r>
                </w:p>
              </w:tc>
              <w:tc>
                <w:tcPr>
                  <w:tcW w:w="693" w:type="dxa"/>
                  <w:vAlign w:val="center"/>
                </w:tcPr>
                <w:p w14:paraId="44C0FD48">
                  <w:pPr>
                    <w:jc w:val="center"/>
                    <w:rPr>
                      <w:rFonts w:hint="default" w:eastAsia="宋体"/>
                      <w:color w:val="auto"/>
                      <w:kern w:val="24"/>
                      <w:sz w:val="18"/>
                      <w:szCs w:val="18"/>
                      <w:lang w:val="en-US" w:eastAsia="zh-CN"/>
                    </w:rPr>
                  </w:pPr>
                  <w:r>
                    <w:rPr>
                      <w:rFonts w:hint="eastAsia"/>
                      <w:color w:val="auto"/>
                      <w:kern w:val="24"/>
                      <w:sz w:val="18"/>
                      <w:szCs w:val="18"/>
                      <w:lang w:val="en-US" w:eastAsia="zh-CN"/>
                    </w:rPr>
                    <w:t>50</w:t>
                  </w:r>
                </w:p>
              </w:tc>
              <w:tc>
                <w:tcPr>
                  <w:tcW w:w="823" w:type="dxa"/>
                  <w:vAlign w:val="center"/>
                </w:tcPr>
                <w:p w14:paraId="5F9C8903">
                  <w:pPr>
                    <w:jc w:val="center"/>
                    <w:rPr>
                      <w:rFonts w:hint="default" w:eastAsia="宋体"/>
                      <w:color w:val="auto"/>
                      <w:kern w:val="24"/>
                      <w:sz w:val="18"/>
                      <w:szCs w:val="18"/>
                      <w:lang w:val="en-US" w:eastAsia="zh-CN"/>
                    </w:rPr>
                  </w:pPr>
                  <w:r>
                    <w:rPr>
                      <w:rFonts w:hint="eastAsia"/>
                      <w:color w:val="auto"/>
                      <w:kern w:val="24"/>
                      <w:sz w:val="18"/>
                      <w:szCs w:val="18"/>
                      <w:lang w:val="en-US" w:eastAsia="zh-CN"/>
                    </w:rPr>
                    <w:t>0.0016</w:t>
                  </w:r>
                </w:p>
              </w:tc>
              <w:tc>
                <w:tcPr>
                  <w:tcW w:w="675" w:type="dxa"/>
                  <w:vAlign w:val="center"/>
                </w:tcPr>
                <w:p w14:paraId="2534C28F">
                  <w:pPr>
                    <w:jc w:val="center"/>
                    <w:rPr>
                      <w:rFonts w:hint="eastAsia"/>
                      <w:color w:val="auto"/>
                      <w:kern w:val="24"/>
                      <w:sz w:val="18"/>
                      <w:szCs w:val="18"/>
                    </w:rPr>
                  </w:pPr>
                  <w:r>
                    <w:rPr>
                      <w:rFonts w:hint="eastAsia"/>
                      <w:color w:val="auto"/>
                      <w:kern w:val="24"/>
                      <w:sz w:val="18"/>
                      <w:szCs w:val="18"/>
                      <w:lang w:val="en-US" w:eastAsia="zh-CN"/>
                    </w:rPr>
                    <w:t>桶装</w:t>
                  </w:r>
                </w:p>
              </w:tc>
              <w:tc>
                <w:tcPr>
                  <w:tcW w:w="987" w:type="dxa"/>
                  <w:vAlign w:val="center"/>
                </w:tcPr>
                <w:p w14:paraId="1737ED42">
                  <w:pPr>
                    <w:jc w:val="center"/>
                    <w:rPr>
                      <w:rFonts w:hint="eastAsia"/>
                      <w:color w:val="auto"/>
                      <w:kern w:val="24"/>
                      <w:sz w:val="18"/>
                      <w:szCs w:val="18"/>
                    </w:rPr>
                  </w:pPr>
                  <w:r>
                    <w:rPr>
                      <w:rFonts w:hint="eastAsia"/>
                      <w:color w:val="auto"/>
                      <w:kern w:val="24"/>
                      <w:sz w:val="18"/>
                      <w:szCs w:val="18"/>
                    </w:rPr>
                    <w:t>泄漏</w:t>
                  </w:r>
                </w:p>
              </w:tc>
              <w:tc>
                <w:tcPr>
                  <w:tcW w:w="1540" w:type="dxa"/>
                  <w:vAlign w:val="center"/>
                </w:tcPr>
                <w:p w14:paraId="4B3E4F7D">
                  <w:pPr>
                    <w:jc w:val="center"/>
                    <w:rPr>
                      <w:rFonts w:hint="eastAsia"/>
                      <w:color w:val="auto"/>
                      <w:kern w:val="24"/>
                      <w:sz w:val="18"/>
                      <w:szCs w:val="18"/>
                    </w:rPr>
                  </w:pPr>
                  <w:r>
                    <w:rPr>
                      <w:rFonts w:hint="eastAsia"/>
                      <w:color w:val="auto"/>
                      <w:kern w:val="24"/>
                      <w:sz w:val="18"/>
                      <w:szCs w:val="18"/>
                    </w:rPr>
                    <w:t>容器破损泄漏，垂直入渗污染土壤、地下水。</w:t>
                  </w:r>
                </w:p>
              </w:tc>
            </w:tr>
            <w:tr w14:paraId="7DC58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dxa"/>
                  <w:vAlign w:val="center"/>
                </w:tcPr>
                <w:p w14:paraId="1C5068C5">
                  <w:pPr>
                    <w:jc w:val="center"/>
                    <w:rPr>
                      <w:rFonts w:hint="default" w:eastAsia="宋体"/>
                      <w:color w:val="auto"/>
                      <w:kern w:val="24"/>
                      <w:sz w:val="18"/>
                      <w:szCs w:val="18"/>
                      <w:lang w:val="en-US" w:eastAsia="zh-CN"/>
                    </w:rPr>
                  </w:pPr>
                  <w:r>
                    <w:rPr>
                      <w:rFonts w:hint="eastAsia"/>
                      <w:color w:val="auto"/>
                      <w:kern w:val="24"/>
                      <w:sz w:val="18"/>
                      <w:szCs w:val="18"/>
                      <w:lang w:val="en-US" w:eastAsia="zh-CN"/>
                    </w:rPr>
                    <w:t>3</w:t>
                  </w:r>
                </w:p>
              </w:tc>
              <w:tc>
                <w:tcPr>
                  <w:tcW w:w="743" w:type="dxa"/>
                  <w:vMerge w:val="continue"/>
                  <w:vAlign w:val="center"/>
                </w:tcPr>
                <w:p w14:paraId="53D01918">
                  <w:pPr>
                    <w:jc w:val="center"/>
                    <w:rPr>
                      <w:color w:val="auto"/>
                      <w:kern w:val="24"/>
                      <w:sz w:val="18"/>
                      <w:szCs w:val="18"/>
                    </w:rPr>
                  </w:pPr>
                </w:p>
              </w:tc>
              <w:tc>
                <w:tcPr>
                  <w:tcW w:w="920" w:type="dxa"/>
                  <w:vAlign w:val="center"/>
                </w:tcPr>
                <w:p w14:paraId="715F8B27">
                  <w:pPr>
                    <w:jc w:val="center"/>
                    <w:rPr>
                      <w:rFonts w:hint="default" w:hAnsi="Calibri" w:eastAsia="宋体"/>
                      <w:color w:val="auto"/>
                      <w:sz w:val="18"/>
                      <w:szCs w:val="18"/>
                      <w:lang w:val="en-US" w:eastAsia="zh-CN"/>
                    </w:rPr>
                  </w:pPr>
                  <w:r>
                    <w:rPr>
                      <w:rFonts w:hint="eastAsia" w:hAnsi="Calibri"/>
                      <w:color w:val="auto"/>
                      <w:sz w:val="18"/>
                      <w:szCs w:val="18"/>
                      <w:lang w:val="en-US" w:eastAsia="zh-CN"/>
                    </w:rPr>
                    <w:t>废油墨桶</w:t>
                  </w:r>
                </w:p>
              </w:tc>
              <w:tc>
                <w:tcPr>
                  <w:tcW w:w="804" w:type="dxa"/>
                  <w:vAlign w:val="center"/>
                </w:tcPr>
                <w:p w14:paraId="796A4469">
                  <w:pPr>
                    <w:jc w:val="center"/>
                    <w:rPr>
                      <w:rFonts w:hint="eastAsia" w:eastAsia="宋体"/>
                      <w:color w:val="auto"/>
                      <w:kern w:val="24"/>
                      <w:sz w:val="18"/>
                      <w:szCs w:val="18"/>
                      <w:lang w:val="en-US" w:eastAsia="zh-CN"/>
                    </w:rPr>
                  </w:pPr>
                  <w:r>
                    <w:rPr>
                      <w:rFonts w:hint="eastAsia"/>
                      <w:color w:val="auto"/>
                      <w:kern w:val="24"/>
                      <w:sz w:val="18"/>
                      <w:szCs w:val="18"/>
                      <w:lang w:val="en-US" w:eastAsia="zh-CN"/>
                    </w:rPr>
                    <w:t>毒性</w:t>
                  </w:r>
                </w:p>
              </w:tc>
              <w:tc>
                <w:tcPr>
                  <w:tcW w:w="743" w:type="dxa"/>
                  <w:vAlign w:val="center"/>
                </w:tcPr>
                <w:p w14:paraId="7CCF6A0D">
                  <w:pPr>
                    <w:jc w:val="center"/>
                    <w:rPr>
                      <w:rFonts w:hint="default" w:eastAsia="宋体"/>
                      <w:color w:val="auto"/>
                      <w:kern w:val="24"/>
                      <w:sz w:val="18"/>
                      <w:szCs w:val="18"/>
                      <w:lang w:val="en-US" w:eastAsia="zh-CN"/>
                    </w:rPr>
                  </w:pPr>
                  <w:r>
                    <w:rPr>
                      <w:rFonts w:hint="eastAsia"/>
                      <w:color w:val="auto"/>
                      <w:kern w:val="24"/>
                      <w:sz w:val="18"/>
                      <w:szCs w:val="18"/>
                      <w:lang w:val="en-US" w:eastAsia="zh-CN"/>
                    </w:rPr>
                    <w:t>0.1</w:t>
                  </w:r>
                </w:p>
              </w:tc>
              <w:tc>
                <w:tcPr>
                  <w:tcW w:w="693" w:type="dxa"/>
                  <w:vAlign w:val="center"/>
                </w:tcPr>
                <w:p w14:paraId="3C2462F1">
                  <w:pPr>
                    <w:jc w:val="center"/>
                    <w:rPr>
                      <w:rFonts w:hint="default" w:eastAsia="宋体"/>
                      <w:color w:val="auto"/>
                      <w:kern w:val="24"/>
                      <w:sz w:val="18"/>
                      <w:szCs w:val="18"/>
                      <w:lang w:val="en-US" w:eastAsia="zh-CN"/>
                    </w:rPr>
                  </w:pPr>
                  <w:r>
                    <w:rPr>
                      <w:rFonts w:hint="eastAsia"/>
                      <w:color w:val="auto"/>
                      <w:kern w:val="24"/>
                      <w:sz w:val="18"/>
                      <w:szCs w:val="18"/>
                      <w:lang w:val="en-US" w:eastAsia="zh-CN"/>
                    </w:rPr>
                    <w:t>50</w:t>
                  </w:r>
                </w:p>
              </w:tc>
              <w:tc>
                <w:tcPr>
                  <w:tcW w:w="823" w:type="dxa"/>
                  <w:vAlign w:val="center"/>
                </w:tcPr>
                <w:p w14:paraId="3D36F8B7">
                  <w:pPr>
                    <w:jc w:val="center"/>
                    <w:rPr>
                      <w:rFonts w:hint="default" w:eastAsia="宋体"/>
                      <w:color w:val="auto"/>
                      <w:kern w:val="24"/>
                      <w:sz w:val="18"/>
                      <w:szCs w:val="18"/>
                      <w:lang w:val="en-US" w:eastAsia="zh-CN"/>
                    </w:rPr>
                  </w:pPr>
                  <w:r>
                    <w:rPr>
                      <w:rFonts w:hint="eastAsia"/>
                      <w:color w:val="auto"/>
                      <w:kern w:val="24"/>
                      <w:sz w:val="18"/>
                      <w:szCs w:val="18"/>
                      <w:lang w:val="en-US" w:eastAsia="zh-CN"/>
                    </w:rPr>
                    <w:t>0.002</w:t>
                  </w:r>
                </w:p>
              </w:tc>
              <w:tc>
                <w:tcPr>
                  <w:tcW w:w="675" w:type="dxa"/>
                  <w:vAlign w:val="center"/>
                </w:tcPr>
                <w:p w14:paraId="5AF498E2">
                  <w:pPr>
                    <w:jc w:val="center"/>
                    <w:rPr>
                      <w:color w:val="auto"/>
                      <w:kern w:val="24"/>
                      <w:sz w:val="18"/>
                      <w:szCs w:val="18"/>
                    </w:rPr>
                  </w:pPr>
                  <w:r>
                    <w:rPr>
                      <w:rFonts w:hint="eastAsia"/>
                      <w:color w:val="auto"/>
                      <w:kern w:val="24"/>
                      <w:sz w:val="18"/>
                      <w:szCs w:val="18"/>
                      <w:lang w:val="en-US" w:eastAsia="zh-CN"/>
                    </w:rPr>
                    <w:t>桶装</w:t>
                  </w:r>
                </w:p>
              </w:tc>
              <w:tc>
                <w:tcPr>
                  <w:tcW w:w="987" w:type="dxa"/>
                  <w:vAlign w:val="center"/>
                </w:tcPr>
                <w:p w14:paraId="7499EE11">
                  <w:pPr>
                    <w:jc w:val="center"/>
                    <w:rPr>
                      <w:color w:val="auto"/>
                      <w:kern w:val="24"/>
                      <w:sz w:val="18"/>
                      <w:szCs w:val="18"/>
                    </w:rPr>
                  </w:pPr>
                  <w:r>
                    <w:rPr>
                      <w:rFonts w:hint="eastAsia"/>
                      <w:color w:val="auto"/>
                      <w:kern w:val="24"/>
                      <w:sz w:val="18"/>
                      <w:szCs w:val="18"/>
                    </w:rPr>
                    <w:t>泄漏</w:t>
                  </w:r>
                </w:p>
              </w:tc>
              <w:tc>
                <w:tcPr>
                  <w:tcW w:w="1540" w:type="dxa"/>
                  <w:vAlign w:val="center"/>
                </w:tcPr>
                <w:p w14:paraId="504EE575">
                  <w:pPr>
                    <w:jc w:val="center"/>
                    <w:rPr>
                      <w:color w:val="auto"/>
                      <w:kern w:val="24"/>
                      <w:sz w:val="18"/>
                      <w:szCs w:val="18"/>
                    </w:rPr>
                  </w:pPr>
                  <w:r>
                    <w:rPr>
                      <w:rFonts w:hint="eastAsia"/>
                      <w:color w:val="auto"/>
                      <w:kern w:val="24"/>
                      <w:sz w:val="18"/>
                      <w:szCs w:val="18"/>
                    </w:rPr>
                    <w:t>容器破损泄漏，垂直入渗污染土壤、地下水。</w:t>
                  </w:r>
                </w:p>
              </w:tc>
            </w:tr>
            <w:tr w14:paraId="520F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dxa"/>
                  <w:vAlign w:val="center"/>
                </w:tcPr>
                <w:p w14:paraId="09A3AE10">
                  <w:pPr>
                    <w:jc w:val="center"/>
                    <w:rPr>
                      <w:rFonts w:hint="default"/>
                      <w:color w:val="auto"/>
                      <w:kern w:val="24"/>
                      <w:sz w:val="18"/>
                      <w:szCs w:val="18"/>
                      <w:lang w:val="en-US" w:eastAsia="zh-CN"/>
                    </w:rPr>
                  </w:pPr>
                  <w:r>
                    <w:rPr>
                      <w:rFonts w:hint="eastAsia"/>
                      <w:color w:val="auto"/>
                      <w:kern w:val="24"/>
                      <w:sz w:val="18"/>
                      <w:szCs w:val="18"/>
                      <w:lang w:val="en-US" w:eastAsia="zh-CN"/>
                    </w:rPr>
                    <w:t>4</w:t>
                  </w:r>
                </w:p>
              </w:tc>
              <w:tc>
                <w:tcPr>
                  <w:tcW w:w="743" w:type="dxa"/>
                  <w:vMerge w:val="continue"/>
                  <w:vAlign w:val="center"/>
                </w:tcPr>
                <w:p w14:paraId="7B385B37">
                  <w:pPr>
                    <w:jc w:val="center"/>
                    <w:rPr>
                      <w:color w:val="auto"/>
                      <w:kern w:val="24"/>
                      <w:sz w:val="18"/>
                      <w:szCs w:val="18"/>
                    </w:rPr>
                  </w:pPr>
                </w:p>
              </w:tc>
              <w:tc>
                <w:tcPr>
                  <w:tcW w:w="920" w:type="dxa"/>
                  <w:vAlign w:val="center"/>
                </w:tcPr>
                <w:p w14:paraId="5B0ABB7C">
                  <w:pPr>
                    <w:jc w:val="center"/>
                    <w:rPr>
                      <w:rFonts w:hint="default" w:hAnsi="Calibri" w:eastAsia="宋体"/>
                      <w:color w:val="auto"/>
                      <w:sz w:val="18"/>
                      <w:szCs w:val="18"/>
                      <w:lang w:val="en-US" w:eastAsia="zh-CN"/>
                    </w:rPr>
                  </w:pPr>
                  <w:r>
                    <w:rPr>
                      <w:rFonts w:hint="eastAsia" w:hAnsi="Calibri"/>
                      <w:color w:val="auto"/>
                      <w:sz w:val="18"/>
                      <w:szCs w:val="18"/>
                      <w:lang w:val="en-US" w:eastAsia="zh-CN"/>
                    </w:rPr>
                    <w:t>废活性炭</w:t>
                  </w:r>
                </w:p>
              </w:tc>
              <w:tc>
                <w:tcPr>
                  <w:tcW w:w="804" w:type="dxa"/>
                  <w:vAlign w:val="center"/>
                </w:tcPr>
                <w:p w14:paraId="78FEBC55">
                  <w:pPr>
                    <w:jc w:val="center"/>
                    <w:rPr>
                      <w:color w:val="auto"/>
                      <w:kern w:val="24"/>
                      <w:sz w:val="18"/>
                      <w:szCs w:val="18"/>
                    </w:rPr>
                  </w:pPr>
                  <w:r>
                    <w:rPr>
                      <w:rFonts w:hint="eastAsia"/>
                      <w:color w:val="auto"/>
                      <w:kern w:val="24"/>
                      <w:sz w:val="18"/>
                      <w:szCs w:val="18"/>
                    </w:rPr>
                    <w:t>毒性、易燃性</w:t>
                  </w:r>
                </w:p>
              </w:tc>
              <w:tc>
                <w:tcPr>
                  <w:tcW w:w="743" w:type="dxa"/>
                  <w:vAlign w:val="center"/>
                </w:tcPr>
                <w:p w14:paraId="1349CCB7">
                  <w:pPr>
                    <w:jc w:val="center"/>
                    <w:rPr>
                      <w:rFonts w:hint="default" w:eastAsia="宋体"/>
                      <w:color w:val="auto"/>
                      <w:kern w:val="24"/>
                      <w:sz w:val="18"/>
                      <w:szCs w:val="18"/>
                      <w:lang w:val="en-US" w:eastAsia="zh-CN"/>
                    </w:rPr>
                  </w:pPr>
                  <w:r>
                    <w:rPr>
                      <w:rFonts w:hint="eastAsia"/>
                      <w:color w:val="auto"/>
                      <w:kern w:val="24"/>
                      <w:sz w:val="18"/>
                      <w:szCs w:val="18"/>
                      <w:lang w:val="en-US" w:eastAsia="zh-CN"/>
                    </w:rPr>
                    <w:t>8</w:t>
                  </w:r>
                </w:p>
              </w:tc>
              <w:tc>
                <w:tcPr>
                  <w:tcW w:w="693" w:type="dxa"/>
                  <w:vAlign w:val="center"/>
                </w:tcPr>
                <w:p w14:paraId="38D69A71">
                  <w:pPr>
                    <w:jc w:val="center"/>
                    <w:rPr>
                      <w:rFonts w:hint="default" w:eastAsia="宋体"/>
                      <w:color w:val="auto"/>
                      <w:kern w:val="24"/>
                      <w:sz w:val="18"/>
                      <w:szCs w:val="18"/>
                      <w:lang w:val="en-US" w:eastAsia="zh-CN"/>
                    </w:rPr>
                  </w:pPr>
                  <w:r>
                    <w:rPr>
                      <w:rFonts w:hint="eastAsia"/>
                      <w:color w:val="auto"/>
                      <w:kern w:val="24"/>
                      <w:sz w:val="18"/>
                      <w:szCs w:val="18"/>
                      <w:lang w:val="en-US" w:eastAsia="zh-CN"/>
                    </w:rPr>
                    <w:t>50</w:t>
                  </w:r>
                </w:p>
              </w:tc>
              <w:tc>
                <w:tcPr>
                  <w:tcW w:w="823" w:type="dxa"/>
                  <w:vAlign w:val="center"/>
                </w:tcPr>
                <w:p w14:paraId="07E56835">
                  <w:pPr>
                    <w:jc w:val="center"/>
                    <w:rPr>
                      <w:rFonts w:hint="default" w:eastAsia="宋体"/>
                      <w:color w:val="auto"/>
                      <w:kern w:val="24"/>
                      <w:sz w:val="18"/>
                      <w:szCs w:val="18"/>
                      <w:lang w:val="en-US" w:eastAsia="zh-CN"/>
                    </w:rPr>
                  </w:pPr>
                  <w:r>
                    <w:rPr>
                      <w:rFonts w:hint="eastAsia"/>
                      <w:color w:val="auto"/>
                      <w:kern w:val="24"/>
                      <w:sz w:val="18"/>
                      <w:szCs w:val="18"/>
                      <w:lang w:val="en-US" w:eastAsia="zh-CN"/>
                    </w:rPr>
                    <w:t>0.16</w:t>
                  </w:r>
                </w:p>
              </w:tc>
              <w:tc>
                <w:tcPr>
                  <w:tcW w:w="675" w:type="dxa"/>
                  <w:vAlign w:val="center"/>
                </w:tcPr>
                <w:p w14:paraId="4CA57D90">
                  <w:pPr>
                    <w:jc w:val="center"/>
                    <w:rPr>
                      <w:rFonts w:hint="default" w:eastAsia="宋体"/>
                      <w:color w:val="auto"/>
                      <w:kern w:val="24"/>
                      <w:sz w:val="18"/>
                      <w:szCs w:val="18"/>
                      <w:lang w:val="en-US" w:eastAsia="zh-CN"/>
                    </w:rPr>
                  </w:pPr>
                  <w:r>
                    <w:rPr>
                      <w:rFonts w:hint="eastAsia"/>
                      <w:color w:val="auto"/>
                      <w:kern w:val="24"/>
                      <w:sz w:val="18"/>
                      <w:szCs w:val="18"/>
                      <w:lang w:val="en-US" w:eastAsia="zh-CN"/>
                    </w:rPr>
                    <w:t>密封袋装</w:t>
                  </w:r>
                </w:p>
              </w:tc>
              <w:tc>
                <w:tcPr>
                  <w:tcW w:w="987" w:type="dxa"/>
                  <w:vAlign w:val="center"/>
                </w:tcPr>
                <w:p w14:paraId="19BA9545">
                  <w:pPr>
                    <w:jc w:val="center"/>
                    <w:rPr>
                      <w:color w:val="auto"/>
                      <w:kern w:val="24"/>
                      <w:sz w:val="18"/>
                      <w:szCs w:val="18"/>
                    </w:rPr>
                  </w:pPr>
                  <w:r>
                    <w:rPr>
                      <w:rFonts w:hint="eastAsia"/>
                      <w:color w:val="auto"/>
                      <w:kern w:val="24"/>
                      <w:sz w:val="18"/>
                      <w:szCs w:val="18"/>
                    </w:rPr>
                    <w:t>火灾次生/伴生污染</w:t>
                  </w:r>
                </w:p>
              </w:tc>
              <w:tc>
                <w:tcPr>
                  <w:tcW w:w="1540" w:type="dxa"/>
                  <w:vAlign w:val="center"/>
                </w:tcPr>
                <w:p w14:paraId="12E663A9">
                  <w:pPr>
                    <w:jc w:val="center"/>
                    <w:rPr>
                      <w:color w:val="auto"/>
                      <w:kern w:val="24"/>
                      <w:sz w:val="18"/>
                      <w:szCs w:val="18"/>
                    </w:rPr>
                  </w:pPr>
                  <w:r>
                    <w:rPr>
                      <w:rFonts w:hint="eastAsia"/>
                      <w:color w:val="auto"/>
                      <w:kern w:val="24"/>
                      <w:sz w:val="18"/>
                      <w:szCs w:val="18"/>
                    </w:rPr>
                    <w:t>对挥发性有机物吸附饱和后，遇明火可能引发火灾，次生消防废水漫流，伴生有毒烟气扩散。</w:t>
                  </w:r>
                </w:p>
              </w:tc>
            </w:tr>
            <w:tr w14:paraId="4F2F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dxa"/>
                  <w:vAlign w:val="center"/>
                </w:tcPr>
                <w:p w14:paraId="5D5D1C94">
                  <w:pPr>
                    <w:jc w:val="center"/>
                    <w:rPr>
                      <w:rFonts w:hint="default"/>
                      <w:color w:val="auto"/>
                      <w:kern w:val="24"/>
                      <w:sz w:val="18"/>
                      <w:szCs w:val="18"/>
                      <w:lang w:val="en-US" w:eastAsia="zh-CN"/>
                    </w:rPr>
                  </w:pPr>
                  <w:r>
                    <w:rPr>
                      <w:rFonts w:hint="eastAsia"/>
                      <w:color w:val="auto"/>
                      <w:kern w:val="24"/>
                      <w:sz w:val="18"/>
                      <w:szCs w:val="18"/>
                      <w:lang w:val="en-US" w:eastAsia="zh-CN"/>
                    </w:rPr>
                    <w:t>5</w:t>
                  </w:r>
                </w:p>
              </w:tc>
              <w:tc>
                <w:tcPr>
                  <w:tcW w:w="743" w:type="dxa"/>
                  <w:vMerge w:val="continue"/>
                  <w:vAlign w:val="center"/>
                </w:tcPr>
                <w:p w14:paraId="1B882BBF">
                  <w:pPr>
                    <w:jc w:val="center"/>
                    <w:rPr>
                      <w:color w:val="auto"/>
                      <w:kern w:val="24"/>
                      <w:sz w:val="18"/>
                      <w:szCs w:val="18"/>
                    </w:rPr>
                  </w:pPr>
                </w:p>
              </w:tc>
              <w:tc>
                <w:tcPr>
                  <w:tcW w:w="920" w:type="dxa"/>
                  <w:vAlign w:val="center"/>
                </w:tcPr>
                <w:p w14:paraId="08E4678D">
                  <w:pPr>
                    <w:jc w:val="center"/>
                    <w:rPr>
                      <w:rFonts w:hint="default" w:hAnsi="Calibri" w:eastAsia="宋体"/>
                      <w:color w:val="auto"/>
                      <w:sz w:val="18"/>
                      <w:szCs w:val="18"/>
                      <w:lang w:val="en-US" w:eastAsia="zh-CN"/>
                    </w:rPr>
                  </w:pPr>
                  <w:r>
                    <w:rPr>
                      <w:rFonts w:hint="eastAsia" w:hAnsi="Calibri"/>
                      <w:color w:val="auto"/>
                      <w:sz w:val="18"/>
                      <w:szCs w:val="18"/>
                      <w:lang w:val="en-US" w:eastAsia="zh-CN"/>
                    </w:rPr>
                    <w:t>废催化剂</w:t>
                  </w:r>
                </w:p>
              </w:tc>
              <w:tc>
                <w:tcPr>
                  <w:tcW w:w="804" w:type="dxa"/>
                  <w:vAlign w:val="center"/>
                </w:tcPr>
                <w:p w14:paraId="102C9039">
                  <w:pPr>
                    <w:jc w:val="center"/>
                    <w:rPr>
                      <w:color w:val="auto"/>
                      <w:kern w:val="24"/>
                      <w:sz w:val="18"/>
                      <w:szCs w:val="18"/>
                    </w:rPr>
                  </w:pPr>
                  <w:r>
                    <w:rPr>
                      <w:rFonts w:hint="eastAsia"/>
                      <w:color w:val="auto"/>
                      <w:kern w:val="24"/>
                      <w:sz w:val="18"/>
                      <w:szCs w:val="18"/>
                    </w:rPr>
                    <w:t>毒性</w:t>
                  </w:r>
                </w:p>
              </w:tc>
              <w:tc>
                <w:tcPr>
                  <w:tcW w:w="743" w:type="dxa"/>
                  <w:vAlign w:val="center"/>
                </w:tcPr>
                <w:p w14:paraId="69B31CF6">
                  <w:pPr>
                    <w:jc w:val="center"/>
                    <w:rPr>
                      <w:rFonts w:hint="default" w:eastAsia="宋体"/>
                      <w:color w:val="auto"/>
                      <w:kern w:val="24"/>
                      <w:sz w:val="18"/>
                      <w:szCs w:val="18"/>
                      <w:lang w:val="en-US" w:eastAsia="zh-CN"/>
                    </w:rPr>
                  </w:pPr>
                  <w:r>
                    <w:rPr>
                      <w:rFonts w:hint="eastAsia"/>
                      <w:color w:val="auto"/>
                      <w:kern w:val="24"/>
                      <w:sz w:val="18"/>
                      <w:szCs w:val="18"/>
                      <w:lang w:val="en-US" w:eastAsia="zh-CN"/>
                    </w:rPr>
                    <w:t>0.075</w:t>
                  </w:r>
                </w:p>
              </w:tc>
              <w:tc>
                <w:tcPr>
                  <w:tcW w:w="693" w:type="dxa"/>
                  <w:vAlign w:val="center"/>
                </w:tcPr>
                <w:p w14:paraId="4C31A404">
                  <w:pPr>
                    <w:jc w:val="center"/>
                    <w:rPr>
                      <w:rFonts w:hint="default" w:eastAsia="宋体"/>
                      <w:color w:val="auto"/>
                      <w:kern w:val="24"/>
                      <w:sz w:val="18"/>
                      <w:szCs w:val="18"/>
                      <w:lang w:val="en-US" w:eastAsia="zh-CN"/>
                    </w:rPr>
                  </w:pPr>
                  <w:r>
                    <w:rPr>
                      <w:rFonts w:hint="eastAsia"/>
                      <w:color w:val="auto"/>
                      <w:kern w:val="24"/>
                      <w:sz w:val="18"/>
                      <w:szCs w:val="18"/>
                      <w:lang w:val="en-US" w:eastAsia="zh-CN"/>
                    </w:rPr>
                    <w:t>50</w:t>
                  </w:r>
                </w:p>
              </w:tc>
              <w:tc>
                <w:tcPr>
                  <w:tcW w:w="823" w:type="dxa"/>
                  <w:vAlign w:val="center"/>
                </w:tcPr>
                <w:p w14:paraId="17A88A06">
                  <w:pPr>
                    <w:jc w:val="center"/>
                    <w:rPr>
                      <w:rFonts w:hint="default" w:eastAsia="宋体"/>
                      <w:color w:val="auto"/>
                      <w:kern w:val="24"/>
                      <w:sz w:val="18"/>
                      <w:szCs w:val="18"/>
                      <w:lang w:val="en-US" w:eastAsia="zh-CN"/>
                    </w:rPr>
                  </w:pPr>
                  <w:r>
                    <w:rPr>
                      <w:rFonts w:hint="eastAsia"/>
                      <w:color w:val="auto"/>
                      <w:kern w:val="24"/>
                      <w:sz w:val="18"/>
                      <w:szCs w:val="18"/>
                      <w:lang w:val="en-US" w:eastAsia="zh-CN"/>
                    </w:rPr>
                    <w:t>0.0015</w:t>
                  </w:r>
                </w:p>
              </w:tc>
              <w:tc>
                <w:tcPr>
                  <w:tcW w:w="675" w:type="dxa"/>
                  <w:vAlign w:val="center"/>
                </w:tcPr>
                <w:p w14:paraId="6C470089">
                  <w:pPr>
                    <w:jc w:val="center"/>
                    <w:rPr>
                      <w:color w:val="auto"/>
                      <w:kern w:val="24"/>
                      <w:sz w:val="18"/>
                      <w:szCs w:val="18"/>
                    </w:rPr>
                  </w:pPr>
                  <w:r>
                    <w:rPr>
                      <w:rFonts w:hint="eastAsia"/>
                      <w:color w:val="auto"/>
                      <w:kern w:val="24"/>
                      <w:sz w:val="18"/>
                      <w:szCs w:val="18"/>
                    </w:rPr>
                    <w:t>密封袋装</w:t>
                  </w:r>
                </w:p>
              </w:tc>
              <w:tc>
                <w:tcPr>
                  <w:tcW w:w="987" w:type="dxa"/>
                  <w:vAlign w:val="center"/>
                </w:tcPr>
                <w:p w14:paraId="405C11B9">
                  <w:pPr>
                    <w:jc w:val="center"/>
                    <w:rPr>
                      <w:color w:val="auto"/>
                      <w:kern w:val="24"/>
                      <w:sz w:val="18"/>
                      <w:szCs w:val="18"/>
                    </w:rPr>
                  </w:pPr>
                  <w:r>
                    <w:rPr>
                      <w:rFonts w:hint="eastAsia"/>
                      <w:color w:val="auto"/>
                      <w:kern w:val="24"/>
                      <w:sz w:val="18"/>
                      <w:szCs w:val="18"/>
                    </w:rPr>
                    <w:t>泄漏</w:t>
                  </w:r>
                </w:p>
              </w:tc>
              <w:tc>
                <w:tcPr>
                  <w:tcW w:w="1540" w:type="dxa"/>
                  <w:vAlign w:val="center"/>
                </w:tcPr>
                <w:p w14:paraId="600B9B17">
                  <w:pPr>
                    <w:jc w:val="center"/>
                    <w:rPr>
                      <w:color w:val="auto"/>
                      <w:kern w:val="24"/>
                      <w:sz w:val="18"/>
                      <w:szCs w:val="18"/>
                    </w:rPr>
                  </w:pPr>
                  <w:r>
                    <w:rPr>
                      <w:rFonts w:hint="eastAsia"/>
                      <w:color w:val="auto"/>
                      <w:kern w:val="24"/>
                      <w:sz w:val="18"/>
                      <w:szCs w:val="18"/>
                    </w:rPr>
                    <w:t>容器破损泄漏，垂直入渗污染土壤、地下水。</w:t>
                  </w:r>
                </w:p>
              </w:tc>
            </w:tr>
            <w:tr w14:paraId="2E52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2" w:type="dxa"/>
                  <w:gridSpan w:val="6"/>
                  <w:vAlign w:val="center"/>
                </w:tcPr>
                <w:p w14:paraId="1A4F65E9">
                  <w:pPr>
                    <w:jc w:val="center"/>
                    <w:rPr>
                      <w:color w:val="auto"/>
                      <w:kern w:val="24"/>
                      <w:sz w:val="18"/>
                      <w:szCs w:val="18"/>
                    </w:rPr>
                  </w:pPr>
                  <w:r>
                    <w:rPr>
                      <w:rFonts w:hint="eastAsia"/>
                      <w:color w:val="auto"/>
                      <w:kern w:val="24"/>
                      <w:sz w:val="18"/>
                      <w:szCs w:val="18"/>
                      <w:lang w:val="en-US" w:eastAsia="zh-CN"/>
                    </w:rPr>
                    <w:t>Q值</w:t>
                  </w:r>
                  <w:r>
                    <w:rPr>
                      <w:rFonts w:hint="eastAsia"/>
                      <w:color w:val="auto"/>
                      <w:kern w:val="24"/>
                      <w:sz w:val="18"/>
                      <w:szCs w:val="18"/>
                    </w:rPr>
                    <w:t>合计</w:t>
                  </w:r>
                </w:p>
              </w:tc>
              <w:tc>
                <w:tcPr>
                  <w:tcW w:w="823" w:type="dxa"/>
                  <w:vAlign w:val="center"/>
                </w:tcPr>
                <w:p w14:paraId="73056CB7">
                  <w:pPr>
                    <w:jc w:val="center"/>
                    <w:rPr>
                      <w:rFonts w:hint="default" w:eastAsia="宋体"/>
                      <w:color w:val="auto"/>
                      <w:kern w:val="24"/>
                      <w:sz w:val="18"/>
                      <w:szCs w:val="18"/>
                      <w:lang w:val="en-US" w:eastAsia="zh-CN"/>
                    </w:rPr>
                  </w:pPr>
                  <w:r>
                    <w:rPr>
                      <w:rFonts w:hint="eastAsia"/>
                      <w:color w:val="auto"/>
                      <w:kern w:val="24"/>
                      <w:sz w:val="18"/>
                      <w:szCs w:val="18"/>
                      <w:lang w:val="en-US" w:eastAsia="zh-CN"/>
                    </w:rPr>
                    <w:t>0.16514</w:t>
                  </w:r>
                </w:p>
              </w:tc>
              <w:tc>
                <w:tcPr>
                  <w:tcW w:w="3202" w:type="dxa"/>
                  <w:gridSpan w:val="3"/>
                  <w:vAlign w:val="center"/>
                </w:tcPr>
                <w:p w14:paraId="7C679F2A">
                  <w:pPr>
                    <w:jc w:val="center"/>
                    <w:rPr>
                      <w:color w:val="auto"/>
                      <w:kern w:val="24"/>
                      <w:sz w:val="18"/>
                      <w:szCs w:val="18"/>
                    </w:rPr>
                  </w:pPr>
                  <w:r>
                    <w:rPr>
                      <w:rFonts w:hint="eastAsia"/>
                      <w:color w:val="auto"/>
                      <w:kern w:val="24"/>
                      <w:sz w:val="18"/>
                      <w:szCs w:val="18"/>
                    </w:rPr>
                    <w:t>/</w:t>
                  </w:r>
                </w:p>
              </w:tc>
            </w:tr>
          </w:tbl>
          <w:p w14:paraId="193F7F5E">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本项目不涉及环境风险物质，危险物质数量与临界量比值Q＜1，因此，本项目的环境风险潜势为Ⅰ。根据《建设项目环境影响报告表编制技术指南（污染影响类）（试行）》中“表1 专项评价设置原则表”的要求，本项目无需设置环境风险专项评价。</w:t>
            </w:r>
          </w:p>
          <w:p w14:paraId="15C895C4">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3、环境风险类型</w:t>
            </w:r>
          </w:p>
          <w:p w14:paraId="63F15208">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（1）危险废物泄漏风险</w:t>
            </w:r>
          </w:p>
          <w:p w14:paraId="2B84F6B5">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在危废暂存间内，若废机油、废油墨等液态危废的包装桶因腐蚀、撞击等原因发生破损，会导致液态危险废物泄漏。泄漏液若未能及时有效收集，会通过地面垂直入渗，造成土壤和地下水污染。</w:t>
            </w:r>
          </w:p>
          <w:p w14:paraId="01B45D47">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（2）火灾、爆炸次生/伴生环境污染风险</w:t>
            </w:r>
          </w:p>
          <w:p w14:paraId="2AB9BA90">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1）次生消防废水污染：废机油、吸附了有机废气的废活性炭均为易燃物质，一旦遇明火引发火灾，在灭火过程中会产生大量消防废水。若危废暂存间未设置围堰或导流收集系统，这些含有高浓度污染物的消防废水会携带危险物质漫流出暂存间，进入雨水管网或直接渗入地下，对地表水、土壤及地下水造成严重污染。</w:t>
            </w:r>
          </w:p>
          <w:p w14:paraId="7424E8CD">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2）伴生有毒烟气污染：火灾过程中，危险物质的不完全燃烧会伴生大量有毒有害烟气，在空气中扩散，对周边大气环境及人群健康造成急性危害。</w:t>
            </w:r>
          </w:p>
          <w:p w14:paraId="6A47D0A0">
            <w:pPr>
              <w:numPr>
                <w:ilvl w:val="0"/>
                <w:numId w:val="0"/>
              </w:numPr>
              <w:snapToGrid w:val="0"/>
              <w:spacing w:line="360" w:lineRule="auto"/>
              <w:ind w:firstLine="480" w:firstLineChars="200"/>
              <w:rPr>
                <w:rFonts w:hint="eastAsia" w:ascii="Times New Roman" w:hAnsi="Times New Roman" w:eastAsia="宋体"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4</w:t>
            </w:r>
            <w:r>
              <w:rPr>
                <w:rFonts w:hint="eastAsia" w:ascii="Times New Roman" w:hAnsi="Times New Roman" w:eastAsia="宋体" w:cs="Times New Roman"/>
                <w:bCs/>
                <w:color w:val="auto"/>
                <w:kern w:val="2"/>
                <w:sz w:val="24"/>
                <w:szCs w:val="24"/>
                <w:highlight w:val="none"/>
                <w:lang w:val="en-US" w:eastAsia="zh-CN" w:bidi="ar-SA"/>
              </w:rPr>
              <w:t>、环境风险防范措施</w:t>
            </w:r>
          </w:p>
          <w:p w14:paraId="2DC7ED8F">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（1）危废暂存间建设与管理</w:t>
            </w:r>
          </w:p>
          <w:p w14:paraId="2DAE91AD">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1）严格按标准建设：危废暂存间严格按《危险废物贮存污染控制标准》（GB 18597-2023）建设。采用2mm厚高密度聚乙烯膜进行重点防渗，确保渗透系数满足≦10</w:t>
            </w:r>
            <w:r>
              <w:rPr>
                <w:rFonts w:hint="eastAsia" w:cs="Times New Roman"/>
                <w:bCs/>
                <w:color w:val="auto"/>
                <w:kern w:val="2"/>
                <w:sz w:val="24"/>
                <w:szCs w:val="24"/>
                <w:highlight w:val="none"/>
                <w:vertAlign w:val="superscript"/>
                <w:lang w:val="en-US" w:eastAsia="zh-CN" w:bidi="ar-SA"/>
              </w:rPr>
              <w:t>-10</w:t>
            </w:r>
            <w:r>
              <w:rPr>
                <w:rFonts w:hint="eastAsia" w:cs="Times New Roman"/>
                <w:bCs/>
                <w:color w:val="auto"/>
                <w:kern w:val="2"/>
                <w:sz w:val="24"/>
                <w:szCs w:val="24"/>
                <w:highlight w:val="none"/>
                <w:lang w:val="en-US" w:eastAsia="zh-CN" w:bidi="ar-SA"/>
              </w:rPr>
              <w:t>cm/s要求，并设置堵截泄漏的裙脚。</w:t>
            </w:r>
          </w:p>
          <w:p w14:paraId="4256AEBA">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2）设置导流收集系统：危废暂存间内部设置导流沟和集液池，确保即使发生泄漏，所有液态废物也能被有效控制在危废暂存间内部，不会外溢。</w:t>
            </w:r>
          </w:p>
          <w:p w14:paraId="2998BB73">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3）分类分区贮存：液态危废（废机油、废油墨等）与固态危废（废活性炭等）分区存放。液态危废存放区设置托盘或围堰，不相容的危废分开存放。</w:t>
            </w:r>
          </w:p>
          <w:p w14:paraId="63A643E0">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4）日常巡查与维护：建立危废台账管理及转移联单制度。专职环保管理人员定期检查包装容器的完好性，杜绝跑、冒、滴、漏。</w:t>
            </w:r>
          </w:p>
          <w:p w14:paraId="52CA505F">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（2）消防安全措施</w:t>
            </w:r>
          </w:p>
          <w:p w14:paraId="7FA69C46">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1）禁火与防爆：危废暂存间及附近区域严禁烟火，设置明显的“严禁烟火”安全标识。</w:t>
            </w:r>
          </w:p>
          <w:p w14:paraId="36A95898">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2）配备应急物资：在危废暂存间外便于取用处，配备吸附棉、防化手套、应急沙土或便携式围堰等泄漏应急处理物资，以及干粉灭火器等适用的消防器材。</w:t>
            </w:r>
          </w:p>
          <w:p w14:paraId="4509B43C">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（3）应急预案与培训</w:t>
            </w:r>
          </w:p>
          <w:p w14:paraId="5ECD84FB">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1）编制应急预案：项目建成运行后，建设单位应编制《突发事故环境风险应急预案》报送生态环境主管部门玉溪市生态环境局红塔分局进行备案，预案应针对危险废物泄漏、火灾次生污染等制定明确的现场处置方案，并配备相应的风险应急物资。</w:t>
            </w:r>
          </w:p>
          <w:p w14:paraId="5A71349B">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2）人员培训与演练：定期组织员工进行环境风险防范和应急知识培训，并开展应急演练，确保事故发生时能快速、有效地响应，控制事态蔓延，将环境影响降至最低。</w:t>
            </w:r>
          </w:p>
          <w:p w14:paraId="270C5450">
            <w:pPr>
              <w:numPr>
                <w:ilvl w:val="0"/>
                <w:numId w:val="0"/>
              </w:numPr>
              <w:snapToGrid w:val="0"/>
              <w:spacing w:line="360" w:lineRule="auto"/>
              <w:ind w:firstLine="480" w:firstLineChars="200"/>
              <w:rPr>
                <w:rFonts w:hint="default"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（4）其他措施</w:t>
            </w:r>
          </w:p>
          <w:p w14:paraId="1A32F419">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①严格按照安全生产规定，设置安全监控点。</w:t>
            </w:r>
          </w:p>
          <w:p w14:paraId="52E696D6">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②加强原材料管理，场内暂存转运规范作业流程，操作人员进行安全生产教育。</w:t>
            </w:r>
          </w:p>
          <w:p w14:paraId="7DE608D3">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③加强职工安全环保教育，防止和减少因人为因素造成的事故，同时也要加强防火安全教育。</w:t>
            </w:r>
          </w:p>
          <w:p w14:paraId="695D1C80">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④应配备足够的消防设施，落实安全管理责任。</w:t>
            </w:r>
          </w:p>
          <w:p w14:paraId="1C13DBD9">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⑤强化设备检修，减少因设备损坏、老化带来的遗漏。</w:t>
            </w:r>
          </w:p>
          <w:p w14:paraId="6CD3D528">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⑥库房远离火源、电源、同时加强管理，严禁烟火。</w:t>
            </w:r>
          </w:p>
          <w:p w14:paraId="56769A2B">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⑦应配备收集桶、铁锹、吸附棉、黄沙、消防器材等应急物资，防止火灾事故废水后流入地表水、土壤，造成环境污染。</w:t>
            </w:r>
          </w:p>
          <w:p w14:paraId="1028E8DD">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⑧生产装置的供电、供水等公用设施必须加强日常管理，确保满足正常生产和事故状态下的要求。建立和健全电气安全规章制度和安全操作规程，并严格执行。加强对电气设施进行维护、保养、检修，保持电气设备正常运行。</w:t>
            </w:r>
          </w:p>
          <w:p w14:paraId="77E6F030">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p>
          <w:p w14:paraId="38D748B6">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p>
          <w:p w14:paraId="348E2DA2">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p>
          <w:p w14:paraId="52442AFC">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p>
          <w:p w14:paraId="64AC0C00">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p>
          <w:p w14:paraId="111682A8">
            <w:pPr>
              <w:numPr>
                <w:ilvl w:val="0"/>
                <w:numId w:val="0"/>
              </w:numPr>
              <w:snapToGrid w:val="0"/>
              <w:spacing w:line="360" w:lineRule="auto"/>
              <w:ind w:firstLine="480" w:firstLineChars="200"/>
              <w:rPr>
                <w:rFonts w:hint="eastAsia" w:cs="Times New Roman"/>
                <w:bCs/>
                <w:color w:val="auto"/>
                <w:kern w:val="2"/>
                <w:sz w:val="24"/>
                <w:szCs w:val="24"/>
                <w:highlight w:val="none"/>
                <w:lang w:val="en-US" w:eastAsia="zh-CN" w:bidi="ar-SA"/>
              </w:rPr>
            </w:pPr>
          </w:p>
          <w:p w14:paraId="112FB2A8">
            <w:pPr>
              <w:pStyle w:val="10"/>
              <w:spacing w:before="0" w:after="0" w:line="360" w:lineRule="auto"/>
              <w:ind w:right="0"/>
              <w:rPr>
                <w:rFonts w:hint="eastAsia" w:eastAsia="宋体"/>
                <w:b/>
                <w:color w:val="auto"/>
                <w:sz w:val="28"/>
                <w:szCs w:val="28"/>
                <w:highlight w:val="none"/>
                <w:lang w:eastAsia="zh-CN"/>
              </w:rPr>
            </w:pPr>
          </w:p>
        </w:tc>
      </w:tr>
    </w:tbl>
    <w:p w14:paraId="2DA26C43">
      <w:pPr>
        <w:adjustRightInd w:val="0"/>
        <w:snapToGrid w:val="0"/>
        <w:spacing w:line="360" w:lineRule="auto"/>
        <w:rPr>
          <w:b/>
          <w:color w:val="auto"/>
          <w:kern w:val="0"/>
          <w:sz w:val="28"/>
          <w:szCs w:val="28"/>
          <w:highlight w:val="none"/>
        </w:rPr>
        <w:sectPr>
          <w:pgSz w:w="11907" w:h="16840"/>
          <w:pgMar w:top="1701" w:right="1531" w:bottom="2127" w:left="1531" w:header="851" w:footer="851" w:gutter="0"/>
          <w:cols w:space="720" w:num="1"/>
          <w:docGrid w:linePitch="312" w:charSpace="0"/>
        </w:sectPr>
      </w:pPr>
    </w:p>
    <w:p w14:paraId="48105969">
      <w:pPr>
        <w:pStyle w:val="21"/>
        <w:jc w:val="center"/>
        <w:outlineLvl w:val="0"/>
        <w:rPr>
          <w:rFonts w:ascii="Times New Roman" w:hAnsi="Times New Roman" w:eastAsia="黑体"/>
          <w:snapToGrid w:val="0"/>
          <w:color w:val="auto"/>
          <w:sz w:val="30"/>
          <w:szCs w:val="30"/>
          <w:highlight w:val="none"/>
        </w:rPr>
      </w:pPr>
      <w:bookmarkStart w:id="18" w:name="_Toc165"/>
      <w:r>
        <w:rPr>
          <w:rFonts w:ascii="Times New Roman" w:hAnsi="黑体" w:eastAsia="黑体"/>
          <w:snapToGrid w:val="0"/>
          <w:color w:val="auto"/>
          <w:sz w:val="30"/>
          <w:szCs w:val="30"/>
          <w:highlight w:val="none"/>
        </w:rPr>
        <w:t>五、</w:t>
      </w:r>
      <w:bookmarkStart w:id="19" w:name="_Hlk54167917"/>
      <w:r>
        <w:rPr>
          <w:rFonts w:ascii="Times New Roman" w:hAnsi="黑体" w:eastAsia="黑体"/>
          <w:snapToGrid w:val="0"/>
          <w:color w:val="auto"/>
          <w:sz w:val="30"/>
          <w:szCs w:val="30"/>
          <w:highlight w:val="none"/>
        </w:rPr>
        <w:t>环境保护措施监督检查清单</w:t>
      </w:r>
      <w:bookmarkEnd w:id="18"/>
      <w:bookmarkEnd w:id="19"/>
    </w:p>
    <w:tbl>
      <w:tblPr>
        <w:tblStyle w:val="25"/>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891"/>
        <w:gridCol w:w="1549"/>
        <w:gridCol w:w="1447"/>
        <w:gridCol w:w="2235"/>
        <w:gridCol w:w="2246"/>
      </w:tblGrid>
      <w:tr w14:paraId="08FD00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1" w:type="pct"/>
            <w:gridSpan w:val="2"/>
            <w:tcBorders>
              <w:tl2br w:val="single" w:color="auto" w:sz="4" w:space="0"/>
            </w:tcBorders>
          </w:tcPr>
          <w:p w14:paraId="134AF85C">
            <w:pPr>
              <w:keepNext w:val="0"/>
              <w:keepLines w:val="0"/>
              <w:pageBreakBefore w:val="0"/>
              <w:kinsoku/>
              <w:wordWrap/>
              <w:overflowPunct/>
              <w:topLinePunct w:val="0"/>
              <w:autoSpaceDE/>
              <w:autoSpaceDN/>
              <w:bidi w:val="0"/>
              <w:adjustRightInd w:val="0"/>
              <w:snapToGrid w:val="0"/>
              <w:spacing w:line="240" w:lineRule="auto"/>
              <w:ind w:firstLine="0" w:firstLineChars="0"/>
              <w:jc w:val="right"/>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内容</w:t>
            </w:r>
          </w:p>
          <w:p w14:paraId="593E6809">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要素</w:t>
            </w:r>
          </w:p>
        </w:tc>
        <w:tc>
          <w:tcPr>
            <w:tcW w:w="855" w:type="pct"/>
            <w:vAlign w:val="center"/>
          </w:tcPr>
          <w:p w14:paraId="31036B2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排放口</w:t>
            </w: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编号、名称</w:t>
            </w: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/污染源</w:t>
            </w:r>
          </w:p>
        </w:tc>
        <w:tc>
          <w:tcPr>
            <w:tcW w:w="799" w:type="pct"/>
            <w:vAlign w:val="center"/>
          </w:tcPr>
          <w:p w14:paraId="663D37C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污染物项目</w:t>
            </w:r>
          </w:p>
        </w:tc>
        <w:tc>
          <w:tcPr>
            <w:tcW w:w="1234" w:type="pct"/>
            <w:vAlign w:val="center"/>
          </w:tcPr>
          <w:p w14:paraId="6D5C055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环境保护措施</w:t>
            </w:r>
          </w:p>
        </w:tc>
        <w:tc>
          <w:tcPr>
            <w:tcW w:w="1240" w:type="pct"/>
            <w:vAlign w:val="center"/>
          </w:tcPr>
          <w:p w14:paraId="353E6C4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执行标准</w:t>
            </w:r>
          </w:p>
        </w:tc>
      </w:tr>
      <w:tr w14:paraId="40810F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9" w:type="pct"/>
            <w:vMerge w:val="restart"/>
            <w:vAlign w:val="center"/>
          </w:tcPr>
          <w:p w14:paraId="664510D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大气环境</w:t>
            </w:r>
          </w:p>
        </w:tc>
        <w:tc>
          <w:tcPr>
            <w:tcW w:w="491" w:type="pct"/>
            <w:vMerge w:val="restart"/>
            <w:vAlign w:val="center"/>
          </w:tcPr>
          <w:p w14:paraId="3ABFFAE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有组织</w:t>
            </w:r>
          </w:p>
        </w:tc>
        <w:tc>
          <w:tcPr>
            <w:tcW w:w="855" w:type="pct"/>
            <w:vMerge w:val="restart"/>
            <w:vAlign w:val="center"/>
          </w:tcPr>
          <w:p w14:paraId="4F8ADA87">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4"/>
                <w:sz w:val="21"/>
                <w:szCs w:val="21"/>
                <w:highlight w:val="none"/>
                <w:lang w:val="en-US" w:eastAsia="zh-CN"/>
              </w:rPr>
              <w:t>废</w:t>
            </w:r>
            <w:r>
              <w:rPr>
                <w:rFonts w:hint="eastAsia" w:cs="Times New Roman"/>
                <w:color w:val="auto"/>
                <w:kern w:val="24"/>
                <w:sz w:val="21"/>
                <w:szCs w:val="21"/>
                <w:highlight w:val="none"/>
                <w:lang w:val="en-US" w:eastAsia="zh-CN"/>
              </w:rPr>
              <w:t>气</w:t>
            </w:r>
            <w:r>
              <w:rPr>
                <w:rFonts w:hint="default" w:ascii="Times New Roman" w:hAnsi="Times New Roman" w:eastAsia="宋体" w:cs="Times New Roman"/>
                <w:color w:val="auto"/>
                <w:kern w:val="24"/>
                <w:sz w:val="21"/>
                <w:szCs w:val="21"/>
                <w:highlight w:val="none"/>
              </w:rPr>
              <w:t>排放口</w:t>
            </w:r>
            <w:r>
              <w:rPr>
                <w:rFonts w:hint="default" w:ascii="Times New Roman" w:hAnsi="Times New Roman" w:eastAsia="宋体" w:cs="Times New Roman"/>
                <w:color w:val="auto"/>
                <w:sz w:val="21"/>
                <w:szCs w:val="21"/>
                <w:highlight w:val="none"/>
              </w:rPr>
              <w:t>（DA001）</w:t>
            </w:r>
          </w:p>
        </w:tc>
        <w:tc>
          <w:tcPr>
            <w:tcW w:w="799" w:type="pct"/>
            <w:vAlign w:val="center"/>
          </w:tcPr>
          <w:p w14:paraId="1052E2C8">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有机废气（非甲烷总烃计）</w:t>
            </w:r>
          </w:p>
        </w:tc>
        <w:tc>
          <w:tcPr>
            <w:tcW w:w="1234" w:type="pct"/>
            <w:vMerge w:val="restart"/>
            <w:vAlign w:val="center"/>
          </w:tcPr>
          <w:p w14:paraId="21AF1456">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包围型集气罩（含软帘）+活性炭吸附浓缩+催化氧化（CO）+1根</w:t>
            </w:r>
            <w:r>
              <w:rPr>
                <w:rFonts w:hint="eastAsia"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m排气筒（DA001）</w:t>
            </w:r>
          </w:p>
        </w:tc>
        <w:tc>
          <w:tcPr>
            <w:tcW w:w="1240" w:type="pct"/>
            <w:vAlign w:val="center"/>
          </w:tcPr>
          <w:p w14:paraId="1C329E3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《合成树脂工业污染物排放标准》（GB 31572-2015及2024年修改单）表4排放浓度限值</w:t>
            </w:r>
          </w:p>
        </w:tc>
      </w:tr>
      <w:tr w14:paraId="221A7C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9" w:type="pct"/>
            <w:vMerge w:val="continue"/>
            <w:vAlign w:val="center"/>
          </w:tcPr>
          <w:p w14:paraId="7DD063D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491" w:type="pct"/>
            <w:vMerge w:val="continue"/>
            <w:vAlign w:val="center"/>
          </w:tcPr>
          <w:p w14:paraId="3D61E11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p>
        </w:tc>
        <w:tc>
          <w:tcPr>
            <w:tcW w:w="855" w:type="pct"/>
            <w:vMerge w:val="continue"/>
            <w:vAlign w:val="center"/>
          </w:tcPr>
          <w:p w14:paraId="47429CD9">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p>
        </w:tc>
        <w:tc>
          <w:tcPr>
            <w:tcW w:w="799" w:type="pct"/>
            <w:vAlign w:val="center"/>
          </w:tcPr>
          <w:p w14:paraId="0660B5C4">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臭气浓度</w:t>
            </w:r>
          </w:p>
        </w:tc>
        <w:tc>
          <w:tcPr>
            <w:tcW w:w="1234" w:type="pct"/>
            <w:vMerge w:val="continue"/>
            <w:vAlign w:val="center"/>
          </w:tcPr>
          <w:p w14:paraId="5722D5DB">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240" w:type="pct"/>
            <w:vAlign w:val="center"/>
          </w:tcPr>
          <w:p w14:paraId="27AD94D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《恶臭污染物排放标准》（GB</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14554-93）表2恶臭污染物排放标准值中臭气浓度</w:t>
            </w:r>
            <w:r>
              <w:rPr>
                <w:rFonts w:hint="eastAsia" w:ascii="Times New Roman" w:hAnsi="Times New Roman" w:cs="Times New Roman"/>
                <w:color w:val="auto"/>
                <w:sz w:val="21"/>
                <w:szCs w:val="21"/>
                <w:highlight w:val="none"/>
                <w:lang w:val="en-US" w:eastAsia="zh-CN"/>
              </w:rPr>
              <w:t>2</w:t>
            </w:r>
            <w:r>
              <w:rPr>
                <w:rFonts w:hint="eastAsia"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lang w:val="en-US" w:eastAsia="zh-CN"/>
              </w:rPr>
              <w:t>m排气筒标准值</w:t>
            </w:r>
          </w:p>
        </w:tc>
      </w:tr>
      <w:tr w14:paraId="64B769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9" w:type="pct"/>
            <w:vMerge w:val="continue"/>
            <w:vAlign w:val="center"/>
          </w:tcPr>
          <w:p w14:paraId="667B769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491" w:type="pct"/>
            <w:vMerge w:val="continue"/>
            <w:vAlign w:val="center"/>
          </w:tcPr>
          <w:p w14:paraId="401EAD3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p>
        </w:tc>
        <w:tc>
          <w:tcPr>
            <w:tcW w:w="855" w:type="pct"/>
            <w:vMerge w:val="restart"/>
            <w:vAlign w:val="center"/>
          </w:tcPr>
          <w:p w14:paraId="3C331874">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废气排放口（DA002）</w:t>
            </w:r>
          </w:p>
        </w:tc>
        <w:tc>
          <w:tcPr>
            <w:tcW w:w="799" w:type="pct"/>
            <w:shd w:val="clear" w:color="auto" w:fill="auto"/>
            <w:vAlign w:val="center"/>
          </w:tcPr>
          <w:p w14:paraId="09BC0807">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有机废气（非甲烷总烃计）</w:t>
            </w:r>
          </w:p>
        </w:tc>
        <w:tc>
          <w:tcPr>
            <w:tcW w:w="1234" w:type="pct"/>
            <w:vMerge w:val="restart"/>
            <w:vAlign w:val="center"/>
          </w:tcPr>
          <w:p w14:paraId="45D70845">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包围型集气罩（含软帘）</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二级活性炭吸附工艺）（TA002）</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1根2</w:t>
            </w:r>
            <w:r>
              <w:rPr>
                <w:rFonts w:hint="eastAsia"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rPr>
              <w:t>m高排气筒（DA002）</w:t>
            </w:r>
          </w:p>
        </w:tc>
        <w:tc>
          <w:tcPr>
            <w:tcW w:w="1240" w:type="pct"/>
            <w:vAlign w:val="center"/>
          </w:tcPr>
          <w:p w14:paraId="6B71DB88">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《印刷工业大气污染物排放标准》（GB41616-2022）表1 中的大气污染物排放限值</w:t>
            </w:r>
          </w:p>
        </w:tc>
      </w:tr>
      <w:tr w14:paraId="01FEB0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9" w:type="pct"/>
            <w:vMerge w:val="continue"/>
            <w:vAlign w:val="center"/>
          </w:tcPr>
          <w:p w14:paraId="4E541BA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491" w:type="pct"/>
            <w:vMerge w:val="continue"/>
            <w:vAlign w:val="center"/>
          </w:tcPr>
          <w:p w14:paraId="3968DA4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p>
        </w:tc>
        <w:tc>
          <w:tcPr>
            <w:tcW w:w="855" w:type="pct"/>
            <w:vMerge w:val="continue"/>
            <w:vAlign w:val="center"/>
          </w:tcPr>
          <w:p w14:paraId="0A327549">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p>
        </w:tc>
        <w:tc>
          <w:tcPr>
            <w:tcW w:w="799" w:type="pct"/>
            <w:shd w:val="clear" w:color="auto" w:fill="auto"/>
            <w:vAlign w:val="center"/>
          </w:tcPr>
          <w:p w14:paraId="78387E35">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臭气浓度</w:t>
            </w:r>
          </w:p>
        </w:tc>
        <w:tc>
          <w:tcPr>
            <w:tcW w:w="1234" w:type="pct"/>
            <w:vMerge w:val="continue"/>
            <w:vAlign w:val="center"/>
          </w:tcPr>
          <w:p w14:paraId="39797875">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240" w:type="pct"/>
            <w:vAlign w:val="center"/>
          </w:tcPr>
          <w:p w14:paraId="611294BB">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《恶臭污染物排放标准》（GB 14554-93）表2恶臭污染物排放标准值中臭气浓度2</w:t>
            </w:r>
            <w:r>
              <w:rPr>
                <w:rFonts w:hint="eastAsia"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m排气筒标准值</w:t>
            </w:r>
          </w:p>
        </w:tc>
      </w:tr>
      <w:tr w14:paraId="450B9E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9" w:type="pct"/>
            <w:vMerge w:val="continue"/>
            <w:vAlign w:val="center"/>
          </w:tcPr>
          <w:p w14:paraId="20D8C93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491" w:type="pct"/>
            <w:vMerge w:val="restart"/>
            <w:vAlign w:val="center"/>
          </w:tcPr>
          <w:p w14:paraId="0D0235A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无组织</w:t>
            </w:r>
          </w:p>
        </w:tc>
        <w:tc>
          <w:tcPr>
            <w:tcW w:w="855" w:type="pct"/>
            <w:vMerge w:val="restart"/>
            <w:shd w:val="clear" w:color="auto" w:fill="auto"/>
            <w:vAlign w:val="center"/>
          </w:tcPr>
          <w:p w14:paraId="071E46C7">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厂界</w:t>
            </w:r>
          </w:p>
        </w:tc>
        <w:tc>
          <w:tcPr>
            <w:tcW w:w="799" w:type="pct"/>
            <w:vAlign w:val="center"/>
          </w:tcPr>
          <w:p w14:paraId="570A5F03">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1234" w:type="pct"/>
            <w:vAlign w:val="center"/>
          </w:tcPr>
          <w:p w14:paraId="1B62B95A">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封闭作业，厂房阻隔，</w:t>
            </w:r>
            <w:r>
              <w:rPr>
                <w:rFonts w:hint="default" w:ascii="Times New Roman" w:hAnsi="Times New Roman" w:eastAsia="宋体" w:cs="Times New Roman"/>
                <w:color w:val="auto"/>
                <w:sz w:val="21"/>
                <w:szCs w:val="21"/>
                <w:highlight w:val="none"/>
              </w:rPr>
              <w:t>生产车间</w:t>
            </w:r>
            <w:r>
              <w:rPr>
                <w:rFonts w:hint="default" w:ascii="Times New Roman" w:hAnsi="Times New Roman" w:eastAsia="宋体" w:cs="Times New Roman"/>
                <w:color w:val="auto"/>
                <w:sz w:val="21"/>
                <w:szCs w:val="21"/>
                <w:highlight w:val="none"/>
                <w:lang w:val="en-US" w:eastAsia="zh-CN"/>
              </w:rPr>
              <w:t>加强</w:t>
            </w:r>
            <w:r>
              <w:rPr>
                <w:rFonts w:hint="default" w:ascii="Times New Roman" w:hAnsi="Times New Roman" w:eastAsia="宋体" w:cs="Times New Roman"/>
                <w:color w:val="auto"/>
                <w:sz w:val="21"/>
                <w:szCs w:val="21"/>
                <w:highlight w:val="none"/>
              </w:rPr>
              <w:t>通风换气</w:t>
            </w:r>
          </w:p>
        </w:tc>
        <w:tc>
          <w:tcPr>
            <w:tcW w:w="1240" w:type="pct"/>
            <w:vAlign w:val="center"/>
          </w:tcPr>
          <w:p w14:paraId="0415006A">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《合成树脂工业污染物排放标准》（GB</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31572-2015）表9中企业边界大气污染物浓度限值</w:t>
            </w:r>
          </w:p>
        </w:tc>
      </w:tr>
      <w:tr w14:paraId="4FBFEC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9" w:type="pct"/>
            <w:vMerge w:val="continue"/>
            <w:vAlign w:val="center"/>
          </w:tcPr>
          <w:p w14:paraId="4F37789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491" w:type="pct"/>
            <w:vMerge w:val="continue"/>
            <w:vAlign w:val="center"/>
          </w:tcPr>
          <w:p w14:paraId="47ED332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p>
        </w:tc>
        <w:tc>
          <w:tcPr>
            <w:tcW w:w="855" w:type="pct"/>
            <w:vMerge w:val="continue"/>
            <w:shd w:val="clear" w:color="auto" w:fill="auto"/>
            <w:vAlign w:val="center"/>
          </w:tcPr>
          <w:p w14:paraId="5F5A9624">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p>
        </w:tc>
        <w:tc>
          <w:tcPr>
            <w:tcW w:w="799" w:type="pct"/>
            <w:vAlign w:val="center"/>
          </w:tcPr>
          <w:p w14:paraId="5E823AA2">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非甲烷总烃</w:t>
            </w:r>
          </w:p>
        </w:tc>
        <w:tc>
          <w:tcPr>
            <w:tcW w:w="1234" w:type="pct"/>
            <w:vAlign w:val="center"/>
          </w:tcPr>
          <w:p w14:paraId="7F9E9899">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封闭作业，厂房阻隔，</w:t>
            </w:r>
            <w:r>
              <w:rPr>
                <w:rFonts w:hint="default" w:ascii="Times New Roman" w:hAnsi="Times New Roman" w:eastAsia="宋体" w:cs="Times New Roman"/>
                <w:color w:val="auto"/>
                <w:sz w:val="21"/>
                <w:szCs w:val="21"/>
                <w:highlight w:val="none"/>
              </w:rPr>
              <w:t>生产车间</w:t>
            </w:r>
            <w:r>
              <w:rPr>
                <w:rFonts w:hint="default" w:ascii="Times New Roman" w:hAnsi="Times New Roman" w:eastAsia="宋体" w:cs="Times New Roman"/>
                <w:color w:val="auto"/>
                <w:sz w:val="21"/>
                <w:szCs w:val="21"/>
                <w:highlight w:val="none"/>
                <w:lang w:val="en-US" w:eastAsia="zh-CN"/>
              </w:rPr>
              <w:t>加强</w:t>
            </w:r>
            <w:r>
              <w:rPr>
                <w:rFonts w:hint="default" w:ascii="Times New Roman" w:hAnsi="Times New Roman" w:eastAsia="宋体" w:cs="Times New Roman"/>
                <w:color w:val="auto"/>
                <w:sz w:val="21"/>
                <w:szCs w:val="21"/>
                <w:highlight w:val="none"/>
              </w:rPr>
              <w:t>通风换气</w:t>
            </w:r>
          </w:p>
        </w:tc>
        <w:tc>
          <w:tcPr>
            <w:tcW w:w="1240" w:type="pct"/>
            <w:vAlign w:val="center"/>
          </w:tcPr>
          <w:p w14:paraId="7B7741D0">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《合成树脂工业污染物排放标准》（GB</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31572-2015）表9中企业边界大气污染物浓度限值</w:t>
            </w:r>
          </w:p>
        </w:tc>
      </w:tr>
      <w:tr w14:paraId="52056A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9" w:type="pct"/>
            <w:vMerge w:val="continue"/>
            <w:vAlign w:val="center"/>
          </w:tcPr>
          <w:p w14:paraId="64F86AF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491" w:type="pct"/>
            <w:vMerge w:val="continue"/>
            <w:vAlign w:val="center"/>
          </w:tcPr>
          <w:p w14:paraId="406FF01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p>
        </w:tc>
        <w:tc>
          <w:tcPr>
            <w:tcW w:w="855" w:type="pct"/>
            <w:vMerge w:val="continue"/>
            <w:shd w:val="clear" w:color="auto" w:fill="auto"/>
            <w:vAlign w:val="center"/>
          </w:tcPr>
          <w:p w14:paraId="2016DF17">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799" w:type="pct"/>
            <w:vAlign w:val="center"/>
          </w:tcPr>
          <w:p w14:paraId="1D62F56A">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臭气浓度</w:t>
            </w:r>
          </w:p>
        </w:tc>
        <w:tc>
          <w:tcPr>
            <w:tcW w:w="1234" w:type="pct"/>
            <w:vAlign w:val="center"/>
          </w:tcPr>
          <w:p w14:paraId="4D3DBD9A">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封闭作业，厂房阻隔，生产车间加强通风换气</w:t>
            </w:r>
          </w:p>
        </w:tc>
        <w:tc>
          <w:tcPr>
            <w:tcW w:w="1240" w:type="pct"/>
            <w:vAlign w:val="center"/>
          </w:tcPr>
          <w:p w14:paraId="6AD923E0">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《恶臭污染物排放标准》（GB14554-93）表1 恶臭污染物厂界标准值中的”二级新扩改建”标准限值</w:t>
            </w:r>
          </w:p>
        </w:tc>
      </w:tr>
      <w:tr w14:paraId="285C10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9" w:type="pct"/>
            <w:vMerge w:val="continue"/>
            <w:vAlign w:val="center"/>
          </w:tcPr>
          <w:p w14:paraId="415C416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491" w:type="pct"/>
            <w:vAlign w:val="center"/>
          </w:tcPr>
          <w:p w14:paraId="0C6AF808">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无组织</w:t>
            </w:r>
          </w:p>
        </w:tc>
        <w:tc>
          <w:tcPr>
            <w:tcW w:w="855" w:type="pct"/>
            <w:shd w:val="clear" w:color="auto" w:fill="auto"/>
            <w:vAlign w:val="center"/>
          </w:tcPr>
          <w:p w14:paraId="338F594E">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厂区内</w:t>
            </w:r>
          </w:p>
        </w:tc>
        <w:tc>
          <w:tcPr>
            <w:tcW w:w="799" w:type="pct"/>
            <w:vAlign w:val="center"/>
          </w:tcPr>
          <w:p w14:paraId="18426075">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非甲烷总烃</w:t>
            </w:r>
          </w:p>
        </w:tc>
        <w:tc>
          <w:tcPr>
            <w:tcW w:w="1234" w:type="pct"/>
            <w:vAlign w:val="center"/>
          </w:tcPr>
          <w:p w14:paraId="250F0A96">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封闭作业，厂房阻隔，</w:t>
            </w:r>
            <w:r>
              <w:rPr>
                <w:rFonts w:hint="default" w:ascii="Times New Roman" w:hAnsi="Times New Roman" w:eastAsia="宋体" w:cs="Times New Roman"/>
                <w:color w:val="auto"/>
                <w:sz w:val="21"/>
                <w:szCs w:val="21"/>
                <w:highlight w:val="none"/>
              </w:rPr>
              <w:t>生产车间</w:t>
            </w:r>
            <w:r>
              <w:rPr>
                <w:rFonts w:hint="default" w:ascii="Times New Roman" w:hAnsi="Times New Roman" w:eastAsia="宋体" w:cs="Times New Roman"/>
                <w:color w:val="auto"/>
                <w:sz w:val="21"/>
                <w:szCs w:val="21"/>
                <w:highlight w:val="none"/>
                <w:lang w:val="en-US" w:eastAsia="zh-CN"/>
              </w:rPr>
              <w:t>加强</w:t>
            </w:r>
            <w:r>
              <w:rPr>
                <w:rFonts w:hint="default" w:ascii="Times New Roman" w:hAnsi="Times New Roman" w:eastAsia="宋体" w:cs="Times New Roman"/>
                <w:color w:val="auto"/>
                <w:sz w:val="21"/>
                <w:szCs w:val="21"/>
                <w:highlight w:val="none"/>
              </w:rPr>
              <w:t>通风换气</w:t>
            </w:r>
          </w:p>
        </w:tc>
        <w:tc>
          <w:tcPr>
            <w:tcW w:w="1240" w:type="pct"/>
            <w:vAlign w:val="center"/>
          </w:tcPr>
          <w:p w14:paraId="4090AF5E">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《挥发性有机物无组织排放控制标准》（GB</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37822-2019）表A.1厂区内无组织特别排放限值</w:t>
            </w:r>
          </w:p>
        </w:tc>
      </w:tr>
      <w:tr w14:paraId="139285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1" w:type="pct"/>
            <w:gridSpan w:val="2"/>
            <w:vAlign w:val="center"/>
          </w:tcPr>
          <w:p w14:paraId="73383C9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地表水环境</w:t>
            </w:r>
          </w:p>
        </w:tc>
        <w:tc>
          <w:tcPr>
            <w:tcW w:w="855" w:type="pct"/>
            <w:vAlign w:val="center"/>
          </w:tcPr>
          <w:p w14:paraId="5EDFAE62">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生活污水</w:t>
            </w:r>
          </w:p>
        </w:tc>
        <w:tc>
          <w:tcPr>
            <w:tcW w:w="799" w:type="pct"/>
            <w:vAlign w:val="center"/>
          </w:tcPr>
          <w:p w14:paraId="2E9692E0">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pH、CODcr、BOD</w:t>
            </w:r>
            <w:r>
              <w:rPr>
                <w:rFonts w:hint="default" w:ascii="Times New Roman" w:hAnsi="Times New Roman" w:eastAsia="宋体" w:cs="Times New Roman"/>
                <w:color w:val="auto"/>
                <w:sz w:val="21"/>
                <w:szCs w:val="21"/>
                <w:highlight w:val="none"/>
                <w:vertAlign w:val="subscript"/>
              </w:rPr>
              <w:t>5</w:t>
            </w:r>
            <w:r>
              <w:rPr>
                <w:rFonts w:hint="default" w:ascii="Times New Roman" w:hAnsi="Times New Roman" w:eastAsia="宋体" w:cs="Times New Roman"/>
                <w:color w:val="auto"/>
                <w:sz w:val="21"/>
                <w:szCs w:val="21"/>
                <w:highlight w:val="none"/>
              </w:rPr>
              <w:t>、SS、NH</w:t>
            </w:r>
            <w:r>
              <w:rPr>
                <w:rFonts w:hint="default" w:ascii="Times New Roman" w:hAnsi="Times New Roman" w:eastAsia="宋体" w:cs="Times New Roman"/>
                <w:color w:val="auto"/>
                <w:sz w:val="21"/>
                <w:szCs w:val="21"/>
                <w:highlight w:val="none"/>
                <w:vertAlign w:val="subscript"/>
              </w:rPr>
              <w:t>3</w:t>
            </w:r>
            <w:r>
              <w:rPr>
                <w:rFonts w:hint="default" w:ascii="Times New Roman" w:hAnsi="Times New Roman" w:eastAsia="宋体" w:cs="Times New Roman"/>
                <w:color w:val="auto"/>
                <w:sz w:val="21"/>
                <w:szCs w:val="21"/>
                <w:highlight w:val="none"/>
              </w:rPr>
              <w:t>-N、TP</w:t>
            </w:r>
          </w:p>
        </w:tc>
        <w:tc>
          <w:tcPr>
            <w:tcW w:w="1234" w:type="pct"/>
            <w:vAlign w:val="center"/>
          </w:tcPr>
          <w:p w14:paraId="776823FF">
            <w:pPr>
              <w:pStyle w:val="79"/>
              <w:keepNext w:val="0"/>
              <w:keepLines w:val="0"/>
              <w:pageBreakBefore w:val="0"/>
              <w:kinsoku/>
              <w:wordWrap/>
              <w:overflowPunct/>
              <w:topLinePunct w:val="0"/>
              <w:autoSpaceDE/>
              <w:autoSpaceDN/>
              <w:bidi w:val="0"/>
              <w:spacing w:line="240" w:lineRule="auto"/>
              <w:ind w:firstLine="0" w:firstLineChars="0"/>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rPr>
              <w:t>办公、生活污水依托云南三缘电缆有限公司化粪池（10m³）处理，处理后通过槽车或罐车运送至玉溪市第</w:t>
            </w:r>
            <w:r>
              <w:rPr>
                <w:rFonts w:hint="eastAsia" w:cs="Times New Roman"/>
                <w:color w:val="auto"/>
                <w:kern w:val="2"/>
                <w:sz w:val="21"/>
                <w:szCs w:val="21"/>
                <w:highlight w:val="none"/>
                <w:lang w:val="en-US" w:eastAsia="zh-CN"/>
              </w:rPr>
              <w:t>二</w:t>
            </w:r>
            <w:r>
              <w:rPr>
                <w:rFonts w:hint="default" w:ascii="Times New Roman" w:hAnsi="Times New Roman" w:eastAsia="宋体" w:cs="Times New Roman"/>
                <w:color w:val="auto"/>
                <w:kern w:val="2"/>
                <w:sz w:val="21"/>
                <w:szCs w:val="21"/>
                <w:highlight w:val="none"/>
                <w:lang w:val="en-US"/>
              </w:rPr>
              <w:t>污水处理厂处置</w:t>
            </w:r>
            <w:r>
              <w:rPr>
                <w:rFonts w:hint="default" w:ascii="Times New Roman" w:hAnsi="Times New Roman" w:eastAsia="宋体" w:cs="Times New Roman"/>
                <w:color w:val="auto"/>
                <w:kern w:val="2"/>
                <w:sz w:val="21"/>
                <w:szCs w:val="21"/>
                <w:highlight w:val="none"/>
                <w:lang w:val="en-US" w:eastAsia="zh-CN"/>
              </w:rPr>
              <w:t>。</w:t>
            </w:r>
          </w:p>
        </w:tc>
        <w:tc>
          <w:tcPr>
            <w:tcW w:w="1240" w:type="pct"/>
            <w:vAlign w:val="center"/>
          </w:tcPr>
          <w:p w14:paraId="2C0FFBD5">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《污水排入城镇下水道水质标准》（GB/T</w:t>
            </w:r>
            <w:r>
              <w:rPr>
                <w:rFonts w:hint="eastAsia" w:ascii="Times New Roman" w:hAnsi="Times New Roman" w:eastAsia="宋体" w:cs="Times New Roman"/>
                <w:color w:val="auto"/>
                <w:kern w:val="0"/>
                <w:sz w:val="21"/>
                <w:szCs w:val="21"/>
                <w:highlight w:val="none"/>
                <w:lang w:val="en-US" w:eastAsia="zh-CN"/>
              </w:rPr>
              <w:t xml:space="preserve"> </w:t>
            </w:r>
            <w:r>
              <w:rPr>
                <w:rFonts w:hint="default" w:ascii="Times New Roman" w:hAnsi="Times New Roman" w:eastAsia="宋体" w:cs="Times New Roman"/>
                <w:color w:val="auto"/>
                <w:kern w:val="0"/>
                <w:sz w:val="21"/>
                <w:szCs w:val="21"/>
                <w:highlight w:val="none"/>
              </w:rPr>
              <w:t>31962-2015）A 级标准</w:t>
            </w:r>
          </w:p>
        </w:tc>
      </w:tr>
      <w:tr w14:paraId="53B641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1" w:type="pct"/>
            <w:gridSpan w:val="2"/>
            <w:vAlign w:val="center"/>
          </w:tcPr>
          <w:p w14:paraId="257BF8D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声环境</w:t>
            </w:r>
          </w:p>
        </w:tc>
        <w:tc>
          <w:tcPr>
            <w:tcW w:w="855" w:type="pct"/>
            <w:vAlign w:val="center"/>
          </w:tcPr>
          <w:p w14:paraId="51FBA80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生产设备</w:t>
            </w:r>
          </w:p>
        </w:tc>
        <w:tc>
          <w:tcPr>
            <w:tcW w:w="799" w:type="pct"/>
            <w:vAlign w:val="center"/>
          </w:tcPr>
          <w:p w14:paraId="6402846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等效连续A 声级</w:t>
            </w:r>
          </w:p>
        </w:tc>
        <w:tc>
          <w:tcPr>
            <w:tcW w:w="1234" w:type="pct"/>
            <w:vAlign w:val="center"/>
          </w:tcPr>
          <w:p w14:paraId="7154E19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选用低噪声设备，从源头控制噪声强度；</w:t>
            </w:r>
            <w:r>
              <w:rPr>
                <w:rFonts w:hint="default" w:ascii="Times New Roman" w:hAnsi="Times New Roman" w:eastAsia="宋体" w:cs="Times New Roman"/>
                <w:color w:val="auto"/>
                <w:sz w:val="21"/>
                <w:szCs w:val="21"/>
                <w:highlight w:val="none"/>
                <w:lang w:val="en-US" w:eastAsia="zh-CN"/>
              </w:rPr>
              <w:t>封闭作业，将</w:t>
            </w:r>
            <w:r>
              <w:rPr>
                <w:rFonts w:hint="default" w:ascii="Times New Roman" w:hAnsi="Times New Roman" w:eastAsia="宋体" w:cs="Times New Roman"/>
                <w:color w:val="auto"/>
                <w:sz w:val="21"/>
                <w:szCs w:val="21"/>
                <w:highlight w:val="none"/>
              </w:rPr>
              <w:t>各产噪设备置于室内；加强管理和维护，确保设备正常工况运行。</w:t>
            </w:r>
          </w:p>
        </w:tc>
        <w:tc>
          <w:tcPr>
            <w:tcW w:w="1240" w:type="pct"/>
            <w:vAlign w:val="center"/>
          </w:tcPr>
          <w:p w14:paraId="28E0886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《工业企业厂界环境噪声排放标准》</w:t>
            </w: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类标准限值</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GB</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12348-2008</w:t>
            </w:r>
            <w:r>
              <w:rPr>
                <w:rFonts w:hint="eastAsia" w:ascii="Times New Roman" w:hAnsi="Times New Roman" w:eastAsia="宋体" w:cs="Times New Roman"/>
                <w:color w:val="auto"/>
                <w:sz w:val="21"/>
                <w:szCs w:val="21"/>
                <w:highlight w:val="none"/>
                <w:lang w:eastAsia="zh-CN"/>
              </w:rPr>
              <w:t>）</w:t>
            </w:r>
          </w:p>
        </w:tc>
      </w:tr>
      <w:tr w14:paraId="122DAA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1" w:type="pct"/>
            <w:gridSpan w:val="2"/>
            <w:vAlign w:val="center"/>
          </w:tcPr>
          <w:p w14:paraId="37B1A1C2">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电磁辐射</w:t>
            </w:r>
          </w:p>
        </w:tc>
        <w:tc>
          <w:tcPr>
            <w:tcW w:w="4128" w:type="pct"/>
            <w:gridSpan w:val="4"/>
            <w:vAlign w:val="center"/>
          </w:tcPr>
          <w:p w14:paraId="1F9AE66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2FB43B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1" w:type="pct"/>
            <w:gridSpan w:val="2"/>
            <w:vMerge w:val="restart"/>
            <w:vAlign w:val="center"/>
          </w:tcPr>
          <w:p w14:paraId="1BFE3F4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固体废物</w:t>
            </w:r>
          </w:p>
        </w:tc>
        <w:tc>
          <w:tcPr>
            <w:tcW w:w="855" w:type="pct"/>
            <w:vAlign w:val="center"/>
          </w:tcPr>
          <w:p w14:paraId="1AAB23D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4"/>
                <w:sz w:val="21"/>
                <w:szCs w:val="21"/>
                <w:highlight w:val="none"/>
              </w:rPr>
              <w:t>办公、生活</w:t>
            </w:r>
          </w:p>
        </w:tc>
        <w:tc>
          <w:tcPr>
            <w:tcW w:w="799" w:type="pct"/>
            <w:vAlign w:val="center"/>
          </w:tcPr>
          <w:p w14:paraId="5CDF4807">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生活垃圾</w:t>
            </w:r>
          </w:p>
        </w:tc>
        <w:tc>
          <w:tcPr>
            <w:tcW w:w="1234" w:type="pct"/>
            <w:vAlign w:val="center"/>
          </w:tcPr>
          <w:p w14:paraId="493F350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24"/>
                <w:sz w:val="21"/>
                <w:szCs w:val="21"/>
                <w:highlight w:val="none"/>
                <w:lang w:val="en-US" w:eastAsia="zh-CN"/>
              </w:rPr>
              <w:t>定期</w:t>
            </w:r>
            <w:r>
              <w:rPr>
                <w:rFonts w:hint="default" w:ascii="Times New Roman" w:hAnsi="Times New Roman" w:eastAsia="宋体" w:cs="Times New Roman"/>
                <w:color w:val="auto"/>
                <w:kern w:val="24"/>
                <w:sz w:val="21"/>
                <w:szCs w:val="21"/>
                <w:highlight w:val="none"/>
              </w:rPr>
              <w:t>交由环卫部门清运处置</w:t>
            </w:r>
          </w:p>
        </w:tc>
        <w:tc>
          <w:tcPr>
            <w:tcW w:w="1240" w:type="pct"/>
            <w:vAlign w:val="center"/>
          </w:tcPr>
          <w:p w14:paraId="77A20916">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414F90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1" w:type="pct"/>
            <w:gridSpan w:val="2"/>
            <w:vMerge w:val="continue"/>
            <w:vAlign w:val="center"/>
          </w:tcPr>
          <w:p w14:paraId="7FF09DD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855" w:type="pct"/>
            <w:vMerge w:val="restart"/>
            <w:vAlign w:val="center"/>
          </w:tcPr>
          <w:p w14:paraId="086E237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生产</w:t>
            </w:r>
          </w:p>
        </w:tc>
        <w:tc>
          <w:tcPr>
            <w:tcW w:w="799" w:type="pct"/>
            <w:vAlign w:val="center"/>
          </w:tcPr>
          <w:p w14:paraId="0A466B0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废包装袋</w:t>
            </w:r>
          </w:p>
        </w:tc>
        <w:tc>
          <w:tcPr>
            <w:tcW w:w="1234" w:type="pct"/>
            <w:vAlign w:val="center"/>
          </w:tcPr>
          <w:p w14:paraId="0E9101E4">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外售综合利用</w:t>
            </w:r>
          </w:p>
        </w:tc>
        <w:tc>
          <w:tcPr>
            <w:tcW w:w="1240" w:type="pct"/>
            <w:vAlign w:val="center"/>
          </w:tcPr>
          <w:p w14:paraId="793F80F1">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r w14:paraId="67DFC6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1" w:type="pct"/>
            <w:gridSpan w:val="2"/>
            <w:vMerge w:val="continue"/>
            <w:vAlign w:val="center"/>
          </w:tcPr>
          <w:p w14:paraId="567D5CE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855" w:type="pct"/>
            <w:vMerge w:val="continue"/>
            <w:vAlign w:val="center"/>
          </w:tcPr>
          <w:p w14:paraId="6C9F748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p>
        </w:tc>
        <w:tc>
          <w:tcPr>
            <w:tcW w:w="799" w:type="pct"/>
            <w:vAlign w:val="center"/>
          </w:tcPr>
          <w:p w14:paraId="3B04008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废边角料、不合格产品</w:t>
            </w:r>
          </w:p>
        </w:tc>
        <w:tc>
          <w:tcPr>
            <w:tcW w:w="1234" w:type="pct"/>
            <w:vAlign w:val="center"/>
          </w:tcPr>
          <w:p w14:paraId="7B30B12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粉碎机破碎后重新回用于生产</w:t>
            </w:r>
          </w:p>
        </w:tc>
        <w:tc>
          <w:tcPr>
            <w:tcW w:w="1240" w:type="pct"/>
            <w:vAlign w:val="center"/>
          </w:tcPr>
          <w:p w14:paraId="22AE2440">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r w14:paraId="264782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1" w:type="pct"/>
            <w:gridSpan w:val="2"/>
            <w:vMerge w:val="continue"/>
            <w:vAlign w:val="center"/>
          </w:tcPr>
          <w:p w14:paraId="461DBB01">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855" w:type="pct"/>
            <w:vMerge w:val="continue"/>
            <w:vAlign w:val="center"/>
          </w:tcPr>
          <w:p w14:paraId="5751394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p>
        </w:tc>
        <w:tc>
          <w:tcPr>
            <w:tcW w:w="799" w:type="pct"/>
            <w:vAlign w:val="center"/>
          </w:tcPr>
          <w:p w14:paraId="5E3491C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废活性炭</w:t>
            </w:r>
            <w:r>
              <w:rPr>
                <w:rFonts w:hint="eastAsia" w:cs="Times New Roman"/>
                <w:color w:val="auto"/>
                <w:kern w:val="24"/>
                <w:sz w:val="21"/>
                <w:szCs w:val="21"/>
                <w:highlight w:val="none"/>
                <w:lang w:val="en-US" w:eastAsia="zh-CN"/>
              </w:rPr>
              <w:t>、废催化剂</w:t>
            </w:r>
          </w:p>
        </w:tc>
        <w:tc>
          <w:tcPr>
            <w:tcW w:w="1234" w:type="pct"/>
            <w:vAlign w:val="center"/>
          </w:tcPr>
          <w:p w14:paraId="623FCF2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分类收集后分区暂存于危险废物</w:t>
            </w:r>
            <w:r>
              <w:rPr>
                <w:rFonts w:hint="eastAsia" w:cs="Times New Roman"/>
                <w:color w:val="auto"/>
                <w:kern w:val="24"/>
                <w:sz w:val="21"/>
                <w:szCs w:val="21"/>
                <w:highlight w:val="none"/>
                <w:lang w:val="en-US" w:eastAsia="zh-CN"/>
              </w:rPr>
              <w:t>暂存间</w:t>
            </w:r>
            <w:r>
              <w:rPr>
                <w:rFonts w:hint="default" w:ascii="Times New Roman" w:hAnsi="Times New Roman" w:eastAsia="宋体" w:cs="Times New Roman"/>
                <w:color w:val="auto"/>
                <w:kern w:val="24"/>
                <w:sz w:val="21"/>
                <w:szCs w:val="21"/>
                <w:highlight w:val="none"/>
              </w:rPr>
              <w:t>，委托有危险废物处置资质的单位进行清运处置，并建立危废管理制度、台账及转运联单</w:t>
            </w:r>
          </w:p>
        </w:tc>
        <w:tc>
          <w:tcPr>
            <w:tcW w:w="1240" w:type="pct"/>
            <w:vAlign w:val="center"/>
          </w:tcPr>
          <w:p w14:paraId="3DED8589">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《危险废物贮存污染控制标准》（GB</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18597-2023）</w:t>
            </w:r>
          </w:p>
        </w:tc>
      </w:tr>
      <w:tr w14:paraId="3E5F0B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1" w:type="pct"/>
            <w:gridSpan w:val="2"/>
            <w:vMerge w:val="continue"/>
            <w:vAlign w:val="center"/>
          </w:tcPr>
          <w:p w14:paraId="3D0EDC6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855" w:type="pct"/>
            <w:vMerge w:val="continue"/>
            <w:vAlign w:val="center"/>
          </w:tcPr>
          <w:p w14:paraId="727740CA">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p>
        </w:tc>
        <w:tc>
          <w:tcPr>
            <w:tcW w:w="799" w:type="pct"/>
            <w:vAlign w:val="center"/>
          </w:tcPr>
          <w:p w14:paraId="4B4E14B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废机油、废机油桶</w:t>
            </w:r>
          </w:p>
        </w:tc>
        <w:tc>
          <w:tcPr>
            <w:tcW w:w="1234" w:type="pct"/>
            <w:vAlign w:val="center"/>
          </w:tcPr>
          <w:p w14:paraId="27770AEC">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分类收集后分区暂存于危险废物</w:t>
            </w:r>
            <w:r>
              <w:rPr>
                <w:rFonts w:hint="eastAsia" w:cs="Times New Roman"/>
                <w:color w:val="auto"/>
                <w:kern w:val="24"/>
                <w:sz w:val="21"/>
                <w:szCs w:val="21"/>
                <w:highlight w:val="none"/>
                <w:lang w:val="en-US" w:eastAsia="zh-CN"/>
              </w:rPr>
              <w:t>暂存间</w:t>
            </w:r>
            <w:r>
              <w:rPr>
                <w:rFonts w:hint="default" w:ascii="Times New Roman" w:hAnsi="Times New Roman" w:eastAsia="宋体" w:cs="Times New Roman"/>
                <w:color w:val="auto"/>
                <w:kern w:val="24"/>
                <w:sz w:val="21"/>
                <w:szCs w:val="21"/>
                <w:highlight w:val="none"/>
              </w:rPr>
              <w:t>，委托有危险废物处置资质的单位进行清运处置，并建立危废管理制度、台账及转运联单</w:t>
            </w:r>
          </w:p>
        </w:tc>
        <w:tc>
          <w:tcPr>
            <w:tcW w:w="1240" w:type="pct"/>
            <w:vAlign w:val="center"/>
          </w:tcPr>
          <w:p w14:paraId="4844FDD9">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《危险废物贮存污染控制标准》（GB</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18597-2023）</w:t>
            </w:r>
          </w:p>
        </w:tc>
      </w:tr>
      <w:tr w14:paraId="365744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1" w:type="pct"/>
            <w:gridSpan w:val="2"/>
            <w:vMerge w:val="continue"/>
            <w:vAlign w:val="center"/>
          </w:tcPr>
          <w:p w14:paraId="35C0983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855" w:type="pct"/>
            <w:vMerge w:val="continue"/>
            <w:vAlign w:val="center"/>
          </w:tcPr>
          <w:p w14:paraId="3ACEBD50">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p>
        </w:tc>
        <w:tc>
          <w:tcPr>
            <w:tcW w:w="799" w:type="pct"/>
            <w:vAlign w:val="center"/>
          </w:tcPr>
          <w:p w14:paraId="6D27684D">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废油墨、废油墨桶）</w:t>
            </w:r>
          </w:p>
        </w:tc>
        <w:tc>
          <w:tcPr>
            <w:tcW w:w="1234" w:type="pct"/>
            <w:shd w:val="clear" w:color="auto" w:fill="auto"/>
            <w:vAlign w:val="center"/>
          </w:tcPr>
          <w:p w14:paraId="08741FAE">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rPr>
              <w:t>分类收集后分区暂存于危险废物</w:t>
            </w:r>
            <w:r>
              <w:rPr>
                <w:rFonts w:hint="eastAsia" w:cs="Times New Roman"/>
                <w:color w:val="auto"/>
                <w:kern w:val="24"/>
                <w:sz w:val="21"/>
                <w:szCs w:val="21"/>
                <w:highlight w:val="none"/>
                <w:lang w:val="en-US" w:eastAsia="zh-CN"/>
              </w:rPr>
              <w:t>暂存间</w:t>
            </w:r>
            <w:r>
              <w:rPr>
                <w:rFonts w:hint="default" w:ascii="Times New Roman" w:hAnsi="Times New Roman" w:eastAsia="宋体" w:cs="Times New Roman"/>
                <w:color w:val="auto"/>
                <w:kern w:val="24"/>
                <w:sz w:val="21"/>
                <w:szCs w:val="21"/>
                <w:highlight w:val="none"/>
              </w:rPr>
              <w:t>，委托有危险废物处置资质的单位进行清运处置，并建立危废管理制度、台账及转运联单</w:t>
            </w:r>
          </w:p>
        </w:tc>
        <w:tc>
          <w:tcPr>
            <w:tcW w:w="1240" w:type="pct"/>
            <w:shd w:val="clear" w:color="auto" w:fill="auto"/>
            <w:vAlign w:val="center"/>
          </w:tcPr>
          <w:p w14:paraId="26B9C70A">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《危险废物贮存污染控制标准》（GB</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18597-2023）</w:t>
            </w:r>
          </w:p>
        </w:tc>
      </w:tr>
      <w:tr w14:paraId="7A9B48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1" w:type="pct"/>
            <w:gridSpan w:val="2"/>
            <w:vAlign w:val="center"/>
          </w:tcPr>
          <w:p w14:paraId="202DCF43">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土壤及地下水污染防治措施</w:t>
            </w:r>
          </w:p>
        </w:tc>
        <w:tc>
          <w:tcPr>
            <w:tcW w:w="4128" w:type="pct"/>
            <w:gridSpan w:val="4"/>
            <w:vAlign w:val="center"/>
          </w:tcPr>
          <w:p w14:paraId="13268344">
            <w:pPr>
              <w:snapToGrid w:val="0"/>
              <w:spacing w:line="360" w:lineRule="auto"/>
              <w:ind w:firstLine="420" w:firstLineChars="200"/>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本项目地下水、土壤污染防治措施按照</w:t>
            </w:r>
            <w:r>
              <w:rPr>
                <w:rFonts w:hint="eastAsia" w:cs="Times New Roman"/>
                <w:bCs/>
                <w:color w:val="auto"/>
                <w:sz w:val="21"/>
                <w:szCs w:val="21"/>
                <w:highlight w:val="none"/>
                <w:lang w:eastAsia="zh-CN"/>
              </w:rPr>
              <w:t>”</w:t>
            </w:r>
            <w:r>
              <w:rPr>
                <w:rFonts w:hint="default" w:ascii="Times New Roman" w:hAnsi="Times New Roman" w:eastAsia="宋体" w:cs="Times New Roman"/>
                <w:bCs/>
                <w:color w:val="auto"/>
                <w:sz w:val="21"/>
                <w:szCs w:val="21"/>
                <w:highlight w:val="none"/>
              </w:rPr>
              <w:t>源头控制、分区防治、应急响应</w:t>
            </w:r>
            <w:r>
              <w:rPr>
                <w:rFonts w:hint="eastAsia" w:cs="Times New Roman"/>
                <w:bCs/>
                <w:color w:val="auto"/>
                <w:sz w:val="21"/>
                <w:szCs w:val="21"/>
                <w:highlight w:val="none"/>
                <w:lang w:eastAsia="zh-CN"/>
              </w:rPr>
              <w:t>”</w:t>
            </w:r>
            <w:r>
              <w:rPr>
                <w:rFonts w:hint="default" w:ascii="Times New Roman" w:hAnsi="Times New Roman" w:eastAsia="宋体" w:cs="Times New Roman"/>
                <w:bCs/>
                <w:color w:val="auto"/>
                <w:sz w:val="21"/>
                <w:szCs w:val="21"/>
                <w:highlight w:val="none"/>
              </w:rPr>
              <w:t>相结合的原则，从污染物的产生、入渗、扩散、应急响应进行控制。</w:t>
            </w:r>
          </w:p>
          <w:p w14:paraId="47867F73">
            <w:pPr>
              <w:snapToGrid w:val="0"/>
              <w:spacing w:line="360" w:lineRule="auto"/>
              <w:ind w:firstLine="420" w:firstLineChars="200"/>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①源头控制措施</w:t>
            </w:r>
          </w:p>
          <w:p w14:paraId="0DD43E04">
            <w:pPr>
              <w:snapToGrid w:val="0"/>
              <w:spacing w:line="360" w:lineRule="auto"/>
              <w:ind w:firstLine="420" w:firstLineChars="200"/>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污水管严格按照国家相关规范要求，使用合格的管材尽可能从源头上减少污染物的产生；防止和降低可能污染物的跑、冒、滴、漏，将废水泄漏的环境风险事故降低到最低程度。</w:t>
            </w:r>
          </w:p>
          <w:p w14:paraId="225BCDC3">
            <w:pPr>
              <w:snapToGrid w:val="0"/>
              <w:spacing w:line="360" w:lineRule="auto"/>
              <w:ind w:firstLine="420" w:firstLineChars="200"/>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②分区防控措施</w:t>
            </w:r>
          </w:p>
          <w:p w14:paraId="36F16F0F">
            <w:pPr>
              <w:snapToGrid w:val="0"/>
              <w:spacing w:line="360" w:lineRule="auto"/>
              <w:ind w:firstLine="420" w:firstLineChars="200"/>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根据项目地下水、土壤污染分析，本项目按照分区防控的要求，将厂区分为重点防渗区、一般防渗区和简单防渗区，不同的分区采取相应的防渗措施。</w:t>
            </w:r>
          </w:p>
          <w:p w14:paraId="7ED54499">
            <w:pPr>
              <w:snapToGrid w:val="0"/>
              <w:spacing w:line="360" w:lineRule="auto"/>
              <w:ind w:firstLine="420" w:firstLineChars="200"/>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本项目运行期地下水、土壤防控措施见下表。</w:t>
            </w:r>
          </w:p>
          <w:p w14:paraId="7B22B7F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color w:val="auto"/>
                <w:kern w:val="24"/>
                <w:sz w:val="21"/>
                <w:szCs w:val="21"/>
                <w:highlight w:val="none"/>
              </w:rPr>
            </w:pPr>
            <w:r>
              <w:rPr>
                <w:rFonts w:hint="default" w:ascii="Times New Roman" w:hAnsi="Times New Roman" w:eastAsia="宋体" w:cs="Times New Roman"/>
                <w:b/>
                <w:color w:val="auto"/>
                <w:kern w:val="24"/>
                <w:sz w:val="21"/>
                <w:szCs w:val="21"/>
                <w:highlight w:val="none"/>
              </w:rPr>
              <w:t>表5-1  本项目分区防渗内容及要求汇总表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57" w:type="dxa"/>
                <w:right w:w="108" w:type="dxa"/>
              </w:tblCellMar>
            </w:tblPr>
            <w:tblGrid>
              <w:gridCol w:w="1298"/>
              <w:gridCol w:w="2093"/>
              <w:gridCol w:w="3860"/>
            </w:tblGrid>
            <w:tr w14:paraId="6716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88" w:hRule="atLeast"/>
              </w:trPr>
              <w:tc>
                <w:tcPr>
                  <w:tcW w:w="1308" w:type="dxa"/>
                  <w:vAlign w:val="center"/>
                </w:tcPr>
                <w:p w14:paraId="7DF8CC2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auto"/>
                      <w:kern w:val="24"/>
                      <w:sz w:val="21"/>
                      <w:szCs w:val="21"/>
                      <w:highlight w:val="none"/>
                    </w:rPr>
                  </w:pPr>
                  <w:r>
                    <w:rPr>
                      <w:rFonts w:hint="default" w:ascii="Times New Roman" w:hAnsi="Times New Roman" w:eastAsia="宋体" w:cs="Times New Roman"/>
                      <w:b/>
                      <w:bCs/>
                      <w:color w:val="auto"/>
                      <w:kern w:val="24"/>
                      <w:sz w:val="21"/>
                      <w:szCs w:val="21"/>
                      <w:highlight w:val="none"/>
                    </w:rPr>
                    <w:t>防渗分区</w:t>
                  </w:r>
                </w:p>
              </w:tc>
              <w:tc>
                <w:tcPr>
                  <w:tcW w:w="2112" w:type="dxa"/>
                  <w:vAlign w:val="center"/>
                </w:tcPr>
                <w:p w14:paraId="4CBE034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auto"/>
                      <w:kern w:val="24"/>
                      <w:sz w:val="21"/>
                      <w:szCs w:val="21"/>
                      <w:highlight w:val="none"/>
                    </w:rPr>
                  </w:pPr>
                  <w:r>
                    <w:rPr>
                      <w:rFonts w:hint="default" w:ascii="Times New Roman" w:hAnsi="Times New Roman" w:eastAsia="宋体" w:cs="Times New Roman"/>
                      <w:b/>
                      <w:bCs/>
                      <w:color w:val="auto"/>
                      <w:kern w:val="24"/>
                      <w:sz w:val="21"/>
                      <w:szCs w:val="21"/>
                      <w:highlight w:val="none"/>
                    </w:rPr>
                    <w:t>区域</w:t>
                  </w:r>
                </w:p>
              </w:tc>
              <w:tc>
                <w:tcPr>
                  <w:tcW w:w="3888" w:type="dxa"/>
                  <w:vAlign w:val="center"/>
                </w:tcPr>
                <w:p w14:paraId="3091DE9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auto"/>
                      <w:kern w:val="24"/>
                      <w:sz w:val="21"/>
                      <w:szCs w:val="21"/>
                      <w:highlight w:val="none"/>
                    </w:rPr>
                  </w:pPr>
                  <w:r>
                    <w:rPr>
                      <w:rFonts w:hint="default" w:ascii="Times New Roman" w:hAnsi="Times New Roman" w:eastAsia="宋体" w:cs="Times New Roman"/>
                      <w:b/>
                      <w:bCs/>
                      <w:color w:val="auto"/>
                      <w:kern w:val="24"/>
                      <w:sz w:val="21"/>
                      <w:szCs w:val="21"/>
                      <w:highlight w:val="none"/>
                    </w:rPr>
                    <w:t>防渗要求、措施</w:t>
                  </w:r>
                </w:p>
              </w:tc>
            </w:tr>
            <w:tr w14:paraId="27AF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746" w:hRule="atLeast"/>
              </w:trPr>
              <w:tc>
                <w:tcPr>
                  <w:tcW w:w="1308" w:type="dxa"/>
                  <w:vAlign w:val="center"/>
                </w:tcPr>
                <w:p w14:paraId="5748808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重点防渗区</w:t>
                  </w:r>
                </w:p>
              </w:tc>
              <w:tc>
                <w:tcPr>
                  <w:tcW w:w="2112" w:type="dxa"/>
                  <w:vAlign w:val="center"/>
                </w:tcPr>
                <w:p w14:paraId="13786FC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危废暂存间</w:t>
                  </w:r>
                </w:p>
              </w:tc>
              <w:tc>
                <w:tcPr>
                  <w:tcW w:w="3888" w:type="dxa"/>
                  <w:vAlign w:val="center"/>
                </w:tcPr>
                <w:p w14:paraId="0E63DA04">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危废暂存间进行重点防渗，防渗措施采用抗渗混凝土+2mm厚高密度聚乙烯膜+环氧树脂涂层。渗透系数≦10</w:t>
                  </w:r>
                  <w:r>
                    <w:rPr>
                      <w:rFonts w:hint="default" w:ascii="Times New Roman" w:hAnsi="Times New Roman" w:eastAsia="宋体" w:cs="Times New Roman"/>
                      <w:bCs/>
                      <w:color w:val="auto"/>
                      <w:sz w:val="21"/>
                      <w:szCs w:val="21"/>
                      <w:highlight w:val="none"/>
                      <w:vertAlign w:val="superscript"/>
                    </w:rPr>
                    <w:t>-10</w:t>
                  </w:r>
                  <w:r>
                    <w:rPr>
                      <w:rFonts w:hint="default" w:ascii="Times New Roman" w:hAnsi="Times New Roman" w:eastAsia="宋体" w:cs="Times New Roman"/>
                      <w:bCs/>
                      <w:color w:val="auto"/>
                      <w:sz w:val="21"/>
                      <w:szCs w:val="21"/>
                      <w:highlight w:val="none"/>
                    </w:rPr>
                    <w:t>cm/s。</w:t>
                  </w:r>
                </w:p>
              </w:tc>
            </w:tr>
            <w:tr w14:paraId="0CA6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76" w:hRule="atLeast"/>
              </w:trPr>
              <w:tc>
                <w:tcPr>
                  <w:tcW w:w="1308" w:type="dxa"/>
                  <w:vAlign w:val="center"/>
                </w:tcPr>
                <w:p w14:paraId="13D8D44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一般防渗区</w:t>
                  </w:r>
                </w:p>
              </w:tc>
              <w:tc>
                <w:tcPr>
                  <w:tcW w:w="2112" w:type="dxa"/>
                  <w:vAlign w:val="center"/>
                </w:tcPr>
                <w:p w14:paraId="00552E0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化粪池</w:t>
                  </w:r>
                </w:p>
              </w:tc>
              <w:tc>
                <w:tcPr>
                  <w:tcW w:w="3888" w:type="dxa"/>
                  <w:vAlign w:val="center"/>
                </w:tcPr>
                <w:p w14:paraId="5ED42BF1">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采用抗渗混凝土硬化，渗透系数≤10</w:t>
                  </w:r>
                  <w:r>
                    <w:rPr>
                      <w:rFonts w:hint="default" w:ascii="Times New Roman" w:hAnsi="Times New Roman" w:eastAsia="宋体" w:cs="Times New Roman"/>
                      <w:bCs/>
                      <w:color w:val="auto"/>
                      <w:sz w:val="21"/>
                      <w:szCs w:val="21"/>
                      <w:highlight w:val="none"/>
                      <w:vertAlign w:val="superscript"/>
                    </w:rPr>
                    <w:t>-7</w:t>
                  </w:r>
                  <w:r>
                    <w:rPr>
                      <w:rFonts w:hint="default" w:ascii="Times New Roman" w:hAnsi="Times New Roman" w:eastAsia="宋体" w:cs="Times New Roman"/>
                      <w:bCs/>
                      <w:color w:val="auto"/>
                      <w:sz w:val="21"/>
                      <w:szCs w:val="21"/>
                      <w:highlight w:val="none"/>
                    </w:rPr>
                    <w:t>cm/s</w:t>
                  </w:r>
                </w:p>
              </w:tc>
            </w:tr>
            <w:tr w14:paraId="276A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c>
                <w:tcPr>
                  <w:tcW w:w="1308" w:type="dxa"/>
                  <w:vAlign w:val="center"/>
                </w:tcPr>
                <w:p w14:paraId="5C669CC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简单防渗区</w:t>
                  </w:r>
                </w:p>
              </w:tc>
              <w:tc>
                <w:tcPr>
                  <w:tcW w:w="2112" w:type="dxa"/>
                  <w:vAlign w:val="center"/>
                </w:tcPr>
                <w:p w14:paraId="679865E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0"/>
                      <w:sz w:val="21"/>
                      <w:szCs w:val="21"/>
                      <w:highlight w:val="none"/>
                      <w:lang w:bidi="ar"/>
                    </w:rPr>
                    <w:t>生产车间</w:t>
                  </w:r>
                </w:p>
              </w:tc>
              <w:tc>
                <w:tcPr>
                  <w:tcW w:w="3888" w:type="dxa"/>
                  <w:vAlign w:val="center"/>
                </w:tcPr>
                <w:p w14:paraId="5C89A422">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一般地面硬化</w:t>
                  </w:r>
                </w:p>
              </w:tc>
            </w:tr>
          </w:tbl>
          <w:p w14:paraId="2AF7D6B7">
            <w:pPr>
              <w:pStyle w:val="77"/>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p>
        </w:tc>
      </w:tr>
      <w:tr w14:paraId="3DEC21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1" w:type="pct"/>
            <w:gridSpan w:val="2"/>
            <w:vAlign w:val="center"/>
          </w:tcPr>
          <w:p w14:paraId="167A0F6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生态保护</w:t>
            </w:r>
          </w:p>
          <w:p w14:paraId="1A1C0125">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措施</w:t>
            </w:r>
          </w:p>
        </w:tc>
        <w:tc>
          <w:tcPr>
            <w:tcW w:w="4128" w:type="pct"/>
            <w:gridSpan w:val="4"/>
            <w:vAlign w:val="center"/>
          </w:tcPr>
          <w:p w14:paraId="2CD31CD7">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6784BB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1" w:type="pct"/>
            <w:gridSpan w:val="2"/>
            <w:vAlign w:val="center"/>
          </w:tcPr>
          <w:p w14:paraId="2BC4F649">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环境风险防范措施</w:t>
            </w:r>
          </w:p>
        </w:tc>
        <w:tc>
          <w:tcPr>
            <w:tcW w:w="4128" w:type="pct"/>
            <w:gridSpan w:val="4"/>
            <w:vAlign w:val="center"/>
          </w:tcPr>
          <w:p w14:paraId="69903B1D">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（1）环境风险管理</w:t>
            </w:r>
          </w:p>
          <w:p w14:paraId="5D38C1E4">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①项目建成运行后，建设单位应编制《突发事故环境风险应急预案》报送生态环境主管部门玉溪市生态环</w:t>
            </w:r>
            <w:r>
              <w:rPr>
                <w:rFonts w:hint="eastAsia" w:cs="Times New Roman"/>
                <w:bCs/>
                <w:color w:val="auto"/>
                <w:kern w:val="2"/>
                <w:sz w:val="21"/>
                <w:szCs w:val="21"/>
                <w:highlight w:val="none"/>
                <w:lang w:val="en-US" w:eastAsia="zh-CN" w:bidi="ar-SA"/>
              </w:rPr>
              <w:t>境局</w:t>
            </w:r>
            <w:r>
              <w:rPr>
                <w:rFonts w:hint="eastAsia" w:eastAsia="宋体" w:cs="Times New Roman"/>
                <w:bCs/>
                <w:color w:val="auto"/>
                <w:kern w:val="2"/>
                <w:sz w:val="21"/>
                <w:szCs w:val="21"/>
                <w:highlight w:val="none"/>
                <w:lang w:val="en-US" w:eastAsia="zh-CN" w:bidi="ar-SA"/>
              </w:rPr>
              <w:t>红塔</w:t>
            </w:r>
            <w:r>
              <w:rPr>
                <w:rFonts w:hint="default" w:ascii="Times New Roman" w:hAnsi="Times New Roman" w:eastAsia="宋体" w:cs="Times New Roman"/>
                <w:bCs/>
                <w:color w:val="auto"/>
                <w:kern w:val="2"/>
                <w:sz w:val="21"/>
                <w:szCs w:val="21"/>
                <w:highlight w:val="none"/>
                <w:lang w:val="en-US" w:eastAsia="zh-CN" w:bidi="ar-SA"/>
              </w:rPr>
              <w:t>分局进行备案，并配备相应的风险应急物资。</w:t>
            </w:r>
          </w:p>
          <w:p w14:paraId="6573396B">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②危险废物在厂区使用专用容器，并将收集容器贴上标签，存储于危废暂存</w:t>
            </w:r>
            <w:r>
              <w:rPr>
                <w:rFonts w:hint="eastAsia" w:cs="Times New Roman"/>
                <w:bCs/>
                <w:color w:val="auto"/>
                <w:kern w:val="2"/>
                <w:sz w:val="21"/>
                <w:szCs w:val="21"/>
                <w:highlight w:val="none"/>
                <w:lang w:val="en-US" w:eastAsia="zh-CN" w:bidi="ar-SA"/>
              </w:rPr>
              <w:t>间</w:t>
            </w:r>
            <w:r>
              <w:rPr>
                <w:rFonts w:hint="default" w:ascii="Times New Roman" w:hAnsi="Times New Roman" w:eastAsia="宋体" w:cs="Times New Roman"/>
                <w:bCs/>
                <w:color w:val="auto"/>
                <w:kern w:val="2"/>
                <w:sz w:val="21"/>
                <w:szCs w:val="21"/>
                <w:highlight w:val="none"/>
                <w:lang w:val="en-US" w:eastAsia="zh-CN" w:bidi="ar-SA"/>
              </w:rPr>
              <w:t>内，委托有资质的单位处理。危废暂存</w:t>
            </w:r>
            <w:r>
              <w:rPr>
                <w:rFonts w:hint="eastAsia" w:cs="Times New Roman"/>
                <w:bCs/>
                <w:color w:val="auto"/>
                <w:kern w:val="2"/>
                <w:sz w:val="21"/>
                <w:szCs w:val="21"/>
                <w:highlight w:val="none"/>
                <w:lang w:val="en-US" w:eastAsia="zh-CN" w:bidi="ar-SA"/>
              </w:rPr>
              <w:t>间</w:t>
            </w:r>
            <w:r>
              <w:rPr>
                <w:rFonts w:hint="default" w:ascii="Times New Roman" w:hAnsi="Times New Roman" w:eastAsia="宋体" w:cs="Times New Roman"/>
                <w:bCs/>
                <w:color w:val="auto"/>
                <w:kern w:val="2"/>
                <w:sz w:val="21"/>
                <w:szCs w:val="21"/>
                <w:highlight w:val="none"/>
                <w:lang w:val="en-US" w:eastAsia="zh-CN" w:bidi="ar-SA"/>
              </w:rPr>
              <w:t>必须派专人进行管理，建立危废管理台账，严格执行危废暂存</w:t>
            </w:r>
            <w:r>
              <w:rPr>
                <w:rFonts w:hint="eastAsia" w:cs="Times New Roman"/>
                <w:bCs/>
                <w:color w:val="auto"/>
                <w:kern w:val="2"/>
                <w:sz w:val="21"/>
                <w:szCs w:val="21"/>
                <w:highlight w:val="none"/>
                <w:lang w:val="en-US" w:eastAsia="zh-CN" w:bidi="ar-SA"/>
              </w:rPr>
              <w:t>间</w:t>
            </w:r>
            <w:r>
              <w:rPr>
                <w:rFonts w:hint="default" w:ascii="Times New Roman" w:hAnsi="Times New Roman" w:eastAsia="宋体" w:cs="Times New Roman"/>
                <w:bCs/>
                <w:color w:val="auto"/>
                <w:kern w:val="2"/>
                <w:sz w:val="21"/>
                <w:szCs w:val="21"/>
                <w:highlight w:val="none"/>
                <w:lang w:val="en-US" w:eastAsia="zh-CN" w:bidi="ar-SA"/>
              </w:rPr>
              <w:t>的管理制度，降低管理产生的风险。建立危废全流程管理制度，加强日常巡检。发生泄漏时立即隔离污染区，应急人员做好防护后拦截、收集泄漏废物，按危险废物规范处置。</w:t>
            </w:r>
          </w:p>
          <w:p w14:paraId="106EA5CD">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③加强职工安全环保教育，防止和减少因人为因素造成的事故，同时也要加强防火安全教育。</w:t>
            </w:r>
          </w:p>
          <w:p w14:paraId="7FDB5A79">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④应配备足够的消防设施，落实安全管理责任。</w:t>
            </w:r>
          </w:p>
          <w:p w14:paraId="1D2ACC38">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⑤强化设备检修，减少因设备损坏、老化带来的遗漏。</w:t>
            </w:r>
          </w:p>
          <w:p w14:paraId="0DE9485A">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（2）环境风险防范措施</w:t>
            </w:r>
          </w:p>
          <w:p w14:paraId="72FA72F5">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（1）危废暂存间建设与管理</w:t>
            </w:r>
          </w:p>
          <w:p w14:paraId="6262E6A1">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1）严格按标准建设：危废暂存间严格按《危险废物贮存污染控制标准》（GB 18597-2023）建设。采用2mm厚高密度聚乙烯膜进行重点防渗，确保渗透系数满足≦10-10cm/s要求，并设置堵截泄漏的裙脚。</w:t>
            </w:r>
          </w:p>
          <w:p w14:paraId="3A0C51A2">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2）设置导流收集系统：危废暂存间内部设置导流沟和集液池，确保即使发生泄漏，所有液态废物也能被有效控制在危废暂存间内部，不会外溢。</w:t>
            </w:r>
          </w:p>
          <w:p w14:paraId="182B24E1">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3）分类分区贮存：液态危废（废机油、废油墨等）与固态危废（废活性炭等）分区存放。液态危废存放区设置托盘或围堰，不相容的危废分开存放。</w:t>
            </w:r>
          </w:p>
          <w:p w14:paraId="53688DF0">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4）日常巡查与维护：建立危废台账管理及转移联单制度。专职环保管理人员定期检查包装容器的完好性，杜绝跑、冒、滴、漏。</w:t>
            </w:r>
          </w:p>
          <w:p w14:paraId="3E444319">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（2）消防安全措施</w:t>
            </w:r>
          </w:p>
          <w:p w14:paraId="17022F00">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1）禁火与防爆：危废暂存间及附近区域严禁烟火，设置明显的“严禁烟火”安全标识。</w:t>
            </w:r>
          </w:p>
          <w:p w14:paraId="0626CE80">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2）配备应急物资：在危废暂存间外便于取用处，配备吸附棉、防化手套、应急沙土或便携式围堰等泄漏应急处理物资，以及干粉灭火器等适用的消防器材。</w:t>
            </w:r>
          </w:p>
          <w:p w14:paraId="5DC57208">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（3）应急预案与培训</w:t>
            </w:r>
          </w:p>
          <w:p w14:paraId="32F7C0BB">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1）编制应急预案：项目建成运行后，建设单位应编制《突发事故环境风险应急预案》报送生态环境主管部门玉溪市生态环</w:t>
            </w:r>
            <w:r>
              <w:rPr>
                <w:rFonts w:hint="eastAsia" w:cs="Times New Roman"/>
                <w:bCs/>
                <w:color w:val="auto"/>
                <w:kern w:val="2"/>
                <w:sz w:val="21"/>
                <w:szCs w:val="21"/>
                <w:highlight w:val="none"/>
                <w:lang w:val="en-US" w:eastAsia="zh-CN" w:bidi="ar-SA"/>
              </w:rPr>
              <w:t>境局</w:t>
            </w:r>
            <w:r>
              <w:rPr>
                <w:rFonts w:hint="default" w:ascii="Times New Roman" w:hAnsi="Times New Roman" w:eastAsia="宋体" w:cs="Times New Roman"/>
                <w:bCs/>
                <w:color w:val="auto"/>
                <w:kern w:val="2"/>
                <w:sz w:val="21"/>
                <w:szCs w:val="21"/>
                <w:highlight w:val="none"/>
                <w:lang w:val="en-US" w:eastAsia="zh-CN" w:bidi="ar-SA"/>
              </w:rPr>
              <w:t>红塔分局进行备案，预案应针对危险废物泄漏、火灾次生污染等制定明确的现场处置方案，并配备相应的风险应急物资。</w:t>
            </w:r>
          </w:p>
          <w:p w14:paraId="3BA585B3">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2）人员培训与演练：定期组织员工进行环境风险防范和应急知识培训，并开展应急演练，确保事故发生时能快速、有效地响应，控制事态蔓延，将环境影响降至最低。</w:t>
            </w:r>
          </w:p>
          <w:p w14:paraId="20AE65D5">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（4）其他措施</w:t>
            </w:r>
          </w:p>
          <w:p w14:paraId="2AC23C07">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①严格按照安全生产规定，设置安全监控点。</w:t>
            </w:r>
          </w:p>
          <w:p w14:paraId="28B4FE2C">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②加强原材料管理，场内暂存转运规范作业流程，操作人员进行安全生产教育。</w:t>
            </w:r>
          </w:p>
          <w:p w14:paraId="45951E56">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③加强职工安全环保教育，防止和减少因人为因素造成的事故，同时也要加强防火安全教育。</w:t>
            </w:r>
          </w:p>
          <w:p w14:paraId="74772F88">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④应配备足够的消防设施，落实安全管理责任。</w:t>
            </w:r>
          </w:p>
          <w:p w14:paraId="753438CE">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⑤强化设备检修，减少因设备损坏、老化带来的遗漏。</w:t>
            </w:r>
          </w:p>
          <w:p w14:paraId="45A8DC1B">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⑥库房远离火源、电源、同时加强管理，严禁烟火。</w:t>
            </w:r>
          </w:p>
          <w:p w14:paraId="1C7DBAF1">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⑦应配备收集桶、铁锹、吸附棉、黄沙、消防器材等应急物资，防止火灾事故废水后流入地表水、土壤，造成环境污染。</w:t>
            </w:r>
          </w:p>
          <w:p w14:paraId="13E9B81B">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bCs/>
                <w:color w:val="auto"/>
                <w:kern w:val="2"/>
                <w:sz w:val="21"/>
                <w:szCs w:val="21"/>
                <w:highlight w:val="none"/>
                <w:lang w:val="en-US" w:eastAsia="zh-CN" w:bidi="ar-SA"/>
              </w:rPr>
              <w:t>⑧生产装置的供电、供水等公用设施必须加强日常管理，确保满足正常生产和事故状态下的要求。建立和健全电气安全规章制度和安全操作规程，并严格执行。加强对电气设施进行维护、保养、检修，保持电气设备正常运行。</w:t>
            </w:r>
          </w:p>
        </w:tc>
      </w:tr>
      <w:tr w14:paraId="004765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1" w:type="pct"/>
            <w:gridSpan w:val="2"/>
            <w:vAlign w:val="center"/>
          </w:tcPr>
          <w:p w14:paraId="3DBF2A3B">
            <w:pPr>
              <w:keepNext w:val="0"/>
              <w:keepLines w:val="0"/>
              <w:pageBreakBefore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z w:val="21"/>
                <w:szCs w:val="21"/>
                <w:highlight w:val="none"/>
              </w:rPr>
              <w:t>其他环境管理要求</w:t>
            </w:r>
          </w:p>
        </w:tc>
        <w:tc>
          <w:tcPr>
            <w:tcW w:w="4128" w:type="pct"/>
            <w:gridSpan w:val="4"/>
            <w:vAlign w:val="center"/>
          </w:tcPr>
          <w:p w14:paraId="54F8C9B6">
            <w:pPr>
              <w:keepNext w:val="0"/>
              <w:keepLines w:val="0"/>
              <w:pageBreakBefore w:val="0"/>
              <w:numPr>
                <w:ilvl w:val="0"/>
                <w:numId w:val="0"/>
              </w:numPr>
              <w:kinsoku/>
              <w:wordWrap/>
              <w:overflowPunct/>
              <w:topLinePunct w:val="0"/>
              <w:autoSpaceDE/>
              <w:autoSpaceDN/>
              <w:bidi w:val="0"/>
              <w:snapToGrid w:val="0"/>
              <w:spacing w:line="360" w:lineRule="auto"/>
              <w:ind w:firstLine="422" w:firstLineChars="200"/>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kern w:val="2"/>
                <w:sz w:val="21"/>
                <w:szCs w:val="21"/>
                <w:highlight w:val="none"/>
                <w:lang w:val="en-US" w:eastAsia="zh-CN" w:bidi="ar-SA"/>
              </w:rPr>
              <w:t>1、环境管理</w:t>
            </w:r>
          </w:p>
          <w:p w14:paraId="46EFC587">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建立环境保护管理机构，根据工程环境影响评价中提出的施工期和营运期环境保护措施，落实环境保护经费，实施环境保护对策措施；协调政府环境管理与工程环境管</w:t>
            </w:r>
            <w:r>
              <w:rPr>
                <w:rFonts w:hint="eastAsia" w:cs="Times New Roman"/>
                <w:bCs/>
                <w:color w:val="auto"/>
                <w:kern w:val="2"/>
                <w:sz w:val="21"/>
                <w:szCs w:val="21"/>
                <w:highlight w:val="none"/>
                <w:lang w:val="en-US" w:eastAsia="zh-CN" w:bidi="ar-SA"/>
              </w:rPr>
              <w:t>理之</w:t>
            </w:r>
            <w:r>
              <w:rPr>
                <w:rFonts w:hint="default" w:ascii="Times New Roman" w:hAnsi="Times New Roman" w:eastAsia="宋体" w:cs="Times New Roman"/>
                <w:bCs/>
                <w:color w:val="auto"/>
                <w:kern w:val="2"/>
                <w:sz w:val="21"/>
                <w:szCs w:val="21"/>
                <w:highlight w:val="none"/>
                <w:lang w:val="en-US" w:eastAsia="zh-CN" w:bidi="ar-SA"/>
              </w:rPr>
              <w:t>间的关系，具体管理内容如下：</w:t>
            </w:r>
          </w:p>
          <w:p w14:paraId="6566C865">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（1）项目在建设和运行中应认真执行国家、地方环境保护的有关规定和要求。按照生态环境局的要求及时反映发生的环保问题，随时接受各级生态环境保护部门的检查监督。</w:t>
            </w:r>
          </w:p>
          <w:p w14:paraId="633971E9">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（2）加强管理，使污染物尽量消除在源头。</w:t>
            </w:r>
          </w:p>
          <w:p w14:paraId="16D2273E">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（3）加强风险事故防范机制，避免污染性的突发事件发生。</w:t>
            </w:r>
          </w:p>
          <w:p w14:paraId="5081FA7E">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（4）加强宣传教育，增强施工及管理人员的环保意识。</w:t>
            </w:r>
          </w:p>
          <w:p w14:paraId="4BB1DD34">
            <w:pPr>
              <w:keepNext w:val="0"/>
              <w:keepLines w:val="0"/>
              <w:pageBreakBefore w:val="0"/>
              <w:numPr>
                <w:ilvl w:val="0"/>
                <w:numId w:val="0"/>
              </w:numPr>
              <w:kinsoku/>
              <w:wordWrap/>
              <w:overflowPunct/>
              <w:topLinePunct w:val="0"/>
              <w:autoSpaceDE/>
              <w:autoSpaceDN/>
              <w:bidi w:val="0"/>
              <w:snapToGrid w:val="0"/>
              <w:spacing w:line="360" w:lineRule="auto"/>
              <w:ind w:firstLine="422" w:firstLineChars="200"/>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kern w:val="2"/>
                <w:sz w:val="21"/>
                <w:szCs w:val="21"/>
                <w:highlight w:val="none"/>
                <w:lang w:val="en-US" w:eastAsia="zh-CN" w:bidi="ar-SA"/>
              </w:rPr>
              <w:t>2、排污口规范化设置</w:t>
            </w:r>
          </w:p>
          <w:p w14:paraId="7BAB9287">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设置</w:t>
            </w:r>
            <w:r>
              <w:rPr>
                <w:rFonts w:hint="eastAsia" w:cs="Times New Roman"/>
                <w:bCs/>
                <w:color w:val="auto"/>
                <w:kern w:val="2"/>
                <w:sz w:val="21"/>
                <w:szCs w:val="21"/>
                <w:highlight w:val="none"/>
                <w:lang w:val="en-US" w:eastAsia="zh-CN" w:bidi="ar-SA"/>
              </w:rPr>
              <w:t>2</w:t>
            </w:r>
            <w:r>
              <w:rPr>
                <w:rFonts w:hint="default" w:ascii="Times New Roman" w:hAnsi="Times New Roman" w:eastAsia="宋体" w:cs="Times New Roman"/>
                <w:bCs/>
                <w:color w:val="auto"/>
                <w:kern w:val="2"/>
                <w:sz w:val="21"/>
                <w:szCs w:val="21"/>
                <w:highlight w:val="none"/>
                <w:lang w:val="en-US" w:eastAsia="zh-CN" w:bidi="ar-SA"/>
              </w:rPr>
              <w:t>个废气排放口，应设置便于采样、监测的采样口。采样口的设置应符合《污染源监测技术规范》要求。</w:t>
            </w:r>
          </w:p>
          <w:p w14:paraId="1016D3F5">
            <w:pPr>
              <w:keepNext w:val="0"/>
              <w:keepLines w:val="0"/>
              <w:pageBreakBefore w:val="0"/>
              <w:numPr>
                <w:ilvl w:val="0"/>
                <w:numId w:val="0"/>
              </w:numPr>
              <w:kinsoku/>
              <w:wordWrap/>
              <w:overflowPunct/>
              <w:topLinePunct w:val="0"/>
              <w:autoSpaceDE/>
              <w:autoSpaceDN/>
              <w:bidi w:val="0"/>
              <w:snapToGrid w:val="0"/>
              <w:spacing w:line="360" w:lineRule="auto"/>
              <w:ind w:firstLine="422" w:firstLineChars="200"/>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kern w:val="2"/>
                <w:sz w:val="21"/>
                <w:szCs w:val="21"/>
                <w:highlight w:val="none"/>
                <w:lang w:val="en-US" w:eastAsia="zh-CN" w:bidi="ar-SA"/>
              </w:rPr>
              <w:t>3、建设项目竣工环境保护验收</w:t>
            </w:r>
          </w:p>
          <w:p w14:paraId="75BFC3D0">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本项目环保设施竣工验收由建设单位自</w:t>
            </w:r>
            <w:r>
              <w:rPr>
                <w:rFonts w:hint="eastAsia" w:cs="Times New Roman"/>
                <w:bCs/>
                <w:color w:val="auto"/>
                <w:kern w:val="2"/>
                <w:sz w:val="21"/>
                <w:szCs w:val="21"/>
                <w:highlight w:val="none"/>
                <w:lang w:val="en-US" w:eastAsia="zh-CN" w:bidi="ar-SA"/>
              </w:rPr>
              <w:t>行</w:t>
            </w:r>
            <w:r>
              <w:rPr>
                <w:rFonts w:hint="default" w:ascii="Times New Roman" w:hAnsi="Times New Roman" w:eastAsia="宋体" w:cs="Times New Roman"/>
                <w:bCs/>
                <w:color w:val="auto"/>
                <w:kern w:val="2"/>
                <w:sz w:val="21"/>
                <w:szCs w:val="21"/>
                <w:highlight w:val="none"/>
                <w:lang w:val="en-US" w:eastAsia="zh-CN" w:bidi="ar-SA"/>
              </w:rPr>
              <w:t>组织实施验收。</w:t>
            </w:r>
          </w:p>
          <w:p w14:paraId="3DC0070F">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建设单位是建设项目竣工环境保护验收的责任主体，应当按照《建设项目竣工环境保护验收暂行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w:t>
            </w:r>
          </w:p>
          <w:p w14:paraId="472B23EE">
            <w:pPr>
              <w:keepNext w:val="0"/>
              <w:keepLines w:val="0"/>
              <w:pageBreakBefore w:val="0"/>
              <w:numPr>
                <w:ilvl w:val="0"/>
                <w:numId w:val="0"/>
              </w:numPr>
              <w:kinsoku/>
              <w:wordWrap/>
              <w:overflowPunct/>
              <w:topLinePunct w:val="0"/>
              <w:autoSpaceDE/>
              <w:autoSpaceDN/>
              <w:bidi w:val="0"/>
              <w:snapToGrid w:val="0"/>
              <w:spacing w:line="360" w:lineRule="auto"/>
              <w:ind w:firstLine="422" w:firstLineChars="200"/>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kern w:val="2"/>
                <w:sz w:val="21"/>
                <w:szCs w:val="21"/>
                <w:highlight w:val="none"/>
                <w:lang w:val="en-US" w:eastAsia="zh-CN" w:bidi="ar-SA"/>
              </w:rPr>
              <w:t>3、排污许可</w:t>
            </w:r>
          </w:p>
          <w:p w14:paraId="135BBFC2">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根据《关于做好环境影响评价制度与排污许可</w:t>
            </w:r>
            <w:r>
              <w:rPr>
                <w:rFonts w:hint="eastAsia" w:cs="Times New Roman"/>
                <w:bCs/>
                <w:color w:val="auto"/>
                <w:kern w:val="2"/>
                <w:sz w:val="21"/>
                <w:szCs w:val="21"/>
                <w:highlight w:val="none"/>
                <w:lang w:val="en-US" w:eastAsia="zh-CN" w:bidi="ar-SA"/>
              </w:rPr>
              <w:t>制度</w:t>
            </w:r>
            <w:r>
              <w:rPr>
                <w:rFonts w:hint="default" w:ascii="Times New Roman" w:hAnsi="Times New Roman" w:eastAsia="宋体" w:cs="Times New Roman"/>
                <w:bCs/>
                <w:color w:val="auto"/>
                <w:kern w:val="2"/>
                <w:sz w:val="21"/>
                <w:szCs w:val="21"/>
                <w:highlight w:val="none"/>
                <w:lang w:val="en-US" w:eastAsia="zh-CN" w:bidi="ar-SA"/>
              </w:rPr>
              <w:t>衔接相关工作的通知》（环办环评〔2017〕84号），建设项目发生实际排污行为之前，排污单位应当按照国家环境保护相关法律法规以及排污许可证申请与核发技术规范要求申请排污许可证，不得无证排污或不按证排污。</w:t>
            </w:r>
          </w:p>
          <w:p w14:paraId="33968794">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根据《固定污染源排污许可分类管理名录》（2019年版），本项目类别为</w:t>
            </w:r>
            <w:r>
              <w:rPr>
                <w:rFonts w:hint="eastAsia" w:cs="Times New Roman"/>
                <w:bCs/>
                <w:color w:val="auto"/>
                <w:kern w:val="2"/>
                <w:sz w:val="21"/>
                <w:szCs w:val="21"/>
                <w:highlight w:val="none"/>
                <w:lang w:val="en-US" w:eastAsia="zh-CN" w:bidi="ar-SA"/>
              </w:rPr>
              <w:t>“</w:t>
            </w:r>
            <w:r>
              <w:rPr>
                <w:rFonts w:hint="default" w:ascii="Times New Roman" w:hAnsi="Times New Roman" w:eastAsia="宋体" w:cs="Times New Roman"/>
                <w:bCs/>
                <w:color w:val="auto"/>
                <w:kern w:val="2"/>
                <w:sz w:val="21"/>
                <w:szCs w:val="21"/>
                <w:highlight w:val="none"/>
                <w:lang w:val="en-US" w:eastAsia="zh-CN" w:bidi="ar-SA"/>
              </w:rPr>
              <w:t>二十四、橡胶和塑料制品业 塑料制品业C2926 塑料包装箱及容器制造</w:t>
            </w:r>
            <w:r>
              <w:rPr>
                <w:rFonts w:hint="eastAsia" w:cs="Times New Roman"/>
                <w:bCs/>
                <w:color w:val="auto"/>
                <w:kern w:val="2"/>
                <w:sz w:val="21"/>
                <w:szCs w:val="21"/>
                <w:highlight w:val="none"/>
                <w:lang w:val="en-US" w:eastAsia="zh-CN" w:bidi="ar-SA"/>
              </w:rPr>
              <w:t>”</w:t>
            </w:r>
            <w:r>
              <w:rPr>
                <w:rFonts w:hint="default" w:ascii="Times New Roman" w:hAnsi="Times New Roman" w:eastAsia="宋体" w:cs="Times New Roman"/>
                <w:bCs/>
                <w:color w:val="auto"/>
                <w:kern w:val="2"/>
                <w:sz w:val="21"/>
                <w:szCs w:val="21"/>
                <w:highlight w:val="none"/>
                <w:lang w:val="en-US" w:eastAsia="zh-CN" w:bidi="ar-SA"/>
              </w:rPr>
              <w:t>，属于简化管理。配套的印刷工序类别为</w:t>
            </w:r>
            <w:r>
              <w:rPr>
                <w:rFonts w:hint="eastAsia" w:cs="Times New Roman"/>
                <w:bCs/>
                <w:color w:val="auto"/>
                <w:kern w:val="2"/>
                <w:sz w:val="21"/>
                <w:szCs w:val="21"/>
                <w:highlight w:val="none"/>
                <w:lang w:val="en-US" w:eastAsia="zh-CN" w:bidi="ar-SA"/>
              </w:rPr>
              <w:t>“</w:t>
            </w:r>
            <w:r>
              <w:rPr>
                <w:rFonts w:hint="default" w:ascii="Times New Roman" w:hAnsi="Times New Roman" w:eastAsia="宋体" w:cs="Times New Roman"/>
                <w:bCs/>
                <w:color w:val="auto"/>
                <w:kern w:val="2"/>
                <w:sz w:val="21"/>
                <w:szCs w:val="21"/>
                <w:highlight w:val="none"/>
                <w:lang w:val="en-US" w:eastAsia="zh-CN" w:bidi="ar-SA"/>
              </w:rPr>
              <w:t>十八、印刷和记录媒介复制业23</w:t>
            </w:r>
            <w:r>
              <w:rPr>
                <w:rFonts w:hint="eastAsia" w:cs="Times New Roman"/>
                <w:bCs/>
                <w:color w:val="auto"/>
                <w:kern w:val="2"/>
                <w:sz w:val="21"/>
                <w:szCs w:val="21"/>
                <w:highlight w:val="none"/>
                <w:lang w:val="en-US" w:eastAsia="zh-CN" w:bidi="ar-SA"/>
              </w:rPr>
              <w:t>”</w:t>
            </w:r>
            <w:r>
              <w:rPr>
                <w:rFonts w:hint="default" w:ascii="Times New Roman" w:hAnsi="Times New Roman" w:eastAsia="宋体" w:cs="Times New Roman"/>
                <w:bCs/>
                <w:color w:val="auto"/>
                <w:kern w:val="2"/>
                <w:sz w:val="21"/>
                <w:szCs w:val="21"/>
                <w:highlight w:val="none"/>
                <w:lang w:val="en-US" w:eastAsia="zh-CN" w:bidi="ar-SA"/>
              </w:rPr>
              <w:t>，属于登记管理。因此，本项目实行排污许可简化管理。</w:t>
            </w:r>
          </w:p>
          <w:p w14:paraId="3332AABF">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综合分析，项目应当在（http://permit.mee.gov.cn/）全国排污许可证管理信息平台申报排污许可证，填报基本信息、污染物排放去向、执行的污染物排放标准以及采取的污染防治措施等信息。</w:t>
            </w:r>
          </w:p>
          <w:p w14:paraId="79EE0C48">
            <w:pPr>
              <w:keepNext w:val="0"/>
              <w:keepLines w:val="0"/>
              <w:pageBreakBefore w:val="0"/>
              <w:numPr>
                <w:ilvl w:val="0"/>
                <w:numId w:val="0"/>
              </w:numPr>
              <w:kinsoku/>
              <w:wordWrap/>
              <w:overflowPunct/>
              <w:topLinePunct w:val="0"/>
              <w:autoSpaceDE/>
              <w:autoSpaceDN/>
              <w:bidi w:val="0"/>
              <w:snapToGrid w:val="0"/>
              <w:spacing w:line="360" w:lineRule="auto"/>
              <w:ind w:firstLine="422" w:firstLineChars="200"/>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kern w:val="2"/>
                <w:sz w:val="21"/>
                <w:szCs w:val="21"/>
                <w:highlight w:val="none"/>
                <w:lang w:val="en-US" w:eastAsia="zh-CN" w:bidi="ar-SA"/>
              </w:rPr>
              <w:t>4、自行监测计划</w:t>
            </w:r>
          </w:p>
          <w:p w14:paraId="55C31199">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根据《排污单位自行监测技术指南 总则》（HJ819-2017）中要求的监测点位、指标及频次相关内容进行监测，具体详见下表5-</w:t>
            </w:r>
            <w:r>
              <w:rPr>
                <w:rFonts w:hint="eastAsia" w:cs="Times New Roman"/>
                <w:bCs/>
                <w:color w:val="auto"/>
                <w:kern w:val="2"/>
                <w:sz w:val="21"/>
                <w:szCs w:val="21"/>
                <w:highlight w:val="none"/>
                <w:lang w:val="en-US" w:eastAsia="zh-CN" w:bidi="ar-SA"/>
              </w:rPr>
              <w:t>2</w:t>
            </w:r>
            <w:r>
              <w:rPr>
                <w:rFonts w:hint="default" w:ascii="Times New Roman" w:hAnsi="Times New Roman" w:eastAsia="宋体" w:cs="Times New Roman"/>
                <w:bCs/>
                <w:color w:val="auto"/>
                <w:kern w:val="2"/>
                <w:sz w:val="21"/>
                <w:szCs w:val="21"/>
                <w:highlight w:val="none"/>
                <w:lang w:val="en-US" w:eastAsia="zh-CN" w:bidi="ar-SA"/>
              </w:rPr>
              <w:t>。</w:t>
            </w:r>
          </w:p>
          <w:p w14:paraId="7BA187DF">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p>
          <w:p w14:paraId="78E7D23F">
            <w:pPr>
              <w:keepNext w:val="0"/>
              <w:keepLines w:val="0"/>
              <w:pageBreakBefore w:val="0"/>
              <w:numPr>
                <w:ilvl w:val="0"/>
                <w:numId w:val="0"/>
              </w:numPr>
              <w:kinsoku/>
              <w:wordWrap/>
              <w:overflowPunct/>
              <w:topLinePunct w:val="0"/>
              <w:autoSpaceDE/>
              <w:autoSpaceDN/>
              <w:bidi w:val="0"/>
              <w:snapToGrid w:val="0"/>
              <w:spacing w:line="360" w:lineRule="auto"/>
              <w:ind w:firstLine="420" w:firstLineChars="200"/>
              <w:rPr>
                <w:rFonts w:hint="default" w:ascii="Times New Roman" w:hAnsi="Times New Roman" w:eastAsia="宋体" w:cs="Times New Roman"/>
                <w:bCs/>
                <w:color w:val="auto"/>
                <w:kern w:val="2"/>
                <w:sz w:val="21"/>
                <w:szCs w:val="21"/>
                <w:highlight w:val="none"/>
                <w:lang w:val="en-US" w:eastAsia="zh-CN" w:bidi="ar-SA"/>
              </w:rPr>
            </w:pPr>
          </w:p>
          <w:p w14:paraId="4377BAA2">
            <w:pPr>
              <w:keepNext w:val="0"/>
              <w:keepLines w:val="0"/>
              <w:pageBreakBefore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表5-</w:t>
            </w:r>
            <w:r>
              <w:rPr>
                <w:rFonts w:hint="eastAsia"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rPr>
              <w:t xml:space="preserve">  项目运营期污染源环境监测计划表</w:t>
            </w:r>
          </w:p>
          <w:tbl>
            <w:tblPr>
              <w:tblStyle w:val="25"/>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23"/>
              <w:gridCol w:w="1579"/>
              <w:gridCol w:w="1458"/>
              <w:gridCol w:w="1075"/>
              <w:gridCol w:w="2309"/>
            </w:tblGrid>
            <w:tr w14:paraId="2D74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23" w:type="dxa"/>
                  <w:vAlign w:val="center"/>
                </w:tcPr>
                <w:p w14:paraId="70A90ACA">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内容</w:t>
                  </w:r>
                </w:p>
              </w:tc>
              <w:tc>
                <w:tcPr>
                  <w:tcW w:w="1579" w:type="dxa"/>
                  <w:vAlign w:val="center"/>
                </w:tcPr>
                <w:p w14:paraId="2D448AFE">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监测点位</w:t>
                  </w:r>
                </w:p>
              </w:tc>
              <w:tc>
                <w:tcPr>
                  <w:tcW w:w="1458" w:type="dxa"/>
                  <w:vAlign w:val="center"/>
                </w:tcPr>
                <w:p w14:paraId="03C6C286">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监测指标</w:t>
                  </w:r>
                </w:p>
              </w:tc>
              <w:tc>
                <w:tcPr>
                  <w:tcW w:w="1075" w:type="dxa"/>
                  <w:vAlign w:val="center"/>
                </w:tcPr>
                <w:p w14:paraId="364B5E44">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监测频次</w:t>
                  </w:r>
                </w:p>
              </w:tc>
              <w:tc>
                <w:tcPr>
                  <w:tcW w:w="2309" w:type="dxa"/>
                  <w:vAlign w:val="center"/>
                </w:tcPr>
                <w:p w14:paraId="353FF791">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执行标准</w:t>
                  </w:r>
                </w:p>
              </w:tc>
            </w:tr>
            <w:tr w14:paraId="79C2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23" w:type="dxa"/>
                  <w:vMerge w:val="restart"/>
                  <w:vAlign w:val="center"/>
                </w:tcPr>
                <w:p w14:paraId="41105283">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有组织废气</w:t>
                  </w:r>
                </w:p>
              </w:tc>
              <w:tc>
                <w:tcPr>
                  <w:tcW w:w="1579" w:type="dxa"/>
                  <w:vMerge w:val="restart"/>
                  <w:vAlign w:val="center"/>
                </w:tcPr>
                <w:p w14:paraId="778711B0">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4"/>
                      <w:sz w:val="21"/>
                      <w:szCs w:val="21"/>
                      <w:highlight w:val="none"/>
                    </w:rPr>
                    <w:t>排放口（DA001）</w:t>
                  </w:r>
                </w:p>
              </w:tc>
              <w:tc>
                <w:tcPr>
                  <w:tcW w:w="1458" w:type="dxa"/>
                  <w:vAlign w:val="center"/>
                </w:tcPr>
                <w:p w14:paraId="3779B554">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非甲烷总烃</w:t>
                  </w:r>
                </w:p>
              </w:tc>
              <w:tc>
                <w:tcPr>
                  <w:tcW w:w="1075" w:type="dxa"/>
                  <w:vAlign w:val="center"/>
                </w:tcPr>
                <w:p w14:paraId="090D7B3B">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
                      <w:color w:val="auto"/>
                      <w:spacing w:val="-10"/>
                      <w:kern w:val="0"/>
                      <w:sz w:val="21"/>
                      <w:szCs w:val="21"/>
                      <w:highlight w:val="none"/>
                      <w:lang w:val="en-US" w:eastAsia="zh-CN"/>
                    </w:rPr>
                  </w:pPr>
                  <w:r>
                    <w:rPr>
                      <w:rFonts w:hint="default" w:ascii="Times New Roman" w:hAnsi="Times New Roman" w:eastAsia="宋体" w:cs="Times New Roman"/>
                      <w:color w:val="auto"/>
                      <w:sz w:val="21"/>
                      <w:szCs w:val="21"/>
                      <w:highlight w:val="none"/>
                    </w:rPr>
                    <w:t>1次/</w:t>
                  </w:r>
                  <w:r>
                    <w:rPr>
                      <w:rFonts w:hint="eastAsia" w:cs="Times New Roman"/>
                      <w:color w:val="auto"/>
                      <w:sz w:val="21"/>
                      <w:szCs w:val="21"/>
                      <w:highlight w:val="none"/>
                      <w:lang w:val="en-US" w:eastAsia="zh-CN"/>
                    </w:rPr>
                    <w:t>半</w:t>
                  </w:r>
                  <w:r>
                    <w:rPr>
                      <w:rFonts w:hint="default" w:ascii="Times New Roman" w:hAnsi="Times New Roman" w:eastAsia="宋体" w:cs="Times New Roman"/>
                      <w:color w:val="auto"/>
                      <w:sz w:val="21"/>
                      <w:szCs w:val="21"/>
                      <w:highlight w:val="none"/>
                      <w:lang w:val="en-US" w:eastAsia="zh-CN"/>
                    </w:rPr>
                    <w:t>年</w:t>
                  </w:r>
                </w:p>
              </w:tc>
              <w:tc>
                <w:tcPr>
                  <w:tcW w:w="2309" w:type="dxa"/>
                  <w:vAlign w:val="center"/>
                </w:tcPr>
                <w:p w14:paraId="1673D167">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《合成树脂工业污染物排放标准》（GB 31572-2015及2024年修改单）表4排放浓度限值</w:t>
                  </w:r>
                </w:p>
              </w:tc>
            </w:tr>
            <w:tr w14:paraId="6E97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23" w:type="dxa"/>
                  <w:vMerge w:val="continue"/>
                  <w:vAlign w:val="center"/>
                </w:tcPr>
                <w:p w14:paraId="6896482B">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579" w:type="dxa"/>
                  <w:vMerge w:val="continue"/>
                  <w:vAlign w:val="center"/>
                </w:tcPr>
                <w:p w14:paraId="4D170A99">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24"/>
                      <w:sz w:val="21"/>
                      <w:szCs w:val="21"/>
                      <w:highlight w:val="none"/>
                    </w:rPr>
                  </w:pPr>
                </w:p>
              </w:tc>
              <w:tc>
                <w:tcPr>
                  <w:tcW w:w="1458" w:type="dxa"/>
                  <w:vAlign w:val="center"/>
                </w:tcPr>
                <w:p w14:paraId="6E3DF4B0">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臭气浓度</w:t>
                  </w:r>
                </w:p>
              </w:tc>
              <w:tc>
                <w:tcPr>
                  <w:tcW w:w="1075" w:type="dxa"/>
                  <w:shd w:val="clear" w:color="auto" w:fill="auto"/>
                  <w:vAlign w:val="center"/>
                </w:tcPr>
                <w:p w14:paraId="3397E1F5">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bidi="ar"/>
                    </w:rPr>
                    <w:t>1次/</w:t>
                  </w:r>
                  <w:r>
                    <w:rPr>
                      <w:rFonts w:hint="eastAsia" w:ascii="Times New Roman" w:hAnsi="Times New Roman" w:cs="Times New Roman"/>
                      <w:color w:val="auto"/>
                      <w:kern w:val="0"/>
                      <w:sz w:val="21"/>
                      <w:szCs w:val="21"/>
                      <w:highlight w:val="none"/>
                      <w:lang w:val="en-US" w:eastAsia="zh-CN" w:bidi="ar"/>
                    </w:rPr>
                    <w:t>半</w:t>
                  </w:r>
                  <w:r>
                    <w:rPr>
                      <w:rFonts w:hint="default" w:ascii="Times New Roman" w:hAnsi="Times New Roman" w:eastAsia="宋体" w:cs="Times New Roman"/>
                      <w:color w:val="auto"/>
                      <w:kern w:val="0"/>
                      <w:sz w:val="21"/>
                      <w:szCs w:val="21"/>
                      <w:highlight w:val="none"/>
                      <w:lang w:bidi="ar"/>
                    </w:rPr>
                    <w:t>年</w:t>
                  </w:r>
                </w:p>
              </w:tc>
              <w:tc>
                <w:tcPr>
                  <w:tcW w:w="2309" w:type="dxa"/>
                  <w:shd w:val="clear" w:color="auto" w:fill="auto"/>
                  <w:vAlign w:val="center"/>
                </w:tcPr>
                <w:p w14:paraId="63923ED2">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《恶臭污染物排放标准》（GB</w:t>
                  </w: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14554-93）表2恶臭污染物排放标准值中臭气浓度</w:t>
                  </w:r>
                  <w:r>
                    <w:rPr>
                      <w:rFonts w:hint="eastAsia" w:ascii="Times New Roman" w:hAnsi="Times New Roman" w:cs="Times New Roman"/>
                      <w:color w:val="auto"/>
                      <w:sz w:val="21"/>
                      <w:szCs w:val="21"/>
                      <w:highlight w:val="none"/>
                      <w:lang w:val="en-US" w:eastAsia="zh-CN"/>
                    </w:rPr>
                    <w:t>2</w:t>
                  </w:r>
                  <w:r>
                    <w:rPr>
                      <w:rFonts w:hint="eastAsia"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m排气筒标准值</w:t>
                  </w:r>
                </w:p>
              </w:tc>
            </w:tr>
            <w:tr w14:paraId="3A824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23" w:type="dxa"/>
                  <w:vMerge w:val="continue"/>
                  <w:vAlign w:val="center"/>
                </w:tcPr>
                <w:p w14:paraId="0AE3FD03">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579" w:type="dxa"/>
                  <w:vMerge w:val="restart"/>
                  <w:vAlign w:val="center"/>
                </w:tcPr>
                <w:p w14:paraId="08F21B8D">
                  <w:pPr>
                    <w:keepNext w:val="0"/>
                    <w:keepLines w:val="0"/>
                    <w:pageBreakBefore w:val="0"/>
                    <w:widowControl w:val="0"/>
                    <w:kinsoku/>
                    <w:wordWrap/>
                    <w:overflowPunct/>
                    <w:topLinePunct w:val="0"/>
                    <w:autoSpaceDE/>
                    <w:autoSpaceDN/>
                    <w:bidi w:val="0"/>
                    <w:spacing w:line="240" w:lineRule="auto"/>
                    <w:ind w:firstLine="0" w:firstLineChars="0"/>
                    <w:jc w:val="center"/>
                    <w:rPr>
                      <w:rFonts w:hint="eastAsia"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排放口（DA002）</w:t>
                  </w:r>
                </w:p>
              </w:tc>
              <w:tc>
                <w:tcPr>
                  <w:tcW w:w="1458" w:type="dxa"/>
                  <w:shd w:val="clear" w:color="auto" w:fill="auto"/>
                  <w:vAlign w:val="center"/>
                </w:tcPr>
                <w:p w14:paraId="7C88F39B">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非甲烷总烃</w:t>
                  </w:r>
                </w:p>
              </w:tc>
              <w:tc>
                <w:tcPr>
                  <w:tcW w:w="1075" w:type="dxa"/>
                  <w:shd w:val="clear" w:color="auto" w:fill="auto"/>
                  <w:vAlign w:val="center"/>
                </w:tcPr>
                <w:p w14:paraId="7D1C833B">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
                      <w:color w:val="auto"/>
                      <w:spacing w:val="-10"/>
                      <w:kern w:val="0"/>
                      <w:sz w:val="21"/>
                      <w:szCs w:val="21"/>
                      <w:highlight w:val="none"/>
                      <w:lang w:val="en-US" w:eastAsia="zh-CN" w:bidi="ar-SA"/>
                    </w:rPr>
                  </w:pPr>
                  <w:r>
                    <w:rPr>
                      <w:rFonts w:hint="default" w:ascii="Times New Roman" w:hAnsi="Times New Roman" w:eastAsia="宋体" w:cs="Times New Roman"/>
                      <w:color w:val="auto"/>
                      <w:sz w:val="21"/>
                      <w:szCs w:val="21"/>
                      <w:highlight w:val="none"/>
                    </w:rPr>
                    <w:t>1次/</w:t>
                  </w:r>
                  <w:r>
                    <w:rPr>
                      <w:rFonts w:hint="eastAsia" w:ascii="Times New Roman" w:hAnsi="Times New Roman" w:cs="Times New Roman"/>
                      <w:color w:val="auto"/>
                      <w:sz w:val="21"/>
                      <w:szCs w:val="21"/>
                      <w:highlight w:val="none"/>
                      <w:lang w:val="en-US" w:eastAsia="zh-CN"/>
                    </w:rPr>
                    <w:t>半</w:t>
                  </w:r>
                  <w:r>
                    <w:rPr>
                      <w:rFonts w:hint="default" w:ascii="Times New Roman" w:hAnsi="Times New Roman" w:eastAsia="宋体" w:cs="Times New Roman"/>
                      <w:color w:val="auto"/>
                      <w:sz w:val="21"/>
                      <w:szCs w:val="21"/>
                      <w:highlight w:val="none"/>
                      <w:lang w:val="en-US" w:eastAsia="zh-CN"/>
                    </w:rPr>
                    <w:t>年</w:t>
                  </w:r>
                </w:p>
              </w:tc>
              <w:tc>
                <w:tcPr>
                  <w:tcW w:w="2309" w:type="dxa"/>
                  <w:shd w:val="clear" w:color="auto" w:fill="auto"/>
                  <w:vAlign w:val="center"/>
                </w:tcPr>
                <w:p w14:paraId="69D9C62D">
                  <w:pPr>
                    <w:jc w:val="center"/>
                    <w:rPr>
                      <w:rFonts w:hint="default" w:ascii="Times New Roman" w:hAnsi="Times New Roman" w:eastAsia="宋体" w:cs="Times New Roman"/>
                      <w:color w:val="auto"/>
                      <w:kern w:val="0"/>
                      <w:sz w:val="21"/>
                      <w:szCs w:val="21"/>
                      <w:lang w:val="en-US" w:eastAsia="zh-CN" w:bidi="ar"/>
                    </w:rPr>
                  </w:pPr>
                  <w:r>
                    <w:rPr>
                      <w:rFonts w:hint="eastAsia" w:eastAsiaTheme="minorEastAsia"/>
                      <w:color w:val="auto"/>
                    </w:rPr>
                    <w:t>《印刷工业大气污染物排放标准》（GB41616-2022）表1 中的大气污染物排放限值</w:t>
                  </w:r>
                </w:p>
              </w:tc>
            </w:tr>
            <w:tr w14:paraId="5C99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23" w:type="dxa"/>
                  <w:vMerge w:val="continue"/>
                  <w:vAlign w:val="center"/>
                </w:tcPr>
                <w:p w14:paraId="6B995AE3">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579" w:type="dxa"/>
                  <w:vMerge w:val="continue"/>
                  <w:vAlign w:val="center"/>
                </w:tcPr>
                <w:p w14:paraId="23AD2A32">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24"/>
                      <w:sz w:val="21"/>
                      <w:szCs w:val="21"/>
                      <w:highlight w:val="none"/>
                    </w:rPr>
                  </w:pPr>
                </w:p>
              </w:tc>
              <w:tc>
                <w:tcPr>
                  <w:tcW w:w="1458" w:type="dxa"/>
                  <w:shd w:val="clear" w:color="auto" w:fill="auto"/>
                  <w:vAlign w:val="center"/>
                </w:tcPr>
                <w:p w14:paraId="048083CB">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sz w:val="21"/>
                      <w:szCs w:val="21"/>
                      <w:highlight w:val="none"/>
                      <w:lang w:val="en-US" w:eastAsia="zh-CN"/>
                    </w:rPr>
                    <w:t>臭气浓度</w:t>
                  </w:r>
                </w:p>
              </w:tc>
              <w:tc>
                <w:tcPr>
                  <w:tcW w:w="1075" w:type="dxa"/>
                  <w:shd w:val="clear" w:color="auto" w:fill="auto"/>
                  <w:vAlign w:val="center"/>
                </w:tcPr>
                <w:p w14:paraId="6E9B4F6D">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bidi="ar"/>
                    </w:rPr>
                    <w:t>1次/</w:t>
                  </w:r>
                  <w:r>
                    <w:rPr>
                      <w:rFonts w:hint="eastAsia" w:ascii="Times New Roman" w:hAnsi="Times New Roman" w:cs="Times New Roman"/>
                      <w:color w:val="auto"/>
                      <w:kern w:val="0"/>
                      <w:sz w:val="21"/>
                      <w:szCs w:val="21"/>
                      <w:highlight w:val="none"/>
                      <w:lang w:val="en-US" w:eastAsia="zh-CN" w:bidi="ar"/>
                    </w:rPr>
                    <w:t>半</w:t>
                  </w:r>
                  <w:r>
                    <w:rPr>
                      <w:rFonts w:hint="default" w:ascii="Times New Roman" w:hAnsi="Times New Roman" w:eastAsia="宋体" w:cs="Times New Roman"/>
                      <w:color w:val="auto"/>
                      <w:kern w:val="0"/>
                      <w:sz w:val="21"/>
                      <w:szCs w:val="21"/>
                      <w:highlight w:val="none"/>
                      <w:lang w:bidi="ar"/>
                    </w:rPr>
                    <w:t>年</w:t>
                  </w:r>
                </w:p>
              </w:tc>
              <w:tc>
                <w:tcPr>
                  <w:tcW w:w="2309" w:type="dxa"/>
                  <w:shd w:val="clear" w:color="auto" w:fill="auto"/>
                  <w:vAlign w:val="center"/>
                </w:tcPr>
                <w:p w14:paraId="07255C77">
                  <w:pPr>
                    <w:jc w:val="center"/>
                    <w:rPr>
                      <w:rFonts w:hint="default" w:ascii="Times New Roman" w:hAnsi="Times New Roman" w:cs="Times New Roman" w:eastAsiaTheme="minorEastAsia"/>
                      <w:color w:val="auto"/>
                      <w:kern w:val="2"/>
                      <w:sz w:val="21"/>
                      <w:szCs w:val="24"/>
                      <w:lang w:val="en-US" w:eastAsia="zh-CN" w:bidi="ar-SA"/>
                    </w:rPr>
                  </w:pPr>
                  <w:r>
                    <w:rPr>
                      <w:rFonts w:hint="eastAsia" w:eastAsiaTheme="minorEastAsia"/>
                      <w:color w:val="auto"/>
                    </w:rPr>
                    <w:t>《恶臭污染物排放标准》（GB</w:t>
                  </w:r>
                  <w:r>
                    <w:rPr>
                      <w:rFonts w:hint="eastAsia" w:eastAsiaTheme="minorEastAsia"/>
                      <w:color w:val="auto"/>
                      <w:lang w:val="en-US" w:eastAsia="zh-CN"/>
                    </w:rPr>
                    <w:t xml:space="preserve"> </w:t>
                  </w:r>
                  <w:r>
                    <w:rPr>
                      <w:rFonts w:hint="eastAsia" w:eastAsiaTheme="minorEastAsia"/>
                      <w:color w:val="auto"/>
                    </w:rPr>
                    <w:t>14554-93）表2恶臭污染物排放标准值中臭气浓度2</w:t>
                  </w:r>
                  <w:r>
                    <w:rPr>
                      <w:rFonts w:hint="eastAsia" w:eastAsiaTheme="minorEastAsia"/>
                      <w:color w:val="auto"/>
                      <w:lang w:val="en-US" w:eastAsia="zh-CN"/>
                    </w:rPr>
                    <w:t>5</w:t>
                  </w:r>
                  <w:r>
                    <w:rPr>
                      <w:rFonts w:hint="eastAsia" w:eastAsiaTheme="minorEastAsia"/>
                      <w:color w:val="auto"/>
                    </w:rPr>
                    <w:t>m排气筒标准值</w:t>
                  </w:r>
                </w:p>
              </w:tc>
            </w:tr>
            <w:tr w14:paraId="796B0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7" w:hRule="atLeast"/>
                <w:jc w:val="center"/>
              </w:trPr>
              <w:tc>
                <w:tcPr>
                  <w:tcW w:w="823" w:type="dxa"/>
                  <w:vMerge w:val="restart"/>
                  <w:vAlign w:val="center"/>
                </w:tcPr>
                <w:p w14:paraId="0E281B1A">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无组织废气</w:t>
                  </w:r>
                </w:p>
              </w:tc>
              <w:tc>
                <w:tcPr>
                  <w:tcW w:w="1579" w:type="dxa"/>
                  <w:vMerge w:val="restart"/>
                  <w:vAlign w:val="center"/>
                </w:tcPr>
                <w:p w14:paraId="456FCAEA">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项目厂界上风向设置1个，项目厂界下风向设置3个</w:t>
                  </w:r>
                </w:p>
              </w:tc>
              <w:tc>
                <w:tcPr>
                  <w:tcW w:w="1458" w:type="dxa"/>
                  <w:vAlign w:val="center"/>
                </w:tcPr>
                <w:p w14:paraId="3E312A41">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非甲烷总烃</w:t>
                  </w:r>
                </w:p>
              </w:tc>
              <w:tc>
                <w:tcPr>
                  <w:tcW w:w="1075" w:type="dxa"/>
                  <w:vAlign w:val="center"/>
                </w:tcPr>
                <w:p w14:paraId="3CE00B5F">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bCs/>
                      <w:color w:val="auto"/>
                      <w:spacing w:val="-10"/>
                      <w:kern w:val="0"/>
                      <w:sz w:val="21"/>
                      <w:szCs w:val="21"/>
                      <w:highlight w:val="none"/>
                      <w:lang w:val="en-US" w:eastAsia="zh-CN"/>
                    </w:rPr>
                  </w:pPr>
                  <w:r>
                    <w:rPr>
                      <w:rFonts w:hint="default" w:ascii="Times New Roman" w:hAnsi="Times New Roman" w:eastAsia="宋体" w:cs="Times New Roman"/>
                      <w:color w:val="auto"/>
                      <w:sz w:val="21"/>
                      <w:szCs w:val="21"/>
                      <w:highlight w:val="none"/>
                    </w:rPr>
                    <w:t>1次/</w:t>
                  </w:r>
                  <w:r>
                    <w:rPr>
                      <w:rFonts w:hint="default" w:ascii="Times New Roman" w:hAnsi="Times New Roman" w:eastAsia="宋体" w:cs="Times New Roman"/>
                      <w:color w:val="auto"/>
                      <w:sz w:val="21"/>
                      <w:szCs w:val="21"/>
                      <w:highlight w:val="none"/>
                      <w:lang w:val="en-US" w:eastAsia="zh-CN"/>
                    </w:rPr>
                    <w:t>年</w:t>
                  </w:r>
                </w:p>
              </w:tc>
              <w:tc>
                <w:tcPr>
                  <w:tcW w:w="2309" w:type="dxa"/>
                  <w:vMerge w:val="restart"/>
                  <w:vAlign w:val="center"/>
                </w:tcPr>
                <w:p w14:paraId="7DD18E1C">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《合成树脂工业污染物排放标准》（GB 31572-2015及2024年修改单）表9中企业边界大气污染物浓度限值</w:t>
                  </w:r>
                </w:p>
              </w:tc>
            </w:tr>
            <w:tr w14:paraId="0232D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23" w:type="dxa"/>
                  <w:vMerge w:val="continue"/>
                  <w:vAlign w:val="center"/>
                </w:tcPr>
                <w:p w14:paraId="61AD2050">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579" w:type="dxa"/>
                  <w:vMerge w:val="continue"/>
                  <w:shd w:val="clear" w:color="auto" w:fill="auto"/>
                  <w:vAlign w:val="center"/>
                </w:tcPr>
                <w:p w14:paraId="6157BCCD">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p>
              </w:tc>
              <w:tc>
                <w:tcPr>
                  <w:tcW w:w="1458" w:type="dxa"/>
                  <w:vAlign w:val="center"/>
                </w:tcPr>
                <w:p w14:paraId="445350B4">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颗粒物</w:t>
                  </w:r>
                </w:p>
              </w:tc>
              <w:tc>
                <w:tcPr>
                  <w:tcW w:w="1075" w:type="dxa"/>
                  <w:vAlign w:val="center"/>
                </w:tcPr>
                <w:p w14:paraId="373BC045">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0"/>
                      <w:sz w:val="21"/>
                      <w:szCs w:val="21"/>
                      <w:highlight w:val="none"/>
                      <w:lang w:bidi="ar"/>
                    </w:rPr>
                  </w:pPr>
                  <w:r>
                    <w:rPr>
                      <w:rFonts w:hint="default" w:ascii="Times New Roman" w:hAnsi="Times New Roman" w:eastAsia="宋体" w:cs="Times New Roman"/>
                      <w:color w:val="auto"/>
                      <w:kern w:val="0"/>
                      <w:sz w:val="21"/>
                      <w:szCs w:val="21"/>
                      <w:highlight w:val="none"/>
                      <w:lang w:bidi="ar"/>
                    </w:rPr>
                    <w:t>1次/</w:t>
                  </w:r>
                  <w:r>
                    <w:rPr>
                      <w:rFonts w:hint="default" w:ascii="Times New Roman" w:hAnsi="Times New Roman" w:eastAsia="宋体" w:cs="Times New Roman"/>
                      <w:color w:val="auto"/>
                      <w:kern w:val="0"/>
                      <w:sz w:val="21"/>
                      <w:szCs w:val="21"/>
                      <w:highlight w:val="none"/>
                      <w:lang w:val="en-US" w:eastAsia="zh-CN" w:bidi="ar"/>
                    </w:rPr>
                    <w:t>年</w:t>
                  </w:r>
                </w:p>
              </w:tc>
              <w:tc>
                <w:tcPr>
                  <w:tcW w:w="2309" w:type="dxa"/>
                  <w:vMerge w:val="continue"/>
                  <w:shd w:val="clear" w:color="auto" w:fill="auto"/>
                  <w:vAlign w:val="center"/>
                </w:tcPr>
                <w:p w14:paraId="29F9C87B">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p>
              </w:tc>
            </w:tr>
            <w:tr w14:paraId="5E67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23" w:type="dxa"/>
                  <w:vMerge w:val="continue"/>
                  <w:vAlign w:val="center"/>
                </w:tcPr>
                <w:p w14:paraId="5B2FA59B">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579" w:type="dxa"/>
                  <w:vMerge w:val="continue"/>
                  <w:shd w:val="clear" w:color="auto" w:fill="auto"/>
                  <w:vAlign w:val="center"/>
                </w:tcPr>
                <w:p w14:paraId="063AEA8F">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p>
              </w:tc>
              <w:tc>
                <w:tcPr>
                  <w:tcW w:w="1458" w:type="dxa"/>
                  <w:vAlign w:val="center"/>
                </w:tcPr>
                <w:p w14:paraId="41BE2E98">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臭气浓度</w:t>
                  </w:r>
                </w:p>
              </w:tc>
              <w:tc>
                <w:tcPr>
                  <w:tcW w:w="1075" w:type="dxa"/>
                  <w:shd w:val="clear" w:color="auto" w:fill="auto"/>
                  <w:vAlign w:val="center"/>
                </w:tcPr>
                <w:p w14:paraId="18D4FF82">
                  <w:pPr>
                    <w:jc w:val="center"/>
                    <w:rPr>
                      <w:rFonts w:hint="default" w:ascii="Times New Roman" w:hAnsi="Times New Roman" w:eastAsia="宋体" w:cs="Times New Roman"/>
                      <w:color w:val="auto"/>
                      <w:kern w:val="0"/>
                      <w:sz w:val="21"/>
                      <w:szCs w:val="21"/>
                      <w:lang w:val="en-US" w:eastAsia="zh-CN" w:bidi="ar"/>
                    </w:rPr>
                  </w:pPr>
                  <w:r>
                    <w:rPr>
                      <w:color w:val="auto"/>
                      <w:kern w:val="0"/>
                      <w:szCs w:val="21"/>
                      <w:lang w:bidi="ar"/>
                    </w:rPr>
                    <w:t>1次/</w:t>
                  </w:r>
                  <w:r>
                    <w:rPr>
                      <w:rFonts w:hint="eastAsia"/>
                      <w:color w:val="auto"/>
                      <w:szCs w:val="21"/>
                    </w:rPr>
                    <w:t>年</w:t>
                  </w:r>
                </w:p>
              </w:tc>
              <w:tc>
                <w:tcPr>
                  <w:tcW w:w="2309" w:type="dxa"/>
                  <w:shd w:val="clear" w:color="auto" w:fill="auto"/>
                  <w:vAlign w:val="center"/>
                </w:tcPr>
                <w:p w14:paraId="14CDBF2D">
                  <w:pPr>
                    <w:adjustRightInd w:val="0"/>
                    <w:snapToGrid w:val="0"/>
                    <w:jc w:val="center"/>
                    <w:rPr>
                      <w:rFonts w:hint="default" w:ascii="Times New Roman" w:hAnsi="Times New Roman" w:eastAsia="宋体" w:cs="Times New Roman"/>
                      <w:color w:val="auto"/>
                      <w:kern w:val="2"/>
                      <w:sz w:val="21"/>
                      <w:szCs w:val="24"/>
                      <w:lang w:val="en-US" w:eastAsia="zh-CN" w:bidi="ar-SA"/>
                    </w:rPr>
                  </w:pPr>
                  <w:r>
                    <w:rPr>
                      <w:rFonts w:hint="eastAsia"/>
                      <w:color w:val="auto"/>
                    </w:rPr>
                    <w:t>《恶臭污染物排放标准》（GB14554-93）表1 恶臭污染物厂界标准值中的“二级新扩改建”标准限值</w:t>
                  </w:r>
                </w:p>
              </w:tc>
            </w:tr>
            <w:tr w14:paraId="524B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23" w:type="dxa"/>
                  <w:vMerge w:val="continue"/>
                  <w:vAlign w:val="center"/>
                </w:tcPr>
                <w:p w14:paraId="28B740DD">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579" w:type="dxa"/>
                  <w:shd w:val="clear" w:color="auto" w:fill="auto"/>
                  <w:vAlign w:val="center"/>
                </w:tcPr>
                <w:p w14:paraId="7CBE4FA6">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lang w:val="en-US" w:eastAsia="zh-CN"/>
                    </w:rPr>
                    <w:t>厂</w:t>
                  </w:r>
                  <w:r>
                    <w:rPr>
                      <w:rFonts w:hint="eastAsia" w:cs="Times New Roman"/>
                      <w:color w:val="auto"/>
                      <w:kern w:val="24"/>
                      <w:sz w:val="21"/>
                      <w:szCs w:val="21"/>
                      <w:highlight w:val="none"/>
                      <w:lang w:val="en-US" w:eastAsia="zh-CN"/>
                    </w:rPr>
                    <w:t>区</w:t>
                  </w:r>
                  <w:r>
                    <w:rPr>
                      <w:rFonts w:hint="default" w:ascii="Times New Roman" w:hAnsi="Times New Roman" w:eastAsia="宋体" w:cs="Times New Roman"/>
                      <w:color w:val="auto"/>
                      <w:kern w:val="24"/>
                      <w:sz w:val="21"/>
                      <w:szCs w:val="21"/>
                      <w:highlight w:val="none"/>
                      <w:lang w:val="en-US" w:eastAsia="zh-CN"/>
                    </w:rPr>
                    <w:t>内（在厂房外设置监控点）</w:t>
                  </w:r>
                </w:p>
              </w:tc>
              <w:tc>
                <w:tcPr>
                  <w:tcW w:w="1458" w:type="dxa"/>
                  <w:shd w:val="clear" w:color="auto" w:fill="auto"/>
                  <w:vAlign w:val="center"/>
                </w:tcPr>
                <w:p w14:paraId="53E7AA9C">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color w:val="auto"/>
                      <w:kern w:val="24"/>
                      <w:sz w:val="21"/>
                      <w:szCs w:val="21"/>
                      <w:highlight w:val="none"/>
                      <w:lang w:val="en-US" w:eastAsia="zh-CN" w:bidi="ar-SA"/>
                    </w:rPr>
                  </w:pPr>
                  <w:r>
                    <w:rPr>
                      <w:rFonts w:hint="default" w:ascii="Times New Roman" w:hAnsi="Times New Roman" w:eastAsia="宋体" w:cs="Times New Roman"/>
                      <w:color w:val="auto"/>
                      <w:kern w:val="24"/>
                      <w:sz w:val="21"/>
                      <w:szCs w:val="21"/>
                      <w:highlight w:val="none"/>
                    </w:rPr>
                    <w:t>非甲烷总烃</w:t>
                  </w:r>
                </w:p>
              </w:tc>
              <w:tc>
                <w:tcPr>
                  <w:tcW w:w="1075" w:type="dxa"/>
                  <w:shd w:val="clear" w:color="auto" w:fill="auto"/>
                  <w:vAlign w:val="center"/>
                </w:tcPr>
                <w:p w14:paraId="44E8EDC0">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bidi="ar"/>
                    </w:rPr>
                    <w:t>1次/年</w:t>
                  </w:r>
                </w:p>
              </w:tc>
              <w:tc>
                <w:tcPr>
                  <w:tcW w:w="2309" w:type="dxa"/>
                  <w:shd w:val="clear" w:color="auto" w:fill="auto"/>
                  <w:vAlign w:val="center"/>
                </w:tcPr>
                <w:p w14:paraId="7844AE7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挥发性有机物无组织排放控制标准》（GB37822-2019）表A.1厂区内VOCs 无组织排放限值要求</w:t>
                  </w:r>
                </w:p>
              </w:tc>
            </w:tr>
            <w:tr w14:paraId="744B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23" w:type="dxa"/>
                  <w:vAlign w:val="center"/>
                </w:tcPr>
                <w:p w14:paraId="74388E1F">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厂界</w:t>
                  </w:r>
                </w:p>
                <w:p w14:paraId="6FA78B6C">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w:t>
                  </w:r>
                </w:p>
              </w:tc>
              <w:tc>
                <w:tcPr>
                  <w:tcW w:w="1579" w:type="dxa"/>
                  <w:vAlign w:val="center"/>
                </w:tcPr>
                <w:p w14:paraId="0F983D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东、南、西、北厂界</w:t>
                  </w:r>
                </w:p>
              </w:tc>
              <w:tc>
                <w:tcPr>
                  <w:tcW w:w="1458" w:type="dxa"/>
                  <w:vAlign w:val="center"/>
                </w:tcPr>
                <w:p w14:paraId="3A2015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昼间、夜间等效A声级</w:t>
                  </w:r>
                </w:p>
              </w:tc>
              <w:tc>
                <w:tcPr>
                  <w:tcW w:w="1075" w:type="dxa"/>
                  <w:vAlign w:val="center"/>
                </w:tcPr>
                <w:p w14:paraId="0F6EB8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1次/季度</w:t>
                  </w:r>
                </w:p>
              </w:tc>
              <w:tc>
                <w:tcPr>
                  <w:tcW w:w="2309" w:type="dxa"/>
                  <w:vAlign w:val="center"/>
                </w:tcPr>
                <w:p w14:paraId="4EF347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《工业企业厂界环境噪声排放标准》（GB</w:t>
                  </w:r>
                  <w:r>
                    <w:rPr>
                      <w:rFonts w:hint="eastAsia"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12348-2008）</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类标准限值</w:t>
                  </w:r>
                </w:p>
              </w:tc>
            </w:tr>
          </w:tbl>
          <w:p w14:paraId="5A298137">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Times New Roman" w:hAnsi="Times New Roman" w:eastAsia="宋体" w:cs="Times New Roman"/>
                <w:color w:val="auto"/>
                <w:sz w:val="21"/>
                <w:szCs w:val="21"/>
                <w:highlight w:val="none"/>
              </w:rPr>
            </w:pPr>
          </w:p>
          <w:p w14:paraId="09B2050A">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Times New Roman" w:hAnsi="Times New Roman" w:eastAsia="宋体" w:cs="Times New Roman"/>
                <w:color w:val="auto"/>
                <w:sz w:val="21"/>
                <w:szCs w:val="21"/>
                <w:highlight w:val="none"/>
              </w:rPr>
            </w:pPr>
          </w:p>
          <w:p w14:paraId="2361AE0E">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Times New Roman" w:hAnsi="Times New Roman" w:eastAsia="宋体" w:cs="Times New Roman"/>
                <w:color w:val="auto"/>
                <w:sz w:val="21"/>
                <w:szCs w:val="21"/>
                <w:highlight w:val="none"/>
              </w:rPr>
            </w:pPr>
          </w:p>
          <w:p w14:paraId="3CB5068F">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Times New Roman" w:hAnsi="Times New Roman" w:eastAsia="宋体" w:cs="Times New Roman"/>
                <w:color w:val="auto"/>
                <w:sz w:val="21"/>
                <w:szCs w:val="21"/>
                <w:highlight w:val="none"/>
              </w:rPr>
            </w:pPr>
          </w:p>
          <w:p w14:paraId="2F0DE00B">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Times New Roman" w:hAnsi="Times New Roman" w:eastAsia="宋体" w:cs="Times New Roman"/>
                <w:color w:val="auto"/>
                <w:sz w:val="21"/>
                <w:szCs w:val="21"/>
                <w:highlight w:val="none"/>
              </w:rPr>
            </w:pPr>
          </w:p>
          <w:p w14:paraId="58C7E736">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Times New Roman" w:hAnsi="Times New Roman" w:eastAsia="宋体" w:cs="Times New Roman"/>
                <w:color w:val="auto"/>
                <w:sz w:val="21"/>
                <w:szCs w:val="21"/>
                <w:highlight w:val="none"/>
              </w:rPr>
            </w:pPr>
          </w:p>
          <w:p w14:paraId="40F28FD3">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Times New Roman" w:hAnsi="Times New Roman" w:eastAsia="宋体" w:cs="Times New Roman"/>
                <w:color w:val="auto"/>
                <w:sz w:val="21"/>
                <w:szCs w:val="21"/>
                <w:highlight w:val="none"/>
              </w:rPr>
            </w:pPr>
          </w:p>
          <w:p w14:paraId="34FFD63E">
            <w:pPr>
              <w:keepNext w:val="0"/>
              <w:keepLines w:val="0"/>
              <w:pageBreakBefore w:val="0"/>
              <w:kinsoku/>
              <w:wordWrap/>
              <w:overflowPunct/>
              <w:topLinePunct w:val="0"/>
              <w:autoSpaceDE/>
              <w:autoSpaceDN/>
              <w:bidi w:val="0"/>
              <w:adjustRightInd w:val="0"/>
              <w:snapToGrid w:val="0"/>
              <w:spacing w:line="240" w:lineRule="auto"/>
              <w:ind w:firstLine="0" w:firstLineChars="0"/>
              <w:rPr>
                <w:rFonts w:hint="default" w:ascii="Times New Roman" w:hAnsi="Times New Roman" w:eastAsia="宋体" w:cs="Times New Roman"/>
                <w:color w:val="auto"/>
                <w:sz w:val="21"/>
                <w:szCs w:val="21"/>
                <w:highlight w:val="none"/>
                <w:lang w:eastAsia="zh-CN"/>
              </w:rPr>
            </w:pPr>
          </w:p>
        </w:tc>
      </w:tr>
    </w:tbl>
    <w:p w14:paraId="120A1ED4">
      <w:pPr>
        <w:pStyle w:val="21"/>
        <w:jc w:val="center"/>
        <w:outlineLvl w:val="0"/>
        <w:rPr>
          <w:rFonts w:ascii="Times New Roman" w:hAnsi="Times New Roman" w:eastAsia="黑体"/>
          <w:snapToGrid w:val="0"/>
          <w:color w:val="auto"/>
          <w:sz w:val="30"/>
          <w:szCs w:val="30"/>
          <w:highlight w:val="none"/>
        </w:rPr>
      </w:pPr>
      <w:r>
        <w:rPr>
          <w:rFonts w:ascii="Times New Roman" w:hAnsi="Times New Roman"/>
          <w:snapToGrid w:val="0"/>
          <w:color w:val="auto"/>
          <w:highlight w:val="none"/>
        </w:rPr>
        <w:br w:type="page"/>
      </w:r>
      <w:bookmarkStart w:id="20" w:name="_Toc20079"/>
      <w:r>
        <w:rPr>
          <w:rFonts w:ascii="Times New Roman" w:hAnsi="黑体" w:eastAsia="黑体"/>
          <w:snapToGrid w:val="0"/>
          <w:color w:val="auto"/>
          <w:sz w:val="30"/>
          <w:szCs w:val="30"/>
          <w:highlight w:val="none"/>
        </w:rPr>
        <w:t>六、结论</w:t>
      </w:r>
      <w:bookmarkEnd w:id="20"/>
    </w:p>
    <w:tbl>
      <w:tblPr>
        <w:tblStyle w:val="25"/>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76E6AC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5000" w:type="pct"/>
          </w:tcPr>
          <w:p w14:paraId="1AAC017E">
            <w:pPr>
              <w:spacing w:line="360" w:lineRule="auto"/>
              <w:ind w:firstLine="480" w:firstLineChars="200"/>
              <w:rPr>
                <w:color w:val="auto"/>
                <w:sz w:val="24"/>
                <w:highlight w:val="none"/>
              </w:rPr>
            </w:pPr>
            <w:r>
              <w:rPr>
                <w:rFonts w:hint="eastAsia"/>
                <w:color w:val="auto"/>
                <w:kern w:val="24"/>
                <w:sz w:val="24"/>
                <w:highlight w:val="none"/>
              </w:rPr>
              <w:t>综上所述，本项目建设符合所在地生态环境分区管控的相关要求，符合相关生态环境保护法律法</w:t>
            </w:r>
            <w:r>
              <w:rPr>
                <w:rFonts w:hint="eastAsia"/>
                <w:color w:val="auto"/>
                <w:kern w:val="24"/>
                <w:sz w:val="24"/>
                <w:highlight w:val="none"/>
                <w:lang w:eastAsia="zh-CN"/>
              </w:rPr>
              <w:t>规和</w:t>
            </w:r>
            <w:r>
              <w:rPr>
                <w:rFonts w:hint="eastAsia"/>
                <w:color w:val="auto"/>
                <w:kern w:val="24"/>
                <w:sz w:val="24"/>
                <w:highlight w:val="none"/>
              </w:rPr>
              <w:t>政策。项目运营期产生的废气、废水、噪声、固废通过采取相应的措施处理、处置后，能够达标排放，不会对项目区及外环境造成大的影响。通过分析，项目采取的污染控制措施有效、可行。在认真落实环评中提出的污染防治对策措施，保证治理设施正常运转，确保污染物达标排放的情况下，项目建设不会降低和改变该区域的环境质量和环境功能。从环境保护角度看，项目的建设是可行的</w:t>
            </w:r>
            <w:r>
              <w:rPr>
                <w:color w:val="auto"/>
                <w:kern w:val="24"/>
                <w:sz w:val="24"/>
                <w:highlight w:val="none"/>
              </w:rPr>
              <w:t>。</w:t>
            </w:r>
          </w:p>
        </w:tc>
      </w:tr>
    </w:tbl>
    <w:p w14:paraId="151F76E9">
      <w:pPr>
        <w:rPr>
          <w:color w:val="auto"/>
          <w:highlight w:val="none"/>
        </w:rPr>
        <w:sectPr>
          <w:pgSz w:w="11906" w:h="16838"/>
          <w:pgMar w:top="1701" w:right="1531" w:bottom="1701" w:left="1531" w:header="851" w:footer="851" w:gutter="0"/>
          <w:cols w:space="720" w:num="1"/>
          <w:docGrid w:linePitch="312" w:charSpace="0"/>
        </w:sectPr>
      </w:pPr>
    </w:p>
    <w:p w14:paraId="603A0E02">
      <w:pPr>
        <w:pStyle w:val="21"/>
        <w:adjustRightInd w:val="0"/>
        <w:snapToGrid w:val="0"/>
        <w:spacing w:before="0" w:beforeAutospacing="0" w:after="0" w:afterAutospacing="0"/>
        <w:outlineLvl w:val="0"/>
        <w:rPr>
          <w:rFonts w:ascii="Times New Roman" w:hAnsi="Times New Roman" w:eastAsia="黑体"/>
          <w:snapToGrid w:val="0"/>
          <w:color w:val="auto"/>
          <w:sz w:val="32"/>
          <w:szCs w:val="32"/>
          <w:highlight w:val="none"/>
        </w:rPr>
      </w:pPr>
      <w:bookmarkStart w:id="21" w:name="_Toc18241"/>
      <w:r>
        <w:rPr>
          <w:rFonts w:ascii="Times New Roman" w:hAnsi="黑体" w:eastAsia="黑体"/>
          <w:snapToGrid w:val="0"/>
          <w:color w:val="auto"/>
          <w:sz w:val="32"/>
          <w:szCs w:val="32"/>
          <w:highlight w:val="none"/>
        </w:rPr>
        <w:t>附表</w:t>
      </w:r>
      <w:bookmarkEnd w:id="21"/>
    </w:p>
    <w:p w14:paraId="7134CFE3">
      <w:pPr>
        <w:pStyle w:val="21"/>
        <w:adjustRightInd w:val="0"/>
        <w:snapToGrid w:val="0"/>
        <w:spacing w:before="0" w:beforeAutospacing="0" w:after="0" w:afterAutospacing="0"/>
        <w:jc w:val="center"/>
        <w:outlineLvl w:val="0"/>
        <w:rPr>
          <w:rFonts w:ascii="Times New Roman" w:hAnsi="Times New Roman" w:eastAsia="方正小标宋_GBK"/>
          <w:snapToGrid w:val="0"/>
          <w:color w:val="auto"/>
          <w:sz w:val="38"/>
          <w:szCs w:val="38"/>
          <w:highlight w:val="none"/>
        </w:rPr>
      </w:pPr>
      <w:bookmarkStart w:id="22" w:name="_Toc3557"/>
      <w:r>
        <w:rPr>
          <w:rFonts w:ascii="Times New Roman" w:hAnsi="Times New Roman" w:eastAsia="方正小标宋_GBK"/>
          <w:snapToGrid w:val="0"/>
          <w:color w:val="auto"/>
          <w:sz w:val="38"/>
          <w:szCs w:val="38"/>
          <w:highlight w:val="none"/>
        </w:rPr>
        <w:t>建设项目污染物排放量汇总表</w:t>
      </w:r>
      <w:bookmarkEnd w:id="22"/>
    </w:p>
    <w:tbl>
      <w:tblPr>
        <w:tblStyle w:val="25"/>
        <w:tblW w:w="4998"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4"/>
        <w:gridCol w:w="1721"/>
        <w:gridCol w:w="1837"/>
        <w:gridCol w:w="1188"/>
        <w:gridCol w:w="1762"/>
        <w:gridCol w:w="1850"/>
        <w:gridCol w:w="1625"/>
        <w:gridCol w:w="1464"/>
        <w:gridCol w:w="896"/>
      </w:tblGrid>
      <w:tr w14:paraId="53032F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424" w:type="pct"/>
            <w:tcBorders>
              <w:tl2br w:val="single" w:color="auto" w:sz="4" w:space="0"/>
            </w:tcBorders>
            <w:tcMar>
              <w:left w:w="28" w:type="dxa"/>
              <w:right w:w="28" w:type="dxa"/>
            </w:tcMar>
            <w:vAlign w:val="center"/>
          </w:tcPr>
          <w:p w14:paraId="34D29817">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right"/>
              <w:textAlignment w:val="auto"/>
              <w:rPr>
                <w:rFonts w:hint="default" w:ascii="Times New Roman" w:hAnsi="Times New Roman" w:eastAsia="宋体" w:cs="Times New Roman"/>
                <w:snapToGrid w:val="0"/>
                <w:color w:val="auto"/>
                <w:spacing w:val="-6"/>
                <w:kern w:val="21"/>
                <w:sz w:val="21"/>
                <w:szCs w:val="21"/>
                <w:highlight w:val="none"/>
              </w:rPr>
            </w:pPr>
            <w:r>
              <w:rPr>
                <w:rFonts w:hint="default" w:ascii="Times New Roman" w:hAnsi="Times New Roman" w:eastAsia="宋体" w:cs="Times New Roman"/>
                <w:snapToGrid w:val="0"/>
                <w:color w:val="auto"/>
                <w:spacing w:val="-6"/>
                <w:kern w:val="21"/>
                <w:sz w:val="21"/>
                <w:szCs w:val="21"/>
                <w:highlight w:val="none"/>
              </w:rPr>
              <w:t>项目</w:t>
            </w:r>
          </w:p>
          <w:p w14:paraId="1864F52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left"/>
              <w:textAlignment w:val="auto"/>
              <w:rPr>
                <w:rFonts w:hint="default" w:ascii="Times New Roman" w:hAnsi="Times New Roman" w:eastAsia="宋体" w:cs="Times New Roman"/>
                <w:snapToGrid w:val="0"/>
                <w:color w:val="auto"/>
                <w:spacing w:val="-6"/>
                <w:kern w:val="21"/>
                <w:sz w:val="21"/>
                <w:szCs w:val="21"/>
                <w:highlight w:val="none"/>
              </w:rPr>
            </w:pPr>
            <w:r>
              <w:rPr>
                <w:rFonts w:hint="default" w:ascii="Times New Roman" w:hAnsi="Times New Roman" w:eastAsia="宋体" w:cs="Times New Roman"/>
                <w:snapToGrid w:val="0"/>
                <w:color w:val="auto"/>
                <w:spacing w:val="-6"/>
                <w:kern w:val="21"/>
                <w:sz w:val="21"/>
                <w:szCs w:val="21"/>
                <w:highlight w:val="none"/>
              </w:rPr>
              <w:t>分类</w:t>
            </w:r>
          </w:p>
        </w:tc>
        <w:tc>
          <w:tcPr>
            <w:tcW w:w="638" w:type="pct"/>
            <w:tcMar>
              <w:left w:w="28" w:type="dxa"/>
              <w:right w:w="28" w:type="dxa"/>
            </w:tcMar>
            <w:vAlign w:val="center"/>
          </w:tcPr>
          <w:p w14:paraId="539AFEA1">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spacing w:val="-6"/>
                <w:kern w:val="21"/>
                <w:sz w:val="21"/>
                <w:szCs w:val="21"/>
                <w:highlight w:val="none"/>
              </w:rPr>
            </w:pPr>
            <w:r>
              <w:rPr>
                <w:rFonts w:hint="default" w:ascii="Times New Roman" w:hAnsi="Times New Roman" w:eastAsia="宋体" w:cs="Times New Roman"/>
                <w:snapToGrid w:val="0"/>
                <w:color w:val="auto"/>
                <w:spacing w:val="-6"/>
                <w:kern w:val="21"/>
                <w:sz w:val="21"/>
                <w:szCs w:val="21"/>
                <w:highlight w:val="none"/>
              </w:rPr>
              <w:t>污染物名称</w:t>
            </w:r>
          </w:p>
        </w:tc>
        <w:tc>
          <w:tcPr>
            <w:tcW w:w="681" w:type="pct"/>
            <w:tcMar>
              <w:left w:w="28" w:type="dxa"/>
              <w:right w:w="28" w:type="dxa"/>
            </w:tcMar>
            <w:vAlign w:val="center"/>
          </w:tcPr>
          <w:p w14:paraId="6778C8CB">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spacing w:val="-6"/>
                <w:kern w:val="21"/>
                <w:sz w:val="21"/>
                <w:szCs w:val="21"/>
                <w:highlight w:val="none"/>
              </w:rPr>
            </w:pPr>
            <w:r>
              <w:rPr>
                <w:rFonts w:hint="default" w:ascii="Times New Roman" w:hAnsi="Times New Roman" w:eastAsia="宋体" w:cs="Times New Roman"/>
                <w:snapToGrid w:val="0"/>
                <w:color w:val="auto"/>
                <w:spacing w:val="-6"/>
                <w:kern w:val="21"/>
                <w:sz w:val="21"/>
                <w:szCs w:val="21"/>
                <w:highlight w:val="none"/>
              </w:rPr>
              <w:t>现有工程排放量（固体废物产生量）</w:t>
            </w:r>
            <w:r>
              <w:rPr>
                <w:rFonts w:hint="default" w:ascii="Times New Roman" w:hAnsi="Times New Roman" w:eastAsia="宋体" w:cs="Times New Roman"/>
                <w:snapToGrid w:val="0"/>
                <w:color w:val="auto"/>
                <w:spacing w:val="-6"/>
                <w:kern w:val="21"/>
                <w:sz w:val="21"/>
                <w:szCs w:val="21"/>
                <w:highlight w:val="none"/>
              </w:rPr>
              <w:fldChar w:fldCharType="begin"/>
            </w:r>
            <w:r>
              <w:rPr>
                <w:rFonts w:hint="default" w:ascii="Times New Roman" w:hAnsi="Times New Roman" w:eastAsia="宋体" w:cs="Times New Roman"/>
                <w:snapToGrid w:val="0"/>
                <w:color w:val="auto"/>
                <w:spacing w:val="-6"/>
                <w:kern w:val="21"/>
                <w:sz w:val="21"/>
                <w:szCs w:val="21"/>
                <w:highlight w:val="none"/>
              </w:rPr>
              <w:instrText xml:space="preserve"> = 1 \* GB3 \* MERGEFORMAT </w:instrText>
            </w:r>
            <w:r>
              <w:rPr>
                <w:rFonts w:hint="default" w:ascii="Times New Roman" w:hAnsi="Times New Roman" w:eastAsia="宋体" w:cs="Times New Roman"/>
                <w:snapToGrid w:val="0"/>
                <w:color w:val="auto"/>
                <w:spacing w:val="-6"/>
                <w:kern w:val="21"/>
                <w:sz w:val="21"/>
                <w:szCs w:val="21"/>
                <w:highlight w:val="none"/>
              </w:rPr>
              <w:fldChar w:fldCharType="separate"/>
            </w:r>
            <w:r>
              <w:rPr>
                <w:rFonts w:hint="default" w:ascii="Times New Roman" w:hAnsi="Times New Roman" w:eastAsia="宋体" w:cs="Times New Roman"/>
                <w:color w:val="auto"/>
                <w:kern w:val="2"/>
                <w:sz w:val="21"/>
                <w:szCs w:val="21"/>
                <w:highlight w:val="none"/>
              </w:rPr>
              <w:t>①</w:t>
            </w:r>
            <w:r>
              <w:rPr>
                <w:rFonts w:hint="default" w:ascii="Times New Roman" w:hAnsi="Times New Roman" w:eastAsia="宋体" w:cs="Times New Roman"/>
                <w:snapToGrid w:val="0"/>
                <w:color w:val="auto"/>
                <w:spacing w:val="-6"/>
                <w:kern w:val="21"/>
                <w:sz w:val="21"/>
                <w:szCs w:val="21"/>
                <w:highlight w:val="none"/>
              </w:rPr>
              <w:fldChar w:fldCharType="end"/>
            </w:r>
          </w:p>
        </w:tc>
        <w:tc>
          <w:tcPr>
            <w:tcW w:w="440" w:type="pct"/>
            <w:tcMar>
              <w:left w:w="28" w:type="dxa"/>
              <w:right w:w="28" w:type="dxa"/>
            </w:tcMar>
            <w:vAlign w:val="center"/>
          </w:tcPr>
          <w:p w14:paraId="52D9E51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spacing w:val="-6"/>
                <w:kern w:val="21"/>
                <w:sz w:val="21"/>
                <w:szCs w:val="21"/>
                <w:highlight w:val="none"/>
              </w:rPr>
            </w:pPr>
            <w:r>
              <w:rPr>
                <w:rFonts w:hint="default" w:ascii="Times New Roman" w:hAnsi="Times New Roman" w:eastAsia="宋体" w:cs="Times New Roman"/>
                <w:snapToGrid w:val="0"/>
                <w:color w:val="auto"/>
                <w:spacing w:val="-6"/>
                <w:kern w:val="21"/>
                <w:sz w:val="21"/>
                <w:szCs w:val="21"/>
                <w:highlight w:val="none"/>
              </w:rPr>
              <w:t>现有工程许可排放量</w:t>
            </w:r>
            <w:r>
              <w:rPr>
                <w:rFonts w:hint="default" w:ascii="Times New Roman" w:hAnsi="Times New Roman" w:eastAsia="宋体" w:cs="Times New Roman"/>
                <w:snapToGrid w:val="0"/>
                <w:color w:val="auto"/>
                <w:spacing w:val="-6"/>
                <w:kern w:val="21"/>
                <w:sz w:val="21"/>
                <w:szCs w:val="21"/>
                <w:highlight w:val="none"/>
              </w:rPr>
              <w:fldChar w:fldCharType="begin"/>
            </w:r>
            <w:r>
              <w:rPr>
                <w:rFonts w:hint="default" w:ascii="Times New Roman" w:hAnsi="Times New Roman" w:eastAsia="宋体" w:cs="Times New Roman"/>
                <w:snapToGrid w:val="0"/>
                <w:color w:val="auto"/>
                <w:spacing w:val="-6"/>
                <w:kern w:val="21"/>
                <w:sz w:val="21"/>
                <w:szCs w:val="21"/>
                <w:highlight w:val="none"/>
              </w:rPr>
              <w:instrText xml:space="preserve"> = 2 \* GB3 \* MERGEFORMAT </w:instrText>
            </w:r>
            <w:r>
              <w:rPr>
                <w:rFonts w:hint="default" w:ascii="Times New Roman" w:hAnsi="Times New Roman" w:eastAsia="宋体" w:cs="Times New Roman"/>
                <w:snapToGrid w:val="0"/>
                <w:color w:val="auto"/>
                <w:spacing w:val="-6"/>
                <w:kern w:val="21"/>
                <w:sz w:val="21"/>
                <w:szCs w:val="21"/>
                <w:highlight w:val="none"/>
              </w:rPr>
              <w:fldChar w:fldCharType="separate"/>
            </w:r>
            <w:r>
              <w:rPr>
                <w:rFonts w:hint="default" w:ascii="Times New Roman" w:hAnsi="Times New Roman" w:eastAsia="宋体" w:cs="Times New Roman"/>
                <w:snapToGrid w:val="0"/>
                <w:color w:val="auto"/>
                <w:spacing w:val="-6"/>
                <w:kern w:val="21"/>
                <w:sz w:val="21"/>
                <w:szCs w:val="21"/>
                <w:highlight w:val="none"/>
              </w:rPr>
              <w:t>②</w:t>
            </w:r>
            <w:r>
              <w:rPr>
                <w:rFonts w:hint="default" w:ascii="Times New Roman" w:hAnsi="Times New Roman" w:eastAsia="宋体" w:cs="Times New Roman"/>
                <w:snapToGrid w:val="0"/>
                <w:color w:val="auto"/>
                <w:spacing w:val="-6"/>
                <w:kern w:val="21"/>
                <w:sz w:val="21"/>
                <w:szCs w:val="21"/>
                <w:highlight w:val="none"/>
              </w:rPr>
              <w:fldChar w:fldCharType="end"/>
            </w:r>
          </w:p>
        </w:tc>
        <w:tc>
          <w:tcPr>
            <w:tcW w:w="653" w:type="pct"/>
            <w:tcMar>
              <w:left w:w="28" w:type="dxa"/>
              <w:right w:w="28" w:type="dxa"/>
            </w:tcMar>
            <w:vAlign w:val="center"/>
          </w:tcPr>
          <w:p w14:paraId="5DAB17CD">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spacing w:val="-6"/>
                <w:kern w:val="21"/>
                <w:sz w:val="21"/>
                <w:szCs w:val="21"/>
                <w:highlight w:val="none"/>
              </w:rPr>
            </w:pPr>
            <w:r>
              <w:rPr>
                <w:rFonts w:hint="default" w:ascii="Times New Roman" w:hAnsi="Times New Roman" w:eastAsia="宋体" w:cs="Times New Roman"/>
                <w:snapToGrid w:val="0"/>
                <w:color w:val="auto"/>
                <w:spacing w:val="-6"/>
                <w:kern w:val="21"/>
                <w:sz w:val="21"/>
                <w:szCs w:val="21"/>
                <w:highlight w:val="none"/>
              </w:rPr>
              <w:t>在建工程排放量（固体废物产生量）</w:t>
            </w:r>
            <w:r>
              <w:rPr>
                <w:rFonts w:hint="default" w:ascii="Times New Roman" w:hAnsi="Times New Roman" w:eastAsia="宋体" w:cs="Times New Roman"/>
                <w:snapToGrid w:val="0"/>
                <w:color w:val="auto"/>
                <w:spacing w:val="-6"/>
                <w:kern w:val="21"/>
                <w:sz w:val="21"/>
                <w:szCs w:val="21"/>
                <w:highlight w:val="none"/>
              </w:rPr>
              <w:fldChar w:fldCharType="begin"/>
            </w:r>
            <w:r>
              <w:rPr>
                <w:rFonts w:hint="default" w:ascii="Times New Roman" w:hAnsi="Times New Roman" w:eastAsia="宋体" w:cs="Times New Roman"/>
                <w:snapToGrid w:val="0"/>
                <w:color w:val="auto"/>
                <w:spacing w:val="-6"/>
                <w:kern w:val="21"/>
                <w:sz w:val="21"/>
                <w:szCs w:val="21"/>
                <w:highlight w:val="none"/>
              </w:rPr>
              <w:instrText xml:space="preserve"> = 3 \* GB3 \* MERGEFORMAT </w:instrText>
            </w:r>
            <w:r>
              <w:rPr>
                <w:rFonts w:hint="default" w:ascii="Times New Roman" w:hAnsi="Times New Roman" w:eastAsia="宋体" w:cs="Times New Roman"/>
                <w:snapToGrid w:val="0"/>
                <w:color w:val="auto"/>
                <w:spacing w:val="-6"/>
                <w:kern w:val="21"/>
                <w:sz w:val="21"/>
                <w:szCs w:val="21"/>
                <w:highlight w:val="none"/>
              </w:rPr>
              <w:fldChar w:fldCharType="separate"/>
            </w:r>
            <w:r>
              <w:rPr>
                <w:rFonts w:hint="default" w:ascii="Times New Roman" w:hAnsi="Times New Roman" w:eastAsia="宋体" w:cs="Times New Roman"/>
                <w:color w:val="auto"/>
                <w:kern w:val="2"/>
                <w:sz w:val="21"/>
                <w:szCs w:val="21"/>
                <w:highlight w:val="none"/>
              </w:rPr>
              <w:t>③</w:t>
            </w:r>
            <w:r>
              <w:rPr>
                <w:rFonts w:hint="default" w:ascii="Times New Roman" w:hAnsi="Times New Roman" w:eastAsia="宋体" w:cs="Times New Roman"/>
                <w:snapToGrid w:val="0"/>
                <w:color w:val="auto"/>
                <w:spacing w:val="-6"/>
                <w:kern w:val="21"/>
                <w:sz w:val="21"/>
                <w:szCs w:val="21"/>
                <w:highlight w:val="none"/>
              </w:rPr>
              <w:fldChar w:fldCharType="end"/>
            </w:r>
          </w:p>
        </w:tc>
        <w:tc>
          <w:tcPr>
            <w:tcW w:w="685" w:type="pct"/>
            <w:tcMar>
              <w:left w:w="28" w:type="dxa"/>
              <w:right w:w="28" w:type="dxa"/>
            </w:tcMar>
            <w:vAlign w:val="center"/>
          </w:tcPr>
          <w:p w14:paraId="27B91190">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spacing w:val="-6"/>
                <w:kern w:val="21"/>
                <w:sz w:val="21"/>
                <w:szCs w:val="21"/>
                <w:highlight w:val="none"/>
              </w:rPr>
            </w:pPr>
            <w:r>
              <w:rPr>
                <w:rFonts w:hint="default" w:ascii="Times New Roman" w:hAnsi="Times New Roman" w:eastAsia="宋体" w:cs="Times New Roman"/>
                <w:snapToGrid w:val="0"/>
                <w:color w:val="auto"/>
                <w:spacing w:val="-6"/>
                <w:kern w:val="21"/>
                <w:sz w:val="21"/>
                <w:szCs w:val="21"/>
                <w:highlight w:val="none"/>
              </w:rPr>
              <w:t>本项目排放量（固体废物产生量）</w:t>
            </w:r>
            <w:r>
              <w:rPr>
                <w:rFonts w:hint="default" w:ascii="Times New Roman" w:hAnsi="Times New Roman" w:eastAsia="宋体" w:cs="Times New Roman"/>
                <w:snapToGrid w:val="0"/>
                <w:color w:val="auto"/>
                <w:spacing w:val="-6"/>
                <w:kern w:val="21"/>
                <w:sz w:val="21"/>
                <w:szCs w:val="21"/>
                <w:highlight w:val="none"/>
              </w:rPr>
              <w:fldChar w:fldCharType="begin"/>
            </w:r>
            <w:r>
              <w:rPr>
                <w:rFonts w:hint="default" w:ascii="Times New Roman" w:hAnsi="Times New Roman" w:eastAsia="宋体" w:cs="Times New Roman"/>
                <w:snapToGrid w:val="0"/>
                <w:color w:val="auto"/>
                <w:spacing w:val="-6"/>
                <w:kern w:val="21"/>
                <w:sz w:val="21"/>
                <w:szCs w:val="21"/>
                <w:highlight w:val="none"/>
              </w:rPr>
              <w:instrText xml:space="preserve"> = 4 \* GB3 \* MERGEFORMAT </w:instrText>
            </w:r>
            <w:r>
              <w:rPr>
                <w:rFonts w:hint="default" w:ascii="Times New Roman" w:hAnsi="Times New Roman" w:eastAsia="宋体" w:cs="Times New Roman"/>
                <w:snapToGrid w:val="0"/>
                <w:color w:val="auto"/>
                <w:spacing w:val="-6"/>
                <w:kern w:val="21"/>
                <w:sz w:val="21"/>
                <w:szCs w:val="21"/>
                <w:highlight w:val="none"/>
              </w:rPr>
              <w:fldChar w:fldCharType="separate"/>
            </w:r>
            <w:r>
              <w:rPr>
                <w:rFonts w:hint="default" w:ascii="Times New Roman" w:hAnsi="Times New Roman" w:eastAsia="宋体" w:cs="Times New Roman"/>
                <w:color w:val="auto"/>
                <w:kern w:val="2"/>
                <w:sz w:val="21"/>
                <w:szCs w:val="21"/>
                <w:highlight w:val="none"/>
              </w:rPr>
              <w:t>④</w:t>
            </w:r>
            <w:r>
              <w:rPr>
                <w:rFonts w:hint="default" w:ascii="Times New Roman" w:hAnsi="Times New Roman" w:eastAsia="宋体" w:cs="Times New Roman"/>
                <w:snapToGrid w:val="0"/>
                <w:color w:val="auto"/>
                <w:spacing w:val="-6"/>
                <w:kern w:val="21"/>
                <w:sz w:val="21"/>
                <w:szCs w:val="21"/>
                <w:highlight w:val="none"/>
              </w:rPr>
              <w:fldChar w:fldCharType="end"/>
            </w:r>
          </w:p>
        </w:tc>
        <w:tc>
          <w:tcPr>
            <w:tcW w:w="602" w:type="pct"/>
            <w:tcMar>
              <w:left w:w="28" w:type="dxa"/>
              <w:right w:w="28" w:type="dxa"/>
            </w:tcMar>
            <w:vAlign w:val="center"/>
          </w:tcPr>
          <w:p w14:paraId="00CCBB53">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spacing w:val="-16"/>
                <w:kern w:val="21"/>
                <w:sz w:val="21"/>
                <w:szCs w:val="21"/>
                <w:highlight w:val="none"/>
              </w:rPr>
            </w:pPr>
            <w:r>
              <w:rPr>
                <w:rFonts w:hint="default" w:ascii="Times New Roman" w:hAnsi="Times New Roman" w:eastAsia="宋体" w:cs="Times New Roman"/>
                <w:snapToGrid w:val="0"/>
                <w:color w:val="auto"/>
                <w:spacing w:val="-16"/>
                <w:kern w:val="21"/>
                <w:sz w:val="21"/>
                <w:szCs w:val="21"/>
                <w:highlight w:val="none"/>
              </w:rPr>
              <w:t>以新带老削减量（新建项目不填）</w:t>
            </w:r>
            <w:r>
              <w:rPr>
                <w:rFonts w:hint="default" w:ascii="Times New Roman" w:hAnsi="Times New Roman" w:eastAsia="宋体" w:cs="Times New Roman"/>
                <w:snapToGrid w:val="0"/>
                <w:color w:val="auto"/>
                <w:spacing w:val="-16"/>
                <w:kern w:val="21"/>
                <w:sz w:val="21"/>
                <w:szCs w:val="21"/>
                <w:highlight w:val="none"/>
              </w:rPr>
              <w:fldChar w:fldCharType="begin"/>
            </w:r>
            <w:r>
              <w:rPr>
                <w:rFonts w:hint="default" w:ascii="Times New Roman" w:hAnsi="Times New Roman" w:eastAsia="宋体" w:cs="Times New Roman"/>
                <w:snapToGrid w:val="0"/>
                <w:color w:val="auto"/>
                <w:spacing w:val="-16"/>
                <w:kern w:val="21"/>
                <w:sz w:val="21"/>
                <w:szCs w:val="21"/>
                <w:highlight w:val="none"/>
              </w:rPr>
              <w:instrText xml:space="preserve"> = 5 \* GB3 \* MERGEFORMAT </w:instrText>
            </w:r>
            <w:r>
              <w:rPr>
                <w:rFonts w:hint="default" w:ascii="Times New Roman" w:hAnsi="Times New Roman" w:eastAsia="宋体" w:cs="Times New Roman"/>
                <w:snapToGrid w:val="0"/>
                <w:color w:val="auto"/>
                <w:spacing w:val="-16"/>
                <w:kern w:val="21"/>
                <w:sz w:val="21"/>
                <w:szCs w:val="21"/>
                <w:highlight w:val="none"/>
              </w:rPr>
              <w:fldChar w:fldCharType="separate"/>
            </w:r>
            <w:r>
              <w:rPr>
                <w:rFonts w:hint="default" w:ascii="Times New Roman" w:hAnsi="Times New Roman" w:eastAsia="宋体" w:cs="Times New Roman"/>
                <w:color w:val="auto"/>
                <w:kern w:val="2"/>
                <w:sz w:val="21"/>
                <w:szCs w:val="21"/>
                <w:highlight w:val="none"/>
              </w:rPr>
              <w:t>⑤</w:t>
            </w:r>
            <w:r>
              <w:rPr>
                <w:rFonts w:hint="default" w:ascii="Times New Roman" w:hAnsi="Times New Roman" w:eastAsia="宋体" w:cs="Times New Roman"/>
                <w:snapToGrid w:val="0"/>
                <w:color w:val="auto"/>
                <w:spacing w:val="-16"/>
                <w:kern w:val="21"/>
                <w:sz w:val="21"/>
                <w:szCs w:val="21"/>
                <w:highlight w:val="none"/>
              </w:rPr>
              <w:fldChar w:fldCharType="end"/>
            </w:r>
          </w:p>
        </w:tc>
        <w:tc>
          <w:tcPr>
            <w:tcW w:w="542" w:type="pct"/>
            <w:tcMar>
              <w:left w:w="28" w:type="dxa"/>
              <w:right w:w="28" w:type="dxa"/>
            </w:tcMar>
            <w:vAlign w:val="center"/>
          </w:tcPr>
          <w:p w14:paraId="16A737D6">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spacing w:val="-16"/>
                <w:kern w:val="21"/>
                <w:sz w:val="21"/>
                <w:szCs w:val="21"/>
                <w:highlight w:val="none"/>
              </w:rPr>
            </w:pPr>
            <w:r>
              <w:rPr>
                <w:rFonts w:hint="default" w:ascii="Times New Roman" w:hAnsi="Times New Roman" w:eastAsia="宋体" w:cs="Times New Roman"/>
                <w:snapToGrid w:val="0"/>
                <w:color w:val="auto"/>
                <w:spacing w:val="-16"/>
                <w:kern w:val="21"/>
                <w:sz w:val="21"/>
                <w:szCs w:val="21"/>
                <w:highlight w:val="none"/>
              </w:rPr>
              <w:t>本项目建成后全厂排放量（固体废物产生量）</w:t>
            </w:r>
            <w:r>
              <w:rPr>
                <w:rFonts w:hint="default" w:ascii="Times New Roman" w:hAnsi="Times New Roman" w:eastAsia="宋体" w:cs="Times New Roman"/>
                <w:snapToGrid w:val="0"/>
                <w:color w:val="auto"/>
                <w:spacing w:val="-16"/>
                <w:kern w:val="21"/>
                <w:sz w:val="21"/>
                <w:szCs w:val="21"/>
                <w:highlight w:val="none"/>
              </w:rPr>
              <w:fldChar w:fldCharType="begin"/>
            </w:r>
            <w:r>
              <w:rPr>
                <w:rFonts w:hint="default" w:ascii="Times New Roman" w:hAnsi="Times New Roman" w:eastAsia="宋体" w:cs="Times New Roman"/>
                <w:snapToGrid w:val="0"/>
                <w:color w:val="auto"/>
                <w:spacing w:val="-16"/>
                <w:kern w:val="21"/>
                <w:sz w:val="21"/>
                <w:szCs w:val="21"/>
                <w:highlight w:val="none"/>
              </w:rPr>
              <w:instrText xml:space="preserve"> = 6 \* GB3 \* MERGEFORMAT </w:instrText>
            </w:r>
            <w:r>
              <w:rPr>
                <w:rFonts w:hint="default" w:ascii="Times New Roman" w:hAnsi="Times New Roman" w:eastAsia="宋体" w:cs="Times New Roman"/>
                <w:snapToGrid w:val="0"/>
                <w:color w:val="auto"/>
                <w:spacing w:val="-16"/>
                <w:kern w:val="21"/>
                <w:sz w:val="21"/>
                <w:szCs w:val="21"/>
                <w:highlight w:val="none"/>
              </w:rPr>
              <w:fldChar w:fldCharType="separate"/>
            </w:r>
            <w:r>
              <w:rPr>
                <w:rFonts w:hint="default" w:ascii="Times New Roman" w:hAnsi="Times New Roman" w:eastAsia="宋体" w:cs="Times New Roman"/>
                <w:color w:val="auto"/>
                <w:kern w:val="2"/>
                <w:sz w:val="21"/>
                <w:szCs w:val="21"/>
                <w:highlight w:val="none"/>
              </w:rPr>
              <w:t>⑥</w:t>
            </w:r>
            <w:r>
              <w:rPr>
                <w:rFonts w:hint="default" w:ascii="Times New Roman" w:hAnsi="Times New Roman" w:eastAsia="宋体" w:cs="Times New Roman"/>
                <w:snapToGrid w:val="0"/>
                <w:color w:val="auto"/>
                <w:spacing w:val="-16"/>
                <w:kern w:val="21"/>
                <w:sz w:val="21"/>
                <w:szCs w:val="21"/>
                <w:highlight w:val="none"/>
              </w:rPr>
              <w:fldChar w:fldCharType="end"/>
            </w:r>
          </w:p>
        </w:tc>
        <w:tc>
          <w:tcPr>
            <w:tcW w:w="332" w:type="pct"/>
            <w:tcMar>
              <w:left w:w="28" w:type="dxa"/>
              <w:right w:w="28" w:type="dxa"/>
            </w:tcMar>
            <w:vAlign w:val="center"/>
          </w:tcPr>
          <w:p w14:paraId="5935B7E1">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spacing w:val="-6"/>
                <w:kern w:val="21"/>
                <w:sz w:val="21"/>
                <w:szCs w:val="21"/>
                <w:highlight w:val="none"/>
              </w:rPr>
            </w:pPr>
            <w:r>
              <w:rPr>
                <w:rFonts w:hint="default" w:ascii="Times New Roman" w:hAnsi="Times New Roman" w:eastAsia="宋体" w:cs="Times New Roman"/>
                <w:snapToGrid w:val="0"/>
                <w:color w:val="auto"/>
                <w:spacing w:val="-6"/>
                <w:kern w:val="21"/>
                <w:sz w:val="21"/>
                <w:szCs w:val="21"/>
                <w:highlight w:val="none"/>
              </w:rPr>
              <w:t>变化量</w:t>
            </w:r>
            <w:r>
              <w:rPr>
                <w:rFonts w:hint="default" w:ascii="Times New Roman" w:hAnsi="Times New Roman" w:eastAsia="宋体" w:cs="Times New Roman"/>
                <w:snapToGrid w:val="0"/>
                <w:color w:val="auto"/>
                <w:spacing w:val="-6"/>
                <w:kern w:val="21"/>
                <w:sz w:val="21"/>
                <w:szCs w:val="21"/>
                <w:highlight w:val="none"/>
              </w:rPr>
              <w:fldChar w:fldCharType="begin"/>
            </w:r>
            <w:r>
              <w:rPr>
                <w:rFonts w:hint="default" w:ascii="Times New Roman" w:hAnsi="Times New Roman" w:eastAsia="宋体" w:cs="Times New Roman"/>
                <w:snapToGrid w:val="0"/>
                <w:color w:val="auto"/>
                <w:spacing w:val="-6"/>
                <w:kern w:val="21"/>
                <w:sz w:val="21"/>
                <w:szCs w:val="21"/>
                <w:highlight w:val="none"/>
              </w:rPr>
              <w:instrText xml:space="preserve"> = 7 \* GB3 \* MERGEFORMAT </w:instrText>
            </w:r>
            <w:r>
              <w:rPr>
                <w:rFonts w:hint="default" w:ascii="Times New Roman" w:hAnsi="Times New Roman" w:eastAsia="宋体" w:cs="Times New Roman"/>
                <w:snapToGrid w:val="0"/>
                <w:color w:val="auto"/>
                <w:spacing w:val="-6"/>
                <w:kern w:val="21"/>
                <w:sz w:val="21"/>
                <w:szCs w:val="21"/>
                <w:highlight w:val="none"/>
              </w:rPr>
              <w:fldChar w:fldCharType="separate"/>
            </w:r>
            <w:r>
              <w:rPr>
                <w:rFonts w:hint="default" w:ascii="Times New Roman" w:hAnsi="Times New Roman" w:eastAsia="宋体" w:cs="Times New Roman"/>
                <w:color w:val="auto"/>
                <w:kern w:val="2"/>
                <w:sz w:val="21"/>
                <w:szCs w:val="21"/>
                <w:highlight w:val="none"/>
              </w:rPr>
              <w:t>⑦</w:t>
            </w:r>
            <w:r>
              <w:rPr>
                <w:rFonts w:hint="default" w:ascii="Times New Roman" w:hAnsi="Times New Roman" w:eastAsia="宋体" w:cs="Times New Roman"/>
                <w:snapToGrid w:val="0"/>
                <w:color w:val="auto"/>
                <w:spacing w:val="-6"/>
                <w:kern w:val="21"/>
                <w:sz w:val="21"/>
                <w:szCs w:val="21"/>
                <w:highlight w:val="none"/>
              </w:rPr>
              <w:fldChar w:fldCharType="end"/>
            </w:r>
          </w:p>
        </w:tc>
      </w:tr>
      <w:tr w14:paraId="550613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424" w:type="pct"/>
            <w:vAlign w:val="center"/>
          </w:tcPr>
          <w:p w14:paraId="0E994171">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eastAsia" w:ascii="Times New Roman" w:hAnsi="Times New Roman" w:eastAsia="宋体" w:cs="Times New Roman"/>
                <w:snapToGrid w:val="0"/>
                <w:color w:val="auto"/>
                <w:kern w:val="21"/>
                <w:sz w:val="21"/>
                <w:szCs w:val="21"/>
                <w:highlight w:val="none"/>
                <w:lang w:val="en-US" w:eastAsia="zh-CN"/>
              </w:rPr>
            </w:pPr>
            <w:r>
              <w:rPr>
                <w:rFonts w:hint="eastAsia" w:ascii="Times New Roman" w:cs="Times New Roman"/>
                <w:snapToGrid w:val="0"/>
                <w:color w:val="auto"/>
                <w:kern w:val="21"/>
                <w:sz w:val="21"/>
                <w:szCs w:val="21"/>
                <w:highlight w:val="none"/>
                <w:lang w:val="en-US" w:eastAsia="zh-CN"/>
              </w:rPr>
              <w:t>废气</w:t>
            </w:r>
          </w:p>
        </w:tc>
        <w:tc>
          <w:tcPr>
            <w:tcW w:w="638" w:type="pct"/>
            <w:vAlign w:val="center"/>
          </w:tcPr>
          <w:p w14:paraId="1CFC99E6">
            <w:pPr>
              <w:pStyle w:val="24"/>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有机废气（以非甲烷总烃计）</w:t>
            </w:r>
          </w:p>
        </w:tc>
        <w:tc>
          <w:tcPr>
            <w:tcW w:w="681" w:type="pct"/>
            <w:vAlign w:val="center"/>
          </w:tcPr>
          <w:p w14:paraId="52FC8197">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440" w:type="pct"/>
            <w:vAlign w:val="center"/>
          </w:tcPr>
          <w:p w14:paraId="0AEF078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53" w:type="pct"/>
            <w:vAlign w:val="center"/>
          </w:tcPr>
          <w:p w14:paraId="09F7496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85" w:type="pct"/>
            <w:vAlign w:val="center"/>
          </w:tcPr>
          <w:p w14:paraId="07C360A3">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cs="Times New Roman"/>
                <w:snapToGrid w:val="0"/>
                <w:color w:val="auto"/>
                <w:kern w:val="21"/>
                <w:sz w:val="21"/>
                <w:szCs w:val="21"/>
                <w:highlight w:val="none"/>
                <w:lang w:val="en-US" w:eastAsia="zh-CN"/>
              </w:rPr>
              <w:t>15.64</w:t>
            </w:r>
          </w:p>
        </w:tc>
        <w:tc>
          <w:tcPr>
            <w:tcW w:w="602" w:type="pct"/>
            <w:vAlign w:val="center"/>
          </w:tcPr>
          <w:p w14:paraId="6822D292">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542" w:type="pct"/>
            <w:shd w:val="clear" w:color="auto" w:fill="auto"/>
            <w:vAlign w:val="center"/>
          </w:tcPr>
          <w:p w14:paraId="089405A5">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15.64</w:t>
            </w:r>
          </w:p>
        </w:tc>
        <w:tc>
          <w:tcPr>
            <w:tcW w:w="332" w:type="pct"/>
            <w:shd w:val="clear" w:color="auto" w:fill="auto"/>
            <w:vAlign w:val="center"/>
          </w:tcPr>
          <w:p w14:paraId="7AB33A7A">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+15.64</w:t>
            </w:r>
          </w:p>
        </w:tc>
      </w:tr>
      <w:tr w14:paraId="6F8245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4" w:type="pct"/>
            <w:vMerge w:val="restart"/>
            <w:vAlign w:val="center"/>
          </w:tcPr>
          <w:p w14:paraId="1B1F0B2B">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废水</w:t>
            </w:r>
          </w:p>
        </w:tc>
        <w:tc>
          <w:tcPr>
            <w:tcW w:w="638" w:type="pct"/>
            <w:vAlign w:val="center"/>
          </w:tcPr>
          <w:p w14:paraId="7869959D">
            <w:pPr>
              <w:pStyle w:val="24"/>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废水量</w:t>
            </w:r>
          </w:p>
        </w:tc>
        <w:tc>
          <w:tcPr>
            <w:tcW w:w="681" w:type="pct"/>
            <w:vAlign w:val="center"/>
          </w:tcPr>
          <w:p w14:paraId="32DAE3A8">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440" w:type="pct"/>
            <w:vAlign w:val="center"/>
          </w:tcPr>
          <w:p w14:paraId="387FC7A0">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53" w:type="pct"/>
            <w:vAlign w:val="center"/>
          </w:tcPr>
          <w:p w14:paraId="01EE4879">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85" w:type="pct"/>
            <w:vAlign w:val="center"/>
          </w:tcPr>
          <w:p w14:paraId="1E9511CC">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cs="Times New Roman"/>
                <w:bCs/>
                <w:color w:val="auto"/>
                <w:sz w:val="21"/>
                <w:szCs w:val="21"/>
                <w:highlight w:val="none"/>
                <w:lang w:val="en-US" w:eastAsia="zh-CN"/>
              </w:rPr>
              <w:t>840</w:t>
            </w:r>
          </w:p>
        </w:tc>
        <w:tc>
          <w:tcPr>
            <w:tcW w:w="602" w:type="pct"/>
            <w:vAlign w:val="center"/>
          </w:tcPr>
          <w:p w14:paraId="6058D528">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542" w:type="pct"/>
            <w:shd w:val="clear" w:color="auto" w:fill="auto"/>
            <w:vAlign w:val="center"/>
          </w:tcPr>
          <w:p w14:paraId="30CB5561">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bCs/>
                <w:color w:val="auto"/>
                <w:kern w:val="0"/>
                <w:sz w:val="21"/>
                <w:szCs w:val="21"/>
                <w:highlight w:val="none"/>
                <w:lang w:val="en-US" w:eastAsia="zh-CN" w:bidi="ar-SA"/>
              </w:rPr>
            </w:pPr>
            <w:r>
              <w:rPr>
                <w:rFonts w:hint="eastAsia" w:ascii="Times New Roman" w:cs="Times New Roman"/>
                <w:bCs/>
                <w:color w:val="auto"/>
                <w:sz w:val="21"/>
                <w:szCs w:val="21"/>
                <w:highlight w:val="none"/>
                <w:lang w:val="en-US" w:eastAsia="zh-CN"/>
              </w:rPr>
              <w:t>840</w:t>
            </w:r>
          </w:p>
        </w:tc>
        <w:tc>
          <w:tcPr>
            <w:tcW w:w="332" w:type="pct"/>
            <w:shd w:val="clear" w:color="auto" w:fill="auto"/>
            <w:vAlign w:val="center"/>
          </w:tcPr>
          <w:p w14:paraId="25060489">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bCs/>
                <w:color w:val="auto"/>
                <w:kern w:val="0"/>
                <w:sz w:val="21"/>
                <w:szCs w:val="21"/>
                <w:highlight w:val="none"/>
                <w:lang w:val="en-US" w:eastAsia="zh-CN" w:bidi="ar-SA"/>
              </w:rPr>
            </w:pPr>
            <w:r>
              <w:rPr>
                <w:rFonts w:hint="eastAsia" w:ascii="Times New Roman" w:cs="Times New Roman"/>
                <w:bCs/>
                <w:color w:val="auto"/>
                <w:sz w:val="21"/>
                <w:szCs w:val="21"/>
                <w:highlight w:val="none"/>
                <w:lang w:val="en-US" w:eastAsia="zh-CN"/>
              </w:rPr>
              <w:t>+840</w:t>
            </w:r>
          </w:p>
        </w:tc>
      </w:tr>
      <w:tr w14:paraId="05443D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4" w:type="pct"/>
            <w:vMerge w:val="continue"/>
            <w:vAlign w:val="center"/>
          </w:tcPr>
          <w:p w14:paraId="190D5841">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p>
        </w:tc>
        <w:tc>
          <w:tcPr>
            <w:tcW w:w="638" w:type="pct"/>
            <w:vAlign w:val="center"/>
          </w:tcPr>
          <w:p w14:paraId="2D3A545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sz w:val="21"/>
                <w:szCs w:val="21"/>
                <w:highlight w:val="none"/>
              </w:rPr>
              <w:t>COD</w:t>
            </w:r>
            <w:r>
              <w:rPr>
                <w:rFonts w:hint="default" w:ascii="Times New Roman" w:hAnsi="Times New Roman" w:eastAsia="宋体" w:cs="Times New Roman"/>
                <w:color w:val="auto"/>
                <w:sz w:val="21"/>
                <w:szCs w:val="21"/>
                <w:highlight w:val="none"/>
                <w:vertAlign w:val="subscript"/>
              </w:rPr>
              <w:t>cr</w:t>
            </w:r>
          </w:p>
        </w:tc>
        <w:tc>
          <w:tcPr>
            <w:tcW w:w="681" w:type="pct"/>
            <w:vAlign w:val="center"/>
          </w:tcPr>
          <w:p w14:paraId="420CD2BD">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440" w:type="pct"/>
            <w:vAlign w:val="center"/>
          </w:tcPr>
          <w:p w14:paraId="7260846A">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53" w:type="pct"/>
            <w:vAlign w:val="center"/>
          </w:tcPr>
          <w:p w14:paraId="6DF84D33">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85" w:type="pct"/>
            <w:vAlign w:val="center"/>
          </w:tcPr>
          <w:p w14:paraId="4DA846D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Cs/>
                <w:color w:val="auto"/>
                <w:kern w:val="24"/>
                <w:sz w:val="21"/>
                <w:szCs w:val="21"/>
                <w:highlight w:val="none"/>
                <w:lang w:val="en-US" w:eastAsia="zh-CN"/>
              </w:rPr>
            </w:pPr>
            <w:r>
              <w:rPr>
                <w:rFonts w:hint="eastAsia" w:cs="Times New Roman"/>
                <w:bCs/>
                <w:color w:val="auto"/>
                <w:kern w:val="24"/>
                <w:sz w:val="21"/>
                <w:szCs w:val="21"/>
                <w:highlight w:val="none"/>
                <w:lang w:val="en-US" w:eastAsia="zh-CN"/>
              </w:rPr>
              <w:t>0.252</w:t>
            </w:r>
          </w:p>
        </w:tc>
        <w:tc>
          <w:tcPr>
            <w:tcW w:w="602" w:type="pct"/>
            <w:vAlign w:val="center"/>
          </w:tcPr>
          <w:p w14:paraId="64E44B43">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542" w:type="pct"/>
            <w:shd w:val="clear" w:color="auto" w:fill="auto"/>
            <w:vAlign w:val="center"/>
          </w:tcPr>
          <w:p w14:paraId="4F9271A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Cs/>
                <w:color w:val="auto"/>
                <w:kern w:val="24"/>
                <w:sz w:val="21"/>
                <w:szCs w:val="21"/>
                <w:highlight w:val="none"/>
                <w:lang w:val="en-US" w:eastAsia="zh-CN" w:bidi="ar-SA"/>
              </w:rPr>
            </w:pPr>
            <w:r>
              <w:rPr>
                <w:rFonts w:hint="eastAsia" w:cs="Times New Roman"/>
                <w:bCs/>
                <w:color w:val="auto"/>
                <w:kern w:val="24"/>
                <w:sz w:val="21"/>
                <w:szCs w:val="21"/>
                <w:highlight w:val="none"/>
                <w:lang w:val="en-US" w:eastAsia="zh-CN"/>
              </w:rPr>
              <w:t>0.252</w:t>
            </w:r>
          </w:p>
        </w:tc>
        <w:tc>
          <w:tcPr>
            <w:tcW w:w="332" w:type="pct"/>
            <w:shd w:val="clear" w:color="auto" w:fill="auto"/>
            <w:vAlign w:val="center"/>
          </w:tcPr>
          <w:p w14:paraId="11EE9CF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Cs/>
                <w:color w:val="auto"/>
                <w:kern w:val="24"/>
                <w:sz w:val="21"/>
                <w:szCs w:val="21"/>
                <w:highlight w:val="none"/>
                <w:lang w:val="en-US" w:eastAsia="zh-CN" w:bidi="ar-SA"/>
              </w:rPr>
            </w:pPr>
            <w:r>
              <w:rPr>
                <w:rFonts w:hint="eastAsia" w:cs="Times New Roman"/>
                <w:bCs/>
                <w:color w:val="auto"/>
                <w:kern w:val="24"/>
                <w:sz w:val="21"/>
                <w:szCs w:val="21"/>
                <w:highlight w:val="none"/>
                <w:lang w:val="en-US" w:eastAsia="zh-CN"/>
              </w:rPr>
              <w:t>+0.252</w:t>
            </w:r>
          </w:p>
        </w:tc>
      </w:tr>
      <w:tr w14:paraId="769363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4" w:type="pct"/>
            <w:vMerge w:val="continue"/>
            <w:vAlign w:val="center"/>
          </w:tcPr>
          <w:p w14:paraId="0FC71C17">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p>
        </w:tc>
        <w:tc>
          <w:tcPr>
            <w:tcW w:w="638" w:type="pct"/>
            <w:vAlign w:val="center"/>
          </w:tcPr>
          <w:p w14:paraId="46883CE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BOD</w:t>
            </w:r>
            <w:r>
              <w:rPr>
                <w:rFonts w:hint="default" w:ascii="Times New Roman" w:hAnsi="Times New Roman" w:eastAsia="宋体" w:cs="Times New Roman"/>
                <w:color w:val="auto"/>
                <w:sz w:val="21"/>
                <w:szCs w:val="21"/>
                <w:highlight w:val="none"/>
                <w:vertAlign w:val="subscript"/>
              </w:rPr>
              <w:t>5</w:t>
            </w:r>
          </w:p>
        </w:tc>
        <w:tc>
          <w:tcPr>
            <w:tcW w:w="681" w:type="pct"/>
            <w:vAlign w:val="center"/>
          </w:tcPr>
          <w:p w14:paraId="5702B653">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440" w:type="pct"/>
            <w:vAlign w:val="center"/>
          </w:tcPr>
          <w:p w14:paraId="0E9E4C1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53" w:type="pct"/>
            <w:vAlign w:val="center"/>
          </w:tcPr>
          <w:p w14:paraId="0741114F">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85" w:type="pct"/>
            <w:vAlign w:val="center"/>
          </w:tcPr>
          <w:p w14:paraId="7FA219F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0.126</w:t>
            </w:r>
          </w:p>
        </w:tc>
        <w:tc>
          <w:tcPr>
            <w:tcW w:w="602" w:type="pct"/>
            <w:vAlign w:val="center"/>
          </w:tcPr>
          <w:p w14:paraId="29CEF586">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542" w:type="pct"/>
            <w:shd w:val="clear" w:color="auto" w:fill="auto"/>
            <w:vAlign w:val="center"/>
          </w:tcPr>
          <w:p w14:paraId="66C1A78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0.126</w:t>
            </w:r>
          </w:p>
        </w:tc>
        <w:tc>
          <w:tcPr>
            <w:tcW w:w="332" w:type="pct"/>
            <w:shd w:val="clear" w:color="auto" w:fill="auto"/>
            <w:vAlign w:val="center"/>
          </w:tcPr>
          <w:p w14:paraId="1072B33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+0.126</w:t>
            </w:r>
          </w:p>
        </w:tc>
      </w:tr>
      <w:tr w14:paraId="430B98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4" w:type="pct"/>
            <w:vMerge w:val="continue"/>
            <w:vAlign w:val="center"/>
          </w:tcPr>
          <w:p w14:paraId="2FC897DF">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p>
        </w:tc>
        <w:tc>
          <w:tcPr>
            <w:tcW w:w="638" w:type="pct"/>
            <w:vAlign w:val="center"/>
          </w:tcPr>
          <w:p w14:paraId="40CCA3B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NH</w:t>
            </w:r>
            <w:r>
              <w:rPr>
                <w:rFonts w:hint="default" w:ascii="Times New Roman" w:hAnsi="Times New Roman" w:eastAsia="宋体" w:cs="Times New Roman"/>
                <w:color w:val="auto"/>
                <w:sz w:val="21"/>
                <w:szCs w:val="21"/>
                <w:highlight w:val="none"/>
                <w:vertAlign w:val="subscript"/>
              </w:rPr>
              <w:t>3</w:t>
            </w:r>
            <w:r>
              <w:rPr>
                <w:rFonts w:hint="default" w:ascii="Times New Roman" w:hAnsi="Times New Roman" w:eastAsia="宋体" w:cs="Times New Roman"/>
                <w:color w:val="auto"/>
                <w:sz w:val="21"/>
                <w:szCs w:val="21"/>
                <w:highlight w:val="none"/>
              </w:rPr>
              <w:t>-N</w:t>
            </w:r>
          </w:p>
        </w:tc>
        <w:tc>
          <w:tcPr>
            <w:tcW w:w="681" w:type="pct"/>
            <w:vAlign w:val="center"/>
          </w:tcPr>
          <w:p w14:paraId="75F441E9">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440" w:type="pct"/>
            <w:vAlign w:val="center"/>
          </w:tcPr>
          <w:p w14:paraId="3095CE9A">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53" w:type="pct"/>
            <w:vAlign w:val="center"/>
          </w:tcPr>
          <w:p w14:paraId="72164B95">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85" w:type="pct"/>
            <w:vAlign w:val="center"/>
          </w:tcPr>
          <w:p w14:paraId="25D0585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0.025</w:t>
            </w:r>
          </w:p>
        </w:tc>
        <w:tc>
          <w:tcPr>
            <w:tcW w:w="602" w:type="pct"/>
            <w:vAlign w:val="center"/>
          </w:tcPr>
          <w:p w14:paraId="363A317F">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542" w:type="pct"/>
            <w:shd w:val="clear" w:color="auto" w:fill="auto"/>
            <w:vAlign w:val="center"/>
          </w:tcPr>
          <w:p w14:paraId="39D84EE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0.025</w:t>
            </w:r>
          </w:p>
        </w:tc>
        <w:tc>
          <w:tcPr>
            <w:tcW w:w="332" w:type="pct"/>
            <w:shd w:val="clear" w:color="auto" w:fill="auto"/>
            <w:vAlign w:val="center"/>
          </w:tcPr>
          <w:p w14:paraId="1C9F731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+0.025</w:t>
            </w:r>
          </w:p>
        </w:tc>
      </w:tr>
      <w:tr w14:paraId="7FBC1F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4" w:type="pct"/>
            <w:vMerge w:val="continue"/>
            <w:vAlign w:val="center"/>
          </w:tcPr>
          <w:p w14:paraId="4BE8A69E">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p>
        </w:tc>
        <w:tc>
          <w:tcPr>
            <w:tcW w:w="638" w:type="pct"/>
            <w:vAlign w:val="center"/>
          </w:tcPr>
          <w:p w14:paraId="0E8031D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SS</w:t>
            </w:r>
          </w:p>
        </w:tc>
        <w:tc>
          <w:tcPr>
            <w:tcW w:w="681" w:type="pct"/>
            <w:vAlign w:val="center"/>
          </w:tcPr>
          <w:p w14:paraId="71594F6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440" w:type="pct"/>
            <w:vAlign w:val="center"/>
          </w:tcPr>
          <w:p w14:paraId="0FC2A010">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53" w:type="pct"/>
            <w:vAlign w:val="center"/>
          </w:tcPr>
          <w:p w14:paraId="316D84CC">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85" w:type="pct"/>
            <w:vAlign w:val="center"/>
          </w:tcPr>
          <w:p w14:paraId="1F13AFB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0.168</w:t>
            </w:r>
          </w:p>
        </w:tc>
        <w:tc>
          <w:tcPr>
            <w:tcW w:w="602" w:type="pct"/>
            <w:vAlign w:val="center"/>
          </w:tcPr>
          <w:p w14:paraId="20F0EA03">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542" w:type="pct"/>
            <w:shd w:val="clear" w:color="auto" w:fill="auto"/>
            <w:vAlign w:val="center"/>
          </w:tcPr>
          <w:p w14:paraId="3F1389E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0.168</w:t>
            </w:r>
          </w:p>
        </w:tc>
        <w:tc>
          <w:tcPr>
            <w:tcW w:w="332" w:type="pct"/>
            <w:shd w:val="clear" w:color="auto" w:fill="auto"/>
            <w:vAlign w:val="center"/>
          </w:tcPr>
          <w:p w14:paraId="03464F7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+0.168</w:t>
            </w:r>
          </w:p>
        </w:tc>
      </w:tr>
      <w:tr w14:paraId="6A36BB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4" w:type="pct"/>
            <w:vMerge w:val="continue"/>
            <w:vAlign w:val="center"/>
          </w:tcPr>
          <w:p w14:paraId="67E4082A">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p>
        </w:tc>
        <w:tc>
          <w:tcPr>
            <w:tcW w:w="638" w:type="pct"/>
            <w:vAlign w:val="center"/>
          </w:tcPr>
          <w:p w14:paraId="47AB7DD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TP</w:t>
            </w:r>
          </w:p>
        </w:tc>
        <w:tc>
          <w:tcPr>
            <w:tcW w:w="681" w:type="pct"/>
            <w:shd w:val="clear" w:color="auto" w:fill="auto"/>
            <w:vAlign w:val="center"/>
          </w:tcPr>
          <w:p w14:paraId="0B9E1EB1">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rPr>
              <w:t>/</w:t>
            </w:r>
          </w:p>
        </w:tc>
        <w:tc>
          <w:tcPr>
            <w:tcW w:w="440" w:type="pct"/>
            <w:shd w:val="clear" w:color="auto" w:fill="auto"/>
            <w:vAlign w:val="center"/>
          </w:tcPr>
          <w:p w14:paraId="414424D1">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rPr>
              <w:t>/</w:t>
            </w:r>
          </w:p>
        </w:tc>
        <w:tc>
          <w:tcPr>
            <w:tcW w:w="653" w:type="pct"/>
            <w:shd w:val="clear" w:color="auto" w:fill="auto"/>
            <w:vAlign w:val="center"/>
          </w:tcPr>
          <w:p w14:paraId="5419E990">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rPr>
              <w:t>/</w:t>
            </w:r>
          </w:p>
        </w:tc>
        <w:tc>
          <w:tcPr>
            <w:tcW w:w="685" w:type="pct"/>
            <w:vAlign w:val="center"/>
          </w:tcPr>
          <w:p w14:paraId="37ED647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0.005</w:t>
            </w:r>
          </w:p>
        </w:tc>
        <w:tc>
          <w:tcPr>
            <w:tcW w:w="602" w:type="pct"/>
            <w:vAlign w:val="center"/>
          </w:tcPr>
          <w:p w14:paraId="0FEE2D1C">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p>
        </w:tc>
        <w:tc>
          <w:tcPr>
            <w:tcW w:w="542" w:type="pct"/>
            <w:shd w:val="clear" w:color="auto" w:fill="auto"/>
            <w:vAlign w:val="center"/>
          </w:tcPr>
          <w:p w14:paraId="5C7D1CD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0.005</w:t>
            </w:r>
          </w:p>
        </w:tc>
        <w:tc>
          <w:tcPr>
            <w:tcW w:w="332" w:type="pct"/>
            <w:shd w:val="clear" w:color="auto" w:fill="auto"/>
            <w:vAlign w:val="center"/>
          </w:tcPr>
          <w:p w14:paraId="16D9245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+0.005</w:t>
            </w:r>
          </w:p>
        </w:tc>
      </w:tr>
      <w:tr w14:paraId="4FBBB0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4" w:type="pct"/>
            <w:vMerge w:val="continue"/>
            <w:vAlign w:val="center"/>
          </w:tcPr>
          <w:p w14:paraId="0DF2DA52">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p>
        </w:tc>
        <w:tc>
          <w:tcPr>
            <w:tcW w:w="638" w:type="pct"/>
            <w:vAlign w:val="center"/>
          </w:tcPr>
          <w:p w14:paraId="3F47E5E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动植物油</w:t>
            </w:r>
          </w:p>
        </w:tc>
        <w:tc>
          <w:tcPr>
            <w:tcW w:w="681" w:type="pct"/>
            <w:shd w:val="clear" w:color="auto" w:fill="auto"/>
            <w:vAlign w:val="center"/>
          </w:tcPr>
          <w:p w14:paraId="0F380A96">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rPr>
              <w:t>/</w:t>
            </w:r>
          </w:p>
        </w:tc>
        <w:tc>
          <w:tcPr>
            <w:tcW w:w="440" w:type="pct"/>
            <w:shd w:val="clear" w:color="auto" w:fill="auto"/>
            <w:vAlign w:val="center"/>
          </w:tcPr>
          <w:p w14:paraId="65E744C3">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rPr>
              <w:t>/</w:t>
            </w:r>
          </w:p>
        </w:tc>
        <w:tc>
          <w:tcPr>
            <w:tcW w:w="653" w:type="pct"/>
            <w:shd w:val="clear" w:color="auto" w:fill="auto"/>
            <w:vAlign w:val="center"/>
          </w:tcPr>
          <w:p w14:paraId="3B06804D">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rPr>
              <w:t>/</w:t>
            </w:r>
          </w:p>
        </w:tc>
        <w:tc>
          <w:tcPr>
            <w:tcW w:w="685" w:type="pct"/>
            <w:vAlign w:val="center"/>
          </w:tcPr>
          <w:p w14:paraId="1173F92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0.017</w:t>
            </w:r>
          </w:p>
        </w:tc>
        <w:tc>
          <w:tcPr>
            <w:tcW w:w="602" w:type="pct"/>
            <w:vAlign w:val="center"/>
          </w:tcPr>
          <w:p w14:paraId="16235B00">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p>
        </w:tc>
        <w:tc>
          <w:tcPr>
            <w:tcW w:w="542" w:type="pct"/>
            <w:shd w:val="clear" w:color="auto" w:fill="auto"/>
            <w:vAlign w:val="center"/>
          </w:tcPr>
          <w:p w14:paraId="0B6A4AA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0.017</w:t>
            </w:r>
          </w:p>
        </w:tc>
        <w:tc>
          <w:tcPr>
            <w:tcW w:w="332" w:type="pct"/>
            <w:shd w:val="clear" w:color="auto" w:fill="auto"/>
            <w:vAlign w:val="center"/>
          </w:tcPr>
          <w:p w14:paraId="029562C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+0.017</w:t>
            </w:r>
          </w:p>
        </w:tc>
      </w:tr>
      <w:tr w14:paraId="3C0506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4" w:type="pct"/>
            <w:vMerge w:val="restart"/>
            <w:vAlign w:val="center"/>
          </w:tcPr>
          <w:p w14:paraId="7866683E">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一般工业固体废物</w:t>
            </w:r>
          </w:p>
        </w:tc>
        <w:tc>
          <w:tcPr>
            <w:tcW w:w="638" w:type="pct"/>
            <w:vAlign w:val="center"/>
          </w:tcPr>
          <w:p w14:paraId="16340EC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ascii="Times New Roman" w:hAnsi="Times New Roman" w:eastAsia="宋体" w:cs="Times New Roman"/>
                <w:color w:val="auto"/>
                <w:kern w:val="24"/>
                <w:sz w:val="21"/>
                <w:szCs w:val="21"/>
                <w:highlight w:val="none"/>
                <w:lang w:val="en-US" w:eastAsia="zh-CN"/>
              </w:rPr>
              <w:t>废包装袋</w:t>
            </w:r>
          </w:p>
        </w:tc>
        <w:tc>
          <w:tcPr>
            <w:tcW w:w="681" w:type="pct"/>
            <w:vAlign w:val="center"/>
          </w:tcPr>
          <w:p w14:paraId="738586B2">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440" w:type="pct"/>
            <w:vAlign w:val="center"/>
          </w:tcPr>
          <w:p w14:paraId="72A9C642">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53" w:type="pct"/>
            <w:vAlign w:val="center"/>
          </w:tcPr>
          <w:p w14:paraId="3ACD5F1A">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85" w:type="pct"/>
            <w:vAlign w:val="center"/>
          </w:tcPr>
          <w:p w14:paraId="7A241307">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10</w:t>
            </w:r>
          </w:p>
        </w:tc>
        <w:tc>
          <w:tcPr>
            <w:tcW w:w="602" w:type="pct"/>
            <w:vAlign w:val="center"/>
          </w:tcPr>
          <w:p w14:paraId="3E2DD517">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542" w:type="pct"/>
            <w:vAlign w:val="center"/>
          </w:tcPr>
          <w:p w14:paraId="6C12620B">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10</w:t>
            </w:r>
          </w:p>
        </w:tc>
        <w:tc>
          <w:tcPr>
            <w:tcW w:w="332" w:type="pct"/>
            <w:vAlign w:val="center"/>
          </w:tcPr>
          <w:p w14:paraId="64AADA5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+10</w:t>
            </w:r>
          </w:p>
        </w:tc>
      </w:tr>
      <w:tr w14:paraId="188909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4" w:type="pct"/>
            <w:vMerge w:val="continue"/>
            <w:vAlign w:val="center"/>
          </w:tcPr>
          <w:p w14:paraId="7AB526BB">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p>
        </w:tc>
        <w:tc>
          <w:tcPr>
            <w:tcW w:w="638" w:type="pct"/>
            <w:vAlign w:val="center"/>
          </w:tcPr>
          <w:p w14:paraId="0E71F37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ascii="Times New Roman" w:hAnsi="Times New Roman" w:eastAsia="宋体" w:cs="Times New Roman"/>
                <w:color w:val="auto"/>
                <w:kern w:val="24"/>
                <w:sz w:val="21"/>
                <w:szCs w:val="21"/>
                <w:highlight w:val="none"/>
                <w:lang w:val="en-US" w:eastAsia="zh-CN"/>
              </w:rPr>
              <w:t>不合格产品</w:t>
            </w:r>
            <w:r>
              <w:rPr>
                <w:rFonts w:hint="eastAsia" w:cs="Times New Roman"/>
                <w:color w:val="auto"/>
                <w:kern w:val="24"/>
                <w:sz w:val="21"/>
                <w:szCs w:val="21"/>
                <w:highlight w:val="none"/>
                <w:lang w:val="en-US" w:eastAsia="zh-CN"/>
              </w:rPr>
              <w:t>及</w:t>
            </w:r>
            <w:r>
              <w:rPr>
                <w:rFonts w:hint="eastAsia" w:ascii="Times New Roman" w:hAnsi="Times New Roman" w:eastAsia="宋体" w:cs="Times New Roman"/>
                <w:color w:val="auto"/>
                <w:kern w:val="24"/>
                <w:sz w:val="21"/>
                <w:szCs w:val="21"/>
                <w:highlight w:val="none"/>
                <w:lang w:val="en-US" w:eastAsia="zh-CN"/>
              </w:rPr>
              <w:t>废边角料</w:t>
            </w:r>
          </w:p>
        </w:tc>
        <w:tc>
          <w:tcPr>
            <w:tcW w:w="681" w:type="pct"/>
            <w:vAlign w:val="center"/>
          </w:tcPr>
          <w:p w14:paraId="09EBABB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440" w:type="pct"/>
            <w:vAlign w:val="center"/>
          </w:tcPr>
          <w:p w14:paraId="4878ED80">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53" w:type="pct"/>
            <w:vAlign w:val="center"/>
          </w:tcPr>
          <w:p w14:paraId="2B9EFD28">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85" w:type="pct"/>
            <w:vAlign w:val="center"/>
          </w:tcPr>
          <w:p w14:paraId="6AEEF44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123.75</w:t>
            </w:r>
          </w:p>
        </w:tc>
        <w:tc>
          <w:tcPr>
            <w:tcW w:w="602" w:type="pct"/>
            <w:vAlign w:val="center"/>
          </w:tcPr>
          <w:p w14:paraId="49C3214D">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542" w:type="pct"/>
            <w:vAlign w:val="center"/>
          </w:tcPr>
          <w:p w14:paraId="087C802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123.75</w:t>
            </w:r>
          </w:p>
        </w:tc>
        <w:tc>
          <w:tcPr>
            <w:tcW w:w="332" w:type="pct"/>
            <w:vAlign w:val="center"/>
          </w:tcPr>
          <w:p w14:paraId="3A10063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+123.75</w:t>
            </w:r>
          </w:p>
        </w:tc>
      </w:tr>
      <w:tr w14:paraId="4F390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4" w:type="pct"/>
            <w:vMerge w:val="restart"/>
            <w:vAlign w:val="center"/>
          </w:tcPr>
          <w:p w14:paraId="6CEAD765">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bookmarkStart w:id="23" w:name="_Toc24479"/>
            <w:r>
              <w:rPr>
                <w:rFonts w:hint="default" w:ascii="Times New Roman" w:hAnsi="Times New Roman" w:eastAsia="宋体" w:cs="Times New Roman"/>
                <w:snapToGrid w:val="0"/>
                <w:color w:val="auto"/>
                <w:kern w:val="21"/>
                <w:sz w:val="21"/>
                <w:szCs w:val="21"/>
                <w:highlight w:val="none"/>
              </w:rPr>
              <w:t>危险固废</w:t>
            </w:r>
          </w:p>
        </w:tc>
        <w:tc>
          <w:tcPr>
            <w:tcW w:w="638" w:type="pct"/>
            <w:vAlign w:val="center"/>
          </w:tcPr>
          <w:p w14:paraId="3DC838E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ascii="Times New Roman" w:hAnsi="Times New Roman" w:eastAsia="宋体" w:cs="Times New Roman"/>
                <w:color w:val="auto"/>
                <w:kern w:val="24"/>
                <w:sz w:val="21"/>
                <w:szCs w:val="21"/>
                <w:highlight w:val="none"/>
                <w:lang w:val="en-US" w:eastAsia="zh-CN"/>
              </w:rPr>
              <w:t>废活性炭</w:t>
            </w:r>
          </w:p>
        </w:tc>
        <w:tc>
          <w:tcPr>
            <w:tcW w:w="681" w:type="pct"/>
            <w:shd w:val="clear" w:color="auto" w:fill="auto"/>
            <w:vAlign w:val="center"/>
          </w:tcPr>
          <w:p w14:paraId="745A6061">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rPr>
              <w:t>/</w:t>
            </w:r>
          </w:p>
        </w:tc>
        <w:tc>
          <w:tcPr>
            <w:tcW w:w="440" w:type="pct"/>
            <w:shd w:val="clear" w:color="auto" w:fill="auto"/>
            <w:vAlign w:val="center"/>
          </w:tcPr>
          <w:p w14:paraId="1F3D881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rPr>
              <w:t>/</w:t>
            </w:r>
          </w:p>
        </w:tc>
        <w:tc>
          <w:tcPr>
            <w:tcW w:w="653" w:type="pct"/>
            <w:shd w:val="clear" w:color="auto" w:fill="auto"/>
            <w:vAlign w:val="center"/>
          </w:tcPr>
          <w:p w14:paraId="4F91D852">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rPr>
              <w:t>/</w:t>
            </w:r>
          </w:p>
        </w:tc>
        <w:tc>
          <w:tcPr>
            <w:tcW w:w="685" w:type="pct"/>
            <w:vAlign w:val="center"/>
          </w:tcPr>
          <w:p w14:paraId="3C3229A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8</w:t>
            </w:r>
          </w:p>
        </w:tc>
        <w:tc>
          <w:tcPr>
            <w:tcW w:w="602" w:type="pct"/>
            <w:vAlign w:val="center"/>
          </w:tcPr>
          <w:p w14:paraId="0C2B104E">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eastAsia"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542" w:type="pct"/>
            <w:vAlign w:val="center"/>
          </w:tcPr>
          <w:p w14:paraId="34879D6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8</w:t>
            </w:r>
          </w:p>
        </w:tc>
        <w:tc>
          <w:tcPr>
            <w:tcW w:w="332" w:type="pct"/>
            <w:vAlign w:val="center"/>
          </w:tcPr>
          <w:p w14:paraId="1F1C724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+8</w:t>
            </w:r>
          </w:p>
        </w:tc>
      </w:tr>
      <w:tr w14:paraId="245E33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4" w:type="pct"/>
            <w:vMerge w:val="continue"/>
            <w:vAlign w:val="center"/>
          </w:tcPr>
          <w:p w14:paraId="761145F9">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p>
        </w:tc>
        <w:tc>
          <w:tcPr>
            <w:tcW w:w="638" w:type="pct"/>
            <w:vAlign w:val="center"/>
          </w:tcPr>
          <w:p w14:paraId="5538DBC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废催化剂</w:t>
            </w:r>
          </w:p>
        </w:tc>
        <w:tc>
          <w:tcPr>
            <w:tcW w:w="681" w:type="pct"/>
            <w:shd w:val="clear" w:color="auto" w:fill="auto"/>
            <w:vAlign w:val="center"/>
          </w:tcPr>
          <w:p w14:paraId="438F9D6D">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p>
        </w:tc>
        <w:tc>
          <w:tcPr>
            <w:tcW w:w="440" w:type="pct"/>
            <w:shd w:val="clear" w:color="auto" w:fill="auto"/>
            <w:vAlign w:val="center"/>
          </w:tcPr>
          <w:p w14:paraId="4D49772A">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p>
        </w:tc>
        <w:tc>
          <w:tcPr>
            <w:tcW w:w="653" w:type="pct"/>
            <w:shd w:val="clear" w:color="auto" w:fill="auto"/>
            <w:vAlign w:val="center"/>
          </w:tcPr>
          <w:p w14:paraId="3323AD13">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p>
        </w:tc>
        <w:tc>
          <w:tcPr>
            <w:tcW w:w="685" w:type="pct"/>
            <w:vAlign w:val="center"/>
          </w:tcPr>
          <w:p w14:paraId="3FF4A40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0.075</w:t>
            </w:r>
          </w:p>
        </w:tc>
        <w:tc>
          <w:tcPr>
            <w:tcW w:w="602" w:type="pct"/>
            <w:vAlign w:val="center"/>
          </w:tcPr>
          <w:p w14:paraId="0F6E8C02">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cs="Times New Roman"/>
                <w:snapToGrid w:val="0"/>
                <w:color w:val="auto"/>
                <w:kern w:val="21"/>
                <w:sz w:val="21"/>
                <w:szCs w:val="21"/>
                <w:highlight w:val="none"/>
                <w:lang w:val="en-US" w:eastAsia="zh-CN"/>
              </w:rPr>
              <w:t>/</w:t>
            </w:r>
          </w:p>
        </w:tc>
        <w:tc>
          <w:tcPr>
            <w:tcW w:w="542" w:type="pct"/>
            <w:vAlign w:val="center"/>
          </w:tcPr>
          <w:p w14:paraId="305A24D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0.075</w:t>
            </w:r>
          </w:p>
        </w:tc>
        <w:tc>
          <w:tcPr>
            <w:tcW w:w="332" w:type="pct"/>
            <w:vAlign w:val="center"/>
          </w:tcPr>
          <w:p w14:paraId="6B75A48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+0.075</w:t>
            </w:r>
          </w:p>
        </w:tc>
      </w:tr>
      <w:tr w14:paraId="6D0440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4" w:type="pct"/>
            <w:vMerge w:val="continue"/>
            <w:vAlign w:val="center"/>
          </w:tcPr>
          <w:p w14:paraId="6B606F8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p>
        </w:tc>
        <w:tc>
          <w:tcPr>
            <w:tcW w:w="638" w:type="pct"/>
            <w:vAlign w:val="center"/>
          </w:tcPr>
          <w:p w14:paraId="157FCA9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default" w:ascii="Times New Roman" w:hAnsi="Times New Roman" w:eastAsia="宋体" w:cs="Times New Roman"/>
                <w:color w:val="auto"/>
                <w:kern w:val="24"/>
                <w:sz w:val="21"/>
                <w:szCs w:val="21"/>
                <w:highlight w:val="none"/>
              </w:rPr>
              <w:t>废机油</w:t>
            </w:r>
            <w:r>
              <w:rPr>
                <w:rFonts w:hint="eastAsia" w:cs="Times New Roman"/>
                <w:color w:val="auto"/>
                <w:kern w:val="24"/>
                <w:sz w:val="21"/>
                <w:szCs w:val="21"/>
                <w:highlight w:val="none"/>
                <w:lang w:eastAsia="zh-CN"/>
              </w:rPr>
              <w:t>、</w:t>
            </w:r>
            <w:r>
              <w:rPr>
                <w:rFonts w:hint="eastAsia" w:cs="Times New Roman"/>
                <w:color w:val="auto"/>
                <w:kern w:val="24"/>
                <w:sz w:val="21"/>
                <w:szCs w:val="21"/>
                <w:highlight w:val="none"/>
                <w:lang w:val="en-US" w:eastAsia="zh-CN"/>
              </w:rPr>
              <w:t>废机油桶</w:t>
            </w:r>
          </w:p>
        </w:tc>
        <w:tc>
          <w:tcPr>
            <w:tcW w:w="681" w:type="pct"/>
            <w:vAlign w:val="center"/>
          </w:tcPr>
          <w:p w14:paraId="37BC2EB5">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440" w:type="pct"/>
            <w:vAlign w:val="center"/>
          </w:tcPr>
          <w:p w14:paraId="4A09E48D">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53" w:type="pct"/>
            <w:vAlign w:val="center"/>
          </w:tcPr>
          <w:p w14:paraId="10886EC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685" w:type="pct"/>
            <w:vAlign w:val="center"/>
          </w:tcPr>
          <w:p w14:paraId="2566536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0.1</w:t>
            </w:r>
          </w:p>
        </w:tc>
        <w:tc>
          <w:tcPr>
            <w:tcW w:w="602" w:type="pct"/>
            <w:vAlign w:val="center"/>
          </w:tcPr>
          <w:p w14:paraId="7C54CCEB">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542" w:type="pct"/>
            <w:vAlign w:val="center"/>
          </w:tcPr>
          <w:p w14:paraId="2DE3C658">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0.1</w:t>
            </w:r>
          </w:p>
        </w:tc>
        <w:tc>
          <w:tcPr>
            <w:tcW w:w="332" w:type="pct"/>
            <w:vAlign w:val="center"/>
          </w:tcPr>
          <w:p w14:paraId="2F06739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+0.1</w:t>
            </w:r>
          </w:p>
        </w:tc>
      </w:tr>
      <w:tr w14:paraId="050222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4" w:type="pct"/>
            <w:vMerge w:val="continue"/>
            <w:vAlign w:val="center"/>
          </w:tcPr>
          <w:p w14:paraId="1CFB7C5F">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p>
        </w:tc>
        <w:tc>
          <w:tcPr>
            <w:tcW w:w="638" w:type="pct"/>
            <w:vAlign w:val="center"/>
          </w:tcPr>
          <w:p w14:paraId="1EA83D2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废油墨</w:t>
            </w:r>
          </w:p>
        </w:tc>
        <w:tc>
          <w:tcPr>
            <w:tcW w:w="681" w:type="pct"/>
            <w:shd w:val="clear" w:color="auto" w:fill="auto"/>
            <w:vAlign w:val="center"/>
          </w:tcPr>
          <w:p w14:paraId="46FF5188">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rPr>
              <w:t>/</w:t>
            </w:r>
          </w:p>
        </w:tc>
        <w:tc>
          <w:tcPr>
            <w:tcW w:w="440" w:type="pct"/>
            <w:shd w:val="clear" w:color="auto" w:fill="auto"/>
            <w:vAlign w:val="center"/>
          </w:tcPr>
          <w:p w14:paraId="462CF9FC">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rPr>
              <w:t>/</w:t>
            </w:r>
          </w:p>
        </w:tc>
        <w:tc>
          <w:tcPr>
            <w:tcW w:w="653" w:type="pct"/>
            <w:shd w:val="clear" w:color="auto" w:fill="auto"/>
            <w:vAlign w:val="center"/>
          </w:tcPr>
          <w:p w14:paraId="5F03CDFD">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rPr>
              <w:t>/</w:t>
            </w:r>
          </w:p>
        </w:tc>
        <w:tc>
          <w:tcPr>
            <w:tcW w:w="685" w:type="pct"/>
            <w:vAlign w:val="center"/>
          </w:tcPr>
          <w:p w14:paraId="6DBE763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0.08</w:t>
            </w:r>
          </w:p>
        </w:tc>
        <w:tc>
          <w:tcPr>
            <w:tcW w:w="602" w:type="pct"/>
            <w:shd w:val="clear" w:color="auto" w:fill="auto"/>
            <w:vAlign w:val="center"/>
          </w:tcPr>
          <w:p w14:paraId="2821B36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w:t>
            </w:r>
          </w:p>
        </w:tc>
        <w:tc>
          <w:tcPr>
            <w:tcW w:w="542" w:type="pct"/>
            <w:vAlign w:val="center"/>
          </w:tcPr>
          <w:p w14:paraId="6B68F35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0.08</w:t>
            </w:r>
          </w:p>
        </w:tc>
        <w:tc>
          <w:tcPr>
            <w:tcW w:w="332" w:type="pct"/>
            <w:vAlign w:val="center"/>
          </w:tcPr>
          <w:p w14:paraId="4D32BB8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+0.08</w:t>
            </w:r>
          </w:p>
        </w:tc>
      </w:tr>
      <w:tr w14:paraId="209550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4" w:type="pct"/>
            <w:vMerge w:val="continue"/>
            <w:vAlign w:val="center"/>
          </w:tcPr>
          <w:p w14:paraId="2B31DEF0">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rPr>
            </w:pPr>
          </w:p>
        </w:tc>
        <w:tc>
          <w:tcPr>
            <w:tcW w:w="638" w:type="pct"/>
            <w:vAlign w:val="center"/>
          </w:tcPr>
          <w:p w14:paraId="7460733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废油墨桶</w:t>
            </w:r>
          </w:p>
        </w:tc>
        <w:tc>
          <w:tcPr>
            <w:tcW w:w="681" w:type="pct"/>
            <w:shd w:val="clear" w:color="auto" w:fill="auto"/>
            <w:vAlign w:val="center"/>
          </w:tcPr>
          <w:p w14:paraId="24017F84">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rPr>
              <w:t>/</w:t>
            </w:r>
          </w:p>
        </w:tc>
        <w:tc>
          <w:tcPr>
            <w:tcW w:w="440" w:type="pct"/>
            <w:shd w:val="clear" w:color="auto" w:fill="auto"/>
            <w:vAlign w:val="center"/>
          </w:tcPr>
          <w:p w14:paraId="06EBB23F">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rPr>
              <w:t>/</w:t>
            </w:r>
          </w:p>
        </w:tc>
        <w:tc>
          <w:tcPr>
            <w:tcW w:w="653" w:type="pct"/>
            <w:shd w:val="clear" w:color="auto" w:fill="auto"/>
            <w:vAlign w:val="center"/>
          </w:tcPr>
          <w:p w14:paraId="5AB7C8C8">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rPr>
              <w:t>/</w:t>
            </w:r>
          </w:p>
        </w:tc>
        <w:tc>
          <w:tcPr>
            <w:tcW w:w="685" w:type="pct"/>
            <w:vAlign w:val="center"/>
          </w:tcPr>
          <w:p w14:paraId="6A08AB3F">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0.1</w:t>
            </w:r>
          </w:p>
        </w:tc>
        <w:tc>
          <w:tcPr>
            <w:tcW w:w="602" w:type="pct"/>
            <w:shd w:val="clear" w:color="auto" w:fill="auto"/>
            <w:vAlign w:val="center"/>
          </w:tcPr>
          <w:p w14:paraId="15191820">
            <w:pPr>
              <w:pStyle w:val="43"/>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rPr>
              <w:t>/</w:t>
            </w:r>
          </w:p>
        </w:tc>
        <w:tc>
          <w:tcPr>
            <w:tcW w:w="542" w:type="pct"/>
            <w:vAlign w:val="center"/>
          </w:tcPr>
          <w:p w14:paraId="756570EE">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0.1</w:t>
            </w:r>
          </w:p>
        </w:tc>
        <w:tc>
          <w:tcPr>
            <w:tcW w:w="332" w:type="pct"/>
            <w:vAlign w:val="center"/>
          </w:tcPr>
          <w:p w14:paraId="350ABB3C">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eastAsia"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+0.1</w:t>
            </w:r>
          </w:p>
        </w:tc>
      </w:tr>
    </w:tbl>
    <w:p w14:paraId="17E103D5">
      <w:pPr>
        <w:pStyle w:val="43"/>
        <w:spacing w:before="192" w:beforeLines="80" w:after="24"/>
        <w:jc w:val="left"/>
        <w:outlineLvl w:val="0"/>
        <w:rPr>
          <w:color w:val="auto"/>
          <w:highlight w:val="none"/>
        </w:rPr>
      </w:pPr>
      <w:r>
        <w:rPr>
          <w:rFonts w:ascii="Times New Roman" w:hAnsi="宋体"/>
          <w:snapToGrid w:val="0"/>
          <w:color w:val="auto"/>
          <w:kern w:val="21"/>
          <w:szCs w:val="21"/>
          <w:highlight w:val="none"/>
        </w:rPr>
        <w:t>注：</w:t>
      </w:r>
      <w:r>
        <w:rPr>
          <w:rFonts w:ascii="Times New Roman"/>
          <w:snapToGrid w:val="0"/>
          <w:color w:val="auto"/>
          <w:spacing w:val="-16"/>
          <w:kern w:val="21"/>
          <w:szCs w:val="21"/>
          <w:highlight w:val="none"/>
        </w:rPr>
        <w:fldChar w:fldCharType="begin"/>
      </w:r>
      <w:r>
        <w:rPr>
          <w:rFonts w:ascii="Times New Roman"/>
          <w:snapToGrid w:val="0"/>
          <w:color w:val="auto"/>
          <w:spacing w:val="-16"/>
          <w:kern w:val="21"/>
          <w:szCs w:val="21"/>
          <w:highlight w:val="none"/>
        </w:rPr>
        <w:instrText xml:space="preserve"> = 6 \* GB3 \* MERGEFORMAT </w:instrText>
      </w:r>
      <w:r>
        <w:rPr>
          <w:rFonts w:ascii="Times New Roman"/>
          <w:snapToGrid w:val="0"/>
          <w:color w:val="auto"/>
          <w:spacing w:val="-16"/>
          <w:kern w:val="21"/>
          <w:szCs w:val="21"/>
          <w:highlight w:val="none"/>
        </w:rPr>
        <w:fldChar w:fldCharType="separate"/>
      </w:r>
      <w:r>
        <w:rPr>
          <w:rFonts w:ascii="Times New Roman" w:hAnsi="宋体"/>
          <w:color w:val="auto"/>
          <w:szCs w:val="21"/>
          <w:highlight w:val="none"/>
        </w:rPr>
        <w:t>⑥</w:t>
      </w:r>
      <w:r>
        <w:rPr>
          <w:rFonts w:ascii="Times New Roman"/>
          <w:snapToGrid w:val="0"/>
          <w:color w:val="auto"/>
          <w:spacing w:val="-16"/>
          <w:kern w:val="21"/>
          <w:szCs w:val="21"/>
          <w:highlight w:val="none"/>
        </w:rPr>
        <w:fldChar w:fldCharType="end"/>
      </w:r>
      <w:r>
        <w:rPr>
          <w:rFonts w:ascii="Times New Roman"/>
          <w:snapToGrid w:val="0"/>
          <w:color w:val="auto"/>
          <w:spacing w:val="-16"/>
          <w:kern w:val="21"/>
          <w:szCs w:val="21"/>
          <w:highlight w:val="none"/>
        </w:rPr>
        <w:t>=</w:t>
      </w:r>
      <w:r>
        <w:rPr>
          <w:rFonts w:ascii="Times New Roman"/>
          <w:snapToGrid w:val="0"/>
          <w:color w:val="auto"/>
          <w:spacing w:val="-6"/>
          <w:kern w:val="21"/>
          <w:szCs w:val="21"/>
          <w:highlight w:val="none"/>
        </w:rPr>
        <w:fldChar w:fldCharType="begin"/>
      </w:r>
      <w:r>
        <w:rPr>
          <w:rFonts w:ascii="Times New Roman"/>
          <w:snapToGrid w:val="0"/>
          <w:color w:val="auto"/>
          <w:spacing w:val="-6"/>
          <w:kern w:val="21"/>
          <w:szCs w:val="21"/>
          <w:highlight w:val="none"/>
        </w:rPr>
        <w:instrText xml:space="preserve"> = 1 \* GB3 \* MERGEFORMAT </w:instrText>
      </w:r>
      <w:r>
        <w:rPr>
          <w:rFonts w:ascii="Times New Roman"/>
          <w:snapToGrid w:val="0"/>
          <w:color w:val="auto"/>
          <w:spacing w:val="-6"/>
          <w:kern w:val="21"/>
          <w:szCs w:val="21"/>
          <w:highlight w:val="none"/>
        </w:rPr>
        <w:fldChar w:fldCharType="separate"/>
      </w:r>
      <w:r>
        <w:rPr>
          <w:rFonts w:ascii="Times New Roman" w:hAnsi="宋体"/>
          <w:color w:val="auto"/>
          <w:szCs w:val="21"/>
          <w:highlight w:val="none"/>
        </w:rPr>
        <w:t>①</w:t>
      </w:r>
      <w:r>
        <w:rPr>
          <w:rFonts w:ascii="Times New Roman"/>
          <w:snapToGrid w:val="0"/>
          <w:color w:val="auto"/>
          <w:spacing w:val="-6"/>
          <w:kern w:val="21"/>
          <w:szCs w:val="21"/>
          <w:highlight w:val="none"/>
        </w:rPr>
        <w:fldChar w:fldCharType="end"/>
      </w:r>
      <w:r>
        <w:rPr>
          <w:rFonts w:ascii="Times New Roman"/>
          <w:snapToGrid w:val="0"/>
          <w:color w:val="auto"/>
          <w:spacing w:val="-6"/>
          <w:kern w:val="21"/>
          <w:szCs w:val="21"/>
          <w:highlight w:val="none"/>
        </w:rPr>
        <w:t>+</w:t>
      </w:r>
      <w:r>
        <w:rPr>
          <w:rFonts w:ascii="Times New Roman"/>
          <w:snapToGrid w:val="0"/>
          <w:color w:val="auto"/>
          <w:spacing w:val="-6"/>
          <w:kern w:val="21"/>
          <w:szCs w:val="21"/>
          <w:highlight w:val="none"/>
        </w:rPr>
        <w:fldChar w:fldCharType="begin"/>
      </w:r>
      <w:r>
        <w:rPr>
          <w:rFonts w:ascii="Times New Roman"/>
          <w:snapToGrid w:val="0"/>
          <w:color w:val="auto"/>
          <w:spacing w:val="-6"/>
          <w:kern w:val="21"/>
          <w:szCs w:val="21"/>
          <w:highlight w:val="none"/>
        </w:rPr>
        <w:instrText xml:space="preserve"> = 3 \* GB3 \* MERGEFORMAT </w:instrText>
      </w:r>
      <w:r>
        <w:rPr>
          <w:rFonts w:ascii="Times New Roman"/>
          <w:snapToGrid w:val="0"/>
          <w:color w:val="auto"/>
          <w:spacing w:val="-6"/>
          <w:kern w:val="21"/>
          <w:szCs w:val="21"/>
          <w:highlight w:val="none"/>
        </w:rPr>
        <w:fldChar w:fldCharType="separate"/>
      </w:r>
      <w:r>
        <w:rPr>
          <w:rFonts w:ascii="Times New Roman" w:hAnsi="宋体"/>
          <w:color w:val="auto"/>
          <w:szCs w:val="21"/>
          <w:highlight w:val="none"/>
        </w:rPr>
        <w:t>③</w:t>
      </w:r>
      <w:r>
        <w:rPr>
          <w:rFonts w:ascii="Times New Roman"/>
          <w:snapToGrid w:val="0"/>
          <w:color w:val="auto"/>
          <w:spacing w:val="-6"/>
          <w:kern w:val="21"/>
          <w:szCs w:val="21"/>
          <w:highlight w:val="none"/>
        </w:rPr>
        <w:fldChar w:fldCharType="end"/>
      </w:r>
      <w:r>
        <w:rPr>
          <w:rFonts w:ascii="Times New Roman"/>
          <w:snapToGrid w:val="0"/>
          <w:color w:val="auto"/>
          <w:spacing w:val="-6"/>
          <w:kern w:val="21"/>
          <w:szCs w:val="21"/>
          <w:highlight w:val="none"/>
        </w:rPr>
        <w:t>+</w:t>
      </w:r>
      <w:r>
        <w:rPr>
          <w:rFonts w:ascii="Times New Roman"/>
          <w:snapToGrid w:val="0"/>
          <w:color w:val="auto"/>
          <w:spacing w:val="-6"/>
          <w:kern w:val="21"/>
          <w:szCs w:val="21"/>
          <w:highlight w:val="none"/>
        </w:rPr>
        <w:fldChar w:fldCharType="begin"/>
      </w:r>
      <w:r>
        <w:rPr>
          <w:rFonts w:ascii="Times New Roman"/>
          <w:snapToGrid w:val="0"/>
          <w:color w:val="auto"/>
          <w:spacing w:val="-6"/>
          <w:kern w:val="21"/>
          <w:szCs w:val="21"/>
          <w:highlight w:val="none"/>
        </w:rPr>
        <w:instrText xml:space="preserve"> = 4 \* GB3 \* MERGEFORMAT </w:instrText>
      </w:r>
      <w:r>
        <w:rPr>
          <w:rFonts w:ascii="Times New Roman"/>
          <w:snapToGrid w:val="0"/>
          <w:color w:val="auto"/>
          <w:spacing w:val="-6"/>
          <w:kern w:val="21"/>
          <w:szCs w:val="21"/>
          <w:highlight w:val="none"/>
        </w:rPr>
        <w:fldChar w:fldCharType="separate"/>
      </w:r>
      <w:r>
        <w:rPr>
          <w:rFonts w:ascii="Times New Roman" w:hAnsi="宋体"/>
          <w:color w:val="auto"/>
          <w:szCs w:val="21"/>
          <w:highlight w:val="none"/>
        </w:rPr>
        <w:t>④</w:t>
      </w:r>
      <w:r>
        <w:rPr>
          <w:rFonts w:ascii="Times New Roman"/>
          <w:snapToGrid w:val="0"/>
          <w:color w:val="auto"/>
          <w:spacing w:val="-6"/>
          <w:kern w:val="21"/>
          <w:szCs w:val="21"/>
          <w:highlight w:val="none"/>
        </w:rPr>
        <w:fldChar w:fldCharType="end"/>
      </w:r>
      <w:r>
        <w:rPr>
          <w:rFonts w:ascii="Times New Roman"/>
          <w:snapToGrid w:val="0"/>
          <w:color w:val="auto"/>
          <w:spacing w:val="-6"/>
          <w:kern w:val="21"/>
          <w:szCs w:val="21"/>
          <w:highlight w:val="none"/>
        </w:rPr>
        <w:t>-</w:t>
      </w:r>
      <w:r>
        <w:rPr>
          <w:rFonts w:ascii="Times New Roman"/>
          <w:snapToGrid w:val="0"/>
          <w:color w:val="auto"/>
          <w:spacing w:val="-16"/>
          <w:kern w:val="21"/>
          <w:szCs w:val="21"/>
          <w:highlight w:val="none"/>
        </w:rPr>
        <w:fldChar w:fldCharType="begin"/>
      </w:r>
      <w:r>
        <w:rPr>
          <w:rFonts w:ascii="Times New Roman"/>
          <w:snapToGrid w:val="0"/>
          <w:color w:val="auto"/>
          <w:spacing w:val="-16"/>
          <w:kern w:val="21"/>
          <w:szCs w:val="21"/>
          <w:highlight w:val="none"/>
        </w:rPr>
        <w:instrText xml:space="preserve"> = 5 \* GB3 \* MERGEFORMAT </w:instrText>
      </w:r>
      <w:r>
        <w:rPr>
          <w:rFonts w:ascii="Times New Roman"/>
          <w:snapToGrid w:val="0"/>
          <w:color w:val="auto"/>
          <w:spacing w:val="-16"/>
          <w:kern w:val="21"/>
          <w:szCs w:val="21"/>
          <w:highlight w:val="none"/>
        </w:rPr>
        <w:fldChar w:fldCharType="separate"/>
      </w:r>
      <w:r>
        <w:rPr>
          <w:rFonts w:ascii="Times New Roman" w:hAnsi="宋体"/>
          <w:color w:val="auto"/>
          <w:szCs w:val="21"/>
          <w:highlight w:val="none"/>
        </w:rPr>
        <w:t>⑤</w:t>
      </w:r>
      <w:r>
        <w:rPr>
          <w:rFonts w:ascii="Times New Roman"/>
          <w:snapToGrid w:val="0"/>
          <w:color w:val="auto"/>
          <w:spacing w:val="-16"/>
          <w:kern w:val="21"/>
          <w:szCs w:val="21"/>
          <w:highlight w:val="none"/>
        </w:rPr>
        <w:fldChar w:fldCharType="end"/>
      </w:r>
      <w:r>
        <w:rPr>
          <w:rFonts w:ascii="Times New Roman" w:hAnsi="宋体"/>
          <w:snapToGrid w:val="0"/>
          <w:color w:val="auto"/>
          <w:spacing w:val="-16"/>
          <w:kern w:val="21"/>
          <w:szCs w:val="21"/>
          <w:highlight w:val="none"/>
        </w:rPr>
        <w:t>；</w:t>
      </w:r>
      <w:r>
        <w:rPr>
          <w:rFonts w:ascii="Times New Roman"/>
          <w:snapToGrid w:val="0"/>
          <w:color w:val="auto"/>
          <w:spacing w:val="-6"/>
          <w:kern w:val="21"/>
          <w:szCs w:val="21"/>
          <w:highlight w:val="none"/>
        </w:rPr>
        <w:fldChar w:fldCharType="begin"/>
      </w:r>
      <w:r>
        <w:rPr>
          <w:rFonts w:ascii="Times New Roman"/>
          <w:snapToGrid w:val="0"/>
          <w:color w:val="auto"/>
          <w:spacing w:val="-6"/>
          <w:kern w:val="21"/>
          <w:szCs w:val="21"/>
          <w:highlight w:val="none"/>
        </w:rPr>
        <w:instrText xml:space="preserve"> = 7 \* GB3 \* MERGEFORMAT </w:instrText>
      </w:r>
      <w:r>
        <w:rPr>
          <w:rFonts w:ascii="Times New Roman"/>
          <w:snapToGrid w:val="0"/>
          <w:color w:val="auto"/>
          <w:spacing w:val="-6"/>
          <w:kern w:val="21"/>
          <w:szCs w:val="21"/>
          <w:highlight w:val="none"/>
        </w:rPr>
        <w:fldChar w:fldCharType="separate"/>
      </w:r>
      <w:r>
        <w:rPr>
          <w:rFonts w:ascii="Times New Roman" w:hAnsi="宋体"/>
          <w:color w:val="auto"/>
          <w:szCs w:val="21"/>
          <w:highlight w:val="none"/>
        </w:rPr>
        <w:t>⑦</w:t>
      </w:r>
      <w:r>
        <w:rPr>
          <w:rFonts w:ascii="Times New Roman"/>
          <w:snapToGrid w:val="0"/>
          <w:color w:val="auto"/>
          <w:spacing w:val="-6"/>
          <w:kern w:val="21"/>
          <w:szCs w:val="21"/>
          <w:highlight w:val="none"/>
        </w:rPr>
        <w:fldChar w:fldCharType="end"/>
      </w:r>
      <w:r>
        <w:rPr>
          <w:rFonts w:ascii="Times New Roman"/>
          <w:snapToGrid w:val="0"/>
          <w:color w:val="auto"/>
          <w:spacing w:val="-6"/>
          <w:kern w:val="21"/>
          <w:szCs w:val="21"/>
          <w:highlight w:val="none"/>
        </w:rPr>
        <w:t>=</w:t>
      </w:r>
      <w:r>
        <w:rPr>
          <w:rFonts w:ascii="Times New Roman"/>
          <w:snapToGrid w:val="0"/>
          <w:color w:val="auto"/>
          <w:spacing w:val="-16"/>
          <w:kern w:val="21"/>
          <w:szCs w:val="21"/>
          <w:highlight w:val="none"/>
        </w:rPr>
        <w:fldChar w:fldCharType="begin"/>
      </w:r>
      <w:r>
        <w:rPr>
          <w:rFonts w:ascii="Times New Roman"/>
          <w:snapToGrid w:val="0"/>
          <w:color w:val="auto"/>
          <w:spacing w:val="-16"/>
          <w:kern w:val="21"/>
          <w:szCs w:val="21"/>
          <w:highlight w:val="none"/>
        </w:rPr>
        <w:instrText xml:space="preserve"> = 6 \* GB3 \* MERGEFORMAT </w:instrText>
      </w:r>
      <w:r>
        <w:rPr>
          <w:rFonts w:ascii="Times New Roman"/>
          <w:snapToGrid w:val="0"/>
          <w:color w:val="auto"/>
          <w:spacing w:val="-16"/>
          <w:kern w:val="21"/>
          <w:szCs w:val="21"/>
          <w:highlight w:val="none"/>
        </w:rPr>
        <w:fldChar w:fldCharType="separate"/>
      </w:r>
      <w:r>
        <w:rPr>
          <w:rFonts w:ascii="Times New Roman" w:hAnsi="宋体"/>
          <w:color w:val="auto"/>
          <w:szCs w:val="21"/>
          <w:highlight w:val="none"/>
        </w:rPr>
        <w:t>⑥</w:t>
      </w:r>
      <w:r>
        <w:rPr>
          <w:rFonts w:ascii="Times New Roman"/>
          <w:snapToGrid w:val="0"/>
          <w:color w:val="auto"/>
          <w:spacing w:val="-16"/>
          <w:kern w:val="21"/>
          <w:szCs w:val="21"/>
          <w:highlight w:val="none"/>
        </w:rPr>
        <w:fldChar w:fldCharType="end"/>
      </w:r>
      <w:r>
        <w:rPr>
          <w:rFonts w:ascii="Times New Roman"/>
          <w:snapToGrid w:val="0"/>
          <w:color w:val="auto"/>
          <w:spacing w:val="-16"/>
          <w:kern w:val="21"/>
          <w:szCs w:val="21"/>
          <w:highlight w:val="none"/>
        </w:rPr>
        <w:t>-</w:t>
      </w:r>
      <w:r>
        <w:rPr>
          <w:rFonts w:ascii="Times New Roman"/>
          <w:snapToGrid w:val="0"/>
          <w:color w:val="auto"/>
          <w:spacing w:val="-6"/>
          <w:kern w:val="21"/>
          <w:szCs w:val="21"/>
          <w:highlight w:val="none"/>
        </w:rPr>
        <w:fldChar w:fldCharType="begin"/>
      </w:r>
      <w:r>
        <w:rPr>
          <w:rFonts w:ascii="Times New Roman"/>
          <w:snapToGrid w:val="0"/>
          <w:color w:val="auto"/>
          <w:spacing w:val="-6"/>
          <w:kern w:val="21"/>
          <w:szCs w:val="21"/>
          <w:highlight w:val="none"/>
        </w:rPr>
        <w:instrText xml:space="preserve"> = 1 \* GB3 \* MERGEFORMAT </w:instrText>
      </w:r>
      <w:r>
        <w:rPr>
          <w:rFonts w:ascii="Times New Roman"/>
          <w:snapToGrid w:val="0"/>
          <w:color w:val="auto"/>
          <w:spacing w:val="-6"/>
          <w:kern w:val="21"/>
          <w:szCs w:val="21"/>
          <w:highlight w:val="none"/>
        </w:rPr>
        <w:fldChar w:fldCharType="separate"/>
      </w:r>
      <w:r>
        <w:rPr>
          <w:rFonts w:ascii="Times New Roman" w:hAnsi="宋体"/>
          <w:color w:val="auto"/>
          <w:szCs w:val="21"/>
          <w:highlight w:val="none"/>
        </w:rPr>
        <w:t>①</w:t>
      </w:r>
      <w:r>
        <w:rPr>
          <w:rFonts w:ascii="Times New Roman"/>
          <w:snapToGrid w:val="0"/>
          <w:color w:val="auto"/>
          <w:spacing w:val="-6"/>
          <w:kern w:val="21"/>
          <w:szCs w:val="21"/>
          <w:highlight w:val="none"/>
        </w:rPr>
        <w:fldChar w:fldCharType="end"/>
      </w:r>
      <w:r>
        <w:rPr>
          <w:rFonts w:hint="eastAsia" w:ascii="Times New Roman"/>
          <w:snapToGrid w:val="0"/>
          <w:color w:val="auto"/>
          <w:spacing w:val="-6"/>
          <w:kern w:val="21"/>
          <w:szCs w:val="21"/>
          <w:highlight w:val="none"/>
        </w:rPr>
        <w:t>；单位：t/a。</w:t>
      </w:r>
      <w:bookmarkEnd w:id="23"/>
      <w:bookmarkStart w:id="24" w:name="_GoBack"/>
      <w:bookmarkEnd w:id="24"/>
    </w:p>
    <w:sectPr>
      <w:footerReference r:id="rId5" w:type="default"/>
      <w:pgSz w:w="16838" w:h="11906" w:orient="landscape"/>
      <w:pgMar w:top="1417" w:right="1701" w:bottom="1417" w:left="1701"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EB883">
    <w:pPr>
      <w:pStyle w:val="1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0A211">
    <w:pPr>
      <w:pStyle w:val="16"/>
      <w:framePr w:wrap="around" w:vAnchor="text" w:hAnchor="margin" w:xAlign="outside" w:y="1"/>
      <w:rPr>
        <w:rStyle w:val="29"/>
        <w:rFonts w:ascii="宋体" w:hAnsi="宋体"/>
        <w:sz w:val="28"/>
        <w:szCs w:val="28"/>
      </w:rPr>
    </w:pPr>
    <w:r>
      <w:rPr>
        <w:rStyle w:val="29"/>
        <w:rFonts w:hint="eastAsia" w:ascii="宋体" w:hAnsi="宋体"/>
        <w:sz w:val="28"/>
        <w:szCs w:val="28"/>
      </w:rPr>
      <w:t>—</w:t>
    </w:r>
    <w:r>
      <w:rPr>
        <w:rStyle w:val="29"/>
        <w:rFonts w:hint="eastAsia" w:ascii="宋体" w:hAnsi="宋体"/>
        <w:sz w:val="20"/>
      </w:rPr>
      <w:t xml:space="preserve">  </w:t>
    </w:r>
    <w:r>
      <w:rPr>
        <w:rStyle w:val="29"/>
        <w:rFonts w:ascii="宋体" w:hAnsi="宋体"/>
        <w:sz w:val="26"/>
        <w:szCs w:val="26"/>
      </w:rPr>
      <w:fldChar w:fldCharType="begin"/>
    </w:r>
    <w:r>
      <w:rPr>
        <w:rStyle w:val="29"/>
        <w:rFonts w:ascii="宋体" w:hAnsi="宋体"/>
        <w:sz w:val="26"/>
        <w:szCs w:val="26"/>
      </w:rPr>
      <w:instrText xml:space="preserve">PAGE  </w:instrText>
    </w:r>
    <w:r>
      <w:rPr>
        <w:rStyle w:val="29"/>
        <w:rFonts w:ascii="宋体" w:hAnsi="宋体"/>
        <w:sz w:val="26"/>
        <w:szCs w:val="26"/>
      </w:rPr>
      <w:fldChar w:fldCharType="separate"/>
    </w:r>
    <w:r>
      <w:rPr>
        <w:rStyle w:val="29"/>
        <w:rFonts w:ascii="宋体" w:hAnsi="宋体"/>
        <w:sz w:val="26"/>
        <w:szCs w:val="26"/>
      </w:rPr>
      <w:t>80</w:t>
    </w:r>
    <w:r>
      <w:rPr>
        <w:rStyle w:val="29"/>
        <w:rFonts w:ascii="宋体" w:hAnsi="宋体"/>
        <w:sz w:val="26"/>
        <w:szCs w:val="26"/>
      </w:rPr>
      <w:fldChar w:fldCharType="end"/>
    </w:r>
    <w:r>
      <w:rPr>
        <w:rStyle w:val="29"/>
        <w:rFonts w:hint="eastAsia" w:ascii="宋体" w:hAnsi="宋体"/>
        <w:sz w:val="20"/>
      </w:rPr>
      <w:t xml:space="preserve">  </w:t>
    </w:r>
    <w:r>
      <w:rPr>
        <w:rStyle w:val="29"/>
        <w:rFonts w:hint="eastAsia" w:ascii="宋体" w:hAnsi="宋体"/>
        <w:sz w:val="28"/>
        <w:szCs w:val="28"/>
      </w:rPr>
      <w:t>—</w:t>
    </w:r>
  </w:p>
  <w:p w14:paraId="7C0540F0">
    <w:pPr>
      <w:pStyle w:val="16"/>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B89E0">
    <w:pPr>
      <w:pStyle w:val="16"/>
      <w:ind w:right="360" w:firstLine="360"/>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dit="trackedChanges"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yMjNlZGJmZmI2ZjljMzQ3ZWIzYzZjMGRiYWM4NjQifQ=="/>
  </w:docVars>
  <w:rsids>
    <w:rsidRoot w:val="00172A27"/>
    <w:rsid w:val="00000547"/>
    <w:rsid w:val="000048FD"/>
    <w:rsid w:val="00004FA0"/>
    <w:rsid w:val="000060B3"/>
    <w:rsid w:val="00007C57"/>
    <w:rsid w:val="0001182C"/>
    <w:rsid w:val="000121D8"/>
    <w:rsid w:val="00023D07"/>
    <w:rsid w:val="000247D9"/>
    <w:rsid w:val="00024B03"/>
    <w:rsid w:val="00031FF6"/>
    <w:rsid w:val="00037826"/>
    <w:rsid w:val="000428EF"/>
    <w:rsid w:val="0004364B"/>
    <w:rsid w:val="00043B60"/>
    <w:rsid w:val="00045CBA"/>
    <w:rsid w:val="00046203"/>
    <w:rsid w:val="00047789"/>
    <w:rsid w:val="000503B5"/>
    <w:rsid w:val="00051233"/>
    <w:rsid w:val="00051D3B"/>
    <w:rsid w:val="00053804"/>
    <w:rsid w:val="00061B1F"/>
    <w:rsid w:val="00067737"/>
    <w:rsid w:val="000733C4"/>
    <w:rsid w:val="000742B6"/>
    <w:rsid w:val="00074783"/>
    <w:rsid w:val="000779EB"/>
    <w:rsid w:val="00080518"/>
    <w:rsid w:val="000806C4"/>
    <w:rsid w:val="0008070B"/>
    <w:rsid w:val="00081047"/>
    <w:rsid w:val="000810AC"/>
    <w:rsid w:val="00081A02"/>
    <w:rsid w:val="00082231"/>
    <w:rsid w:val="00085BD1"/>
    <w:rsid w:val="00085C0D"/>
    <w:rsid w:val="0008685C"/>
    <w:rsid w:val="00092971"/>
    <w:rsid w:val="00092D38"/>
    <w:rsid w:val="0009377B"/>
    <w:rsid w:val="00093EF9"/>
    <w:rsid w:val="00095CB1"/>
    <w:rsid w:val="000A20C9"/>
    <w:rsid w:val="000A3B18"/>
    <w:rsid w:val="000A7065"/>
    <w:rsid w:val="000A7EAD"/>
    <w:rsid w:val="000B058F"/>
    <w:rsid w:val="000B09BA"/>
    <w:rsid w:val="000B388B"/>
    <w:rsid w:val="000B4467"/>
    <w:rsid w:val="000B4DB9"/>
    <w:rsid w:val="000B594C"/>
    <w:rsid w:val="000B5A26"/>
    <w:rsid w:val="000C09AC"/>
    <w:rsid w:val="000C0D71"/>
    <w:rsid w:val="000C0FC5"/>
    <w:rsid w:val="000C40AE"/>
    <w:rsid w:val="000C4CF5"/>
    <w:rsid w:val="000C767F"/>
    <w:rsid w:val="000D10E3"/>
    <w:rsid w:val="000D30A1"/>
    <w:rsid w:val="000D4DEB"/>
    <w:rsid w:val="000D5A44"/>
    <w:rsid w:val="000D609E"/>
    <w:rsid w:val="000D6143"/>
    <w:rsid w:val="000D76E8"/>
    <w:rsid w:val="000D7D0C"/>
    <w:rsid w:val="000E26FC"/>
    <w:rsid w:val="000E31A7"/>
    <w:rsid w:val="000E3CAA"/>
    <w:rsid w:val="000E3ED2"/>
    <w:rsid w:val="000E4D5D"/>
    <w:rsid w:val="000F2261"/>
    <w:rsid w:val="000F3E5F"/>
    <w:rsid w:val="000F492D"/>
    <w:rsid w:val="000F4BEA"/>
    <w:rsid w:val="000F6E69"/>
    <w:rsid w:val="0010001E"/>
    <w:rsid w:val="00106D66"/>
    <w:rsid w:val="00115500"/>
    <w:rsid w:val="00125CA6"/>
    <w:rsid w:val="0013036A"/>
    <w:rsid w:val="00131F42"/>
    <w:rsid w:val="001357F1"/>
    <w:rsid w:val="00136B6A"/>
    <w:rsid w:val="001370CC"/>
    <w:rsid w:val="0013744C"/>
    <w:rsid w:val="00140992"/>
    <w:rsid w:val="00140FA8"/>
    <w:rsid w:val="0014281E"/>
    <w:rsid w:val="00142B61"/>
    <w:rsid w:val="00142FEB"/>
    <w:rsid w:val="00143218"/>
    <w:rsid w:val="00143A2D"/>
    <w:rsid w:val="00145A41"/>
    <w:rsid w:val="00151675"/>
    <w:rsid w:val="00153E03"/>
    <w:rsid w:val="00157435"/>
    <w:rsid w:val="00161605"/>
    <w:rsid w:val="00164F72"/>
    <w:rsid w:val="00167163"/>
    <w:rsid w:val="00171A5E"/>
    <w:rsid w:val="00172A27"/>
    <w:rsid w:val="00173982"/>
    <w:rsid w:val="00173A49"/>
    <w:rsid w:val="0017504D"/>
    <w:rsid w:val="0017671A"/>
    <w:rsid w:val="00177422"/>
    <w:rsid w:val="001803DE"/>
    <w:rsid w:val="00184590"/>
    <w:rsid w:val="001870D1"/>
    <w:rsid w:val="0018781E"/>
    <w:rsid w:val="00187E5D"/>
    <w:rsid w:val="00187F07"/>
    <w:rsid w:val="00191607"/>
    <w:rsid w:val="001921CE"/>
    <w:rsid w:val="0019262D"/>
    <w:rsid w:val="0019715A"/>
    <w:rsid w:val="001A1B35"/>
    <w:rsid w:val="001A48A2"/>
    <w:rsid w:val="001A65F1"/>
    <w:rsid w:val="001A6F61"/>
    <w:rsid w:val="001A7010"/>
    <w:rsid w:val="001A79AB"/>
    <w:rsid w:val="001B2DE2"/>
    <w:rsid w:val="001B3954"/>
    <w:rsid w:val="001B3E15"/>
    <w:rsid w:val="001B4CF2"/>
    <w:rsid w:val="001B517B"/>
    <w:rsid w:val="001B72B8"/>
    <w:rsid w:val="001C0566"/>
    <w:rsid w:val="001C20B3"/>
    <w:rsid w:val="001C3322"/>
    <w:rsid w:val="001C5D36"/>
    <w:rsid w:val="001C6026"/>
    <w:rsid w:val="001C69B3"/>
    <w:rsid w:val="001C6B17"/>
    <w:rsid w:val="001D0816"/>
    <w:rsid w:val="001D0E11"/>
    <w:rsid w:val="001D15A0"/>
    <w:rsid w:val="001D232D"/>
    <w:rsid w:val="001D35FF"/>
    <w:rsid w:val="001D3AD4"/>
    <w:rsid w:val="001D5595"/>
    <w:rsid w:val="001D7874"/>
    <w:rsid w:val="001D7F22"/>
    <w:rsid w:val="001E141A"/>
    <w:rsid w:val="001E2048"/>
    <w:rsid w:val="001E3E66"/>
    <w:rsid w:val="001E6771"/>
    <w:rsid w:val="001F0F17"/>
    <w:rsid w:val="001F3347"/>
    <w:rsid w:val="001F422C"/>
    <w:rsid w:val="001F635D"/>
    <w:rsid w:val="001F69E4"/>
    <w:rsid w:val="001F6C1C"/>
    <w:rsid w:val="00202258"/>
    <w:rsid w:val="00210030"/>
    <w:rsid w:val="002120D3"/>
    <w:rsid w:val="002125B4"/>
    <w:rsid w:val="002150AB"/>
    <w:rsid w:val="002155B8"/>
    <w:rsid w:val="00224839"/>
    <w:rsid w:val="002249B2"/>
    <w:rsid w:val="00226574"/>
    <w:rsid w:val="00226D01"/>
    <w:rsid w:val="0022704F"/>
    <w:rsid w:val="002278EC"/>
    <w:rsid w:val="0023280E"/>
    <w:rsid w:val="002332E7"/>
    <w:rsid w:val="00234140"/>
    <w:rsid w:val="002377D1"/>
    <w:rsid w:val="002418CD"/>
    <w:rsid w:val="00241B28"/>
    <w:rsid w:val="00245BE0"/>
    <w:rsid w:val="00245D91"/>
    <w:rsid w:val="00245F3E"/>
    <w:rsid w:val="002506BC"/>
    <w:rsid w:val="00254345"/>
    <w:rsid w:val="00257229"/>
    <w:rsid w:val="00260E27"/>
    <w:rsid w:val="00264557"/>
    <w:rsid w:val="002657FE"/>
    <w:rsid w:val="00266C44"/>
    <w:rsid w:val="00274BA4"/>
    <w:rsid w:val="002805AB"/>
    <w:rsid w:val="00284204"/>
    <w:rsid w:val="00286781"/>
    <w:rsid w:val="00291481"/>
    <w:rsid w:val="00291773"/>
    <w:rsid w:val="00293AFE"/>
    <w:rsid w:val="00294D12"/>
    <w:rsid w:val="002A0DAF"/>
    <w:rsid w:val="002A168C"/>
    <w:rsid w:val="002A1954"/>
    <w:rsid w:val="002A3DC7"/>
    <w:rsid w:val="002A40B8"/>
    <w:rsid w:val="002A4F9B"/>
    <w:rsid w:val="002B1F97"/>
    <w:rsid w:val="002B21F6"/>
    <w:rsid w:val="002B49E2"/>
    <w:rsid w:val="002B51C3"/>
    <w:rsid w:val="002B7B00"/>
    <w:rsid w:val="002B7C44"/>
    <w:rsid w:val="002C2B17"/>
    <w:rsid w:val="002D3DD0"/>
    <w:rsid w:val="002D456C"/>
    <w:rsid w:val="002D5D23"/>
    <w:rsid w:val="002D72A8"/>
    <w:rsid w:val="002D7841"/>
    <w:rsid w:val="002E1F3A"/>
    <w:rsid w:val="002E232D"/>
    <w:rsid w:val="002E298A"/>
    <w:rsid w:val="002E2E00"/>
    <w:rsid w:val="002F2731"/>
    <w:rsid w:val="002F5F1D"/>
    <w:rsid w:val="00301978"/>
    <w:rsid w:val="0030332C"/>
    <w:rsid w:val="00303A0E"/>
    <w:rsid w:val="00304D66"/>
    <w:rsid w:val="003051C2"/>
    <w:rsid w:val="00312296"/>
    <w:rsid w:val="00314B5F"/>
    <w:rsid w:val="00314F0E"/>
    <w:rsid w:val="003165F8"/>
    <w:rsid w:val="00321D8E"/>
    <w:rsid w:val="0032287D"/>
    <w:rsid w:val="00325928"/>
    <w:rsid w:val="00330086"/>
    <w:rsid w:val="00332863"/>
    <w:rsid w:val="00335B04"/>
    <w:rsid w:val="0033684D"/>
    <w:rsid w:val="00336F85"/>
    <w:rsid w:val="00337B42"/>
    <w:rsid w:val="00341025"/>
    <w:rsid w:val="00341B42"/>
    <w:rsid w:val="0034348F"/>
    <w:rsid w:val="00345510"/>
    <w:rsid w:val="00354A45"/>
    <w:rsid w:val="00354A6F"/>
    <w:rsid w:val="00356653"/>
    <w:rsid w:val="0035743F"/>
    <w:rsid w:val="00357BE2"/>
    <w:rsid w:val="0036170C"/>
    <w:rsid w:val="00362B6F"/>
    <w:rsid w:val="00366E0F"/>
    <w:rsid w:val="003723BD"/>
    <w:rsid w:val="0037431A"/>
    <w:rsid w:val="00381A72"/>
    <w:rsid w:val="003845CC"/>
    <w:rsid w:val="00384676"/>
    <w:rsid w:val="00390095"/>
    <w:rsid w:val="00390857"/>
    <w:rsid w:val="00396E45"/>
    <w:rsid w:val="003978D9"/>
    <w:rsid w:val="003A1A46"/>
    <w:rsid w:val="003A4BF3"/>
    <w:rsid w:val="003A5423"/>
    <w:rsid w:val="003A6C5C"/>
    <w:rsid w:val="003B1E5B"/>
    <w:rsid w:val="003B357C"/>
    <w:rsid w:val="003B420D"/>
    <w:rsid w:val="003B4355"/>
    <w:rsid w:val="003B6A2A"/>
    <w:rsid w:val="003B716D"/>
    <w:rsid w:val="003B764E"/>
    <w:rsid w:val="003C2A32"/>
    <w:rsid w:val="003C33FA"/>
    <w:rsid w:val="003C5000"/>
    <w:rsid w:val="003C6644"/>
    <w:rsid w:val="003C6C16"/>
    <w:rsid w:val="003C7136"/>
    <w:rsid w:val="003D1D95"/>
    <w:rsid w:val="003D2685"/>
    <w:rsid w:val="003D64F1"/>
    <w:rsid w:val="003D6656"/>
    <w:rsid w:val="003D697E"/>
    <w:rsid w:val="003D7177"/>
    <w:rsid w:val="003D794D"/>
    <w:rsid w:val="003E3058"/>
    <w:rsid w:val="003E4EB5"/>
    <w:rsid w:val="003E5CD7"/>
    <w:rsid w:val="003E76A9"/>
    <w:rsid w:val="003F0809"/>
    <w:rsid w:val="003F6A8C"/>
    <w:rsid w:val="003F6F1B"/>
    <w:rsid w:val="003F7445"/>
    <w:rsid w:val="003F755C"/>
    <w:rsid w:val="003F7B9C"/>
    <w:rsid w:val="004042B1"/>
    <w:rsid w:val="004063F0"/>
    <w:rsid w:val="00406F01"/>
    <w:rsid w:val="004137B6"/>
    <w:rsid w:val="00415805"/>
    <w:rsid w:val="00416A27"/>
    <w:rsid w:val="00416D50"/>
    <w:rsid w:val="00416FD5"/>
    <w:rsid w:val="00417772"/>
    <w:rsid w:val="00420E6A"/>
    <w:rsid w:val="00420FDC"/>
    <w:rsid w:val="0042198A"/>
    <w:rsid w:val="00421A72"/>
    <w:rsid w:val="00424764"/>
    <w:rsid w:val="00424CF5"/>
    <w:rsid w:val="00425A9E"/>
    <w:rsid w:val="00426D6B"/>
    <w:rsid w:val="00427A27"/>
    <w:rsid w:val="00431E6C"/>
    <w:rsid w:val="004337DA"/>
    <w:rsid w:val="00433CE7"/>
    <w:rsid w:val="00433F79"/>
    <w:rsid w:val="00436184"/>
    <w:rsid w:val="004416D0"/>
    <w:rsid w:val="00442BFB"/>
    <w:rsid w:val="00443947"/>
    <w:rsid w:val="0044790F"/>
    <w:rsid w:val="00450860"/>
    <w:rsid w:val="00452738"/>
    <w:rsid w:val="0045371B"/>
    <w:rsid w:val="00453EC8"/>
    <w:rsid w:val="00455546"/>
    <w:rsid w:val="00455E06"/>
    <w:rsid w:val="00456091"/>
    <w:rsid w:val="0046091F"/>
    <w:rsid w:val="00466321"/>
    <w:rsid w:val="004678B6"/>
    <w:rsid w:val="00470B42"/>
    <w:rsid w:val="00473F41"/>
    <w:rsid w:val="00484B9B"/>
    <w:rsid w:val="004855F6"/>
    <w:rsid w:val="004862F8"/>
    <w:rsid w:val="00486337"/>
    <w:rsid w:val="0048661E"/>
    <w:rsid w:val="00490B38"/>
    <w:rsid w:val="00490C46"/>
    <w:rsid w:val="00494670"/>
    <w:rsid w:val="00496651"/>
    <w:rsid w:val="0049686C"/>
    <w:rsid w:val="004972F7"/>
    <w:rsid w:val="004A3823"/>
    <w:rsid w:val="004A4DBD"/>
    <w:rsid w:val="004B07A8"/>
    <w:rsid w:val="004B26FE"/>
    <w:rsid w:val="004B2F87"/>
    <w:rsid w:val="004B35AF"/>
    <w:rsid w:val="004B508A"/>
    <w:rsid w:val="004B61BA"/>
    <w:rsid w:val="004B7532"/>
    <w:rsid w:val="004C64D0"/>
    <w:rsid w:val="004D28BC"/>
    <w:rsid w:val="004D5FA6"/>
    <w:rsid w:val="004D753B"/>
    <w:rsid w:val="004E6946"/>
    <w:rsid w:val="004E6B42"/>
    <w:rsid w:val="004F1105"/>
    <w:rsid w:val="004F1AD8"/>
    <w:rsid w:val="004F41AB"/>
    <w:rsid w:val="004F6B81"/>
    <w:rsid w:val="00500D76"/>
    <w:rsid w:val="005039CB"/>
    <w:rsid w:val="0050558F"/>
    <w:rsid w:val="00506286"/>
    <w:rsid w:val="0051043A"/>
    <w:rsid w:val="00510813"/>
    <w:rsid w:val="00511990"/>
    <w:rsid w:val="00511DE0"/>
    <w:rsid w:val="00514870"/>
    <w:rsid w:val="00514B9B"/>
    <w:rsid w:val="00517F02"/>
    <w:rsid w:val="0052108C"/>
    <w:rsid w:val="00524303"/>
    <w:rsid w:val="005258A2"/>
    <w:rsid w:val="00526B3B"/>
    <w:rsid w:val="005305C6"/>
    <w:rsid w:val="00537413"/>
    <w:rsid w:val="005401AE"/>
    <w:rsid w:val="0054083D"/>
    <w:rsid w:val="00542E07"/>
    <w:rsid w:val="00544219"/>
    <w:rsid w:val="00545424"/>
    <w:rsid w:val="00545FBB"/>
    <w:rsid w:val="005508D6"/>
    <w:rsid w:val="005508DB"/>
    <w:rsid w:val="005537A6"/>
    <w:rsid w:val="00554A7B"/>
    <w:rsid w:val="00554D8D"/>
    <w:rsid w:val="0055572C"/>
    <w:rsid w:val="00557228"/>
    <w:rsid w:val="005600F4"/>
    <w:rsid w:val="005601A7"/>
    <w:rsid w:val="0056106A"/>
    <w:rsid w:val="005644DB"/>
    <w:rsid w:val="00567788"/>
    <w:rsid w:val="00571A88"/>
    <w:rsid w:val="005720AE"/>
    <w:rsid w:val="00572B2B"/>
    <w:rsid w:val="00583C0B"/>
    <w:rsid w:val="00586919"/>
    <w:rsid w:val="00594D77"/>
    <w:rsid w:val="005969E4"/>
    <w:rsid w:val="00597911"/>
    <w:rsid w:val="005A0105"/>
    <w:rsid w:val="005A06B7"/>
    <w:rsid w:val="005A0944"/>
    <w:rsid w:val="005A1759"/>
    <w:rsid w:val="005A19C3"/>
    <w:rsid w:val="005A2407"/>
    <w:rsid w:val="005A3119"/>
    <w:rsid w:val="005A42AD"/>
    <w:rsid w:val="005A4D4E"/>
    <w:rsid w:val="005A68A7"/>
    <w:rsid w:val="005A7784"/>
    <w:rsid w:val="005A7C48"/>
    <w:rsid w:val="005B3555"/>
    <w:rsid w:val="005B7244"/>
    <w:rsid w:val="005B7526"/>
    <w:rsid w:val="005C3EBF"/>
    <w:rsid w:val="005D36AB"/>
    <w:rsid w:val="005D4FD4"/>
    <w:rsid w:val="005E72E4"/>
    <w:rsid w:val="005F2CC2"/>
    <w:rsid w:val="005F4707"/>
    <w:rsid w:val="006050D0"/>
    <w:rsid w:val="00607DE0"/>
    <w:rsid w:val="006106F4"/>
    <w:rsid w:val="00610756"/>
    <w:rsid w:val="00612D89"/>
    <w:rsid w:val="00615729"/>
    <w:rsid w:val="00617CC3"/>
    <w:rsid w:val="006260A9"/>
    <w:rsid w:val="00626898"/>
    <w:rsid w:val="00631707"/>
    <w:rsid w:val="0063503D"/>
    <w:rsid w:val="0063527D"/>
    <w:rsid w:val="006377A6"/>
    <w:rsid w:val="00637802"/>
    <w:rsid w:val="00637A3D"/>
    <w:rsid w:val="00640F07"/>
    <w:rsid w:val="006411EF"/>
    <w:rsid w:val="006505BB"/>
    <w:rsid w:val="00651291"/>
    <w:rsid w:val="0065382F"/>
    <w:rsid w:val="00656878"/>
    <w:rsid w:val="00656C2F"/>
    <w:rsid w:val="00661188"/>
    <w:rsid w:val="006638D7"/>
    <w:rsid w:val="00667782"/>
    <w:rsid w:val="00670D5C"/>
    <w:rsid w:val="00673E75"/>
    <w:rsid w:val="0067480F"/>
    <w:rsid w:val="006748B8"/>
    <w:rsid w:val="00676C73"/>
    <w:rsid w:val="006775C3"/>
    <w:rsid w:val="00682241"/>
    <w:rsid w:val="00690980"/>
    <w:rsid w:val="00690D21"/>
    <w:rsid w:val="0069290A"/>
    <w:rsid w:val="0069775A"/>
    <w:rsid w:val="00697813"/>
    <w:rsid w:val="00697CA9"/>
    <w:rsid w:val="006A3DEC"/>
    <w:rsid w:val="006A3EE8"/>
    <w:rsid w:val="006A5B81"/>
    <w:rsid w:val="006A63AC"/>
    <w:rsid w:val="006A6685"/>
    <w:rsid w:val="006A72BF"/>
    <w:rsid w:val="006B03F2"/>
    <w:rsid w:val="006B1868"/>
    <w:rsid w:val="006B3121"/>
    <w:rsid w:val="006B37DC"/>
    <w:rsid w:val="006B4530"/>
    <w:rsid w:val="006B4CB2"/>
    <w:rsid w:val="006B4F68"/>
    <w:rsid w:val="006C012D"/>
    <w:rsid w:val="006C0592"/>
    <w:rsid w:val="006C102C"/>
    <w:rsid w:val="006C1245"/>
    <w:rsid w:val="006C272E"/>
    <w:rsid w:val="006C4F3E"/>
    <w:rsid w:val="006C5479"/>
    <w:rsid w:val="006C625C"/>
    <w:rsid w:val="006C702E"/>
    <w:rsid w:val="006D13B5"/>
    <w:rsid w:val="006D3947"/>
    <w:rsid w:val="006D6F20"/>
    <w:rsid w:val="006E0927"/>
    <w:rsid w:val="006E10BE"/>
    <w:rsid w:val="006E1260"/>
    <w:rsid w:val="006E12FF"/>
    <w:rsid w:val="006E607E"/>
    <w:rsid w:val="006F1CFC"/>
    <w:rsid w:val="007007DA"/>
    <w:rsid w:val="007042D0"/>
    <w:rsid w:val="0070648D"/>
    <w:rsid w:val="00706C5D"/>
    <w:rsid w:val="0070714C"/>
    <w:rsid w:val="00707474"/>
    <w:rsid w:val="0071029C"/>
    <w:rsid w:val="00720C04"/>
    <w:rsid w:val="00723B6F"/>
    <w:rsid w:val="007249AD"/>
    <w:rsid w:val="0072649C"/>
    <w:rsid w:val="00726F13"/>
    <w:rsid w:val="00730A4C"/>
    <w:rsid w:val="007312D2"/>
    <w:rsid w:val="00731AAA"/>
    <w:rsid w:val="00732922"/>
    <w:rsid w:val="007330FA"/>
    <w:rsid w:val="007335B4"/>
    <w:rsid w:val="007404AE"/>
    <w:rsid w:val="00741F5F"/>
    <w:rsid w:val="00747851"/>
    <w:rsid w:val="0075162E"/>
    <w:rsid w:val="00754034"/>
    <w:rsid w:val="007540C4"/>
    <w:rsid w:val="007544B7"/>
    <w:rsid w:val="007554CA"/>
    <w:rsid w:val="00756556"/>
    <w:rsid w:val="00757932"/>
    <w:rsid w:val="00760384"/>
    <w:rsid w:val="007618C4"/>
    <w:rsid w:val="00762FD5"/>
    <w:rsid w:val="00767980"/>
    <w:rsid w:val="00770B19"/>
    <w:rsid w:val="0077463F"/>
    <w:rsid w:val="00774F66"/>
    <w:rsid w:val="007771E8"/>
    <w:rsid w:val="007836EA"/>
    <w:rsid w:val="00784CDA"/>
    <w:rsid w:val="00786C48"/>
    <w:rsid w:val="007906C4"/>
    <w:rsid w:val="00792D3E"/>
    <w:rsid w:val="00793519"/>
    <w:rsid w:val="007940EA"/>
    <w:rsid w:val="00795B35"/>
    <w:rsid w:val="007967E8"/>
    <w:rsid w:val="007A2170"/>
    <w:rsid w:val="007A22BF"/>
    <w:rsid w:val="007A2D3B"/>
    <w:rsid w:val="007A3323"/>
    <w:rsid w:val="007A4D8F"/>
    <w:rsid w:val="007A7233"/>
    <w:rsid w:val="007B1247"/>
    <w:rsid w:val="007B15A4"/>
    <w:rsid w:val="007B2474"/>
    <w:rsid w:val="007B3B15"/>
    <w:rsid w:val="007B442D"/>
    <w:rsid w:val="007B72B8"/>
    <w:rsid w:val="007B7A58"/>
    <w:rsid w:val="007C184F"/>
    <w:rsid w:val="007C21B5"/>
    <w:rsid w:val="007C4D1F"/>
    <w:rsid w:val="007C5BA9"/>
    <w:rsid w:val="007C7AAB"/>
    <w:rsid w:val="007D00E3"/>
    <w:rsid w:val="007D01EA"/>
    <w:rsid w:val="007D2516"/>
    <w:rsid w:val="007D3D29"/>
    <w:rsid w:val="007D4284"/>
    <w:rsid w:val="007D6DD7"/>
    <w:rsid w:val="007D77A9"/>
    <w:rsid w:val="007E0726"/>
    <w:rsid w:val="007E4BD2"/>
    <w:rsid w:val="007E68A6"/>
    <w:rsid w:val="007F4659"/>
    <w:rsid w:val="00801393"/>
    <w:rsid w:val="00801BC5"/>
    <w:rsid w:val="00802F88"/>
    <w:rsid w:val="0081293E"/>
    <w:rsid w:val="00812CCD"/>
    <w:rsid w:val="00812D23"/>
    <w:rsid w:val="008148EA"/>
    <w:rsid w:val="00815465"/>
    <w:rsid w:val="00817E9A"/>
    <w:rsid w:val="008239C3"/>
    <w:rsid w:val="0082505C"/>
    <w:rsid w:val="008306BD"/>
    <w:rsid w:val="008313C1"/>
    <w:rsid w:val="00831A80"/>
    <w:rsid w:val="008335D7"/>
    <w:rsid w:val="00833743"/>
    <w:rsid w:val="008340A4"/>
    <w:rsid w:val="00835E03"/>
    <w:rsid w:val="00836918"/>
    <w:rsid w:val="00836F65"/>
    <w:rsid w:val="008378F9"/>
    <w:rsid w:val="00841809"/>
    <w:rsid w:val="0084297D"/>
    <w:rsid w:val="008449EA"/>
    <w:rsid w:val="0084550C"/>
    <w:rsid w:val="00847A85"/>
    <w:rsid w:val="00847FCE"/>
    <w:rsid w:val="008539E9"/>
    <w:rsid w:val="00857591"/>
    <w:rsid w:val="00862342"/>
    <w:rsid w:val="0086377B"/>
    <w:rsid w:val="0087135F"/>
    <w:rsid w:val="00872D1A"/>
    <w:rsid w:val="00872D94"/>
    <w:rsid w:val="00880364"/>
    <w:rsid w:val="00882674"/>
    <w:rsid w:val="0088457B"/>
    <w:rsid w:val="00884BB5"/>
    <w:rsid w:val="00890C74"/>
    <w:rsid w:val="00891592"/>
    <w:rsid w:val="00891CAE"/>
    <w:rsid w:val="00891E9E"/>
    <w:rsid w:val="00893A5D"/>
    <w:rsid w:val="008959DD"/>
    <w:rsid w:val="008A0A1E"/>
    <w:rsid w:val="008A2F68"/>
    <w:rsid w:val="008A6182"/>
    <w:rsid w:val="008A6FA5"/>
    <w:rsid w:val="008A702B"/>
    <w:rsid w:val="008B0D19"/>
    <w:rsid w:val="008B165D"/>
    <w:rsid w:val="008B3245"/>
    <w:rsid w:val="008B44D0"/>
    <w:rsid w:val="008B4FA6"/>
    <w:rsid w:val="008B5282"/>
    <w:rsid w:val="008B66DA"/>
    <w:rsid w:val="008B7C17"/>
    <w:rsid w:val="008C2D01"/>
    <w:rsid w:val="008C40E6"/>
    <w:rsid w:val="008C41F5"/>
    <w:rsid w:val="008D0F7A"/>
    <w:rsid w:val="008D12D1"/>
    <w:rsid w:val="008D2836"/>
    <w:rsid w:val="008D68E4"/>
    <w:rsid w:val="008E0506"/>
    <w:rsid w:val="008E0C15"/>
    <w:rsid w:val="008E0CFF"/>
    <w:rsid w:val="008E36A9"/>
    <w:rsid w:val="008E39B7"/>
    <w:rsid w:val="008E5D6B"/>
    <w:rsid w:val="008E76F0"/>
    <w:rsid w:val="008F0493"/>
    <w:rsid w:val="008F15FE"/>
    <w:rsid w:val="008F2D29"/>
    <w:rsid w:val="008F3AB6"/>
    <w:rsid w:val="008F42A4"/>
    <w:rsid w:val="008F4384"/>
    <w:rsid w:val="008F5187"/>
    <w:rsid w:val="008F5DBA"/>
    <w:rsid w:val="008F60D8"/>
    <w:rsid w:val="009008B8"/>
    <w:rsid w:val="00902727"/>
    <w:rsid w:val="00902E90"/>
    <w:rsid w:val="0090312B"/>
    <w:rsid w:val="0090594E"/>
    <w:rsid w:val="0090692A"/>
    <w:rsid w:val="00911579"/>
    <w:rsid w:val="00912AFF"/>
    <w:rsid w:val="00915F11"/>
    <w:rsid w:val="0091736D"/>
    <w:rsid w:val="00924963"/>
    <w:rsid w:val="009250DB"/>
    <w:rsid w:val="0093037A"/>
    <w:rsid w:val="00930516"/>
    <w:rsid w:val="009312E0"/>
    <w:rsid w:val="00937220"/>
    <w:rsid w:val="0094154D"/>
    <w:rsid w:val="00942004"/>
    <w:rsid w:val="00944266"/>
    <w:rsid w:val="00946AE0"/>
    <w:rsid w:val="0095155F"/>
    <w:rsid w:val="00954429"/>
    <w:rsid w:val="00954CA0"/>
    <w:rsid w:val="009563CE"/>
    <w:rsid w:val="009569A5"/>
    <w:rsid w:val="00960621"/>
    <w:rsid w:val="0096178A"/>
    <w:rsid w:val="009624E4"/>
    <w:rsid w:val="00965EBA"/>
    <w:rsid w:val="00971C08"/>
    <w:rsid w:val="00974AF3"/>
    <w:rsid w:val="00976328"/>
    <w:rsid w:val="009763B3"/>
    <w:rsid w:val="0097680D"/>
    <w:rsid w:val="00980922"/>
    <w:rsid w:val="00981D02"/>
    <w:rsid w:val="00982438"/>
    <w:rsid w:val="0098404C"/>
    <w:rsid w:val="00985283"/>
    <w:rsid w:val="009907AE"/>
    <w:rsid w:val="009916C2"/>
    <w:rsid w:val="00995992"/>
    <w:rsid w:val="00995A60"/>
    <w:rsid w:val="00997C16"/>
    <w:rsid w:val="009A03E5"/>
    <w:rsid w:val="009A0CB9"/>
    <w:rsid w:val="009A0D88"/>
    <w:rsid w:val="009A0F3B"/>
    <w:rsid w:val="009A1BB4"/>
    <w:rsid w:val="009A2628"/>
    <w:rsid w:val="009A3200"/>
    <w:rsid w:val="009A3EE1"/>
    <w:rsid w:val="009A63B3"/>
    <w:rsid w:val="009A7F85"/>
    <w:rsid w:val="009B0897"/>
    <w:rsid w:val="009B2FF8"/>
    <w:rsid w:val="009B65B0"/>
    <w:rsid w:val="009B7BD9"/>
    <w:rsid w:val="009C1065"/>
    <w:rsid w:val="009C2DF3"/>
    <w:rsid w:val="009C6914"/>
    <w:rsid w:val="009C77BD"/>
    <w:rsid w:val="009C7A65"/>
    <w:rsid w:val="009C7DD5"/>
    <w:rsid w:val="009D3D99"/>
    <w:rsid w:val="009E0046"/>
    <w:rsid w:val="009E227D"/>
    <w:rsid w:val="009E5019"/>
    <w:rsid w:val="009E6E13"/>
    <w:rsid w:val="009F217A"/>
    <w:rsid w:val="009F226B"/>
    <w:rsid w:val="009F3B8A"/>
    <w:rsid w:val="00A01B29"/>
    <w:rsid w:val="00A026BF"/>
    <w:rsid w:val="00A04F1B"/>
    <w:rsid w:val="00A0501B"/>
    <w:rsid w:val="00A059A4"/>
    <w:rsid w:val="00A05ED3"/>
    <w:rsid w:val="00A07F94"/>
    <w:rsid w:val="00A14947"/>
    <w:rsid w:val="00A15BBD"/>
    <w:rsid w:val="00A218C1"/>
    <w:rsid w:val="00A23FE2"/>
    <w:rsid w:val="00A25F25"/>
    <w:rsid w:val="00A2681A"/>
    <w:rsid w:val="00A32A83"/>
    <w:rsid w:val="00A3311F"/>
    <w:rsid w:val="00A33CD5"/>
    <w:rsid w:val="00A34B65"/>
    <w:rsid w:val="00A368DB"/>
    <w:rsid w:val="00A423AA"/>
    <w:rsid w:val="00A43CF4"/>
    <w:rsid w:val="00A444D7"/>
    <w:rsid w:val="00A45C8E"/>
    <w:rsid w:val="00A470DC"/>
    <w:rsid w:val="00A53E1A"/>
    <w:rsid w:val="00A53EC6"/>
    <w:rsid w:val="00A55AD1"/>
    <w:rsid w:val="00A55C0F"/>
    <w:rsid w:val="00A60E4E"/>
    <w:rsid w:val="00A63835"/>
    <w:rsid w:val="00A65CC6"/>
    <w:rsid w:val="00A823FE"/>
    <w:rsid w:val="00A85A5D"/>
    <w:rsid w:val="00A85CE0"/>
    <w:rsid w:val="00A8713F"/>
    <w:rsid w:val="00A8791A"/>
    <w:rsid w:val="00A90BA1"/>
    <w:rsid w:val="00A94ED9"/>
    <w:rsid w:val="00A97A9A"/>
    <w:rsid w:val="00A97C6F"/>
    <w:rsid w:val="00AA0671"/>
    <w:rsid w:val="00AA0FC7"/>
    <w:rsid w:val="00AA2531"/>
    <w:rsid w:val="00AA2A2F"/>
    <w:rsid w:val="00AB05EA"/>
    <w:rsid w:val="00AB1E09"/>
    <w:rsid w:val="00AB4514"/>
    <w:rsid w:val="00AB4BC6"/>
    <w:rsid w:val="00AB5330"/>
    <w:rsid w:val="00AB7747"/>
    <w:rsid w:val="00AC059B"/>
    <w:rsid w:val="00AC090E"/>
    <w:rsid w:val="00AC1376"/>
    <w:rsid w:val="00AC14CE"/>
    <w:rsid w:val="00AC2A56"/>
    <w:rsid w:val="00AC4478"/>
    <w:rsid w:val="00AC5C21"/>
    <w:rsid w:val="00AD022D"/>
    <w:rsid w:val="00AD055E"/>
    <w:rsid w:val="00AD21F0"/>
    <w:rsid w:val="00AD299D"/>
    <w:rsid w:val="00AD457B"/>
    <w:rsid w:val="00AD47A7"/>
    <w:rsid w:val="00AE4619"/>
    <w:rsid w:val="00AF0CBF"/>
    <w:rsid w:val="00AF257F"/>
    <w:rsid w:val="00AF27FE"/>
    <w:rsid w:val="00AF33CF"/>
    <w:rsid w:val="00AF4D50"/>
    <w:rsid w:val="00AF6179"/>
    <w:rsid w:val="00AF7F31"/>
    <w:rsid w:val="00B02281"/>
    <w:rsid w:val="00B11619"/>
    <w:rsid w:val="00B1223E"/>
    <w:rsid w:val="00B1295A"/>
    <w:rsid w:val="00B16532"/>
    <w:rsid w:val="00B20A45"/>
    <w:rsid w:val="00B22C5C"/>
    <w:rsid w:val="00B22F72"/>
    <w:rsid w:val="00B24F30"/>
    <w:rsid w:val="00B26475"/>
    <w:rsid w:val="00B31ABF"/>
    <w:rsid w:val="00B33BE3"/>
    <w:rsid w:val="00B3469E"/>
    <w:rsid w:val="00B35307"/>
    <w:rsid w:val="00B434FE"/>
    <w:rsid w:val="00B439BE"/>
    <w:rsid w:val="00B53B5D"/>
    <w:rsid w:val="00B557A8"/>
    <w:rsid w:val="00B6055E"/>
    <w:rsid w:val="00B6139D"/>
    <w:rsid w:val="00B6317D"/>
    <w:rsid w:val="00B67C66"/>
    <w:rsid w:val="00B7091A"/>
    <w:rsid w:val="00B7238C"/>
    <w:rsid w:val="00B723CF"/>
    <w:rsid w:val="00B725FD"/>
    <w:rsid w:val="00B72BDE"/>
    <w:rsid w:val="00B7673C"/>
    <w:rsid w:val="00B7723F"/>
    <w:rsid w:val="00B77FAF"/>
    <w:rsid w:val="00B8015E"/>
    <w:rsid w:val="00B80534"/>
    <w:rsid w:val="00B81C9D"/>
    <w:rsid w:val="00B8433C"/>
    <w:rsid w:val="00B87491"/>
    <w:rsid w:val="00B903D4"/>
    <w:rsid w:val="00B938D1"/>
    <w:rsid w:val="00B93C23"/>
    <w:rsid w:val="00BA0C83"/>
    <w:rsid w:val="00BA159D"/>
    <w:rsid w:val="00BA281D"/>
    <w:rsid w:val="00BA29E9"/>
    <w:rsid w:val="00BA3803"/>
    <w:rsid w:val="00BA46A0"/>
    <w:rsid w:val="00BA5A25"/>
    <w:rsid w:val="00BA7142"/>
    <w:rsid w:val="00BB237C"/>
    <w:rsid w:val="00BB29B2"/>
    <w:rsid w:val="00BB382C"/>
    <w:rsid w:val="00BB3912"/>
    <w:rsid w:val="00BB41A3"/>
    <w:rsid w:val="00BB4967"/>
    <w:rsid w:val="00BC32DC"/>
    <w:rsid w:val="00BC35B6"/>
    <w:rsid w:val="00BC79CC"/>
    <w:rsid w:val="00BD04E2"/>
    <w:rsid w:val="00BD1B51"/>
    <w:rsid w:val="00BD4596"/>
    <w:rsid w:val="00BE054A"/>
    <w:rsid w:val="00BE1086"/>
    <w:rsid w:val="00BE1405"/>
    <w:rsid w:val="00BE172F"/>
    <w:rsid w:val="00BE1CB6"/>
    <w:rsid w:val="00BE312D"/>
    <w:rsid w:val="00BE38D2"/>
    <w:rsid w:val="00BE674B"/>
    <w:rsid w:val="00BF1C20"/>
    <w:rsid w:val="00BF2955"/>
    <w:rsid w:val="00BF2A0F"/>
    <w:rsid w:val="00BF7199"/>
    <w:rsid w:val="00C00CAA"/>
    <w:rsid w:val="00C07E4B"/>
    <w:rsid w:val="00C10578"/>
    <w:rsid w:val="00C11CDB"/>
    <w:rsid w:val="00C11D4D"/>
    <w:rsid w:val="00C135BC"/>
    <w:rsid w:val="00C14B78"/>
    <w:rsid w:val="00C14C6F"/>
    <w:rsid w:val="00C15C95"/>
    <w:rsid w:val="00C20672"/>
    <w:rsid w:val="00C21EA3"/>
    <w:rsid w:val="00C2481B"/>
    <w:rsid w:val="00C2596A"/>
    <w:rsid w:val="00C2622B"/>
    <w:rsid w:val="00C27537"/>
    <w:rsid w:val="00C30E2E"/>
    <w:rsid w:val="00C328FE"/>
    <w:rsid w:val="00C33507"/>
    <w:rsid w:val="00C34DAD"/>
    <w:rsid w:val="00C37060"/>
    <w:rsid w:val="00C3735A"/>
    <w:rsid w:val="00C3774A"/>
    <w:rsid w:val="00C41A43"/>
    <w:rsid w:val="00C4409D"/>
    <w:rsid w:val="00C4481A"/>
    <w:rsid w:val="00C44E72"/>
    <w:rsid w:val="00C45A06"/>
    <w:rsid w:val="00C47E5B"/>
    <w:rsid w:val="00C51E1D"/>
    <w:rsid w:val="00C54122"/>
    <w:rsid w:val="00C544CE"/>
    <w:rsid w:val="00C60F5C"/>
    <w:rsid w:val="00C618A4"/>
    <w:rsid w:val="00C61E4B"/>
    <w:rsid w:val="00C620C3"/>
    <w:rsid w:val="00C630A8"/>
    <w:rsid w:val="00C64BFF"/>
    <w:rsid w:val="00C65488"/>
    <w:rsid w:val="00C704E9"/>
    <w:rsid w:val="00C72D2C"/>
    <w:rsid w:val="00C758C6"/>
    <w:rsid w:val="00C763C9"/>
    <w:rsid w:val="00C77470"/>
    <w:rsid w:val="00C80057"/>
    <w:rsid w:val="00C802FC"/>
    <w:rsid w:val="00C82232"/>
    <w:rsid w:val="00C82913"/>
    <w:rsid w:val="00C84A6B"/>
    <w:rsid w:val="00C972B1"/>
    <w:rsid w:val="00CA06FB"/>
    <w:rsid w:val="00CA2CCE"/>
    <w:rsid w:val="00CA43FD"/>
    <w:rsid w:val="00CA7AAF"/>
    <w:rsid w:val="00CA7EF8"/>
    <w:rsid w:val="00CB3050"/>
    <w:rsid w:val="00CB415B"/>
    <w:rsid w:val="00CB59EB"/>
    <w:rsid w:val="00CB77C3"/>
    <w:rsid w:val="00CB7FD0"/>
    <w:rsid w:val="00CC1F92"/>
    <w:rsid w:val="00CC3441"/>
    <w:rsid w:val="00CC36AF"/>
    <w:rsid w:val="00CC489B"/>
    <w:rsid w:val="00CC7474"/>
    <w:rsid w:val="00CD060E"/>
    <w:rsid w:val="00CD2763"/>
    <w:rsid w:val="00CD2BCD"/>
    <w:rsid w:val="00CD3A4C"/>
    <w:rsid w:val="00CD57F0"/>
    <w:rsid w:val="00CE10E9"/>
    <w:rsid w:val="00CE2910"/>
    <w:rsid w:val="00CE5393"/>
    <w:rsid w:val="00CE5E6D"/>
    <w:rsid w:val="00CE6B57"/>
    <w:rsid w:val="00CF0EF2"/>
    <w:rsid w:val="00CF1D28"/>
    <w:rsid w:val="00CF20E9"/>
    <w:rsid w:val="00CF36B5"/>
    <w:rsid w:val="00CF36BE"/>
    <w:rsid w:val="00CF42C7"/>
    <w:rsid w:val="00CF6000"/>
    <w:rsid w:val="00D003F3"/>
    <w:rsid w:val="00D0050D"/>
    <w:rsid w:val="00D007AD"/>
    <w:rsid w:val="00D01FC9"/>
    <w:rsid w:val="00D021FB"/>
    <w:rsid w:val="00D0364F"/>
    <w:rsid w:val="00D046BB"/>
    <w:rsid w:val="00D04CB4"/>
    <w:rsid w:val="00D06834"/>
    <w:rsid w:val="00D06D13"/>
    <w:rsid w:val="00D074B4"/>
    <w:rsid w:val="00D13CF3"/>
    <w:rsid w:val="00D228ED"/>
    <w:rsid w:val="00D22AA6"/>
    <w:rsid w:val="00D25824"/>
    <w:rsid w:val="00D2725E"/>
    <w:rsid w:val="00D27CC8"/>
    <w:rsid w:val="00D308ED"/>
    <w:rsid w:val="00D3207B"/>
    <w:rsid w:val="00D35090"/>
    <w:rsid w:val="00D36725"/>
    <w:rsid w:val="00D36D86"/>
    <w:rsid w:val="00D404CE"/>
    <w:rsid w:val="00D428AA"/>
    <w:rsid w:val="00D478F6"/>
    <w:rsid w:val="00D50A34"/>
    <w:rsid w:val="00D5186D"/>
    <w:rsid w:val="00D53EFA"/>
    <w:rsid w:val="00D557E2"/>
    <w:rsid w:val="00D57E83"/>
    <w:rsid w:val="00D612DB"/>
    <w:rsid w:val="00D65F52"/>
    <w:rsid w:val="00D67D6F"/>
    <w:rsid w:val="00D7276A"/>
    <w:rsid w:val="00D74075"/>
    <w:rsid w:val="00D7478A"/>
    <w:rsid w:val="00D752AA"/>
    <w:rsid w:val="00D85386"/>
    <w:rsid w:val="00D903D9"/>
    <w:rsid w:val="00D94A7C"/>
    <w:rsid w:val="00D94FB4"/>
    <w:rsid w:val="00D95896"/>
    <w:rsid w:val="00DA1FD7"/>
    <w:rsid w:val="00DA43D6"/>
    <w:rsid w:val="00DA4BDB"/>
    <w:rsid w:val="00DB2983"/>
    <w:rsid w:val="00DC040F"/>
    <w:rsid w:val="00DC1257"/>
    <w:rsid w:val="00DC3DC0"/>
    <w:rsid w:val="00DC4139"/>
    <w:rsid w:val="00DC5B2B"/>
    <w:rsid w:val="00DD0790"/>
    <w:rsid w:val="00DD0802"/>
    <w:rsid w:val="00DD318D"/>
    <w:rsid w:val="00DD373B"/>
    <w:rsid w:val="00DD5C57"/>
    <w:rsid w:val="00DF14B2"/>
    <w:rsid w:val="00DF2E12"/>
    <w:rsid w:val="00DF514A"/>
    <w:rsid w:val="00DF6690"/>
    <w:rsid w:val="00DF6804"/>
    <w:rsid w:val="00E00455"/>
    <w:rsid w:val="00E0358D"/>
    <w:rsid w:val="00E03790"/>
    <w:rsid w:val="00E0400E"/>
    <w:rsid w:val="00E04323"/>
    <w:rsid w:val="00E070A2"/>
    <w:rsid w:val="00E10002"/>
    <w:rsid w:val="00E11057"/>
    <w:rsid w:val="00E1247B"/>
    <w:rsid w:val="00E12695"/>
    <w:rsid w:val="00E13D97"/>
    <w:rsid w:val="00E1479B"/>
    <w:rsid w:val="00E20370"/>
    <w:rsid w:val="00E2131A"/>
    <w:rsid w:val="00E22182"/>
    <w:rsid w:val="00E22610"/>
    <w:rsid w:val="00E2656A"/>
    <w:rsid w:val="00E26E96"/>
    <w:rsid w:val="00E3355E"/>
    <w:rsid w:val="00E412D0"/>
    <w:rsid w:val="00E42AA7"/>
    <w:rsid w:val="00E42CE6"/>
    <w:rsid w:val="00E43AC6"/>
    <w:rsid w:val="00E44F1D"/>
    <w:rsid w:val="00E4562A"/>
    <w:rsid w:val="00E479F8"/>
    <w:rsid w:val="00E555AC"/>
    <w:rsid w:val="00E56322"/>
    <w:rsid w:val="00E6050C"/>
    <w:rsid w:val="00E60982"/>
    <w:rsid w:val="00E626FF"/>
    <w:rsid w:val="00E62C62"/>
    <w:rsid w:val="00E635C4"/>
    <w:rsid w:val="00E654C1"/>
    <w:rsid w:val="00E65D97"/>
    <w:rsid w:val="00E66184"/>
    <w:rsid w:val="00E66FCF"/>
    <w:rsid w:val="00E719A5"/>
    <w:rsid w:val="00E72A5A"/>
    <w:rsid w:val="00E73354"/>
    <w:rsid w:val="00E73870"/>
    <w:rsid w:val="00E7630E"/>
    <w:rsid w:val="00E77448"/>
    <w:rsid w:val="00E81C30"/>
    <w:rsid w:val="00E828D6"/>
    <w:rsid w:val="00E86E50"/>
    <w:rsid w:val="00E92120"/>
    <w:rsid w:val="00E9242D"/>
    <w:rsid w:val="00E92FCB"/>
    <w:rsid w:val="00EA10F4"/>
    <w:rsid w:val="00EA5347"/>
    <w:rsid w:val="00EB1C0E"/>
    <w:rsid w:val="00EB5255"/>
    <w:rsid w:val="00EB5C47"/>
    <w:rsid w:val="00EB6D2E"/>
    <w:rsid w:val="00EB7EDC"/>
    <w:rsid w:val="00EC4589"/>
    <w:rsid w:val="00ED0639"/>
    <w:rsid w:val="00ED3729"/>
    <w:rsid w:val="00EE1215"/>
    <w:rsid w:val="00EE16AF"/>
    <w:rsid w:val="00EE1DF6"/>
    <w:rsid w:val="00EE3516"/>
    <w:rsid w:val="00EE396D"/>
    <w:rsid w:val="00EE4D46"/>
    <w:rsid w:val="00EF02F3"/>
    <w:rsid w:val="00EF4755"/>
    <w:rsid w:val="00EF4DE8"/>
    <w:rsid w:val="00EF7135"/>
    <w:rsid w:val="00F007B4"/>
    <w:rsid w:val="00F01CBB"/>
    <w:rsid w:val="00F027DB"/>
    <w:rsid w:val="00F05DAE"/>
    <w:rsid w:val="00F06B91"/>
    <w:rsid w:val="00F07801"/>
    <w:rsid w:val="00F13921"/>
    <w:rsid w:val="00F14A7A"/>
    <w:rsid w:val="00F16D69"/>
    <w:rsid w:val="00F17018"/>
    <w:rsid w:val="00F202FD"/>
    <w:rsid w:val="00F22985"/>
    <w:rsid w:val="00F3383E"/>
    <w:rsid w:val="00F33F2E"/>
    <w:rsid w:val="00F42CE3"/>
    <w:rsid w:val="00F4411C"/>
    <w:rsid w:val="00F465A7"/>
    <w:rsid w:val="00F50B7C"/>
    <w:rsid w:val="00F5489C"/>
    <w:rsid w:val="00F550E6"/>
    <w:rsid w:val="00F6024B"/>
    <w:rsid w:val="00F60A07"/>
    <w:rsid w:val="00F636E3"/>
    <w:rsid w:val="00F67F54"/>
    <w:rsid w:val="00F74345"/>
    <w:rsid w:val="00F80035"/>
    <w:rsid w:val="00F80A0A"/>
    <w:rsid w:val="00F820AC"/>
    <w:rsid w:val="00F82B19"/>
    <w:rsid w:val="00F85E54"/>
    <w:rsid w:val="00F91E76"/>
    <w:rsid w:val="00F9212D"/>
    <w:rsid w:val="00F95AB6"/>
    <w:rsid w:val="00F965DA"/>
    <w:rsid w:val="00FA0456"/>
    <w:rsid w:val="00FA04EA"/>
    <w:rsid w:val="00FA082E"/>
    <w:rsid w:val="00FA27A2"/>
    <w:rsid w:val="00FA33CD"/>
    <w:rsid w:val="00FA3BF9"/>
    <w:rsid w:val="00FA406A"/>
    <w:rsid w:val="00FA4B35"/>
    <w:rsid w:val="00FA760A"/>
    <w:rsid w:val="00FA7AD5"/>
    <w:rsid w:val="00FB297B"/>
    <w:rsid w:val="00FB503A"/>
    <w:rsid w:val="00FB516C"/>
    <w:rsid w:val="00FB62F5"/>
    <w:rsid w:val="00FC05E9"/>
    <w:rsid w:val="00FC3E87"/>
    <w:rsid w:val="00FC41FD"/>
    <w:rsid w:val="00FC431F"/>
    <w:rsid w:val="00FC5E24"/>
    <w:rsid w:val="00FC64B6"/>
    <w:rsid w:val="00FD0236"/>
    <w:rsid w:val="00FD18F4"/>
    <w:rsid w:val="00FD27F8"/>
    <w:rsid w:val="00FD54DB"/>
    <w:rsid w:val="00FD619F"/>
    <w:rsid w:val="00FE16FC"/>
    <w:rsid w:val="00FE1B34"/>
    <w:rsid w:val="00FE6E7A"/>
    <w:rsid w:val="00FF496C"/>
    <w:rsid w:val="00FF52AE"/>
    <w:rsid w:val="011949CD"/>
    <w:rsid w:val="01212CD5"/>
    <w:rsid w:val="012302C3"/>
    <w:rsid w:val="01290F7E"/>
    <w:rsid w:val="012D37A4"/>
    <w:rsid w:val="012F41F1"/>
    <w:rsid w:val="012F7699"/>
    <w:rsid w:val="0134548E"/>
    <w:rsid w:val="013B48B1"/>
    <w:rsid w:val="015D1E09"/>
    <w:rsid w:val="01633E9B"/>
    <w:rsid w:val="016674D7"/>
    <w:rsid w:val="01827F72"/>
    <w:rsid w:val="018662CE"/>
    <w:rsid w:val="019F7EB2"/>
    <w:rsid w:val="01B02834"/>
    <w:rsid w:val="01B95334"/>
    <w:rsid w:val="01BF5783"/>
    <w:rsid w:val="01D91F20"/>
    <w:rsid w:val="01DA3460"/>
    <w:rsid w:val="01E12F91"/>
    <w:rsid w:val="01E925F2"/>
    <w:rsid w:val="01F458CE"/>
    <w:rsid w:val="021067A8"/>
    <w:rsid w:val="02121669"/>
    <w:rsid w:val="023567F6"/>
    <w:rsid w:val="0245121E"/>
    <w:rsid w:val="0246450D"/>
    <w:rsid w:val="024B6E08"/>
    <w:rsid w:val="0253158E"/>
    <w:rsid w:val="025536F2"/>
    <w:rsid w:val="02567340"/>
    <w:rsid w:val="025E10F9"/>
    <w:rsid w:val="025E4701"/>
    <w:rsid w:val="026131C1"/>
    <w:rsid w:val="0261662C"/>
    <w:rsid w:val="02652640"/>
    <w:rsid w:val="02697903"/>
    <w:rsid w:val="02720839"/>
    <w:rsid w:val="0274213D"/>
    <w:rsid w:val="02764356"/>
    <w:rsid w:val="02785A56"/>
    <w:rsid w:val="028B36A9"/>
    <w:rsid w:val="028D5553"/>
    <w:rsid w:val="02A91D81"/>
    <w:rsid w:val="02AD56A9"/>
    <w:rsid w:val="02B44C05"/>
    <w:rsid w:val="02B824B5"/>
    <w:rsid w:val="02D74C67"/>
    <w:rsid w:val="02DC2156"/>
    <w:rsid w:val="02DE480D"/>
    <w:rsid w:val="02DF39F5"/>
    <w:rsid w:val="02E6773D"/>
    <w:rsid w:val="02EF4CE1"/>
    <w:rsid w:val="02F96569"/>
    <w:rsid w:val="02FD4838"/>
    <w:rsid w:val="03074550"/>
    <w:rsid w:val="030F693F"/>
    <w:rsid w:val="03166B1E"/>
    <w:rsid w:val="031F18A8"/>
    <w:rsid w:val="03206A62"/>
    <w:rsid w:val="033A6D09"/>
    <w:rsid w:val="03526967"/>
    <w:rsid w:val="036074F8"/>
    <w:rsid w:val="03694CA6"/>
    <w:rsid w:val="036D31FB"/>
    <w:rsid w:val="037A0D2F"/>
    <w:rsid w:val="037C1446"/>
    <w:rsid w:val="03830824"/>
    <w:rsid w:val="03922815"/>
    <w:rsid w:val="039D18E6"/>
    <w:rsid w:val="03A367D0"/>
    <w:rsid w:val="03A535D3"/>
    <w:rsid w:val="03A828B1"/>
    <w:rsid w:val="03AB5D47"/>
    <w:rsid w:val="03B7227C"/>
    <w:rsid w:val="03BE2CAF"/>
    <w:rsid w:val="03C365FF"/>
    <w:rsid w:val="03C86237"/>
    <w:rsid w:val="03D90945"/>
    <w:rsid w:val="03EA7B21"/>
    <w:rsid w:val="03FE574E"/>
    <w:rsid w:val="03FF355C"/>
    <w:rsid w:val="041B11B3"/>
    <w:rsid w:val="04245B63"/>
    <w:rsid w:val="04346589"/>
    <w:rsid w:val="04446111"/>
    <w:rsid w:val="045F64A0"/>
    <w:rsid w:val="04795B42"/>
    <w:rsid w:val="047A2DC7"/>
    <w:rsid w:val="048B6975"/>
    <w:rsid w:val="048D134F"/>
    <w:rsid w:val="04A3117E"/>
    <w:rsid w:val="04A445BC"/>
    <w:rsid w:val="04A70542"/>
    <w:rsid w:val="04B62533"/>
    <w:rsid w:val="04C1348B"/>
    <w:rsid w:val="04CA5E30"/>
    <w:rsid w:val="04DA6F7E"/>
    <w:rsid w:val="04EC0C31"/>
    <w:rsid w:val="04F0083F"/>
    <w:rsid w:val="04F23C90"/>
    <w:rsid w:val="04FC38D0"/>
    <w:rsid w:val="050357EF"/>
    <w:rsid w:val="05053A33"/>
    <w:rsid w:val="050B2AA0"/>
    <w:rsid w:val="053F69CD"/>
    <w:rsid w:val="054665A8"/>
    <w:rsid w:val="05485881"/>
    <w:rsid w:val="054D1176"/>
    <w:rsid w:val="05531274"/>
    <w:rsid w:val="055E6E53"/>
    <w:rsid w:val="05663FEC"/>
    <w:rsid w:val="0566574C"/>
    <w:rsid w:val="056B77C2"/>
    <w:rsid w:val="05973E61"/>
    <w:rsid w:val="05A607FA"/>
    <w:rsid w:val="05BB7523"/>
    <w:rsid w:val="05C354F5"/>
    <w:rsid w:val="05C375FE"/>
    <w:rsid w:val="05C649F8"/>
    <w:rsid w:val="05DA4873"/>
    <w:rsid w:val="05DB04A3"/>
    <w:rsid w:val="05DB6214"/>
    <w:rsid w:val="05DD246D"/>
    <w:rsid w:val="05E05ABA"/>
    <w:rsid w:val="05E10A0D"/>
    <w:rsid w:val="05E16785"/>
    <w:rsid w:val="05E54A0B"/>
    <w:rsid w:val="05EC1CBC"/>
    <w:rsid w:val="05F83EAE"/>
    <w:rsid w:val="05F851DA"/>
    <w:rsid w:val="06020126"/>
    <w:rsid w:val="0606676A"/>
    <w:rsid w:val="06071298"/>
    <w:rsid w:val="060C4B01"/>
    <w:rsid w:val="061816F7"/>
    <w:rsid w:val="061B11E8"/>
    <w:rsid w:val="06200CE7"/>
    <w:rsid w:val="062349F8"/>
    <w:rsid w:val="06280B31"/>
    <w:rsid w:val="062C6F51"/>
    <w:rsid w:val="06353733"/>
    <w:rsid w:val="06360EDD"/>
    <w:rsid w:val="063E7D85"/>
    <w:rsid w:val="064B4399"/>
    <w:rsid w:val="06500E91"/>
    <w:rsid w:val="06542CAB"/>
    <w:rsid w:val="06594E60"/>
    <w:rsid w:val="066D2517"/>
    <w:rsid w:val="067D48E8"/>
    <w:rsid w:val="06807708"/>
    <w:rsid w:val="068804A7"/>
    <w:rsid w:val="068C79F0"/>
    <w:rsid w:val="068C7B4A"/>
    <w:rsid w:val="069468A4"/>
    <w:rsid w:val="06957AF9"/>
    <w:rsid w:val="06A55197"/>
    <w:rsid w:val="06AB0E04"/>
    <w:rsid w:val="06C51AC6"/>
    <w:rsid w:val="06D82C35"/>
    <w:rsid w:val="06D9173D"/>
    <w:rsid w:val="06D95A8A"/>
    <w:rsid w:val="06E07C6C"/>
    <w:rsid w:val="06F114D9"/>
    <w:rsid w:val="06F7130D"/>
    <w:rsid w:val="06FA704F"/>
    <w:rsid w:val="07067F5D"/>
    <w:rsid w:val="071023CF"/>
    <w:rsid w:val="07135AA7"/>
    <w:rsid w:val="07172CA3"/>
    <w:rsid w:val="07293586"/>
    <w:rsid w:val="07295285"/>
    <w:rsid w:val="072A1B9B"/>
    <w:rsid w:val="072F4F4B"/>
    <w:rsid w:val="07360967"/>
    <w:rsid w:val="073953D7"/>
    <w:rsid w:val="073A73D0"/>
    <w:rsid w:val="07634BF4"/>
    <w:rsid w:val="07636392"/>
    <w:rsid w:val="07641192"/>
    <w:rsid w:val="07650F54"/>
    <w:rsid w:val="07733224"/>
    <w:rsid w:val="07770C56"/>
    <w:rsid w:val="077E1A2E"/>
    <w:rsid w:val="078260C4"/>
    <w:rsid w:val="07846919"/>
    <w:rsid w:val="07857FB4"/>
    <w:rsid w:val="078B414B"/>
    <w:rsid w:val="079052BE"/>
    <w:rsid w:val="07950C02"/>
    <w:rsid w:val="07B14F04"/>
    <w:rsid w:val="07D32269"/>
    <w:rsid w:val="07D74DBE"/>
    <w:rsid w:val="08043390"/>
    <w:rsid w:val="08161C67"/>
    <w:rsid w:val="082463FC"/>
    <w:rsid w:val="082549AF"/>
    <w:rsid w:val="084D277C"/>
    <w:rsid w:val="085239CE"/>
    <w:rsid w:val="08734E96"/>
    <w:rsid w:val="08744BDF"/>
    <w:rsid w:val="08851411"/>
    <w:rsid w:val="08887E8D"/>
    <w:rsid w:val="08907C4F"/>
    <w:rsid w:val="08921B11"/>
    <w:rsid w:val="089420B8"/>
    <w:rsid w:val="08976BC0"/>
    <w:rsid w:val="08A30B63"/>
    <w:rsid w:val="08A5174E"/>
    <w:rsid w:val="08A639AA"/>
    <w:rsid w:val="08AC6127"/>
    <w:rsid w:val="08AE1E9F"/>
    <w:rsid w:val="08AF5C17"/>
    <w:rsid w:val="08C01BD2"/>
    <w:rsid w:val="08C6279F"/>
    <w:rsid w:val="08CC0577"/>
    <w:rsid w:val="08D572C1"/>
    <w:rsid w:val="08DA1FE2"/>
    <w:rsid w:val="08DC64D3"/>
    <w:rsid w:val="08DF474E"/>
    <w:rsid w:val="08E367F2"/>
    <w:rsid w:val="08EB30F3"/>
    <w:rsid w:val="090303F6"/>
    <w:rsid w:val="091A7535"/>
    <w:rsid w:val="092108C3"/>
    <w:rsid w:val="092217DD"/>
    <w:rsid w:val="09225432"/>
    <w:rsid w:val="0927168D"/>
    <w:rsid w:val="0934640E"/>
    <w:rsid w:val="09391870"/>
    <w:rsid w:val="093A7294"/>
    <w:rsid w:val="09652EA6"/>
    <w:rsid w:val="098039C1"/>
    <w:rsid w:val="098E1B2F"/>
    <w:rsid w:val="09B434E5"/>
    <w:rsid w:val="09B67ABC"/>
    <w:rsid w:val="09BD7261"/>
    <w:rsid w:val="09C0632E"/>
    <w:rsid w:val="09E162A4"/>
    <w:rsid w:val="09E4099F"/>
    <w:rsid w:val="09E95FEA"/>
    <w:rsid w:val="09EF6776"/>
    <w:rsid w:val="09F4422A"/>
    <w:rsid w:val="09F935EE"/>
    <w:rsid w:val="09FD7E16"/>
    <w:rsid w:val="09FE14A3"/>
    <w:rsid w:val="0A222101"/>
    <w:rsid w:val="0A257BE8"/>
    <w:rsid w:val="0A263993"/>
    <w:rsid w:val="0A2D3298"/>
    <w:rsid w:val="0A2D3AC2"/>
    <w:rsid w:val="0A337D50"/>
    <w:rsid w:val="0A556FB2"/>
    <w:rsid w:val="0A597601"/>
    <w:rsid w:val="0A6856A9"/>
    <w:rsid w:val="0A943144"/>
    <w:rsid w:val="0A946CF9"/>
    <w:rsid w:val="0A960E3D"/>
    <w:rsid w:val="0A991CEE"/>
    <w:rsid w:val="0A9D21CB"/>
    <w:rsid w:val="0AA3084A"/>
    <w:rsid w:val="0AA755DF"/>
    <w:rsid w:val="0AAA48E8"/>
    <w:rsid w:val="0ABB1E29"/>
    <w:rsid w:val="0ABF65E6"/>
    <w:rsid w:val="0AD53DF9"/>
    <w:rsid w:val="0AEA1189"/>
    <w:rsid w:val="0AEC3153"/>
    <w:rsid w:val="0AEF3E75"/>
    <w:rsid w:val="0AFA6A9D"/>
    <w:rsid w:val="0B016BFE"/>
    <w:rsid w:val="0B120D44"/>
    <w:rsid w:val="0B39025F"/>
    <w:rsid w:val="0B3A6230"/>
    <w:rsid w:val="0B616A44"/>
    <w:rsid w:val="0B61769D"/>
    <w:rsid w:val="0B675807"/>
    <w:rsid w:val="0B6E652E"/>
    <w:rsid w:val="0B6F43AE"/>
    <w:rsid w:val="0B720225"/>
    <w:rsid w:val="0B7A3AC4"/>
    <w:rsid w:val="0B9D754D"/>
    <w:rsid w:val="0BA31A63"/>
    <w:rsid w:val="0BA93258"/>
    <w:rsid w:val="0BBA5438"/>
    <w:rsid w:val="0BC10A81"/>
    <w:rsid w:val="0BCA59B3"/>
    <w:rsid w:val="0BD27BF6"/>
    <w:rsid w:val="0BD82AA5"/>
    <w:rsid w:val="0BEA7692"/>
    <w:rsid w:val="0BF90DD5"/>
    <w:rsid w:val="0C1B20EA"/>
    <w:rsid w:val="0C1C4DC4"/>
    <w:rsid w:val="0C252478"/>
    <w:rsid w:val="0C297482"/>
    <w:rsid w:val="0C2A7432"/>
    <w:rsid w:val="0C314DA2"/>
    <w:rsid w:val="0C3B3C7D"/>
    <w:rsid w:val="0C3E79DE"/>
    <w:rsid w:val="0C572C27"/>
    <w:rsid w:val="0C5E698C"/>
    <w:rsid w:val="0C6446CE"/>
    <w:rsid w:val="0C831895"/>
    <w:rsid w:val="0C8A0ADC"/>
    <w:rsid w:val="0C8A49D1"/>
    <w:rsid w:val="0C942B9E"/>
    <w:rsid w:val="0C950E37"/>
    <w:rsid w:val="0CAB2EAE"/>
    <w:rsid w:val="0CAF75AF"/>
    <w:rsid w:val="0CBA6663"/>
    <w:rsid w:val="0CBE2103"/>
    <w:rsid w:val="0CCC323C"/>
    <w:rsid w:val="0CE00A95"/>
    <w:rsid w:val="0CF13EEA"/>
    <w:rsid w:val="0CF53F07"/>
    <w:rsid w:val="0CFB4C32"/>
    <w:rsid w:val="0CFF0F1B"/>
    <w:rsid w:val="0D1235E6"/>
    <w:rsid w:val="0D17689C"/>
    <w:rsid w:val="0D222919"/>
    <w:rsid w:val="0D341995"/>
    <w:rsid w:val="0D3D7C96"/>
    <w:rsid w:val="0D570D57"/>
    <w:rsid w:val="0D584ACF"/>
    <w:rsid w:val="0D5D3E94"/>
    <w:rsid w:val="0D5E2DF7"/>
    <w:rsid w:val="0D621C7D"/>
    <w:rsid w:val="0D833342"/>
    <w:rsid w:val="0D847672"/>
    <w:rsid w:val="0D8F76E7"/>
    <w:rsid w:val="0D961154"/>
    <w:rsid w:val="0D9E6986"/>
    <w:rsid w:val="0DA64093"/>
    <w:rsid w:val="0DA85E31"/>
    <w:rsid w:val="0DAA72FB"/>
    <w:rsid w:val="0DC1224B"/>
    <w:rsid w:val="0DDF620D"/>
    <w:rsid w:val="0E011F83"/>
    <w:rsid w:val="0E015524"/>
    <w:rsid w:val="0E082052"/>
    <w:rsid w:val="0E0B7738"/>
    <w:rsid w:val="0E116E7B"/>
    <w:rsid w:val="0E211404"/>
    <w:rsid w:val="0E4806A0"/>
    <w:rsid w:val="0E5232CD"/>
    <w:rsid w:val="0E527771"/>
    <w:rsid w:val="0E5509AF"/>
    <w:rsid w:val="0E5E6FE3"/>
    <w:rsid w:val="0E6059EA"/>
    <w:rsid w:val="0E73034D"/>
    <w:rsid w:val="0E794CFD"/>
    <w:rsid w:val="0E8A262A"/>
    <w:rsid w:val="0E907DF4"/>
    <w:rsid w:val="0E912C76"/>
    <w:rsid w:val="0E927B6D"/>
    <w:rsid w:val="0E963B01"/>
    <w:rsid w:val="0E9B300B"/>
    <w:rsid w:val="0EAB0992"/>
    <w:rsid w:val="0EB27122"/>
    <w:rsid w:val="0EB50FF2"/>
    <w:rsid w:val="0EB7581B"/>
    <w:rsid w:val="0ED116D2"/>
    <w:rsid w:val="0ED45712"/>
    <w:rsid w:val="0EF25C19"/>
    <w:rsid w:val="0EF91BF6"/>
    <w:rsid w:val="0F13775A"/>
    <w:rsid w:val="0F326FAC"/>
    <w:rsid w:val="0F490B74"/>
    <w:rsid w:val="0F4E3D3C"/>
    <w:rsid w:val="0F563275"/>
    <w:rsid w:val="0F563291"/>
    <w:rsid w:val="0F575F81"/>
    <w:rsid w:val="0F5F45FE"/>
    <w:rsid w:val="0F6B43D9"/>
    <w:rsid w:val="0F6E2388"/>
    <w:rsid w:val="0F73799F"/>
    <w:rsid w:val="0F7958ED"/>
    <w:rsid w:val="0F7B4AA5"/>
    <w:rsid w:val="0F9A112B"/>
    <w:rsid w:val="0F9D3B48"/>
    <w:rsid w:val="0FAF5CC0"/>
    <w:rsid w:val="0FC76184"/>
    <w:rsid w:val="0FCA3416"/>
    <w:rsid w:val="0FD92E58"/>
    <w:rsid w:val="0FDE7472"/>
    <w:rsid w:val="0FF05B30"/>
    <w:rsid w:val="10216AA3"/>
    <w:rsid w:val="1040054F"/>
    <w:rsid w:val="1054157E"/>
    <w:rsid w:val="10587D0B"/>
    <w:rsid w:val="10596B94"/>
    <w:rsid w:val="105C48D7"/>
    <w:rsid w:val="105D0B3E"/>
    <w:rsid w:val="106D2F64"/>
    <w:rsid w:val="106D43EE"/>
    <w:rsid w:val="108160EB"/>
    <w:rsid w:val="10831E63"/>
    <w:rsid w:val="1086286E"/>
    <w:rsid w:val="109141E8"/>
    <w:rsid w:val="10914580"/>
    <w:rsid w:val="10AA79F9"/>
    <w:rsid w:val="10B125F0"/>
    <w:rsid w:val="10B63710"/>
    <w:rsid w:val="10C06C14"/>
    <w:rsid w:val="10C34956"/>
    <w:rsid w:val="10C83391"/>
    <w:rsid w:val="10D95F27"/>
    <w:rsid w:val="10DD4C2D"/>
    <w:rsid w:val="10DF290D"/>
    <w:rsid w:val="10E8262F"/>
    <w:rsid w:val="10ED3781"/>
    <w:rsid w:val="10F10820"/>
    <w:rsid w:val="11034969"/>
    <w:rsid w:val="11041468"/>
    <w:rsid w:val="11195FCF"/>
    <w:rsid w:val="111C2F7A"/>
    <w:rsid w:val="111E393A"/>
    <w:rsid w:val="11220132"/>
    <w:rsid w:val="112B018C"/>
    <w:rsid w:val="112E585D"/>
    <w:rsid w:val="113416B5"/>
    <w:rsid w:val="113B11BA"/>
    <w:rsid w:val="114F7F97"/>
    <w:rsid w:val="11515ABE"/>
    <w:rsid w:val="11525702"/>
    <w:rsid w:val="11537A88"/>
    <w:rsid w:val="115B2DE0"/>
    <w:rsid w:val="115D26B4"/>
    <w:rsid w:val="11665CA1"/>
    <w:rsid w:val="11892769"/>
    <w:rsid w:val="118B7904"/>
    <w:rsid w:val="11910609"/>
    <w:rsid w:val="11946772"/>
    <w:rsid w:val="11A007F3"/>
    <w:rsid w:val="11A84347"/>
    <w:rsid w:val="11B30526"/>
    <w:rsid w:val="11CC15E8"/>
    <w:rsid w:val="11DB182B"/>
    <w:rsid w:val="11F76BA0"/>
    <w:rsid w:val="11F8418B"/>
    <w:rsid w:val="122B7DCB"/>
    <w:rsid w:val="1230601B"/>
    <w:rsid w:val="12463F45"/>
    <w:rsid w:val="12467F71"/>
    <w:rsid w:val="12577104"/>
    <w:rsid w:val="126B3663"/>
    <w:rsid w:val="126E057C"/>
    <w:rsid w:val="127B54E8"/>
    <w:rsid w:val="128D604D"/>
    <w:rsid w:val="12941E21"/>
    <w:rsid w:val="12B300E6"/>
    <w:rsid w:val="12C15FAC"/>
    <w:rsid w:val="12F41ED3"/>
    <w:rsid w:val="12FD2012"/>
    <w:rsid w:val="1300136F"/>
    <w:rsid w:val="13025B5F"/>
    <w:rsid w:val="130C48FD"/>
    <w:rsid w:val="131365EE"/>
    <w:rsid w:val="131E0384"/>
    <w:rsid w:val="132E3789"/>
    <w:rsid w:val="1340403C"/>
    <w:rsid w:val="13412AE6"/>
    <w:rsid w:val="134633B3"/>
    <w:rsid w:val="134D7BB0"/>
    <w:rsid w:val="135B5C3F"/>
    <w:rsid w:val="135B633B"/>
    <w:rsid w:val="136A730B"/>
    <w:rsid w:val="137242F9"/>
    <w:rsid w:val="137B209E"/>
    <w:rsid w:val="137E583A"/>
    <w:rsid w:val="13951726"/>
    <w:rsid w:val="13A77605"/>
    <w:rsid w:val="13BB665A"/>
    <w:rsid w:val="13C73F1E"/>
    <w:rsid w:val="13D330F5"/>
    <w:rsid w:val="13D64817"/>
    <w:rsid w:val="13D714E4"/>
    <w:rsid w:val="13DA12AC"/>
    <w:rsid w:val="13DF1AA7"/>
    <w:rsid w:val="13E26EC7"/>
    <w:rsid w:val="13E77FD2"/>
    <w:rsid w:val="13F65A3C"/>
    <w:rsid w:val="1404150D"/>
    <w:rsid w:val="140F6F71"/>
    <w:rsid w:val="14116F38"/>
    <w:rsid w:val="14205BD4"/>
    <w:rsid w:val="142A441A"/>
    <w:rsid w:val="143962DA"/>
    <w:rsid w:val="14396509"/>
    <w:rsid w:val="144731A8"/>
    <w:rsid w:val="145A1703"/>
    <w:rsid w:val="145E0C1D"/>
    <w:rsid w:val="145E648F"/>
    <w:rsid w:val="148443FC"/>
    <w:rsid w:val="148461AA"/>
    <w:rsid w:val="14AB7A11"/>
    <w:rsid w:val="14BB269D"/>
    <w:rsid w:val="14C111AC"/>
    <w:rsid w:val="14DD2C3C"/>
    <w:rsid w:val="14E02D75"/>
    <w:rsid w:val="14F0626A"/>
    <w:rsid w:val="14FF7BAF"/>
    <w:rsid w:val="15063063"/>
    <w:rsid w:val="153E27FD"/>
    <w:rsid w:val="15455939"/>
    <w:rsid w:val="15455D50"/>
    <w:rsid w:val="15520056"/>
    <w:rsid w:val="1565214A"/>
    <w:rsid w:val="158C28CD"/>
    <w:rsid w:val="158D1887"/>
    <w:rsid w:val="158F3058"/>
    <w:rsid w:val="159747F4"/>
    <w:rsid w:val="15A30C01"/>
    <w:rsid w:val="15B036FB"/>
    <w:rsid w:val="15D36669"/>
    <w:rsid w:val="15EA1BCA"/>
    <w:rsid w:val="15F25E76"/>
    <w:rsid w:val="16087E1D"/>
    <w:rsid w:val="162423F7"/>
    <w:rsid w:val="163E15B6"/>
    <w:rsid w:val="16465E0D"/>
    <w:rsid w:val="164A3AD6"/>
    <w:rsid w:val="165240B4"/>
    <w:rsid w:val="165C118C"/>
    <w:rsid w:val="165C73DE"/>
    <w:rsid w:val="1662150B"/>
    <w:rsid w:val="1662251B"/>
    <w:rsid w:val="166718DF"/>
    <w:rsid w:val="167634FB"/>
    <w:rsid w:val="168F23F6"/>
    <w:rsid w:val="169C3E79"/>
    <w:rsid w:val="16A166FF"/>
    <w:rsid w:val="16A55642"/>
    <w:rsid w:val="16AA2F92"/>
    <w:rsid w:val="16AE3B63"/>
    <w:rsid w:val="16C378E8"/>
    <w:rsid w:val="16CA57D2"/>
    <w:rsid w:val="16E178E4"/>
    <w:rsid w:val="17194DE5"/>
    <w:rsid w:val="172946EC"/>
    <w:rsid w:val="172D2B29"/>
    <w:rsid w:val="173E4D36"/>
    <w:rsid w:val="17400AAE"/>
    <w:rsid w:val="174A5489"/>
    <w:rsid w:val="175005C5"/>
    <w:rsid w:val="17546301"/>
    <w:rsid w:val="176A7284"/>
    <w:rsid w:val="17701D14"/>
    <w:rsid w:val="17735226"/>
    <w:rsid w:val="17773DA4"/>
    <w:rsid w:val="17813E0E"/>
    <w:rsid w:val="178D5376"/>
    <w:rsid w:val="17987430"/>
    <w:rsid w:val="179D3AF1"/>
    <w:rsid w:val="17B31280"/>
    <w:rsid w:val="17C20009"/>
    <w:rsid w:val="17CC40F0"/>
    <w:rsid w:val="17CE7E68"/>
    <w:rsid w:val="17F02E90"/>
    <w:rsid w:val="181B0BD3"/>
    <w:rsid w:val="181F6915"/>
    <w:rsid w:val="183A374F"/>
    <w:rsid w:val="184033D3"/>
    <w:rsid w:val="18475E6C"/>
    <w:rsid w:val="18505DB7"/>
    <w:rsid w:val="18546008"/>
    <w:rsid w:val="186B3909"/>
    <w:rsid w:val="188E3A9B"/>
    <w:rsid w:val="189B2598"/>
    <w:rsid w:val="189F624C"/>
    <w:rsid w:val="18A072E3"/>
    <w:rsid w:val="18AB2EF1"/>
    <w:rsid w:val="18BD142C"/>
    <w:rsid w:val="18C84E89"/>
    <w:rsid w:val="18CD5623"/>
    <w:rsid w:val="18CF07B5"/>
    <w:rsid w:val="18D07C10"/>
    <w:rsid w:val="18E07295"/>
    <w:rsid w:val="18EF453A"/>
    <w:rsid w:val="18F70887"/>
    <w:rsid w:val="190909CA"/>
    <w:rsid w:val="19097A42"/>
    <w:rsid w:val="190D2C12"/>
    <w:rsid w:val="190E76BE"/>
    <w:rsid w:val="192845BF"/>
    <w:rsid w:val="192B3098"/>
    <w:rsid w:val="193B4BF6"/>
    <w:rsid w:val="195D3144"/>
    <w:rsid w:val="19632832"/>
    <w:rsid w:val="1976176F"/>
    <w:rsid w:val="198303AF"/>
    <w:rsid w:val="198527A8"/>
    <w:rsid w:val="1991739F"/>
    <w:rsid w:val="199505E4"/>
    <w:rsid w:val="19AF1F1B"/>
    <w:rsid w:val="19BB4B95"/>
    <w:rsid w:val="19C01A32"/>
    <w:rsid w:val="19C8453D"/>
    <w:rsid w:val="19CE59FA"/>
    <w:rsid w:val="19D16A7B"/>
    <w:rsid w:val="19DB686C"/>
    <w:rsid w:val="19DC4392"/>
    <w:rsid w:val="19EF0C17"/>
    <w:rsid w:val="19F8741E"/>
    <w:rsid w:val="19FE07AD"/>
    <w:rsid w:val="1A120B79"/>
    <w:rsid w:val="1A1C66C0"/>
    <w:rsid w:val="1A2521DD"/>
    <w:rsid w:val="1A2603A9"/>
    <w:rsid w:val="1A2C0DC0"/>
    <w:rsid w:val="1A2D1C98"/>
    <w:rsid w:val="1A2E2078"/>
    <w:rsid w:val="1A3348FA"/>
    <w:rsid w:val="1A383620"/>
    <w:rsid w:val="1A42393B"/>
    <w:rsid w:val="1A4C4BFC"/>
    <w:rsid w:val="1A593266"/>
    <w:rsid w:val="1A6476F9"/>
    <w:rsid w:val="1A650FFA"/>
    <w:rsid w:val="1A66082C"/>
    <w:rsid w:val="1A6920CA"/>
    <w:rsid w:val="1A6B4D64"/>
    <w:rsid w:val="1A8C400A"/>
    <w:rsid w:val="1A9A33B4"/>
    <w:rsid w:val="1A9D1B1D"/>
    <w:rsid w:val="1AAB5CD6"/>
    <w:rsid w:val="1AAD45DE"/>
    <w:rsid w:val="1AE52321"/>
    <w:rsid w:val="1AE53D2C"/>
    <w:rsid w:val="1AF21283"/>
    <w:rsid w:val="1AF8344E"/>
    <w:rsid w:val="1B046F80"/>
    <w:rsid w:val="1B1D18FB"/>
    <w:rsid w:val="1B2808BE"/>
    <w:rsid w:val="1B300BF6"/>
    <w:rsid w:val="1B3267B5"/>
    <w:rsid w:val="1B3B2578"/>
    <w:rsid w:val="1B40161D"/>
    <w:rsid w:val="1B441859"/>
    <w:rsid w:val="1B470924"/>
    <w:rsid w:val="1B481CDF"/>
    <w:rsid w:val="1B4F1A04"/>
    <w:rsid w:val="1B513A11"/>
    <w:rsid w:val="1B5203F8"/>
    <w:rsid w:val="1B552E93"/>
    <w:rsid w:val="1B6606B1"/>
    <w:rsid w:val="1B6C4832"/>
    <w:rsid w:val="1B6D7998"/>
    <w:rsid w:val="1B750E0A"/>
    <w:rsid w:val="1B782269"/>
    <w:rsid w:val="1B8F210F"/>
    <w:rsid w:val="1B9413C8"/>
    <w:rsid w:val="1BAC551D"/>
    <w:rsid w:val="1BC248BA"/>
    <w:rsid w:val="1BD24C6D"/>
    <w:rsid w:val="1BEA723A"/>
    <w:rsid w:val="1C0B6CDA"/>
    <w:rsid w:val="1C1553FF"/>
    <w:rsid w:val="1C2534B1"/>
    <w:rsid w:val="1C3C3AD1"/>
    <w:rsid w:val="1C3D7816"/>
    <w:rsid w:val="1C3E30E2"/>
    <w:rsid w:val="1C5425EA"/>
    <w:rsid w:val="1C5775B1"/>
    <w:rsid w:val="1C5E7925"/>
    <w:rsid w:val="1C60701E"/>
    <w:rsid w:val="1C74340D"/>
    <w:rsid w:val="1C8013B6"/>
    <w:rsid w:val="1C8441BC"/>
    <w:rsid w:val="1C8D716C"/>
    <w:rsid w:val="1CB07EE8"/>
    <w:rsid w:val="1CB239BD"/>
    <w:rsid w:val="1CBA09BB"/>
    <w:rsid w:val="1CC63B1D"/>
    <w:rsid w:val="1CDB049A"/>
    <w:rsid w:val="1CE63B1B"/>
    <w:rsid w:val="1CFD070F"/>
    <w:rsid w:val="1CFD2F9D"/>
    <w:rsid w:val="1D0A37DD"/>
    <w:rsid w:val="1D0B7468"/>
    <w:rsid w:val="1D0C2186"/>
    <w:rsid w:val="1D0D19BA"/>
    <w:rsid w:val="1D1E1D0B"/>
    <w:rsid w:val="1D24677C"/>
    <w:rsid w:val="1D2642A2"/>
    <w:rsid w:val="1D303129"/>
    <w:rsid w:val="1D4D182F"/>
    <w:rsid w:val="1D585D8A"/>
    <w:rsid w:val="1D5E09BD"/>
    <w:rsid w:val="1D5F6196"/>
    <w:rsid w:val="1D6132A5"/>
    <w:rsid w:val="1D6372A4"/>
    <w:rsid w:val="1D6C5E75"/>
    <w:rsid w:val="1D727A2F"/>
    <w:rsid w:val="1D7339FC"/>
    <w:rsid w:val="1D8E56D5"/>
    <w:rsid w:val="1D8E6940"/>
    <w:rsid w:val="1D927B08"/>
    <w:rsid w:val="1DA71021"/>
    <w:rsid w:val="1DB25B36"/>
    <w:rsid w:val="1DB47B00"/>
    <w:rsid w:val="1DB83B06"/>
    <w:rsid w:val="1DC454C9"/>
    <w:rsid w:val="1DD97567"/>
    <w:rsid w:val="1DDE7065"/>
    <w:rsid w:val="1E01086B"/>
    <w:rsid w:val="1E187EF2"/>
    <w:rsid w:val="1E1A470B"/>
    <w:rsid w:val="1E1E4B3F"/>
    <w:rsid w:val="1E28404A"/>
    <w:rsid w:val="1E2F53D8"/>
    <w:rsid w:val="1E3869C7"/>
    <w:rsid w:val="1E4926F1"/>
    <w:rsid w:val="1E4E1D03"/>
    <w:rsid w:val="1E566E09"/>
    <w:rsid w:val="1E5A69F3"/>
    <w:rsid w:val="1E700AF7"/>
    <w:rsid w:val="1E71779F"/>
    <w:rsid w:val="1E7A43DA"/>
    <w:rsid w:val="1E7B061E"/>
    <w:rsid w:val="1E8E4F34"/>
    <w:rsid w:val="1EA3704B"/>
    <w:rsid w:val="1EAA5C8C"/>
    <w:rsid w:val="1EB4108A"/>
    <w:rsid w:val="1ECF77E1"/>
    <w:rsid w:val="1EDC76C7"/>
    <w:rsid w:val="1EDF6DFF"/>
    <w:rsid w:val="1EEB4816"/>
    <w:rsid w:val="1EF3326F"/>
    <w:rsid w:val="1EF34658"/>
    <w:rsid w:val="1EFA59E6"/>
    <w:rsid w:val="1EFC2612"/>
    <w:rsid w:val="1EFE6A05"/>
    <w:rsid w:val="1F072F63"/>
    <w:rsid w:val="1F1B2434"/>
    <w:rsid w:val="1F383320"/>
    <w:rsid w:val="1F394761"/>
    <w:rsid w:val="1F533349"/>
    <w:rsid w:val="1F5937C6"/>
    <w:rsid w:val="1F6115C2"/>
    <w:rsid w:val="1F642E60"/>
    <w:rsid w:val="1F6B1651"/>
    <w:rsid w:val="1F8452B0"/>
    <w:rsid w:val="1F896D6A"/>
    <w:rsid w:val="1F943352"/>
    <w:rsid w:val="1FBC2C9C"/>
    <w:rsid w:val="1FD07B27"/>
    <w:rsid w:val="1FD24E02"/>
    <w:rsid w:val="1FD53D5E"/>
    <w:rsid w:val="1FDC333E"/>
    <w:rsid w:val="1FE7539E"/>
    <w:rsid w:val="1FFA337D"/>
    <w:rsid w:val="20120BDC"/>
    <w:rsid w:val="20262741"/>
    <w:rsid w:val="202D3637"/>
    <w:rsid w:val="203D1C7C"/>
    <w:rsid w:val="20407429"/>
    <w:rsid w:val="204A785C"/>
    <w:rsid w:val="20541CA7"/>
    <w:rsid w:val="20570AEB"/>
    <w:rsid w:val="20574407"/>
    <w:rsid w:val="20671BE0"/>
    <w:rsid w:val="20735A50"/>
    <w:rsid w:val="207C31E7"/>
    <w:rsid w:val="207F634B"/>
    <w:rsid w:val="208337BA"/>
    <w:rsid w:val="208916BF"/>
    <w:rsid w:val="208A0FEC"/>
    <w:rsid w:val="208D0A85"/>
    <w:rsid w:val="20931C4F"/>
    <w:rsid w:val="20944838"/>
    <w:rsid w:val="20963CB8"/>
    <w:rsid w:val="20A57BD4"/>
    <w:rsid w:val="20A81A1B"/>
    <w:rsid w:val="20AD32DB"/>
    <w:rsid w:val="20B07FB6"/>
    <w:rsid w:val="20B646FB"/>
    <w:rsid w:val="20C95670"/>
    <w:rsid w:val="20CA4DEB"/>
    <w:rsid w:val="20CE6948"/>
    <w:rsid w:val="20D62BBB"/>
    <w:rsid w:val="20FD356C"/>
    <w:rsid w:val="20FD419F"/>
    <w:rsid w:val="21103BFF"/>
    <w:rsid w:val="211A26E0"/>
    <w:rsid w:val="211A4F36"/>
    <w:rsid w:val="21294361"/>
    <w:rsid w:val="213B74B1"/>
    <w:rsid w:val="214178FD"/>
    <w:rsid w:val="2152522B"/>
    <w:rsid w:val="215A2310"/>
    <w:rsid w:val="215A31C8"/>
    <w:rsid w:val="215C4618"/>
    <w:rsid w:val="217575A6"/>
    <w:rsid w:val="217C2CAD"/>
    <w:rsid w:val="21860CA9"/>
    <w:rsid w:val="218E16FF"/>
    <w:rsid w:val="2190585A"/>
    <w:rsid w:val="219D54A6"/>
    <w:rsid w:val="21A41AFB"/>
    <w:rsid w:val="21AB2FC8"/>
    <w:rsid w:val="21B66F1C"/>
    <w:rsid w:val="21C23FD2"/>
    <w:rsid w:val="21C72A3E"/>
    <w:rsid w:val="21C95466"/>
    <w:rsid w:val="21CD4909"/>
    <w:rsid w:val="21DE318A"/>
    <w:rsid w:val="21E21CC9"/>
    <w:rsid w:val="21EF5B80"/>
    <w:rsid w:val="21F7620D"/>
    <w:rsid w:val="21FB11D5"/>
    <w:rsid w:val="220D77DF"/>
    <w:rsid w:val="2234464E"/>
    <w:rsid w:val="223E3E3C"/>
    <w:rsid w:val="224D72CA"/>
    <w:rsid w:val="224F5F4C"/>
    <w:rsid w:val="22536AC3"/>
    <w:rsid w:val="22545DFC"/>
    <w:rsid w:val="22576990"/>
    <w:rsid w:val="22705591"/>
    <w:rsid w:val="22846A0E"/>
    <w:rsid w:val="22941CAE"/>
    <w:rsid w:val="22CC732E"/>
    <w:rsid w:val="22DD21AA"/>
    <w:rsid w:val="22E777EE"/>
    <w:rsid w:val="22EF7534"/>
    <w:rsid w:val="22F46D8D"/>
    <w:rsid w:val="22F47480"/>
    <w:rsid w:val="22F866E1"/>
    <w:rsid w:val="22FD3CF7"/>
    <w:rsid w:val="23015448"/>
    <w:rsid w:val="23056708"/>
    <w:rsid w:val="230A5AD7"/>
    <w:rsid w:val="23160915"/>
    <w:rsid w:val="23175DE3"/>
    <w:rsid w:val="23182A19"/>
    <w:rsid w:val="2320025F"/>
    <w:rsid w:val="234B4A63"/>
    <w:rsid w:val="234C4B12"/>
    <w:rsid w:val="236B3AFB"/>
    <w:rsid w:val="237463B2"/>
    <w:rsid w:val="23815648"/>
    <w:rsid w:val="23816D83"/>
    <w:rsid w:val="23865A9B"/>
    <w:rsid w:val="238A34CA"/>
    <w:rsid w:val="239A7949"/>
    <w:rsid w:val="23A5414A"/>
    <w:rsid w:val="23AB5501"/>
    <w:rsid w:val="23BC47D1"/>
    <w:rsid w:val="23D74B92"/>
    <w:rsid w:val="23DC56BB"/>
    <w:rsid w:val="23DE1C48"/>
    <w:rsid w:val="23E62CB9"/>
    <w:rsid w:val="23F45A33"/>
    <w:rsid w:val="23FA0237"/>
    <w:rsid w:val="240210CD"/>
    <w:rsid w:val="240864B0"/>
    <w:rsid w:val="240B3969"/>
    <w:rsid w:val="2425014F"/>
    <w:rsid w:val="2435301D"/>
    <w:rsid w:val="243629A0"/>
    <w:rsid w:val="243F6497"/>
    <w:rsid w:val="24516A71"/>
    <w:rsid w:val="245B23EC"/>
    <w:rsid w:val="2460453E"/>
    <w:rsid w:val="24653902"/>
    <w:rsid w:val="24674AE8"/>
    <w:rsid w:val="2483647E"/>
    <w:rsid w:val="24947C13"/>
    <w:rsid w:val="24B14D99"/>
    <w:rsid w:val="24BE74B6"/>
    <w:rsid w:val="24BF09F7"/>
    <w:rsid w:val="24C752B6"/>
    <w:rsid w:val="24D07CB8"/>
    <w:rsid w:val="24E61E3B"/>
    <w:rsid w:val="25031118"/>
    <w:rsid w:val="250D5433"/>
    <w:rsid w:val="252D53FE"/>
    <w:rsid w:val="2536529E"/>
    <w:rsid w:val="25382DC5"/>
    <w:rsid w:val="2542667D"/>
    <w:rsid w:val="254445CE"/>
    <w:rsid w:val="254F1289"/>
    <w:rsid w:val="255D6CCF"/>
    <w:rsid w:val="257C53A7"/>
    <w:rsid w:val="258778A8"/>
    <w:rsid w:val="258C4EBE"/>
    <w:rsid w:val="259C77F7"/>
    <w:rsid w:val="25A61E88"/>
    <w:rsid w:val="25AD72C5"/>
    <w:rsid w:val="25B14C9A"/>
    <w:rsid w:val="25BC1737"/>
    <w:rsid w:val="25BF4AB4"/>
    <w:rsid w:val="25C44658"/>
    <w:rsid w:val="25C468EC"/>
    <w:rsid w:val="25C55343"/>
    <w:rsid w:val="25DC00BB"/>
    <w:rsid w:val="25DC5E46"/>
    <w:rsid w:val="25DF1492"/>
    <w:rsid w:val="25EC2D81"/>
    <w:rsid w:val="25EE0655"/>
    <w:rsid w:val="25EE5A8E"/>
    <w:rsid w:val="26271AD9"/>
    <w:rsid w:val="263B7010"/>
    <w:rsid w:val="265005E2"/>
    <w:rsid w:val="265C0D35"/>
    <w:rsid w:val="266276B4"/>
    <w:rsid w:val="26671AA9"/>
    <w:rsid w:val="2667563A"/>
    <w:rsid w:val="266D2DC9"/>
    <w:rsid w:val="266D2F42"/>
    <w:rsid w:val="267B4BC8"/>
    <w:rsid w:val="268A6C3D"/>
    <w:rsid w:val="26924756"/>
    <w:rsid w:val="26B4291F"/>
    <w:rsid w:val="26B55545"/>
    <w:rsid w:val="26B741BD"/>
    <w:rsid w:val="26C95C9C"/>
    <w:rsid w:val="26C973CE"/>
    <w:rsid w:val="26DB71AF"/>
    <w:rsid w:val="26DD1E76"/>
    <w:rsid w:val="26EE598B"/>
    <w:rsid w:val="26EF3957"/>
    <w:rsid w:val="26F867EE"/>
    <w:rsid w:val="26FF5FBD"/>
    <w:rsid w:val="270E0B50"/>
    <w:rsid w:val="271001E2"/>
    <w:rsid w:val="27114CA3"/>
    <w:rsid w:val="273A59F5"/>
    <w:rsid w:val="274D4F09"/>
    <w:rsid w:val="275D5F9C"/>
    <w:rsid w:val="275E5415"/>
    <w:rsid w:val="27702CEA"/>
    <w:rsid w:val="277057A2"/>
    <w:rsid w:val="277858AD"/>
    <w:rsid w:val="277E2A63"/>
    <w:rsid w:val="27831145"/>
    <w:rsid w:val="27960276"/>
    <w:rsid w:val="279B588D"/>
    <w:rsid w:val="27A91D58"/>
    <w:rsid w:val="27AF043B"/>
    <w:rsid w:val="27CB5F53"/>
    <w:rsid w:val="27D4037A"/>
    <w:rsid w:val="27DE2E8F"/>
    <w:rsid w:val="27E87BB6"/>
    <w:rsid w:val="27F60478"/>
    <w:rsid w:val="27FC457D"/>
    <w:rsid w:val="28064485"/>
    <w:rsid w:val="28133675"/>
    <w:rsid w:val="281927B1"/>
    <w:rsid w:val="281B6AB2"/>
    <w:rsid w:val="28277120"/>
    <w:rsid w:val="28302479"/>
    <w:rsid w:val="2835183D"/>
    <w:rsid w:val="283D7E81"/>
    <w:rsid w:val="283F6263"/>
    <w:rsid w:val="284830CE"/>
    <w:rsid w:val="284F60D9"/>
    <w:rsid w:val="28620159"/>
    <w:rsid w:val="28697739"/>
    <w:rsid w:val="286E715F"/>
    <w:rsid w:val="287700A8"/>
    <w:rsid w:val="288A06D8"/>
    <w:rsid w:val="289761EF"/>
    <w:rsid w:val="28A276F2"/>
    <w:rsid w:val="28B5472C"/>
    <w:rsid w:val="28BA5189"/>
    <w:rsid w:val="28C332ED"/>
    <w:rsid w:val="28C50E13"/>
    <w:rsid w:val="28CC03F4"/>
    <w:rsid w:val="28D15293"/>
    <w:rsid w:val="28D63020"/>
    <w:rsid w:val="28EA087A"/>
    <w:rsid w:val="28FD69FA"/>
    <w:rsid w:val="29206EB8"/>
    <w:rsid w:val="2933688A"/>
    <w:rsid w:val="293734C5"/>
    <w:rsid w:val="29422464"/>
    <w:rsid w:val="294B26ED"/>
    <w:rsid w:val="29595666"/>
    <w:rsid w:val="295D729E"/>
    <w:rsid w:val="295F21E3"/>
    <w:rsid w:val="297D77CD"/>
    <w:rsid w:val="29874881"/>
    <w:rsid w:val="298F3BF9"/>
    <w:rsid w:val="29984596"/>
    <w:rsid w:val="299B6018"/>
    <w:rsid w:val="29A24BCE"/>
    <w:rsid w:val="29A72746"/>
    <w:rsid w:val="29B616BD"/>
    <w:rsid w:val="29B9024C"/>
    <w:rsid w:val="29C46615"/>
    <w:rsid w:val="29C514FC"/>
    <w:rsid w:val="29CD5128"/>
    <w:rsid w:val="29D357B2"/>
    <w:rsid w:val="29DD40DE"/>
    <w:rsid w:val="29E325E0"/>
    <w:rsid w:val="29E52C48"/>
    <w:rsid w:val="29F22455"/>
    <w:rsid w:val="2A133E00"/>
    <w:rsid w:val="2A156D54"/>
    <w:rsid w:val="2A2B7EBD"/>
    <w:rsid w:val="2A2C7D1E"/>
    <w:rsid w:val="2A3122C0"/>
    <w:rsid w:val="2A331DAD"/>
    <w:rsid w:val="2A43634E"/>
    <w:rsid w:val="2A452503"/>
    <w:rsid w:val="2A6374E8"/>
    <w:rsid w:val="2A691C72"/>
    <w:rsid w:val="2A6D3883"/>
    <w:rsid w:val="2A731944"/>
    <w:rsid w:val="2A83307B"/>
    <w:rsid w:val="2A834AE2"/>
    <w:rsid w:val="2A8D50A7"/>
    <w:rsid w:val="2AAA70FF"/>
    <w:rsid w:val="2AC43472"/>
    <w:rsid w:val="2AE764AE"/>
    <w:rsid w:val="2B05716D"/>
    <w:rsid w:val="2B1625B8"/>
    <w:rsid w:val="2B1E2A5D"/>
    <w:rsid w:val="2B203A60"/>
    <w:rsid w:val="2B2C2F4C"/>
    <w:rsid w:val="2B2D3F52"/>
    <w:rsid w:val="2B2D4A4E"/>
    <w:rsid w:val="2B522706"/>
    <w:rsid w:val="2B5E72FD"/>
    <w:rsid w:val="2B6101BB"/>
    <w:rsid w:val="2B682CA4"/>
    <w:rsid w:val="2B7721D4"/>
    <w:rsid w:val="2B790AAE"/>
    <w:rsid w:val="2B8124A8"/>
    <w:rsid w:val="2B8B06FC"/>
    <w:rsid w:val="2B9D7EDC"/>
    <w:rsid w:val="2BA936A8"/>
    <w:rsid w:val="2BC42F5F"/>
    <w:rsid w:val="2BCA23A1"/>
    <w:rsid w:val="2BE22D7D"/>
    <w:rsid w:val="2BE579A1"/>
    <w:rsid w:val="2BE9306B"/>
    <w:rsid w:val="2BEE4F9C"/>
    <w:rsid w:val="2BFC1102"/>
    <w:rsid w:val="2BFE0D8C"/>
    <w:rsid w:val="2BFF2AE0"/>
    <w:rsid w:val="2C02237E"/>
    <w:rsid w:val="2C08517A"/>
    <w:rsid w:val="2C0A131E"/>
    <w:rsid w:val="2C11611D"/>
    <w:rsid w:val="2C140C75"/>
    <w:rsid w:val="2C2C177A"/>
    <w:rsid w:val="2C315A5A"/>
    <w:rsid w:val="2C3167C0"/>
    <w:rsid w:val="2C3342E6"/>
    <w:rsid w:val="2C4958B7"/>
    <w:rsid w:val="2C4B1C25"/>
    <w:rsid w:val="2C5F6665"/>
    <w:rsid w:val="2C695F59"/>
    <w:rsid w:val="2C6D55AF"/>
    <w:rsid w:val="2C873F57"/>
    <w:rsid w:val="2C891B1B"/>
    <w:rsid w:val="2C8B5ED0"/>
    <w:rsid w:val="2C9165FD"/>
    <w:rsid w:val="2C9E20A7"/>
    <w:rsid w:val="2CB400D9"/>
    <w:rsid w:val="2CB76CC5"/>
    <w:rsid w:val="2CBD70C8"/>
    <w:rsid w:val="2CC15681"/>
    <w:rsid w:val="2CC41534"/>
    <w:rsid w:val="2CD935E2"/>
    <w:rsid w:val="2CF55A3F"/>
    <w:rsid w:val="2CF67876"/>
    <w:rsid w:val="2CF73565"/>
    <w:rsid w:val="2CF736AC"/>
    <w:rsid w:val="2CF866FB"/>
    <w:rsid w:val="2CF9552F"/>
    <w:rsid w:val="2D005746"/>
    <w:rsid w:val="2D0615C9"/>
    <w:rsid w:val="2D08278D"/>
    <w:rsid w:val="2D2A3110"/>
    <w:rsid w:val="2D376058"/>
    <w:rsid w:val="2D4A5646"/>
    <w:rsid w:val="2D4A5D8B"/>
    <w:rsid w:val="2D654973"/>
    <w:rsid w:val="2D884160"/>
    <w:rsid w:val="2D9E56F5"/>
    <w:rsid w:val="2DA059AB"/>
    <w:rsid w:val="2DA35ACE"/>
    <w:rsid w:val="2DAF2092"/>
    <w:rsid w:val="2DD94DB4"/>
    <w:rsid w:val="2DDF38C0"/>
    <w:rsid w:val="2DE57597"/>
    <w:rsid w:val="2DF50F47"/>
    <w:rsid w:val="2DFF115B"/>
    <w:rsid w:val="2E0B376C"/>
    <w:rsid w:val="2E274967"/>
    <w:rsid w:val="2E301E8A"/>
    <w:rsid w:val="2E312AA7"/>
    <w:rsid w:val="2E315B44"/>
    <w:rsid w:val="2E391D11"/>
    <w:rsid w:val="2E3D5617"/>
    <w:rsid w:val="2E3E53A1"/>
    <w:rsid w:val="2E444588"/>
    <w:rsid w:val="2E56250D"/>
    <w:rsid w:val="2E667F96"/>
    <w:rsid w:val="2E703B73"/>
    <w:rsid w:val="2E71315B"/>
    <w:rsid w:val="2E8226AB"/>
    <w:rsid w:val="2E8E259B"/>
    <w:rsid w:val="2E98487A"/>
    <w:rsid w:val="2EAE40F8"/>
    <w:rsid w:val="2EAF7A87"/>
    <w:rsid w:val="2EC8340B"/>
    <w:rsid w:val="2ECC0DE7"/>
    <w:rsid w:val="2ECE02F6"/>
    <w:rsid w:val="2ECF08DB"/>
    <w:rsid w:val="2ED70D81"/>
    <w:rsid w:val="2EF37D5C"/>
    <w:rsid w:val="2EFA733D"/>
    <w:rsid w:val="2F034443"/>
    <w:rsid w:val="2F0C5689"/>
    <w:rsid w:val="2F1C6ADF"/>
    <w:rsid w:val="2F1C7E9A"/>
    <w:rsid w:val="2F261BC9"/>
    <w:rsid w:val="2F2D3E72"/>
    <w:rsid w:val="2F315D7F"/>
    <w:rsid w:val="2F367D1A"/>
    <w:rsid w:val="2F511653"/>
    <w:rsid w:val="2F560454"/>
    <w:rsid w:val="2F560A17"/>
    <w:rsid w:val="2F565711"/>
    <w:rsid w:val="2F5729E1"/>
    <w:rsid w:val="2F601055"/>
    <w:rsid w:val="2F692D63"/>
    <w:rsid w:val="2F713AA3"/>
    <w:rsid w:val="2F7C7CA4"/>
    <w:rsid w:val="2F882B9B"/>
    <w:rsid w:val="2F8E31BA"/>
    <w:rsid w:val="2F990904"/>
    <w:rsid w:val="2FAE0CCC"/>
    <w:rsid w:val="2FB13E9F"/>
    <w:rsid w:val="2FB4335D"/>
    <w:rsid w:val="2FC34923"/>
    <w:rsid w:val="2FD065E6"/>
    <w:rsid w:val="2FD96870"/>
    <w:rsid w:val="2FE24286"/>
    <w:rsid w:val="2FE77634"/>
    <w:rsid w:val="2FFE6616"/>
    <w:rsid w:val="30000983"/>
    <w:rsid w:val="30030473"/>
    <w:rsid w:val="300F0BC6"/>
    <w:rsid w:val="303F598D"/>
    <w:rsid w:val="30405223"/>
    <w:rsid w:val="30504A45"/>
    <w:rsid w:val="30580BC9"/>
    <w:rsid w:val="305B205D"/>
    <w:rsid w:val="30782C0F"/>
    <w:rsid w:val="307C794F"/>
    <w:rsid w:val="308418CA"/>
    <w:rsid w:val="308B22A7"/>
    <w:rsid w:val="309940B3"/>
    <w:rsid w:val="30A9726C"/>
    <w:rsid w:val="30BA6D84"/>
    <w:rsid w:val="30C6397A"/>
    <w:rsid w:val="30F5600E"/>
    <w:rsid w:val="30F63FC7"/>
    <w:rsid w:val="310115DC"/>
    <w:rsid w:val="310C5790"/>
    <w:rsid w:val="310D4302"/>
    <w:rsid w:val="311B7355"/>
    <w:rsid w:val="311E2ED7"/>
    <w:rsid w:val="312D6143"/>
    <w:rsid w:val="31327262"/>
    <w:rsid w:val="315619EE"/>
    <w:rsid w:val="31562C78"/>
    <w:rsid w:val="315C449C"/>
    <w:rsid w:val="3166515D"/>
    <w:rsid w:val="318143C9"/>
    <w:rsid w:val="3186135C"/>
    <w:rsid w:val="31AF2660"/>
    <w:rsid w:val="31B82709"/>
    <w:rsid w:val="31B84A03"/>
    <w:rsid w:val="31C01434"/>
    <w:rsid w:val="31C169AB"/>
    <w:rsid w:val="31CA1248"/>
    <w:rsid w:val="31D05482"/>
    <w:rsid w:val="31DC5A91"/>
    <w:rsid w:val="31F369F1"/>
    <w:rsid w:val="31F6319E"/>
    <w:rsid w:val="320E382B"/>
    <w:rsid w:val="320F30FF"/>
    <w:rsid w:val="321626E0"/>
    <w:rsid w:val="321A149A"/>
    <w:rsid w:val="322A618B"/>
    <w:rsid w:val="322D17D7"/>
    <w:rsid w:val="323B2146"/>
    <w:rsid w:val="32400B34"/>
    <w:rsid w:val="32417C89"/>
    <w:rsid w:val="32545C17"/>
    <w:rsid w:val="3259201D"/>
    <w:rsid w:val="32597146"/>
    <w:rsid w:val="326564DD"/>
    <w:rsid w:val="326F6506"/>
    <w:rsid w:val="327D7359"/>
    <w:rsid w:val="329830F5"/>
    <w:rsid w:val="3298582E"/>
    <w:rsid w:val="329E6876"/>
    <w:rsid w:val="32B67A1F"/>
    <w:rsid w:val="32CB24FE"/>
    <w:rsid w:val="32E62BDB"/>
    <w:rsid w:val="331A5354"/>
    <w:rsid w:val="33260D7C"/>
    <w:rsid w:val="332B27A6"/>
    <w:rsid w:val="333015F2"/>
    <w:rsid w:val="334B6320"/>
    <w:rsid w:val="33581F4B"/>
    <w:rsid w:val="33590AD6"/>
    <w:rsid w:val="336A6781"/>
    <w:rsid w:val="336B6410"/>
    <w:rsid w:val="336D1431"/>
    <w:rsid w:val="336E5337"/>
    <w:rsid w:val="337C6AE8"/>
    <w:rsid w:val="33931BF5"/>
    <w:rsid w:val="33A97511"/>
    <w:rsid w:val="33AB50A9"/>
    <w:rsid w:val="33BE7168"/>
    <w:rsid w:val="33CA3782"/>
    <w:rsid w:val="33D934D4"/>
    <w:rsid w:val="33E5558B"/>
    <w:rsid w:val="33FE2F6A"/>
    <w:rsid w:val="340824FC"/>
    <w:rsid w:val="340E07E5"/>
    <w:rsid w:val="34100F66"/>
    <w:rsid w:val="34235BF7"/>
    <w:rsid w:val="34256C0A"/>
    <w:rsid w:val="342B741D"/>
    <w:rsid w:val="34412C63"/>
    <w:rsid w:val="34530FBE"/>
    <w:rsid w:val="345762D2"/>
    <w:rsid w:val="346106A8"/>
    <w:rsid w:val="346314E0"/>
    <w:rsid w:val="346947B6"/>
    <w:rsid w:val="348303B6"/>
    <w:rsid w:val="348730F6"/>
    <w:rsid w:val="3491429F"/>
    <w:rsid w:val="349F69BC"/>
    <w:rsid w:val="34A264AC"/>
    <w:rsid w:val="34BF2BBB"/>
    <w:rsid w:val="34C64D93"/>
    <w:rsid w:val="34C90B12"/>
    <w:rsid w:val="34C9305D"/>
    <w:rsid w:val="34D348B8"/>
    <w:rsid w:val="34DD2E52"/>
    <w:rsid w:val="34E22D4D"/>
    <w:rsid w:val="34E24BA9"/>
    <w:rsid w:val="34E4192B"/>
    <w:rsid w:val="34E72111"/>
    <w:rsid w:val="34E77600"/>
    <w:rsid w:val="34F5607C"/>
    <w:rsid w:val="34F647B4"/>
    <w:rsid w:val="34F72A66"/>
    <w:rsid w:val="35004F81"/>
    <w:rsid w:val="35040DF3"/>
    <w:rsid w:val="351849C1"/>
    <w:rsid w:val="352F719A"/>
    <w:rsid w:val="3537243D"/>
    <w:rsid w:val="35385E67"/>
    <w:rsid w:val="353C245D"/>
    <w:rsid w:val="3542559A"/>
    <w:rsid w:val="354D3BD6"/>
    <w:rsid w:val="354D3CC9"/>
    <w:rsid w:val="355377A7"/>
    <w:rsid w:val="35562489"/>
    <w:rsid w:val="355F7EFA"/>
    <w:rsid w:val="356C42ED"/>
    <w:rsid w:val="357A4D33"/>
    <w:rsid w:val="35812566"/>
    <w:rsid w:val="35812C86"/>
    <w:rsid w:val="358C5FA8"/>
    <w:rsid w:val="359236C7"/>
    <w:rsid w:val="35957DBF"/>
    <w:rsid w:val="359A4474"/>
    <w:rsid w:val="359D2487"/>
    <w:rsid w:val="359E3D7C"/>
    <w:rsid w:val="35A52E1A"/>
    <w:rsid w:val="35A818A1"/>
    <w:rsid w:val="35AC24B6"/>
    <w:rsid w:val="35AD5109"/>
    <w:rsid w:val="35C15DF1"/>
    <w:rsid w:val="35D30255"/>
    <w:rsid w:val="35DE52C2"/>
    <w:rsid w:val="35E02D95"/>
    <w:rsid w:val="35E30B2B"/>
    <w:rsid w:val="35EB2255"/>
    <w:rsid w:val="35ED0E58"/>
    <w:rsid w:val="35F47056"/>
    <w:rsid w:val="35FE3BB6"/>
    <w:rsid w:val="36004255"/>
    <w:rsid w:val="36043061"/>
    <w:rsid w:val="36074A7F"/>
    <w:rsid w:val="360B0081"/>
    <w:rsid w:val="360E639C"/>
    <w:rsid w:val="36126734"/>
    <w:rsid w:val="36284378"/>
    <w:rsid w:val="362967B5"/>
    <w:rsid w:val="362F43FA"/>
    <w:rsid w:val="36332A30"/>
    <w:rsid w:val="36392A0F"/>
    <w:rsid w:val="363A7013"/>
    <w:rsid w:val="363F7524"/>
    <w:rsid w:val="364C52F8"/>
    <w:rsid w:val="365E6403"/>
    <w:rsid w:val="366A5421"/>
    <w:rsid w:val="366D29B1"/>
    <w:rsid w:val="366E4165"/>
    <w:rsid w:val="368220F2"/>
    <w:rsid w:val="36851BE2"/>
    <w:rsid w:val="36853990"/>
    <w:rsid w:val="36923549"/>
    <w:rsid w:val="369241CB"/>
    <w:rsid w:val="36AA560A"/>
    <w:rsid w:val="36AC716F"/>
    <w:rsid w:val="36B75FBF"/>
    <w:rsid w:val="36B816EC"/>
    <w:rsid w:val="36BD0C45"/>
    <w:rsid w:val="36C2499A"/>
    <w:rsid w:val="36C4095C"/>
    <w:rsid w:val="36CA3897"/>
    <w:rsid w:val="36CE177E"/>
    <w:rsid w:val="36DB2484"/>
    <w:rsid w:val="36E60560"/>
    <w:rsid w:val="36EE3FD8"/>
    <w:rsid w:val="370A0339"/>
    <w:rsid w:val="371C3F04"/>
    <w:rsid w:val="372165EA"/>
    <w:rsid w:val="372D3C50"/>
    <w:rsid w:val="372D686A"/>
    <w:rsid w:val="37335044"/>
    <w:rsid w:val="373C4996"/>
    <w:rsid w:val="37421881"/>
    <w:rsid w:val="37551F60"/>
    <w:rsid w:val="375A75B3"/>
    <w:rsid w:val="376A3337"/>
    <w:rsid w:val="376A5AD6"/>
    <w:rsid w:val="37735EDE"/>
    <w:rsid w:val="37863E63"/>
    <w:rsid w:val="37870D15"/>
    <w:rsid w:val="37950385"/>
    <w:rsid w:val="37976071"/>
    <w:rsid w:val="37AE12CD"/>
    <w:rsid w:val="37C472BE"/>
    <w:rsid w:val="37C8622A"/>
    <w:rsid w:val="37D35E7A"/>
    <w:rsid w:val="37DE43B0"/>
    <w:rsid w:val="37E00298"/>
    <w:rsid w:val="37E33064"/>
    <w:rsid w:val="37E91D64"/>
    <w:rsid w:val="38084878"/>
    <w:rsid w:val="380B1ADE"/>
    <w:rsid w:val="380D00E1"/>
    <w:rsid w:val="38133EA7"/>
    <w:rsid w:val="381F0B42"/>
    <w:rsid w:val="382343C6"/>
    <w:rsid w:val="382B3962"/>
    <w:rsid w:val="38561E84"/>
    <w:rsid w:val="38564370"/>
    <w:rsid w:val="3870241E"/>
    <w:rsid w:val="38B302F9"/>
    <w:rsid w:val="38B7163A"/>
    <w:rsid w:val="38BD2E8C"/>
    <w:rsid w:val="38C46460"/>
    <w:rsid w:val="38E22FB0"/>
    <w:rsid w:val="38EA636E"/>
    <w:rsid w:val="38ED379F"/>
    <w:rsid w:val="38F12CD3"/>
    <w:rsid w:val="38F94775"/>
    <w:rsid w:val="391368BC"/>
    <w:rsid w:val="391A60AE"/>
    <w:rsid w:val="392971ED"/>
    <w:rsid w:val="392A6A70"/>
    <w:rsid w:val="392B6964"/>
    <w:rsid w:val="39325651"/>
    <w:rsid w:val="39432B77"/>
    <w:rsid w:val="395D6E46"/>
    <w:rsid w:val="396226AE"/>
    <w:rsid w:val="3978592E"/>
    <w:rsid w:val="397A79F8"/>
    <w:rsid w:val="397E390A"/>
    <w:rsid w:val="397E4306"/>
    <w:rsid w:val="398652CB"/>
    <w:rsid w:val="398F4B84"/>
    <w:rsid w:val="39923F83"/>
    <w:rsid w:val="39A44A75"/>
    <w:rsid w:val="39BA1395"/>
    <w:rsid w:val="39C72511"/>
    <w:rsid w:val="39C75FE6"/>
    <w:rsid w:val="39C944DB"/>
    <w:rsid w:val="39D8110F"/>
    <w:rsid w:val="39DA0E9F"/>
    <w:rsid w:val="3A0568AB"/>
    <w:rsid w:val="3A0F6392"/>
    <w:rsid w:val="3A127C30"/>
    <w:rsid w:val="3A143FD8"/>
    <w:rsid w:val="3A1A0893"/>
    <w:rsid w:val="3A230F6F"/>
    <w:rsid w:val="3A26548A"/>
    <w:rsid w:val="3A331955"/>
    <w:rsid w:val="3A347BA7"/>
    <w:rsid w:val="3A3E2552"/>
    <w:rsid w:val="3A445F57"/>
    <w:rsid w:val="3A5169AB"/>
    <w:rsid w:val="3A6B1AE9"/>
    <w:rsid w:val="3A872856"/>
    <w:rsid w:val="3A8B1BBE"/>
    <w:rsid w:val="3A9D2BAA"/>
    <w:rsid w:val="3AA04ECA"/>
    <w:rsid w:val="3AA545BD"/>
    <w:rsid w:val="3AA60C65"/>
    <w:rsid w:val="3AA92195"/>
    <w:rsid w:val="3AB122F7"/>
    <w:rsid w:val="3ABA7538"/>
    <w:rsid w:val="3AC52EF5"/>
    <w:rsid w:val="3AC52F9C"/>
    <w:rsid w:val="3AC609EC"/>
    <w:rsid w:val="3AC802EF"/>
    <w:rsid w:val="3AC97759"/>
    <w:rsid w:val="3AD042BF"/>
    <w:rsid w:val="3AD44EE6"/>
    <w:rsid w:val="3AE612FB"/>
    <w:rsid w:val="3AF45588"/>
    <w:rsid w:val="3AF61300"/>
    <w:rsid w:val="3AFF0D6C"/>
    <w:rsid w:val="3B0C0EAC"/>
    <w:rsid w:val="3B0F55B1"/>
    <w:rsid w:val="3B1B37B2"/>
    <w:rsid w:val="3B281F40"/>
    <w:rsid w:val="3B3763D1"/>
    <w:rsid w:val="3B3D0CDD"/>
    <w:rsid w:val="3B516536"/>
    <w:rsid w:val="3B595665"/>
    <w:rsid w:val="3B5D218B"/>
    <w:rsid w:val="3B7B1805"/>
    <w:rsid w:val="3B806E1C"/>
    <w:rsid w:val="3B833C89"/>
    <w:rsid w:val="3B8C756F"/>
    <w:rsid w:val="3B902032"/>
    <w:rsid w:val="3B9B63F8"/>
    <w:rsid w:val="3BA61D3D"/>
    <w:rsid w:val="3BCA48DC"/>
    <w:rsid w:val="3BDC6748"/>
    <w:rsid w:val="3BDF7FE6"/>
    <w:rsid w:val="3BE4357A"/>
    <w:rsid w:val="3BE550AA"/>
    <w:rsid w:val="3BE94182"/>
    <w:rsid w:val="3BEE0DEE"/>
    <w:rsid w:val="3BF65ED8"/>
    <w:rsid w:val="3BF65F79"/>
    <w:rsid w:val="3BFC4D18"/>
    <w:rsid w:val="3BFD5DA1"/>
    <w:rsid w:val="3C096E11"/>
    <w:rsid w:val="3C0A69BB"/>
    <w:rsid w:val="3C1A7270"/>
    <w:rsid w:val="3C261771"/>
    <w:rsid w:val="3C2B4FD9"/>
    <w:rsid w:val="3C2F6E1E"/>
    <w:rsid w:val="3C326E82"/>
    <w:rsid w:val="3C364F71"/>
    <w:rsid w:val="3C4F64BA"/>
    <w:rsid w:val="3C5B6EE5"/>
    <w:rsid w:val="3C5D7AF9"/>
    <w:rsid w:val="3C6522FD"/>
    <w:rsid w:val="3C65673D"/>
    <w:rsid w:val="3C6A620C"/>
    <w:rsid w:val="3C6F6EE2"/>
    <w:rsid w:val="3C833B1B"/>
    <w:rsid w:val="3C914AAE"/>
    <w:rsid w:val="3CB23005"/>
    <w:rsid w:val="3CBA5ED8"/>
    <w:rsid w:val="3CC9107F"/>
    <w:rsid w:val="3CCD04B8"/>
    <w:rsid w:val="3CDA245A"/>
    <w:rsid w:val="3CE07B72"/>
    <w:rsid w:val="3CFA6BDE"/>
    <w:rsid w:val="3CFF1A3B"/>
    <w:rsid w:val="3D06409E"/>
    <w:rsid w:val="3D0D5719"/>
    <w:rsid w:val="3D1E06B7"/>
    <w:rsid w:val="3D274C6D"/>
    <w:rsid w:val="3D2F0AF9"/>
    <w:rsid w:val="3D3D55F2"/>
    <w:rsid w:val="3D4E5760"/>
    <w:rsid w:val="3D7C7191"/>
    <w:rsid w:val="3D820C29"/>
    <w:rsid w:val="3D9E7465"/>
    <w:rsid w:val="3DA45043"/>
    <w:rsid w:val="3DB20E5A"/>
    <w:rsid w:val="3DB73C74"/>
    <w:rsid w:val="3DB85315"/>
    <w:rsid w:val="3DC3577B"/>
    <w:rsid w:val="3DC456E6"/>
    <w:rsid w:val="3DCE0312"/>
    <w:rsid w:val="3DCE3E6E"/>
    <w:rsid w:val="3DE4216E"/>
    <w:rsid w:val="3DF8713D"/>
    <w:rsid w:val="3E001086"/>
    <w:rsid w:val="3E022E57"/>
    <w:rsid w:val="3E082EB5"/>
    <w:rsid w:val="3E09759C"/>
    <w:rsid w:val="3E23240C"/>
    <w:rsid w:val="3E2A7F63"/>
    <w:rsid w:val="3E2F0889"/>
    <w:rsid w:val="3E355C17"/>
    <w:rsid w:val="3E37538D"/>
    <w:rsid w:val="3E382516"/>
    <w:rsid w:val="3E3E3DC6"/>
    <w:rsid w:val="3E3E7059"/>
    <w:rsid w:val="3E3F662A"/>
    <w:rsid w:val="3E650ED7"/>
    <w:rsid w:val="3E682459"/>
    <w:rsid w:val="3E771902"/>
    <w:rsid w:val="3E923810"/>
    <w:rsid w:val="3E9B743B"/>
    <w:rsid w:val="3EBE4E2C"/>
    <w:rsid w:val="3EC314F9"/>
    <w:rsid w:val="3ED33A49"/>
    <w:rsid w:val="3ED6747E"/>
    <w:rsid w:val="3EDA0523"/>
    <w:rsid w:val="3EE33949"/>
    <w:rsid w:val="3EE939CC"/>
    <w:rsid w:val="3EF72DC4"/>
    <w:rsid w:val="3F0600C3"/>
    <w:rsid w:val="3F0E5CC1"/>
    <w:rsid w:val="3F1760B6"/>
    <w:rsid w:val="3F23628E"/>
    <w:rsid w:val="3F375FF5"/>
    <w:rsid w:val="3F4916B4"/>
    <w:rsid w:val="3F4C7F54"/>
    <w:rsid w:val="3F5F3DF5"/>
    <w:rsid w:val="3F682AE6"/>
    <w:rsid w:val="3F697E0F"/>
    <w:rsid w:val="3F6C1B91"/>
    <w:rsid w:val="3F7224A9"/>
    <w:rsid w:val="3F7D5FC9"/>
    <w:rsid w:val="3F924981"/>
    <w:rsid w:val="3F970471"/>
    <w:rsid w:val="3FBF638D"/>
    <w:rsid w:val="3FD260B4"/>
    <w:rsid w:val="3FE237B7"/>
    <w:rsid w:val="3FEB048D"/>
    <w:rsid w:val="3FF12096"/>
    <w:rsid w:val="3FF23B45"/>
    <w:rsid w:val="3FF315EA"/>
    <w:rsid w:val="3FFA0F65"/>
    <w:rsid w:val="3FFB4522"/>
    <w:rsid w:val="400F3C62"/>
    <w:rsid w:val="40182058"/>
    <w:rsid w:val="4023630A"/>
    <w:rsid w:val="40286CC1"/>
    <w:rsid w:val="402D2BC5"/>
    <w:rsid w:val="40302BBE"/>
    <w:rsid w:val="403614E5"/>
    <w:rsid w:val="4037219F"/>
    <w:rsid w:val="406B1E48"/>
    <w:rsid w:val="406F5ECB"/>
    <w:rsid w:val="407231D7"/>
    <w:rsid w:val="407A6407"/>
    <w:rsid w:val="408661F6"/>
    <w:rsid w:val="40925627"/>
    <w:rsid w:val="40977008"/>
    <w:rsid w:val="40BE0F76"/>
    <w:rsid w:val="40C27C3D"/>
    <w:rsid w:val="40C72913"/>
    <w:rsid w:val="40D763FF"/>
    <w:rsid w:val="40D962EA"/>
    <w:rsid w:val="40DB00D3"/>
    <w:rsid w:val="40DE0554"/>
    <w:rsid w:val="40DE330A"/>
    <w:rsid w:val="40EA5463"/>
    <w:rsid w:val="40F747E3"/>
    <w:rsid w:val="40F77B80"/>
    <w:rsid w:val="41183268"/>
    <w:rsid w:val="411B41E8"/>
    <w:rsid w:val="41272213"/>
    <w:rsid w:val="41281083"/>
    <w:rsid w:val="41362456"/>
    <w:rsid w:val="415154E2"/>
    <w:rsid w:val="41650F8E"/>
    <w:rsid w:val="41815EC7"/>
    <w:rsid w:val="419453CF"/>
    <w:rsid w:val="41947EA6"/>
    <w:rsid w:val="41A34585"/>
    <w:rsid w:val="41A76EB0"/>
    <w:rsid w:val="41AF2209"/>
    <w:rsid w:val="41B766BA"/>
    <w:rsid w:val="41BB0BAE"/>
    <w:rsid w:val="41D028AB"/>
    <w:rsid w:val="41D2043A"/>
    <w:rsid w:val="41D774D7"/>
    <w:rsid w:val="41F83A29"/>
    <w:rsid w:val="41FD4D22"/>
    <w:rsid w:val="4200449D"/>
    <w:rsid w:val="420C61F0"/>
    <w:rsid w:val="421502BE"/>
    <w:rsid w:val="423A3BCC"/>
    <w:rsid w:val="424633F6"/>
    <w:rsid w:val="424912EC"/>
    <w:rsid w:val="424E57D2"/>
    <w:rsid w:val="42500A3B"/>
    <w:rsid w:val="4266759E"/>
    <w:rsid w:val="42A96C58"/>
    <w:rsid w:val="42AF5EDB"/>
    <w:rsid w:val="42B26C49"/>
    <w:rsid w:val="42B77DA7"/>
    <w:rsid w:val="42CD6DEA"/>
    <w:rsid w:val="42DA5063"/>
    <w:rsid w:val="42E03E8C"/>
    <w:rsid w:val="42F9198D"/>
    <w:rsid w:val="430C45F6"/>
    <w:rsid w:val="431762B8"/>
    <w:rsid w:val="432033BE"/>
    <w:rsid w:val="433A6FE6"/>
    <w:rsid w:val="4340580E"/>
    <w:rsid w:val="43480868"/>
    <w:rsid w:val="4349073A"/>
    <w:rsid w:val="434D464A"/>
    <w:rsid w:val="4350713C"/>
    <w:rsid w:val="436653E0"/>
    <w:rsid w:val="438411B1"/>
    <w:rsid w:val="43993E4F"/>
    <w:rsid w:val="43A7763B"/>
    <w:rsid w:val="43B104BA"/>
    <w:rsid w:val="43C4431A"/>
    <w:rsid w:val="43D13525"/>
    <w:rsid w:val="43D61269"/>
    <w:rsid w:val="43ED77AC"/>
    <w:rsid w:val="43FD548B"/>
    <w:rsid w:val="43FF454F"/>
    <w:rsid w:val="44116964"/>
    <w:rsid w:val="443534D1"/>
    <w:rsid w:val="444E5D09"/>
    <w:rsid w:val="445350CD"/>
    <w:rsid w:val="4468409B"/>
    <w:rsid w:val="446B61D6"/>
    <w:rsid w:val="446D381E"/>
    <w:rsid w:val="448B1659"/>
    <w:rsid w:val="44935604"/>
    <w:rsid w:val="44A72AD6"/>
    <w:rsid w:val="44A95F03"/>
    <w:rsid w:val="44AB5E88"/>
    <w:rsid w:val="44AE1A1A"/>
    <w:rsid w:val="44B951CC"/>
    <w:rsid w:val="44BA2944"/>
    <w:rsid w:val="44CB1108"/>
    <w:rsid w:val="44CD14E0"/>
    <w:rsid w:val="44CD4E80"/>
    <w:rsid w:val="44ED79D0"/>
    <w:rsid w:val="44F20B0B"/>
    <w:rsid w:val="450C6879"/>
    <w:rsid w:val="451958FB"/>
    <w:rsid w:val="452E5F4C"/>
    <w:rsid w:val="453D1CBB"/>
    <w:rsid w:val="45421DE7"/>
    <w:rsid w:val="4548434B"/>
    <w:rsid w:val="45612018"/>
    <w:rsid w:val="456B4699"/>
    <w:rsid w:val="45765517"/>
    <w:rsid w:val="458946E9"/>
    <w:rsid w:val="458E7597"/>
    <w:rsid w:val="45A47C0E"/>
    <w:rsid w:val="45A809B1"/>
    <w:rsid w:val="45A81449"/>
    <w:rsid w:val="45AA0453"/>
    <w:rsid w:val="45AE3227"/>
    <w:rsid w:val="45C046FE"/>
    <w:rsid w:val="45C34DD1"/>
    <w:rsid w:val="45C716A2"/>
    <w:rsid w:val="45C71707"/>
    <w:rsid w:val="45D333DD"/>
    <w:rsid w:val="45D365B1"/>
    <w:rsid w:val="45DD3D90"/>
    <w:rsid w:val="45EC57D9"/>
    <w:rsid w:val="45EF0E26"/>
    <w:rsid w:val="45F16A80"/>
    <w:rsid w:val="46081EE8"/>
    <w:rsid w:val="460B0B8E"/>
    <w:rsid w:val="4613508E"/>
    <w:rsid w:val="461A0599"/>
    <w:rsid w:val="462705C0"/>
    <w:rsid w:val="462D7A1B"/>
    <w:rsid w:val="46362EF9"/>
    <w:rsid w:val="463A37C2"/>
    <w:rsid w:val="463B406B"/>
    <w:rsid w:val="464C207C"/>
    <w:rsid w:val="46577FD6"/>
    <w:rsid w:val="46615CEC"/>
    <w:rsid w:val="466B0DF4"/>
    <w:rsid w:val="466D4250"/>
    <w:rsid w:val="46773B8D"/>
    <w:rsid w:val="468A24F0"/>
    <w:rsid w:val="468C0D6B"/>
    <w:rsid w:val="46A63BDA"/>
    <w:rsid w:val="46BF4B3C"/>
    <w:rsid w:val="46D11C99"/>
    <w:rsid w:val="46D65183"/>
    <w:rsid w:val="46D955A7"/>
    <w:rsid w:val="46DE26E1"/>
    <w:rsid w:val="46F34946"/>
    <w:rsid w:val="46F72688"/>
    <w:rsid w:val="46F806F8"/>
    <w:rsid w:val="46FE417E"/>
    <w:rsid w:val="47061461"/>
    <w:rsid w:val="47133957"/>
    <w:rsid w:val="47140AA5"/>
    <w:rsid w:val="471F398D"/>
    <w:rsid w:val="47246B0B"/>
    <w:rsid w:val="473B2125"/>
    <w:rsid w:val="47574ED5"/>
    <w:rsid w:val="475E1BFF"/>
    <w:rsid w:val="478C4FF2"/>
    <w:rsid w:val="47A0687C"/>
    <w:rsid w:val="47A07E0C"/>
    <w:rsid w:val="47A5510E"/>
    <w:rsid w:val="47B02BCD"/>
    <w:rsid w:val="47B10A89"/>
    <w:rsid w:val="47BF29AC"/>
    <w:rsid w:val="47C10324"/>
    <w:rsid w:val="47C14AE8"/>
    <w:rsid w:val="47F15329"/>
    <w:rsid w:val="480E155B"/>
    <w:rsid w:val="4820339D"/>
    <w:rsid w:val="48276F9D"/>
    <w:rsid w:val="482E4074"/>
    <w:rsid w:val="48330ADB"/>
    <w:rsid w:val="483C52A5"/>
    <w:rsid w:val="48425BEB"/>
    <w:rsid w:val="484B7103"/>
    <w:rsid w:val="484F488C"/>
    <w:rsid w:val="48541414"/>
    <w:rsid w:val="485633DE"/>
    <w:rsid w:val="48576465"/>
    <w:rsid w:val="48584FE2"/>
    <w:rsid w:val="4870272E"/>
    <w:rsid w:val="48853CC3"/>
    <w:rsid w:val="48976603"/>
    <w:rsid w:val="48AD0178"/>
    <w:rsid w:val="48BD16AF"/>
    <w:rsid w:val="48CC3761"/>
    <w:rsid w:val="48D955BB"/>
    <w:rsid w:val="48DE038A"/>
    <w:rsid w:val="48F05C82"/>
    <w:rsid w:val="48FF1361"/>
    <w:rsid w:val="49054B42"/>
    <w:rsid w:val="490B2CAD"/>
    <w:rsid w:val="49116650"/>
    <w:rsid w:val="4915555E"/>
    <w:rsid w:val="492928A1"/>
    <w:rsid w:val="492E435B"/>
    <w:rsid w:val="49465201"/>
    <w:rsid w:val="49470F79"/>
    <w:rsid w:val="49492D99"/>
    <w:rsid w:val="494D2A33"/>
    <w:rsid w:val="495C4A24"/>
    <w:rsid w:val="4981026C"/>
    <w:rsid w:val="498B38EA"/>
    <w:rsid w:val="49902EF1"/>
    <w:rsid w:val="499B0C95"/>
    <w:rsid w:val="49A10689"/>
    <w:rsid w:val="49AB59AC"/>
    <w:rsid w:val="49C425C9"/>
    <w:rsid w:val="49C7185F"/>
    <w:rsid w:val="49C91523"/>
    <w:rsid w:val="49D148BB"/>
    <w:rsid w:val="49DC7715"/>
    <w:rsid w:val="49DD1699"/>
    <w:rsid w:val="49E446BB"/>
    <w:rsid w:val="49E50EBD"/>
    <w:rsid w:val="49F61264"/>
    <w:rsid w:val="4A023139"/>
    <w:rsid w:val="4A0C13F4"/>
    <w:rsid w:val="4A144BD7"/>
    <w:rsid w:val="4A157ADB"/>
    <w:rsid w:val="4A176965"/>
    <w:rsid w:val="4A1E7713"/>
    <w:rsid w:val="4A660342"/>
    <w:rsid w:val="4A7144FF"/>
    <w:rsid w:val="4A7161DE"/>
    <w:rsid w:val="4A773C29"/>
    <w:rsid w:val="4A7B576F"/>
    <w:rsid w:val="4A7D4BDD"/>
    <w:rsid w:val="4A7D4C52"/>
    <w:rsid w:val="4A84025C"/>
    <w:rsid w:val="4A8F473A"/>
    <w:rsid w:val="4A8F5B93"/>
    <w:rsid w:val="4AAB6BC0"/>
    <w:rsid w:val="4AAD7493"/>
    <w:rsid w:val="4ABA4F32"/>
    <w:rsid w:val="4AC5484B"/>
    <w:rsid w:val="4AE06902"/>
    <w:rsid w:val="4AE3672D"/>
    <w:rsid w:val="4AE53B7F"/>
    <w:rsid w:val="4AF561A9"/>
    <w:rsid w:val="4B0B1378"/>
    <w:rsid w:val="4B0C5F91"/>
    <w:rsid w:val="4B117595"/>
    <w:rsid w:val="4B1D1B3F"/>
    <w:rsid w:val="4B286078"/>
    <w:rsid w:val="4B330949"/>
    <w:rsid w:val="4B3B62EA"/>
    <w:rsid w:val="4B457DE8"/>
    <w:rsid w:val="4B5A1074"/>
    <w:rsid w:val="4B721A86"/>
    <w:rsid w:val="4B743526"/>
    <w:rsid w:val="4B7968DC"/>
    <w:rsid w:val="4B8B2DEA"/>
    <w:rsid w:val="4B94275C"/>
    <w:rsid w:val="4B9606F2"/>
    <w:rsid w:val="4BB43862"/>
    <w:rsid w:val="4BB74865"/>
    <w:rsid w:val="4BB84676"/>
    <w:rsid w:val="4BC62629"/>
    <w:rsid w:val="4BC77DC4"/>
    <w:rsid w:val="4BE46664"/>
    <w:rsid w:val="4C043151"/>
    <w:rsid w:val="4C0A0EC5"/>
    <w:rsid w:val="4C1440D8"/>
    <w:rsid w:val="4C1B26BF"/>
    <w:rsid w:val="4C2640A9"/>
    <w:rsid w:val="4C29136F"/>
    <w:rsid w:val="4C325F10"/>
    <w:rsid w:val="4C3F6AA0"/>
    <w:rsid w:val="4C4A0649"/>
    <w:rsid w:val="4C4D21DE"/>
    <w:rsid w:val="4C5145E8"/>
    <w:rsid w:val="4C7C1B2E"/>
    <w:rsid w:val="4C7E5ECA"/>
    <w:rsid w:val="4C876AA5"/>
    <w:rsid w:val="4CA20DFD"/>
    <w:rsid w:val="4CAA29CC"/>
    <w:rsid w:val="4CB52272"/>
    <w:rsid w:val="4CBD57DA"/>
    <w:rsid w:val="4CBE77A4"/>
    <w:rsid w:val="4CC4300C"/>
    <w:rsid w:val="4CD45C05"/>
    <w:rsid w:val="4CDD40CE"/>
    <w:rsid w:val="4CE94821"/>
    <w:rsid w:val="4CEB2F78"/>
    <w:rsid w:val="4CF779F2"/>
    <w:rsid w:val="4D067881"/>
    <w:rsid w:val="4D0D5CA4"/>
    <w:rsid w:val="4D0E00FB"/>
    <w:rsid w:val="4D13189E"/>
    <w:rsid w:val="4D176606"/>
    <w:rsid w:val="4D1A028E"/>
    <w:rsid w:val="4D2031FF"/>
    <w:rsid w:val="4D275349"/>
    <w:rsid w:val="4D293A38"/>
    <w:rsid w:val="4D63672B"/>
    <w:rsid w:val="4D8125CD"/>
    <w:rsid w:val="4D895A4B"/>
    <w:rsid w:val="4D9A499A"/>
    <w:rsid w:val="4D9D41C7"/>
    <w:rsid w:val="4D9F1383"/>
    <w:rsid w:val="4DB12E65"/>
    <w:rsid w:val="4DBD7152"/>
    <w:rsid w:val="4DCF7EBB"/>
    <w:rsid w:val="4DD03C33"/>
    <w:rsid w:val="4DDA74A5"/>
    <w:rsid w:val="4DDC5FD5"/>
    <w:rsid w:val="4DE01372"/>
    <w:rsid w:val="4DE60D60"/>
    <w:rsid w:val="4DE67291"/>
    <w:rsid w:val="4DEC4FB0"/>
    <w:rsid w:val="4DF3671A"/>
    <w:rsid w:val="4DF9737B"/>
    <w:rsid w:val="4E075D8A"/>
    <w:rsid w:val="4E142817"/>
    <w:rsid w:val="4E303912"/>
    <w:rsid w:val="4E353A96"/>
    <w:rsid w:val="4E41243B"/>
    <w:rsid w:val="4E4A0B70"/>
    <w:rsid w:val="4E5F4EA3"/>
    <w:rsid w:val="4E6879C7"/>
    <w:rsid w:val="4E6D3230"/>
    <w:rsid w:val="4E6E72E0"/>
    <w:rsid w:val="4E7422CB"/>
    <w:rsid w:val="4E775E5C"/>
    <w:rsid w:val="4EC00FAD"/>
    <w:rsid w:val="4EC339EA"/>
    <w:rsid w:val="4EC56BC8"/>
    <w:rsid w:val="4ECF2AAF"/>
    <w:rsid w:val="4EDD4720"/>
    <w:rsid w:val="4EE96D5A"/>
    <w:rsid w:val="4EF83CFF"/>
    <w:rsid w:val="4EFF3A98"/>
    <w:rsid w:val="4F030562"/>
    <w:rsid w:val="4F0E67C1"/>
    <w:rsid w:val="4F1B0EDE"/>
    <w:rsid w:val="4F1D2CE7"/>
    <w:rsid w:val="4F4915A7"/>
    <w:rsid w:val="4F4C026D"/>
    <w:rsid w:val="4F527FE8"/>
    <w:rsid w:val="4F532425"/>
    <w:rsid w:val="4F610FE6"/>
    <w:rsid w:val="4F836F22"/>
    <w:rsid w:val="4F8D3F14"/>
    <w:rsid w:val="4F9843DC"/>
    <w:rsid w:val="4F9E68BF"/>
    <w:rsid w:val="4FB16363"/>
    <w:rsid w:val="4FB460FA"/>
    <w:rsid w:val="4FC62A8C"/>
    <w:rsid w:val="4FC861DA"/>
    <w:rsid w:val="4FCA2DD2"/>
    <w:rsid w:val="4FE20F0D"/>
    <w:rsid w:val="4FE51552"/>
    <w:rsid w:val="4FE51EC0"/>
    <w:rsid w:val="4FE83A11"/>
    <w:rsid w:val="4FED02DC"/>
    <w:rsid w:val="4FF82FCD"/>
    <w:rsid w:val="50005743"/>
    <w:rsid w:val="500951DA"/>
    <w:rsid w:val="5018410A"/>
    <w:rsid w:val="502142D2"/>
    <w:rsid w:val="50295582"/>
    <w:rsid w:val="50297313"/>
    <w:rsid w:val="50303167"/>
    <w:rsid w:val="503644D7"/>
    <w:rsid w:val="50504C4B"/>
    <w:rsid w:val="505142B1"/>
    <w:rsid w:val="50730CC8"/>
    <w:rsid w:val="50803304"/>
    <w:rsid w:val="50853068"/>
    <w:rsid w:val="50854EC5"/>
    <w:rsid w:val="509C6E7C"/>
    <w:rsid w:val="50A872EC"/>
    <w:rsid w:val="50B228F9"/>
    <w:rsid w:val="50B36976"/>
    <w:rsid w:val="50C3182D"/>
    <w:rsid w:val="50C5392B"/>
    <w:rsid w:val="50CF26C4"/>
    <w:rsid w:val="50D770ED"/>
    <w:rsid w:val="50EB4CDC"/>
    <w:rsid w:val="50F1639A"/>
    <w:rsid w:val="510634E9"/>
    <w:rsid w:val="51085492"/>
    <w:rsid w:val="510A49A4"/>
    <w:rsid w:val="510A745C"/>
    <w:rsid w:val="510B2BC6"/>
    <w:rsid w:val="51101E19"/>
    <w:rsid w:val="51151183"/>
    <w:rsid w:val="51183927"/>
    <w:rsid w:val="5129237A"/>
    <w:rsid w:val="512A18AC"/>
    <w:rsid w:val="512B1096"/>
    <w:rsid w:val="5139389D"/>
    <w:rsid w:val="51406D18"/>
    <w:rsid w:val="515D567B"/>
    <w:rsid w:val="515F5A90"/>
    <w:rsid w:val="5162104E"/>
    <w:rsid w:val="51690353"/>
    <w:rsid w:val="51794691"/>
    <w:rsid w:val="517C61A9"/>
    <w:rsid w:val="51856AE2"/>
    <w:rsid w:val="518A40F8"/>
    <w:rsid w:val="51905BB3"/>
    <w:rsid w:val="519D3E2C"/>
    <w:rsid w:val="51B02AB4"/>
    <w:rsid w:val="51B861DD"/>
    <w:rsid w:val="51C4760A"/>
    <w:rsid w:val="51C63443"/>
    <w:rsid w:val="51D60369"/>
    <w:rsid w:val="51DF1B95"/>
    <w:rsid w:val="51E0123D"/>
    <w:rsid w:val="51E15B4E"/>
    <w:rsid w:val="51EB3372"/>
    <w:rsid w:val="51FB33F2"/>
    <w:rsid w:val="52030E30"/>
    <w:rsid w:val="52111548"/>
    <w:rsid w:val="52190646"/>
    <w:rsid w:val="521E31BF"/>
    <w:rsid w:val="52320A18"/>
    <w:rsid w:val="5237566C"/>
    <w:rsid w:val="5237602E"/>
    <w:rsid w:val="523C3FE4"/>
    <w:rsid w:val="523D3FA3"/>
    <w:rsid w:val="52496488"/>
    <w:rsid w:val="524B23FC"/>
    <w:rsid w:val="5253273C"/>
    <w:rsid w:val="525F7333"/>
    <w:rsid w:val="52626490"/>
    <w:rsid w:val="527A066D"/>
    <w:rsid w:val="528079D5"/>
    <w:rsid w:val="52870F06"/>
    <w:rsid w:val="528A121C"/>
    <w:rsid w:val="52A03BD4"/>
    <w:rsid w:val="52A80CDA"/>
    <w:rsid w:val="52AD23B3"/>
    <w:rsid w:val="52B633F7"/>
    <w:rsid w:val="52BD4C7E"/>
    <w:rsid w:val="52CC565E"/>
    <w:rsid w:val="52CE4643"/>
    <w:rsid w:val="52D90E94"/>
    <w:rsid w:val="52DC5704"/>
    <w:rsid w:val="52EB3E8C"/>
    <w:rsid w:val="52F7311F"/>
    <w:rsid w:val="53003058"/>
    <w:rsid w:val="530505B9"/>
    <w:rsid w:val="530F6FAB"/>
    <w:rsid w:val="531A3321"/>
    <w:rsid w:val="5322283B"/>
    <w:rsid w:val="53224373"/>
    <w:rsid w:val="53245302"/>
    <w:rsid w:val="532A02D1"/>
    <w:rsid w:val="532B3A49"/>
    <w:rsid w:val="532E5683"/>
    <w:rsid w:val="533662E6"/>
    <w:rsid w:val="533C1422"/>
    <w:rsid w:val="534053B7"/>
    <w:rsid w:val="53436A32"/>
    <w:rsid w:val="53516D6C"/>
    <w:rsid w:val="53597BA3"/>
    <w:rsid w:val="53642E53"/>
    <w:rsid w:val="53681847"/>
    <w:rsid w:val="536A2433"/>
    <w:rsid w:val="537856E5"/>
    <w:rsid w:val="53854FD2"/>
    <w:rsid w:val="53933738"/>
    <w:rsid w:val="53A039CC"/>
    <w:rsid w:val="53A1505A"/>
    <w:rsid w:val="53AE144B"/>
    <w:rsid w:val="53C27B7A"/>
    <w:rsid w:val="53C575BA"/>
    <w:rsid w:val="53C816D9"/>
    <w:rsid w:val="53CA7632"/>
    <w:rsid w:val="53D72334"/>
    <w:rsid w:val="53D72F63"/>
    <w:rsid w:val="53D730AC"/>
    <w:rsid w:val="53DD682A"/>
    <w:rsid w:val="53EA0CD1"/>
    <w:rsid w:val="53F57F4F"/>
    <w:rsid w:val="54063E08"/>
    <w:rsid w:val="540E6DEB"/>
    <w:rsid w:val="54271A1E"/>
    <w:rsid w:val="54273C01"/>
    <w:rsid w:val="542D1647"/>
    <w:rsid w:val="54312ECB"/>
    <w:rsid w:val="543437E8"/>
    <w:rsid w:val="543A1C2E"/>
    <w:rsid w:val="544A4F5E"/>
    <w:rsid w:val="544F4603"/>
    <w:rsid w:val="54522C59"/>
    <w:rsid w:val="546C696D"/>
    <w:rsid w:val="5472334E"/>
    <w:rsid w:val="548259D7"/>
    <w:rsid w:val="54844385"/>
    <w:rsid w:val="54866DF9"/>
    <w:rsid w:val="548C7E32"/>
    <w:rsid w:val="548F2152"/>
    <w:rsid w:val="54901D15"/>
    <w:rsid w:val="54931DA4"/>
    <w:rsid w:val="549842C9"/>
    <w:rsid w:val="549B2A16"/>
    <w:rsid w:val="54AB07E3"/>
    <w:rsid w:val="54BA59AC"/>
    <w:rsid w:val="54BF3CBB"/>
    <w:rsid w:val="54CD67D6"/>
    <w:rsid w:val="54CF254E"/>
    <w:rsid w:val="54E12281"/>
    <w:rsid w:val="54E46028"/>
    <w:rsid w:val="54F46A5F"/>
    <w:rsid w:val="54F73313"/>
    <w:rsid w:val="54F80955"/>
    <w:rsid w:val="54F94271"/>
    <w:rsid w:val="54FF32F9"/>
    <w:rsid w:val="55043940"/>
    <w:rsid w:val="55133F1C"/>
    <w:rsid w:val="55172147"/>
    <w:rsid w:val="55214D74"/>
    <w:rsid w:val="55426801"/>
    <w:rsid w:val="55452E5B"/>
    <w:rsid w:val="554C308F"/>
    <w:rsid w:val="555111B5"/>
    <w:rsid w:val="555170A7"/>
    <w:rsid w:val="555E7D76"/>
    <w:rsid w:val="556C1F71"/>
    <w:rsid w:val="5587536D"/>
    <w:rsid w:val="55974204"/>
    <w:rsid w:val="559B174B"/>
    <w:rsid w:val="559E63C4"/>
    <w:rsid w:val="55A42BC3"/>
    <w:rsid w:val="55BF0D93"/>
    <w:rsid w:val="55CE0CF4"/>
    <w:rsid w:val="55D91F29"/>
    <w:rsid w:val="55E206C1"/>
    <w:rsid w:val="560A5808"/>
    <w:rsid w:val="5612477C"/>
    <w:rsid w:val="56261649"/>
    <w:rsid w:val="56301712"/>
    <w:rsid w:val="56361072"/>
    <w:rsid w:val="56384123"/>
    <w:rsid w:val="563A489C"/>
    <w:rsid w:val="56464A92"/>
    <w:rsid w:val="564725B8"/>
    <w:rsid w:val="565D6EC9"/>
    <w:rsid w:val="567F55FB"/>
    <w:rsid w:val="56801F0D"/>
    <w:rsid w:val="568C18E1"/>
    <w:rsid w:val="5693695F"/>
    <w:rsid w:val="56941CA1"/>
    <w:rsid w:val="569831AB"/>
    <w:rsid w:val="569F23F4"/>
    <w:rsid w:val="56B06FAA"/>
    <w:rsid w:val="56B22A9C"/>
    <w:rsid w:val="56B602D2"/>
    <w:rsid w:val="56B75F29"/>
    <w:rsid w:val="56B85264"/>
    <w:rsid w:val="56B97893"/>
    <w:rsid w:val="56BF3F2E"/>
    <w:rsid w:val="56C55CBD"/>
    <w:rsid w:val="56CD49AF"/>
    <w:rsid w:val="56DC0F52"/>
    <w:rsid w:val="56E01BC9"/>
    <w:rsid w:val="56E413C2"/>
    <w:rsid w:val="56EA58D3"/>
    <w:rsid w:val="56EB5639"/>
    <w:rsid w:val="572A43B4"/>
    <w:rsid w:val="572F19CA"/>
    <w:rsid w:val="5731466C"/>
    <w:rsid w:val="574C0219"/>
    <w:rsid w:val="57675B4B"/>
    <w:rsid w:val="5774562F"/>
    <w:rsid w:val="5777107D"/>
    <w:rsid w:val="57810B57"/>
    <w:rsid w:val="57896B90"/>
    <w:rsid w:val="578D049F"/>
    <w:rsid w:val="578D60B2"/>
    <w:rsid w:val="57A47F79"/>
    <w:rsid w:val="57A71560"/>
    <w:rsid w:val="57AB535F"/>
    <w:rsid w:val="57AE6D93"/>
    <w:rsid w:val="57B72A76"/>
    <w:rsid w:val="57B93123"/>
    <w:rsid w:val="57BD6FD6"/>
    <w:rsid w:val="57BE68AA"/>
    <w:rsid w:val="57C3426C"/>
    <w:rsid w:val="57CE1F93"/>
    <w:rsid w:val="57D63BF4"/>
    <w:rsid w:val="57E04A72"/>
    <w:rsid w:val="57F329F7"/>
    <w:rsid w:val="57F65EC7"/>
    <w:rsid w:val="580A59C7"/>
    <w:rsid w:val="580B5F93"/>
    <w:rsid w:val="5822508B"/>
    <w:rsid w:val="58282F44"/>
    <w:rsid w:val="584E40D2"/>
    <w:rsid w:val="584E5E80"/>
    <w:rsid w:val="5853140F"/>
    <w:rsid w:val="585845A0"/>
    <w:rsid w:val="5862192B"/>
    <w:rsid w:val="586D7DEB"/>
    <w:rsid w:val="586E02D0"/>
    <w:rsid w:val="58792349"/>
    <w:rsid w:val="5885026B"/>
    <w:rsid w:val="588743D1"/>
    <w:rsid w:val="5887701A"/>
    <w:rsid w:val="58AB32D2"/>
    <w:rsid w:val="58B32331"/>
    <w:rsid w:val="58C574C9"/>
    <w:rsid w:val="58EB64A6"/>
    <w:rsid w:val="58F43A5E"/>
    <w:rsid w:val="5903310E"/>
    <w:rsid w:val="590935A5"/>
    <w:rsid w:val="5923730C"/>
    <w:rsid w:val="59260BAB"/>
    <w:rsid w:val="592B4413"/>
    <w:rsid w:val="592C2E0C"/>
    <w:rsid w:val="59374B66"/>
    <w:rsid w:val="593C0B3B"/>
    <w:rsid w:val="593D0D92"/>
    <w:rsid w:val="594A3969"/>
    <w:rsid w:val="5954753F"/>
    <w:rsid w:val="59576FB6"/>
    <w:rsid w:val="59695A5B"/>
    <w:rsid w:val="596D5EF2"/>
    <w:rsid w:val="596F611A"/>
    <w:rsid w:val="597D0630"/>
    <w:rsid w:val="599B413B"/>
    <w:rsid w:val="599B6EA3"/>
    <w:rsid w:val="59BE0FF0"/>
    <w:rsid w:val="59BF5F77"/>
    <w:rsid w:val="59C0439F"/>
    <w:rsid w:val="59D30BEC"/>
    <w:rsid w:val="59D466BA"/>
    <w:rsid w:val="59EF3692"/>
    <w:rsid w:val="59F6780B"/>
    <w:rsid w:val="59F842F5"/>
    <w:rsid w:val="5A135241"/>
    <w:rsid w:val="5A143947"/>
    <w:rsid w:val="5A2F2751"/>
    <w:rsid w:val="5A32357D"/>
    <w:rsid w:val="5A355C07"/>
    <w:rsid w:val="5A467FEF"/>
    <w:rsid w:val="5A55565E"/>
    <w:rsid w:val="5A584D94"/>
    <w:rsid w:val="5A587151"/>
    <w:rsid w:val="5A6F3467"/>
    <w:rsid w:val="5A771F0D"/>
    <w:rsid w:val="5A87509B"/>
    <w:rsid w:val="5A8C681E"/>
    <w:rsid w:val="5AB07472"/>
    <w:rsid w:val="5ABE2233"/>
    <w:rsid w:val="5AC16DDD"/>
    <w:rsid w:val="5AD07020"/>
    <w:rsid w:val="5AE20B01"/>
    <w:rsid w:val="5AE76118"/>
    <w:rsid w:val="5AF51020"/>
    <w:rsid w:val="5AF75708"/>
    <w:rsid w:val="5AFF16B3"/>
    <w:rsid w:val="5B1433B1"/>
    <w:rsid w:val="5B1452DE"/>
    <w:rsid w:val="5B1769FD"/>
    <w:rsid w:val="5B264B73"/>
    <w:rsid w:val="5B2B24A8"/>
    <w:rsid w:val="5B302665"/>
    <w:rsid w:val="5B316E66"/>
    <w:rsid w:val="5B327FA1"/>
    <w:rsid w:val="5B406C4C"/>
    <w:rsid w:val="5B487F38"/>
    <w:rsid w:val="5B593AD1"/>
    <w:rsid w:val="5B5F45A6"/>
    <w:rsid w:val="5B7952E7"/>
    <w:rsid w:val="5B7B156A"/>
    <w:rsid w:val="5B8C49C8"/>
    <w:rsid w:val="5B8D1B27"/>
    <w:rsid w:val="5B994F0D"/>
    <w:rsid w:val="5BA273F9"/>
    <w:rsid w:val="5BA30291"/>
    <w:rsid w:val="5BA74018"/>
    <w:rsid w:val="5BB36EEB"/>
    <w:rsid w:val="5BBC75A4"/>
    <w:rsid w:val="5BC37D1E"/>
    <w:rsid w:val="5BCB77E7"/>
    <w:rsid w:val="5BDB5C7C"/>
    <w:rsid w:val="5BDD1EC7"/>
    <w:rsid w:val="5BDE576D"/>
    <w:rsid w:val="5BDF4AD0"/>
    <w:rsid w:val="5BDF5D95"/>
    <w:rsid w:val="5BE128E3"/>
    <w:rsid w:val="5BEF0052"/>
    <w:rsid w:val="5BFE15D5"/>
    <w:rsid w:val="5BFE7528"/>
    <w:rsid w:val="5C02145B"/>
    <w:rsid w:val="5C2421EB"/>
    <w:rsid w:val="5C367B48"/>
    <w:rsid w:val="5C39748A"/>
    <w:rsid w:val="5C443DBD"/>
    <w:rsid w:val="5C5304FD"/>
    <w:rsid w:val="5C5B1124"/>
    <w:rsid w:val="5C5C5A39"/>
    <w:rsid w:val="5C6C2D78"/>
    <w:rsid w:val="5C714FB1"/>
    <w:rsid w:val="5C880FA4"/>
    <w:rsid w:val="5CA5065B"/>
    <w:rsid w:val="5CA96851"/>
    <w:rsid w:val="5CB331A1"/>
    <w:rsid w:val="5CBE7B7D"/>
    <w:rsid w:val="5CCB5CF1"/>
    <w:rsid w:val="5CD55AF2"/>
    <w:rsid w:val="5CD64EEC"/>
    <w:rsid w:val="5CD8040E"/>
    <w:rsid w:val="5CE45005"/>
    <w:rsid w:val="5CEE7C31"/>
    <w:rsid w:val="5CF508CE"/>
    <w:rsid w:val="5CFF3BED"/>
    <w:rsid w:val="5D0D58CF"/>
    <w:rsid w:val="5D18464C"/>
    <w:rsid w:val="5D1A2C90"/>
    <w:rsid w:val="5D2756AE"/>
    <w:rsid w:val="5D337BC3"/>
    <w:rsid w:val="5D35760E"/>
    <w:rsid w:val="5D4C74B8"/>
    <w:rsid w:val="5D4D2BAA"/>
    <w:rsid w:val="5D4F6796"/>
    <w:rsid w:val="5D5C2DED"/>
    <w:rsid w:val="5D871FC0"/>
    <w:rsid w:val="5D8F5663"/>
    <w:rsid w:val="5D911436"/>
    <w:rsid w:val="5D922ADA"/>
    <w:rsid w:val="5D973E25"/>
    <w:rsid w:val="5DA12EF6"/>
    <w:rsid w:val="5DAC6E75"/>
    <w:rsid w:val="5DD53037"/>
    <w:rsid w:val="5DE51034"/>
    <w:rsid w:val="5DE54873"/>
    <w:rsid w:val="5DF824F6"/>
    <w:rsid w:val="5E045A9C"/>
    <w:rsid w:val="5E115985"/>
    <w:rsid w:val="5E1A67C6"/>
    <w:rsid w:val="5E2467F1"/>
    <w:rsid w:val="5E2F5C8C"/>
    <w:rsid w:val="5E411BD9"/>
    <w:rsid w:val="5E421FE3"/>
    <w:rsid w:val="5E453881"/>
    <w:rsid w:val="5E454A9F"/>
    <w:rsid w:val="5E491E2B"/>
    <w:rsid w:val="5E4C68AC"/>
    <w:rsid w:val="5E4F4700"/>
    <w:rsid w:val="5E5D6E1D"/>
    <w:rsid w:val="5E604A71"/>
    <w:rsid w:val="5E7B2F72"/>
    <w:rsid w:val="5E962430"/>
    <w:rsid w:val="5E966FCB"/>
    <w:rsid w:val="5E9F7435"/>
    <w:rsid w:val="5EAC0A6D"/>
    <w:rsid w:val="5EC21376"/>
    <w:rsid w:val="5ECB5D97"/>
    <w:rsid w:val="5ECF3BA1"/>
    <w:rsid w:val="5ED725C3"/>
    <w:rsid w:val="5EDC0A74"/>
    <w:rsid w:val="5EFE12B6"/>
    <w:rsid w:val="5F0536FD"/>
    <w:rsid w:val="5F16521D"/>
    <w:rsid w:val="5F1A2B43"/>
    <w:rsid w:val="5F1C0A86"/>
    <w:rsid w:val="5F2416E8"/>
    <w:rsid w:val="5F27742B"/>
    <w:rsid w:val="5F2C6272"/>
    <w:rsid w:val="5F4E66B1"/>
    <w:rsid w:val="5F5316B1"/>
    <w:rsid w:val="5F5B7413"/>
    <w:rsid w:val="5F667F53"/>
    <w:rsid w:val="5F7D42FC"/>
    <w:rsid w:val="5F9D1B50"/>
    <w:rsid w:val="5FA34506"/>
    <w:rsid w:val="5FB54A36"/>
    <w:rsid w:val="5FB837BB"/>
    <w:rsid w:val="5FBB30B8"/>
    <w:rsid w:val="5FBF1411"/>
    <w:rsid w:val="5FD91FF0"/>
    <w:rsid w:val="5FDB0BAF"/>
    <w:rsid w:val="5FE50314"/>
    <w:rsid w:val="5FEB2206"/>
    <w:rsid w:val="5FF31031"/>
    <w:rsid w:val="5FF640CF"/>
    <w:rsid w:val="5FF7504F"/>
    <w:rsid w:val="6000572E"/>
    <w:rsid w:val="601577B0"/>
    <w:rsid w:val="605D6C76"/>
    <w:rsid w:val="606049A2"/>
    <w:rsid w:val="60693831"/>
    <w:rsid w:val="606B0717"/>
    <w:rsid w:val="60716BAF"/>
    <w:rsid w:val="608F1CEF"/>
    <w:rsid w:val="60B44738"/>
    <w:rsid w:val="60BE4FE7"/>
    <w:rsid w:val="60C170FF"/>
    <w:rsid w:val="60CC405A"/>
    <w:rsid w:val="60CD67A1"/>
    <w:rsid w:val="60DE163D"/>
    <w:rsid w:val="60EC092C"/>
    <w:rsid w:val="60EF4A64"/>
    <w:rsid w:val="61016185"/>
    <w:rsid w:val="61064164"/>
    <w:rsid w:val="610703FD"/>
    <w:rsid w:val="61154AAA"/>
    <w:rsid w:val="611A43B1"/>
    <w:rsid w:val="614836B9"/>
    <w:rsid w:val="61484592"/>
    <w:rsid w:val="61507C7A"/>
    <w:rsid w:val="615D64E7"/>
    <w:rsid w:val="615F60F6"/>
    <w:rsid w:val="616B7AA3"/>
    <w:rsid w:val="616D4590"/>
    <w:rsid w:val="616F5D86"/>
    <w:rsid w:val="6178790C"/>
    <w:rsid w:val="617E1753"/>
    <w:rsid w:val="618911CB"/>
    <w:rsid w:val="61903065"/>
    <w:rsid w:val="619964DB"/>
    <w:rsid w:val="619B4A00"/>
    <w:rsid w:val="619B6A19"/>
    <w:rsid w:val="61A61710"/>
    <w:rsid w:val="61AB7E9F"/>
    <w:rsid w:val="61B34FA6"/>
    <w:rsid w:val="61B72CE8"/>
    <w:rsid w:val="61B90260"/>
    <w:rsid w:val="61B9080E"/>
    <w:rsid w:val="61CA04F0"/>
    <w:rsid w:val="61DC312E"/>
    <w:rsid w:val="61E215D8"/>
    <w:rsid w:val="61E91312"/>
    <w:rsid w:val="61EA606C"/>
    <w:rsid w:val="61FD4A34"/>
    <w:rsid w:val="62007ACA"/>
    <w:rsid w:val="62022DBF"/>
    <w:rsid w:val="6203611E"/>
    <w:rsid w:val="620476BF"/>
    <w:rsid w:val="620B1180"/>
    <w:rsid w:val="621B3775"/>
    <w:rsid w:val="621C0D9D"/>
    <w:rsid w:val="621E2D67"/>
    <w:rsid w:val="6223664B"/>
    <w:rsid w:val="62364782"/>
    <w:rsid w:val="62473113"/>
    <w:rsid w:val="626369CC"/>
    <w:rsid w:val="626E7E9D"/>
    <w:rsid w:val="627604AD"/>
    <w:rsid w:val="627D641C"/>
    <w:rsid w:val="628434A2"/>
    <w:rsid w:val="6287090C"/>
    <w:rsid w:val="628C20A7"/>
    <w:rsid w:val="6297662A"/>
    <w:rsid w:val="62A41BDD"/>
    <w:rsid w:val="62AA3B6D"/>
    <w:rsid w:val="62AA63A9"/>
    <w:rsid w:val="62B47227"/>
    <w:rsid w:val="62BE3C02"/>
    <w:rsid w:val="62C7237F"/>
    <w:rsid w:val="62DD677E"/>
    <w:rsid w:val="62E37952"/>
    <w:rsid w:val="62F67840"/>
    <w:rsid w:val="62FF66F4"/>
    <w:rsid w:val="6309447C"/>
    <w:rsid w:val="63130519"/>
    <w:rsid w:val="63163A3E"/>
    <w:rsid w:val="632825CA"/>
    <w:rsid w:val="632F31AE"/>
    <w:rsid w:val="634079E1"/>
    <w:rsid w:val="63476EE7"/>
    <w:rsid w:val="634C47F9"/>
    <w:rsid w:val="63505631"/>
    <w:rsid w:val="635F3637"/>
    <w:rsid w:val="63863FE0"/>
    <w:rsid w:val="638D094B"/>
    <w:rsid w:val="639257BA"/>
    <w:rsid w:val="6394356A"/>
    <w:rsid w:val="639A466F"/>
    <w:rsid w:val="639F57E1"/>
    <w:rsid w:val="63B75221"/>
    <w:rsid w:val="63B96C2B"/>
    <w:rsid w:val="63C17E4E"/>
    <w:rsid w:val="63C61B2C"/>
    <w:rsid w:val="63C6705F"/>
    <w:rsid w:val="63C9479B"/>
    <w:rsid w:val="63CF6105"/>
    <w:rsid w:val="63D27965"/>
    <w:rsid w:val="63D40BE9"/>
    <w:rsid w:val="63D649C8"/>
    <w:rsid w:val="63D7676F"/>
    <w:rsid w:val="63D85445"/>
    <w:rsid w:val="63E36016"/>
    <w:rsid w:val="63E61662"/>
    <w:rsid w:val="63F01DB9"/>
    <w:rsid w:val="63F55D49"/>
    <w:rsid w:val="63FF7F6A"/>
    <w:rsid w:val="64032214"/>
    <w:rsid w:val="64041AE8"/>
    <w:rsid w:val="640B2E77"/>
    <w:rsid w:val="64102431"/>
    <w:rsid w:val="642A746E"/>
    <w:rsid w:val="64322308"/>
    <w:rsid w:val="6453582C"/>
    <w:rsid w:val="6456379B"/>
    <w:rsid w:val="645C63B9"/>
    <w:rsid w:val="64733328"/>
    <w:rsid w:val="64746C6E"/>
    <w:rsid w:val="647E1453"/>
    <w:rsid w:val="64805613"/>
    <w:rsid w:val="64882DD4"/>
    <w:rsid w:val="64A21A2D"/>
    <w:rsid w:val="64A37553"/>
    <w:rsid w:val="64A5243A"/>
    <w:rsid w:val="64AF76D7"/>
    <w:rsid w:val="64B915E8"/>
    <w:rsid w:val="64BB664B"/>
    <w:rsid w:val="64C14C50"/>
    <w:rsid w:val="64C43354"/>
    <w:rsid w:val="64C50B5A"/>
    <w:rsid w:val="64C51278"/>
    <w:rsid w:val="64E04304"/>
    <w:rsid w:val="64F531DE"/>
    <w:rsid w:val="64F769C8"/>
    <w:rsid w:val="6533485D"/>
    <w:rsid w:val="65373578"/>
    <w:rsid w:val="65626DAD"/>
    <w:rsid w:val="65644F35"/>
    <w:rsid w:val="658553F3"/>
    <w:rsid w:val="65884A43"/>
    <w:rsid w:val="6589070A"/>
    <w:rsid w:val="658B6ABD"/>
    <w:rsid w:val="65905D2A"/>
    <w:rsid w:val="65AC50F2"/>
    <w:rsid w:val="65B75510"/>
    <w:rsid w:val="65CC1BD8"/>
    <w:rsid w:val="66083B12"/>
    <w:rsid w:val="6645313D"/>
    <w:rsid w:val="668A2779"/>
    <w:rsid w:val="66941658"/>
    <w:rsid w:val="66976C44"/>
    <w:rsid w:val="6699011F"/>
    <w:rsid w:val="669B2068"/>
    <w:rsid w:val="669B4986"/>
    <w:rsid w:val="66A971B9"/>
    <w:rsid w:val="66BE1389"/>
    <w:rsid w:val="66C11F13"/>
    <w:rsid w:val="66F6227E"/>
    <w:rsid w:val="66FD6F82"/>
    <w:rsid w:val="66FF5252"/>
    <w:rsid w:val="6710765D"/>
    <w:rsid w:val="671F124A"/>
    <w:rsid w:val="671F55B7"/>
    <w:rsid w:val="672F1572"/>
    <w:rsid w:val="673F6B7A"/>
    <w:rsid w:val="674943E2"/>
    <w:rsid w:val="674E0021"/>
    <w:rsid w:val="67591C8C"/>
    <w:rsid w:val="67761FFB"/>
    <w:rsid w:val="677A33C6"/>
    <w:rsid w:val="679606EA"/>
    <w:rsid w:val="67AA2DF4"/>
    <w:rsid w:val="67C021CA"/>
    <w:rsid w:val="67DD0FCE"/>
    <w:rsid w:val="67DE2E6A"/>
    <w:rsid w:val="67E367F6"/>
    <w:rsid w:val="67E759A9"/>
    <w:rsid w:val="67E77C6A"/>
    <w:rsid w:val="67ED24AD"/>
    <w:rsid w:val="67F36586"/>
    <w:rsid w:val="68014CBD"/>
    <w:rsid w:val="680E2F36"/>
    <w:rsid w:val="680F6A33"/>
    <w:rsid w:val="68185FC2"/>
    <w:rsid w:val="681F6961"/>
    <w:rsid w:val="682E35D8"/>
    <w:rsid w:val="683055A2"/>
    <w:rsid w:val="6854109A"/>
    <w:rsid w:val="685E7D99"/>
    <w:rsid w:val="68610A2F"/>
    <w:rsid w:val="68621F74"/>
    <w:rsid w:val="686E6FDE"/>
    <w:rsid w:val="686F082A"/>
    <w:rsid w:val="68706575"/>
    <w:rsid w:val="687234C5"/>
    <w:rsid w:val="6879494A"/>
    <w:rsid w:val="68805514"/>
    <w:rsid w:val="68944149"/>
    <w:rsid w:val="68AA0EB0"/>
    <w:rsid w:val="68AE5B0F"/>
    <w:rsid w:val="68B2202A"/>
    <w:rsid w:val="68B319CA"/>
    <w:rsid w:val="68BB30BE"/>
    <w:rsid w:val="68C301C4"/>
    <w:rsid w:val="68CB0E27"/>
    <w:rsid w:val="68CC52CB"/>
    <w:rsid w:val="68CF685E"/>
    <w:rsid w:val="68D30F7C"/>
    <w:rsid w:val="68D35D6F"/>
    <w:rsid w:val="68D77D6C"/>
    <w:rsid w:val="68F30A1B"/>
    <w:rsid w:val="690A6977"/>
    <w:rsid w:val="69247D6B"/>
    <w:rsid w:val="692C79EB"/>
    <w:rsid w:val="69316E2F"/>
    <w:rsid w:val="69353FC0"/>
    <w:rsid w:val="69355B25"/>
    <w:rsid w:val="69355FE7"/>
    <w:rsid w:val="694B2CD1"/>
    <w:rsid w:val="694E2071"/>
    <w:rsid w:val="695452C0"/>
    <w:rsid w:val="6954609D"/>
    <w:rsid w:val="696053E5"/>
    <w:rsid w:val="696306A1"/>
    <w:rsid w:val="69674FF3"/>
    <w:rsid w:val="69733998"/>
    <w:rsid w:val="6975143C"/>
    <w:rsid w:val="69766163"/>
    <w:rsid w:val="697A3B33"/>
    <w:rsid w:val="698236BB"/>
    <w:rsid w:val="698F255B"/>
    <w:rsid w:val="69AF24F6"/>
    <w:rsid w:val="69B12712"/>
    <w:rsid w:val="69BA598F"/>
    <w:rsid w:val="69BB70ED"/>
    <w:rsid w:val="69CB57DB"/>
    <w:rsid w:val="69D04578"/>
    <w:rsid w:val="69D44760"/>
    <w:rsid w:val="69DA7573"/>
    <w:rsid w:val="69DF102E"/>
    <w:rsid w:val="69E67897"/>
    <w:rsid w:val="69EC57C1"/>
    <w:rsid w:val="69EF4F5D"/>
    <w:rsid w:val="69F94FEA"/>
    <w:rsid w:val="6A02494D"/>
    <w:rsid w:val="6A06480C"/>
    <w:rsid w:val="6A2716C9"/>
    <w:rsid w:val="6A3053E5"/>
    <w:rsid w:val="6A334ED5"/>
    <w:rsid w:val="6A364414"/>
    <w:rsid w:val="6A3C5865"/>
    <w:rsid w:val="6A406DBE"/>
    <w:rsid w:val="6A485E2C"/>
    <w:rsid w:val="6A520EC7"/>
    <w:rsid w:val="6A5437CA"/>
    <w:rsid w:val="6A587CAE"/>
    <w:rsid w:val="6A6257BB"/>
    <w:rsid w:val="6A7806BB"/>
    <w:rsid w:val="6A7E0847"/>
    <w:rsid w:val="6A8C7A67"/>
    <w:rsid w:val="6A8D335E"/>
    <w:rsid w:val="6A951F56"/>
    <w:rsid w:val="6A9736B6"/>
    <w:rsid w:val="6A9C6F1F"/>
    <w:rsid w:val="6A9E101A"/>
    <w:rsid w:val="6AAD2DA9"/>
    <w:rsid w:val="6AAF0A42"/>
    <w:rsid w:val="6AB26742"/>
    <w:rsid w:val="6AB81EDC"/>
    <w:rsid w:val="6ACD0596"/>
    <w:rsid w:val="6AD37813"/>
    <w:rsid w:val="6AEC6564"/>
    <w:rsid w:val="6AED5756"/>
    <w:rsid w:val="6AF2089B"/>
    <w:rsid w:val="6AF61C38"/>
    <w:rsid w:val="6AF87E20"/>
    <w:rsid w:val="6B0227AC"/>
    <w:rsid w:val="6B0A185C"/>
    <w:rsid w:val="6B0C5E52"/>
    <w:rsid w:val="6B151116"/>
    <w:rsid w:val="6B322639"/>
    <w:rsid w:val="6B3717BC"/>
    <w:rsid w:val="6B4D1FC7"/>
    <w:rsid w:val="6B537A2E"/>
    <w:rsid w:val="6B5875F7"/>
    <w:rsid w:val="6B5B7FAE"/>
    <w:rsid w:val="6B657311"/>
    <w:rsid w:val="6B6C68A5"/>
    <w:rsid w:val="6B7F7F0A"/>
    <w:rsid w:val="6B817B22"/>
    <w:rsid w:val="6B8D6867"/>
    <w:rsid w:val="6B9156FC"/>
    <w:rsid w:val="6B9200AB"/>
    <w:rsid w:val="6B982194"/>
    <w:rsid w:val="6BA27CA2"/>
    <w:rsid w:val="6BB32772"/>
    <w:rsid w:val="6BBA58AE"/>
    <w:rsid w:val="6BC77FCB"/>
    <w:rsid w:val="6BC97437"/>
    <w:rsid w:val="6BD149A6"/>
    <w:rsid w:val="6BD526E8"/>
    <w:rsid w:val="6BF54B38"/>
    <w:rsid w:val="6BF9274C"/>
    <w:rsid w:val="6BFA214F"/>
    <w:rsid w:val="6C040F0E"/>
    <w:rsid w:val="6C2E5548"/>
    <w:rsid w:val="6C315194"/>
    <w:rsid w:val="6C5201B6"/>
    <w:rsid w:val="6C586513"/>
    <w:rsid w:val="6C5A2A48"/>
    <w:rsid w:val="6C613899"/>
    <w:rsid w:val="6C636C38"/>
    <w:rsid w:val="6C65131E"/>
    <w:rsid w:val="6C7F4402"/>
    <w:rsid w:val="6C9360FF"/>
    <w:rsid w:val="6C964828"/>
    <w:rsid w:val="6C981555"/>
    <w:rsid w:val="6CA34594"/>
    <w:rsid w:val="6CA6001D"/>
    <w:rsid w:val="6CAB3449"/>
    <w:rsid w:val="6CB113D2"/>
    <w:rsid w:val="6CB165AA"/>
    <w:rsid w:val="6CC07053"/>
    <w:rsid w:val="6CC27620"/>
    <w:rsid w:val="6CC938CF"/>
    <w:rsid w:val="6CCB5899"/>
    <w:rsid w:val="6CCC3EB2"/>
    <w:rsid w:val="6CD52274"/>
    <w:rsid w:val="6CDF4863"/>
    <w:rsid w:val="6CE66A13"/>
    <w:rsid w:val="6CEA127C"/>
    <w:rsid w:val="6CEF1588"/>
    <w:rsid w:val="6CF04016"/>
    <w:rsid w:val="6D100508"/>
    <w:rsid w:val="6D200842"/>
    <w:rsid w:val="6D29635F"/>
    <w:rsid w:val="6D296B34"/>
    <w:rsid w:val="6D2E0105"/>
    <w:rsid w:val="6D35026D"/>
    <w:rsid w:val="6D457196"/>
    <w:rsid w:val="6D512242"/>
    <w:rsid w:val="6D617FAC"/>
    <w:rsid w:val="6D7970A3"/>
    <w:rsid w:val="6D8B0CAC"/>
    <w:rsid w:val="6D8D7153"/>
    <w:rsid w:val="6D8E1F02"/>
    <w:rsid w:val="6D992AD2"/>
    <w:rsid w:val="6D9D19A6"/>
    <w:rsid w:val="6D9D52F4"/>
    <w:rsid w:val="6D9D7236"/>
    <w:rsid w:val="6DB34098"/>
    <w:rsid w:val="6DB545B6"/>
    <w:rsid w:val="6DB6648C"/>
    <w:rsid w:val="6DC20A4A"/>
    <w:rsid w:val="6DC61D92"/>
    <w:rsid w:val="6DCA78FF"/>
    <w:rsid w:val="6DCE3B12"/>
    <w:rsid w:val="6DCF13B9"/>
    <w:rsid w:val="6DD71F00"/>
    <w:rsid w:val="6DE02FB4"/>
    <w:rsid w:val="6DF94135"/>
    <w:rsid w:val="6DFA4688"/>
    <w:rsid w:val="6E0234E8"/>
    <w:rsid w:val="6E386F5E"/>
    <w:rsid w:val="6E470F4F"/>
    <w:rsid w:val="6E4A4683"/>
    <w:rsid w:val="6E4D7476"/>
    <w:rsid w:val="6E514CED"/>
    <w:rsid w:val="6E5208F7"/>
    <w:rsid w:val="6E562C7A"/>
    <w:rsid w:val="6E5A6ED5"/>
    <w:rsid w:val="6E66587A"/>
    <w:rsid w:val="6E6935BC"/>
    <w:rsid w:val="6E744EFA"/>
    <w:rsid w:val="6E832C28"/>
    <w:rsid w:val="6E847687"/>
    <w:rsid w:val="6E8E6B7E"/>
    <w:rsid w:val="6E96262F"/>
    <w:rsid w:val="6E995541"/>
    <w:rsid w:val="6E9F3293"/>
    <w:rsid w:val="6EB563D5"/>
    <w:rsid w:val="6ECB3E6A"/>
    <w:rsid w:val="6ECC354C"/>
    <w:rsid w:val="6ED92677"/>
    <w:rsid w:val="6EFD5AB2"/>
    <w:rsid w:val="6F022A3B"/>
    <w:rsid w:val="6F0D7B85"/>
    <w:rsid w:val="6F225983"/>
    <w:rsid w:val="6F324217"/>
    <w:rsid w:val="6F333679"/>
    <w:rsid w:val="6F343BCA"/>
    <w:rsid w:val="6F543924"/>
    <w:rsid w:val="6F5B49EE"/>
    <w:rsid w:val="6F6B1D05"/>
    <w:rsid w:val="6F6E73D9"/>
    <w:rsid w:val="6F8320E9"/>
    <w:rsid w:val="6F8936D5"/>
    <w:rsid w:val="6F8A6677"/>
    <w:rsid w:val="6F8F2BAE"/>
    <w:rsid w:val="6F9A1B99"/>
    <w:rsid w:val="6FA04DBB"/>
    <w:rsid w:val="6FA50623"/>
    <w:rsid w:val="6FB7699D"/>
    <w:rsid w:val="6FBE7937"/>
    <w:rsid w:val="6FDE3B35"/>
    <w:rsid w:val="6FFC5590"/>
    <w:rsid w:val="70001CFE"/>
    <w:rsid w:val="70087CF5"/>
    <w:rsid w:val="701D6A70"/>
    <w:rsid w:val="702A65E4"/>
    <w:rsid w:val="7036571F"/>
    <w:rsid w:val="703C6F9E"/>
    <w:rsid w:val="704B5D09"/>
    <w:rsid w:val="705838E8"/>
    <w:rsid w:val="7067390E"/>
    <w:rsid w:val="706D1DD0"/>
    <w:rsid w:val="707C295C"/>
    <w:rsid w:val="70856B87"/>
    <w:rsid w:val="709539BA"/>
    <w:rsid w:val="70980188"/>
    <w:rsid w:val="709D54EB"/>
    <w:rsid w:val="70A02943"/>
    <w:rsid w:val="70A5529A"/>
    <w:rsid w:val="70A601C1"/>
    <w:rsid w:val="70AB1C6A"/>
    <w:rsid w:val="70B22039"/>
    <w:rsid w:val="70C8281B"/>
    <w:rsid w:val="70D527EE"/>
    <w:rsid w:val="70DB0B95"/>
    <w:rsid w:val="70DC0075"/>
    <w:rsid w:val="70E81CF8"/>
    <w:rsid w:val="70E909E4"/>
    <w:rsid w:val="70EE2D4A"/>
    <w:rsid w:val="70F353BF"/>
    <w:rsid w:val="71095F06"/>
    <w:rsid w:val="71150423"/>
    <w:rsid w:val="71184E25"/>
    <w:rsid w:val="711C485E"/>
    <w:rsid w:val="714047F3"/>
    <w:rsid w:val="71405DDA"/>
    <w:rsid w:val="715804B6"/>
    <w:rsid w:val="715B5300"/>
    <w:rsid w:val="717464FF"/>
    <w:rsid w:val="717E2EDA"/>
    <w:rsid w:val="718149CE"/>
    <w:rsid w:val="718D5813"/>
    <w:rsid w:val="71A1306D"/>
    <w:rsid w:val="71B22934"/>
    <w:rsid w:val="71B42DA0"/>
    <w:rsid w:val="71C56D5B"/>
    <w:rsid w:val="71C650B7"/>
    <w:rsid w:val="71D27F8A"/>
    <w:rsid w:val="71DF6DCC"/>
    <w:rsid w:val="71F36AF6"/>
    <w:rsid w:val="720C06B7"/>
    <w:rsid w:val="72111FA0"/>
    <w:rsid w:val="72133F6A"/>
    <w:rsid w:val="72195DBA"/>
    <w:rsid w:val="72247BD2"/>
    <w:rsid w:val="722A0217"/>
    <w:rsid w:val="722A12B4"/>
    <w:rsid w:val="722A54E3"/>
    <w:rsid w:val="7242215A"/>
    <w:rsid w:val="72437B3F"/>
    <w:rsid w:val="72442376"/>
    <w:rsid w:val="724F3E36"/>
    <w:rsid w:val="72553024"/>
    <w:rsid w:val="72564B6D"/>
    <w:rsid w:val="72586B32"/>
    <w:rsid w:val="725A39C1"/>
    <w:rsid w:val="725A51C7"/>
    <w:rsid w:val="7265502B"/>
    <w:rsid w:val="72707AC8"/>
    <w:rsid w:val="727D13E4"/>
    <w:rsid w:val="727D38BC"/>
    <w:rsid w:val="727D5888"/>
    <w:rsid w:val="727E20F3"/>
    <w:rsid w:val="72800ED4"/>
    <w:rsid w:val="72870AA0"/>
    <w:rsid w:val="728D2BFB"/>
    <w:rsid w:val="728E2856"/>
    <w:rsid w:val="72A2028E"/>
    <w:rsid w:val="72AB5F51"/>
    <w:rsid w:val="72AD4E6A"/>
    <w:rsid w:val="72AF08D5"/>
    <w:rsid w:val="72B6293F"/>
    <w:rsid w:val="72B91E95"/>
    <w:rsid w:val="72C523E0"/>
    <w:rsid w:val="72D97ED0"/>
    <w:rsid w:val="72ED2345"/>
    <w:rsid w:val="72FF7FA3"/>
    <w:rsid w:val="730667C8"/>
    <w:rsid w:val="730E4732"/>
    <w:rsid w:val="73122968"/>
    <w:rsid w:val="731F5D5E"/>
    <w:rsid w:val="73227B65"/>
    <w:rsid w:val="732602F1"/>
    <w:rsid w:val="73322971"/>
    <w:rsid w:val="733F6699"/>
    <w:rsid w:val="734F0FD2"/>
    <w:rsid w:val="736345C6"/>
    <w:rsid w:val="737D1E17"/>
    <w:rsid w:val="739A7D73"/>
    <w:rsid w:val="739C152B"/>
    <w:rsid w:val="73A40BF2"/>
    <w:rsid w:val="73C13552"/>
    <w:rsid w:val="73C51AD5"/>
    <w:rsid w:val="73CC2623"/>
    <w:rsid w:val="73D9089C"/>
    <w:rsid w:val="73E7673A"/>
    <w:rsid w:val="73EF7D5B"/>
    <w:rsid w:val="73F60542"/>
    <w:rsid w:val="73F854C3"/>
    <w:rsid w:val="74082F2F"/>
    <w:rsid w:val="74096D98"/>
    <w:rsid w:val="7416564C"/>
    <w:rsid w:val="741E6BF6"/>
    <w:rsid w:val="741E793C"/>
    <w:rsid w:val="74205BD2"/>
    <w:rsid w:val="74246144"/>
    <w:rsid w:val="742E508B"/>
    <w:rsid w:val="74424693"/>
    <w:rsid w:val="74591FEB"/>
    <w:rsid w:val="745E3944"/>
    <w:rsid w:val="74654825"/>
    <w:rsid w:val="747941A5"/>
    <w:rsid w:val="749601EE"/>
    <w:rsid w:val="74A330B3"/>
    <w:rsid w:val="74A626EA"/>
    <w:rsid w:val="74B03CF2"/>
    <w:rsid w:val="74B530B7"/>
    <w:rsid w:val="74B83564"/>
    <w:rsid w:val="74B87FBF"/>
    <w:rsid w:val="74D03F7B"/>
    <w:rsid w:val="74D50423"/>
    <w:rsid w:val="74E0413E"/>
    <w:rsid w:val="74E13933"/>
    <w:rsid w:val="74E40C42"/>
    <w:rsid w:val="74EE5D46"/>
    <w:rsid w:val="74F33BDF"/>
    <w:rsid w:val="750D4080"/>
    <w:rsid w:val="75114065"/>
    <w:rsid w:val="75137293"/>
    <w:rsid w:val="75153B55"/>
    <w:rsid w:val="75204CF4"/>
    <w:rsid w:val="75297601"/>
    <w:rsid w:val="755B10ED"/>
    <w:rsid w:val="7575350F"/>
    <w:rsid w:val="75885C21"/>
    <w:rsid w:val="75925086"/>
    <w:rsid w:val="7595129E"/>
    <w:rsid w:val="75A76BEE"/>
    <w:rsid w:val="75AB4EDB"/>
    <w:rsid w:val="75B35B93"/>
    <w:rsid w:val="75B50C6F"/>
    <w:rsid w:val="75B57E2F"/>
    <w:rsid w:val="75C537CD"/>
    <w:rsid w:val="75C90F3B"/>
    <w:rsid w:val="75D20CCB"/>
    <w:rsid w:val="75D61C88"/>
    <w:rsid w:val="75DB4D9F"/>
    <w:rsid w:val="75F73170"/>
    <w:rsid w:val="75FF06AD"/>
    <w:rsid w:val="75FF1AEB"/>
    <w:rsid w:val="761E4193"/>
    <w:rsid w:val="762711CF"/>
    <w:rsid w:val="76286A5A"/>
    <w:rsid w:val="7635099D"/>
    <w:rsid w:val="7636543A"/>
    <w:rsid w:val="763C5112"/>
    <w:rsid w:val="763E70DC"/>
    <w:rsid w:val="76424E1E"/>
    <w:rsid w:val="764F3097"/>
    <w:rsid w:val="765828F0"/>
    <w:rsid w:val="765B5EE0"/>
    <w:rsid w:val="765B7EED"/>
    <w:rsid w:val="76650B0D"/>
    <w:rsid w:val="768323DF"/>
    <w:rsid w:val="768B3874"/>
    <w:rsid w:val="76913A3E"/>
    <w:rsid w:val="76A553AD"/>
    <w:rsid w:val="76B92C06"/>
    <w:rsid w:val="76D11CFE"/>
    <w:rsid w:val="76D3117F"/>
    <w:rsid w:val="76D77501"/>
    <w:rsid w:val="76F816CE"/>
    <w:rsid w:val="76FD074C"/>
    <w:rsid w:val="770F6661"/>
    <w:rsid w:val="77244524"/>
    <w:rsid w:val="772E4102"/>
    <w:rsid w:val="77366005"/>
    <w:rsid w:val="77394C9D"/>
    <w:rsid w:val="773F310C"/>
    <w:rsid w:val="77400C32"/>
    <w:rsid w:val="77417E19"/>
    <w:rsid w:val="774236BE"/>
    <w:rsid w:val="774E15A1"/>
    <w:rsid w:val="77512E3F"/>
    <w:rsid w:val="775457D3"/>
    <w:rsid w:val="775766A7"/>
    <w:rsid w:val="775841CD"/>
    <w:rsid w:val="775F41B3"/>
    <w:rsid w:val="77610D5D"/>
    <w:rsid w:val="77613692"/>
    <w:rsid w:val="776420CB"/>
    <w:rsid w:val="77762421"/>
    <w:rsid w:val="7778661E"/>
    <w:rsid w:val="7793432C"/>
    <w:rsid w:val="779A1202"/>
    <w:rsid w:val="77A92327"/>
    <w:rsid w:val="77AE0291"/>
    <w:rsid w:val="77B56B1F"/>
    <w:rsid w:val="77B7635C"/>
    <w:rsid w:val="77BC3F1B"/>
    <w:rsid w:val="77C31F9D"/>
    <w:rsid w:val="77CA6C82"/>
    <w:rsid w:val="77DC36B8"/>
    <w:rsid w:val="77DE21E8"/>
    <w:rsid w:val="77E872FF"/>
    <w:rsid w:val="77E912C9"/>
    <w:rsid w:val="77ED582D"/>
    <w:rsid w:val="77EF68E0"/>
    <w:rsid w:val="780F09F4"/>
    <w:rsid w:val="781C5324"/>
    <w:rsid w:val="78280044"/>
    <w:rsid w:val="78390776"/>
    <w:rsid w:val="783D265C"/>
    <w:rsid w:val="785B49AB"/>
    <w:rsid w:val="7864764F"/>
    <w:rsid w:val="78675F6B"/>
    <w:rsid w:val="786A49E5"/>
    <w:rsid w:val="786A7F59"/>
    <w:rsid w:val="788341B6"/>
    <w:rsid w:val="78952465"/>
    <w:rsid w:val="789936ED"/>
    <w:rsid w:val="78A90480"/>
    <w:rsid w:val="78D128B7"/>
    <w:rsid w:val="78E33F6B"/>
    <w:rsid w:val="78FE478C"/>
    <w:rsid w:val="79142376"/>
    <w:rsid w:val="791E54AF"/>
    <w:rsid w:val="79200D1B"/>
    <w:rsid w:val="79254583"/>
    <w:rsid w:val="79256331"/>
    <w:rsid w:val="792A3948"/>
    <w:rsid w:val="79303272"/>
    <w:rsid w:val="793B7903"/>
    <w:rsid w:val="794D6A8B"/>
    <w:rsid w:val="79527E25"/>
    <w:rsid w:val="797208DB"/>
    <w:rsid w:val="79A66E52"/>
    <w:rsid w:val="79C10AE1"/>
    <w:rsid w:val="79D97847"/>
    <w:rsid w:val="79E87A8A"/>
    <w:rsid w:val="79F854D1"/>
    <w:rsid w:val="7A0A5C53"/>
    <w:rsid w:val="7A1E318D"/>
    <w:rsid w:val="7A236F90"/>
    <w:rsid w:val="7A2651DF"/>
    <w:rsid w:val="7A2A1DBC"/>
    <w:rsid w:val="7A35236B"/>
    <w:rsid w:val="7A364017"/>
    <w:rsid w:val="7A395308"/>
    <w:rsid w:val="7A410309"/>
    <w:rsid w:val="7A434CC1"/>
    <w:rsid w:val="7A55078D"/>
    <w:rsid w:val="7A567172"/>
    <w:rsid w:val="7A6D61E2"/>
    <w:rsid w:val="7A77448A"/>
    <w:rsid w:val="7A8265E1"/>
    <w:rsid w:val="7A903103"/>
    <w:rsid w:val="7A9C2623"/>
    <w:rsid w:val="7AB44EEC"/>
    <w:rsid w:val="7ABA4B5F"/>
    <w:rsid w:val="7ACB0000"/>
    <w:rsid w:val="7AD72977"/>
    <w:rsid w:val="7ADF7479"/>
    <w:rsid w:val="7AE71AF0"/>
    <w:rsid w:val="7AF4420D"/>
    <w:rsid w:val="7AF83CFD"/>
    <w:rsid w:val="7AFE6E70"/>
    <w:rsid w:val="7B093745"/>
    <w:rsid w:val="7B0D4AC5"/>
    <w:rsid w:val="7B1623D5"/>
    <w:rsid w:val="7B272834"/>
    <w:rsid w:val="7B3B2DAE"/>
    <w:rsid w:val="7B672C31"/>
    <w:rsid w:val="7B682232"/>
    <w:rsid w:val="7B686D42"/>
    <w:rsid w:val="7B841746"/>
    <w:rsid w:val="7B8732D3"/>
    <w:rsid w:val="7B8F0A21"/>
    <w:rsid w:val="7B953560"/>
    <w:rsid w:val="7BB67F28"/>
    <w:rsid w:val="7BC65BA9"/>
    <w:rsid w:val="7BCB31C0"/>
    <w:rsid w:val="7BD03249"/>
    <w:rsid w:val="7BE32FF5"/>
    <w:rsid w:val="7BF3747E"/>
    <w:rsid w:val="7C0538C8"/>
    <w:rsid w:val="7C142DB9"/>
    <w:rsid w:val="7C350F81"/>
    <w:rsid w:val="7C3535E1"/>
    <w:rsid w:val="7C3F23D4"/>
    <w:rsid w:val="7C431BF7"/>
    <w:rsid w:val="7C5C7B97"/>
    <w:rsid w:val="7C662EE9"/>
    <w:rsid w:val="7C6C5AC7"/>
    <w:rsid w:val="7C7B2E38"/>
    <w:rsid w:val="7C8A42AA"/>
    <w:rsid w:val="7C9F332F"/>
    <w:rsid w:val="7CC6544B"/>
    <w:rsid w:val="7CCE2032"/>
    <w:rsid w:val="7CE80124"/>
    <w:rsid w:val="7CFA0AC0"/>
    <w:rsid w:val="7CFC55FB"/>
    <w:rsid w:val="7D0239FF"/>
    <w:rsid w:val="7D04313B"/>
    <w:rsid w:val="7D264ADC"/>
    <w:rsid w:val="7D376FB6"/>
    <w:rsid w:val="7D3D00ED"/>
    <w:rsid w:val="7D4B6062"/>
    <w:rsid w:val="7D5E40CD"/>
    <w:rsid w:val="7D702AD4"/>
    <w:rsid w:val="7D7622A4"/>
    <w:rsid w:val="7D7E7C7B"/>
    <w:rsid w:val="7D822D00"/>
    <w:rsid w:val="7D830C26"/>
    <w:rsid w:val="7D862954"/>
    <w:rsid w:val="7D8E030E"/>
    <w:rsid w:val="7D9341A0"/>
    <w:rsid w:val="7DB06B11"/>
    <w:rsid w:val="7DB53A76"/>
    <w:rsid w:val="7DBA7567"/>
    <w:rsid w:val="7DC462C6"/>
    <w:rsid w:val="7DC55C7D"/>
    <w:rsid w:val="7DCB34A4"/>
    <w:rsid w:val="7DCD56F2"/>
    <w:rsid w:val="7DE06CCB"/>
    <w:rsid w:val="7DE467BB"/>
    <w:rsid w:val="7DE55C12"/>
    <w:rsid w:val="7DEB5D9B"/>
    <w:rsid w:val="7DF71CE1"/>
    <w:rsid w:val="7E09450F"/>
    <w:rsid w:val="7E096221"/>
    <w:rsid w:val="7E0E7FF5"/>
    <w:rsid w:val="7E1B7075"/>
    <w:rsid w:val="7E287585"/>
    <w:rsid w:val="7E3625D4"/>
    <w:rsid w:val="7E3D015B"/>
    <w:rsid w:val="7E562B98"/>
    <w:rsid w:val="7E5C0C5B"/>
    <w:rsid w:val="7E6478FC"/>
    <w:rsid w:val="7E6B2E26"/>
    <w:rsid w:val="7E6E6F6B"/>
    <w:rsid w:val="7E6F077A"/>
    <w:rsid w:val="7E7A711F"/>
    <w:rsid w:val="7E80648F"/>
    <w:rsid w:val="7E8925F6"/>
    <w:rsid w:val="7E97138A"/>
    <w:rsid w:val="7E9A5C70"/>
    <w:rsid w:val="7EAA17B2"/>
    <w:rsid w:val="7EAC771E"/>
    <w:rsid w:val="7EB9125D"/>
    <w:rsid w:val="7EC9775F"/>
    <w:rsid w:val="7ECC0F00"/>
    <w:rsid w:val="7ECD724F"/>
    <w:rsid w:val="7ED04692"/>
    <w:rsid w:val="7EE22502"/>
    <w:rsid w:val="7EF5722F"/>
    <w:rsid w:val="7F001CE7"/>
    <w:rsid w:val="7F0A2251"/>
    <w:rsid w:val="7F231565"/>
    <w:rsid w:val="7F381952"/>
    <w:rsid w:val="7F390D88"/>
    <w:rsid w:val="7F4D3B20"/>
    <w:rsid w:val="7F5071C2"/>
    <w:rsid w:val="7F6745B7"/>
    <w:rsid w:val="7F696B67"/>
    <w:rsid w:val="7F8330A6"/>
    <w:rsid w:val="7F923FF5"/>
    <w:rsid w:val="7F944707"/>
    <w:rsid w:val="7F9A2183"/>
    <w:rsid w:val="7F9C3DFC"/>
    <w:rsid w:val="7FA77AA0"/>
    <w:rsid w:val="7FB56661"/>
    <w:rsid w:val="7FC22B2C"/>
    <w:rsid w:val="7FE47E50"/>
    <w:rsid w:val="7FE56CF7"/>
    <w:rsid w:val="7FF07699"/>
    <w:rsid w:val="7FF37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nhideWhenUsed="0" w:uiPriority="0" w:semiHidden="0" w:name="heading 3" w:locked="1"/>
    <w:lsdException w:qFormat="1" w:uiPriority="9" w:name="heading 4" w:locked="1"/>
    <w:lsdException w:qFormat="1" w:unhideWhenUsed="0" w:uiPriority="1"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ocked="1"/>
    <w:lsdException w:qFormat="1" w:unhideWhenUsed="0" w:uiPriority="0"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qFormat="1"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qFormat="1" w:unhideWhenUsed="0" w:uiPriority="0" w:semiHidden="0" w:name="Body Text Indent 3" w:locked="1"/>
    <w:lsdException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iPriority="99"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3"/>
    <w:basedOn w:val="1"/>
    <w:next w:val="1"/>
    <w:autoRedefine/>
    <w:qFormat/>
    <w:locked/>
    <w:uiPriority w:val="0"/>
    <w:pPr>
      <w:spacing w:before="100" w:beforeAutospacing="1" w:after="100" w:afterAutospacing="1"/>
      <w:jc w:val="left"/>
      <w:outlineLvl w:val="2"/>
    </w:pPr>
    <w:rPr>
      <w:rFonts w:hint="eastAsia"/>
      <w:b/>
      <w:kern w:val="0"/>
      <w:sz w:val="27"/>
      <w:szCs w:val="27"/>
    </w:rPr>
  </w:style>
  <w:style w:type="paragraph" w:styleId="4">
    <w:name w:val="heading 4"/>
    <w:basedOn w:val="1"/>
    <w:next w:val="1"/>
    <w:autoRedefine/>
    <w:semiHidden/>
    <w:unhideWhenUsed/>
    <w:qFormat/>
    <w:locked/>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5">
    <w:name w:val="heading 5"/>
    <w:basedOn w:val="1"/>
    <w:next w:val="1"/>
    <w:autoRedefine/>
    <w:qFormat/>
    <w:locked/>
    <w:uiPriority w:val="1"/>
    <w:pPr>
      <w:ind w:left="732"/>
      <w:outlineLvl w:val="4"/>
    </w:pPr>
    <w:rPr>
      <w:rFonts w:ascii="微软雅黑" w:hAnsi="微软雅黑" w:eastAsia="微软雅黑" w:cs="微软雅黑"/>
      <w:b/>
      <w:bCs/>
      <w:sz w:val="24"/>
      <w:lang w:val="zh-CN" w:bidi="zh-CN"/>
    </w:rPr>
  </w:style>
  <w:style w:type="character" w:default="1" w:styleId="27">
    <w:name w:val="Default Paragraph Font"/>
    <w:autoRedefine/>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styleId="6">
    <w:name w:val="table of authorities"/>
    <w:basedOn w:val="1"/>
    <w:next w:val="1"/>
    <w:autoRedefine/>
    <w:unhideWhenUsed/>
    <w:qFormat/>
    <w:locked/>
    <w:uiPriority w:val="0"/>
    <w:pPr>
      <w:ind w:left="420" w:leftChars="200"/>
    </w:pPr>
  </w:style>
  <w:style w:type="paragraph" w:styleId="7">
    <w:name w:val="Normal Indent"/>
    <w:basedOn w:val="1"/>
    <w:autoRedefine/>
    <w:qFormat/>
    <w:locked/>
    <w:uiPriority w:val="0"/>
    <w:pPr>
      <w:ind w:firstLine="420"/>
    </w:pPr>
    <w:rPr>
      <w:kern w:val="0"/>
      <w:sz w:val="20"/>
    </w:rPr>
  </w:style>
  <w:style w:type="paragraph" w:styleId="8">
    <w:name w:val="caption"/>
    <w:basedOn w:val="1"/>
    <w:next w:val="1"/>
    <w:autoRedefine/>
    <w:qFormat/>
    <w:locked/>
    <w:uiPriority w:val="0"/>
    <w:rPr>
      <w:rFonts w:ascii="Cambria" w:hAnsi="Cambria" w:eastAsia="黑体"/>
      <w:sz w:val="20"/>
      <w:szCs w:val="20"/>
    </w:rPr>
  </w:style>
  <w:style w:type="paragraph" w:styleId="9">
    <w:name w:val="annotation text"/>
    <w:basedOn w:val="1"/>
    <w:link w:val="41"/>
    <w:autoRedefine/>
    <w:semiHidden/>
    <w:qFormat/>
    <w:uiPriority w:val="0"/>
    <w:pPr>
      <w:jc w:val="left"/>
    </w:pPr>
    <w:rPr>
      <w:kern w:val="0"/>
      <w:sz w:val="24"/>
      <w:szCs w:val="20"/>
    </w:rPr>
  </w:style>
  <w:style w:type="paragraph" w:styleId="10">
    <w:name w:val="Body Text"/>
    <w:basedOn w:val="1"/>
    <w:next w:val="11"/>
    <w:link w:val="40"/>
    <w:autoRedefine/>
    <w:qFormat/>
    <w:uiPriority w:val="0"/>
    <w:pPr>
      <w:widowControl/>
      <w:snapToGrid w:val="0"/>
      <w:spacing w:before="60" w:after="160" w:line="259" w:lineRule="auto"/>
      <w:ind w:right="113"/>
    </w:pPr>
    <w:rPr>
      <w:kern w:val="0"/>
      <w:sz w:val="18"/>
      <w:szCs w:val="20"/>
    </w:rPr>
  </w:style>
  <w:style w:type="paragraph" w:customStyle="1" w:styleId="11">
    <w:name w:val="明显引用1"/>
    <w:next w:val="1"/>
    <w:autoRedefine/>
    <w:qFormat/>
    <w:uiPriority w:val="0"/>
    <w:pPr>
      <w:wordWrap w:val="0"/>
      <w:spacing w:before="360" w:after="360"/>
      <w:ind w:left="950" w:right="950"/>
      <w:jc w:val="center"/>
    </w:pPr>
    <w:rPr>
      <w:rFonts w:ascii="Calibri" w:hAnsi="Calibri" w:eastAsia="宋体" w:cs="Times New Roman"/>
      <w:i/>
      <w:sz w:val="21"/>
      <w:lang w:val="en-US" w:eastAsia="zh-CN" w:bidi="ar-SA"/>
    </w:rPr>
  </w:style>
  <w:style w:type="paragraph" w:styleId="12">
    <w:name w:val="Body Text Indent"/>
    <w:basedOn w:val="1"/>
    <w:link w:val="49"/>
    <w:autoRedefine/>
    <w:qFormat/>
    <w:uiPriority w:val="0"/>
    <w:pPr>
      <w:spacing w:after="120"/>
      <w:ind w:left="420" w:leftChars="200"/>
    </w:pPr>
    <w:rPr>
      <w:kern w:val="0"/>
      <w:sz w:val="24"/>
      <w:szCs w:val="20"/>
    </w:rPr>
  </w:style>
  <w:style w:type="paragraph" w:styleId="13">
    <w:name w:val="Plain Text"/>
    <w:basedOn w:val="1"/>
    <w:next w:val="1"/>
    <w:autoRedefine/>
    <w:unhideWhenUsed/>
    <w:qFormat/>
    <w:locked/>
    <w:uiPriority w:val="99"/>
    <w:rPr>
      <w:rFonts w:hint="eastAsia" w:ascii="宋体" w:hAnsi="Courier New"/>
    </w:rPr>
  </w:style>
  <w:style w:type="paragraph" w:styleId="14">
    <w:name w:val="Date"/>
    <w:basedOn w:val="1"/>
    <w:next w:val="1"/>
    <w:link w:val="36"/>
    <w:autoRedefine/>
    <w:qFormat/>
    <w:uiPriority w:val="0"/>
    <w:pPr>
      <w:ind w:left="100" w:leftChars="2500"/>
    </w:pPr>
    <w:rPr>
      <w:kern w:val="0"/>
      <w:sz w:val="24"/>
      <w:szCs w:val="20"/>
    </w:rPr>
  </w:style>
  <w:style w:type="paragraph" w:styleId="15">
    <w:name w:val="Balloon Text"/>
    <w:basedOn w:val="1"/>
    <w:link w:val="45"/>
    <w:autoRedefine/>
    <w:semiHidden/>
    <w:qFormat/>
    <w:uiPriority w:val="0"/>
    <w:rPr>
      <w:kern w:val="0"/>
      <w:sz w:val="18"/>
      <w:szCs w:val="20"/>
    </w:rPr>
  </w:style>
  <w:style w:type="paragraph" w:styleId="16">
    <w:name w:val="footer"/>
    <w:basedOn w:val="1"/>
    <w:link w:val="35"/>
    <w:autoRedefine/>
    <w:qFormat/>
    <w:uiPriority w:val="99"/>
    <w:pPr>
      <w:tabs>
        <w:tab w:val="center" w:pos="4153"/>
        <w:tab w:val="right" w:pos="8306"/>
      </w:tabs>
      <w:snapToGrid w:val="0"/>
      <w:jc w:val="left"/>
    </w:pPr>
    <w:rPr>
      <w:kern w:val="0"/>
      <w:sz w:val="18"/>
      <w:szCs w:val="20"/>
    </w:rPr>
  </w:style>
  <w:style w:type="paragraph" w:styleId="17">
    <w:name w:val="header"/>
    <w:basedOn w:val="1"/>
    <w:next w:val="18"/>
    <w:link w:val="47"/>
    <w:autoRedefine/>
    <w:qFormat/>
    <w:uiPriority w:val="0"/>
    <w:pPr>
      <w:pBdr>
        <w:bottom w:val="single" w:color="auto" w:sz="6" w:space="1"/>
      </w:pBdr>
      <w:tabs>
        <w:tab w:val="center" w:pos="4153"/>
        <w:tab w:val="right" w:pos="8306"/>
      </w:tabs>
      <w:snapToGrid w:val="0"/>
      <w:jc w:val="center"/>
    </w:pPr>
    <w:rPr>
      <w:kern w:val="0"/>
      <w:sz w:val="18"/>
      <w:szCs w:val="20"/>
    </w:rPr>
  </w:style>
  <w:style w:type="paragraph" w:styleId="18">
    <w:name w:val="index heading"/>
    <w:basedOn w:val="1"/>
    <w:next w:val="19"/>
    <w:autoRedefine/>
    <w:qFormat/>
    <w:locked/>
    <w:uiPriority w:val="0"/>
    <w:rPr>
      <w:szCs w:val="20"/>
    </w:rPr>
  </w:style>
  <w:style w:type="paragraph" w:styleId="19">
    <w:name w:val="index 1"/>
    <w:basedOn w:val="1"/>
    <w:next w:val="1"/>
    <w:autoRedefine/>
    <w:qFormat/>
    <w:locked/>
    <w:uiPriority w:val="0"/>
  </w:style>
  <w:style w:type="paragraph" w:styleId="20">
    <w:name w:val="Body Text Indent 3"/>
    <w:basedOn w:val="1"/>
    <w:autoRedefine/>
    <w:qFormat/>
    <w:locked/>
    <w:uiPriority w:val="0"/>
    <w:pPr>
      <w:spacing w:after="120"/>
      <w:ind w:left="420" w:leftChars="200"/>
    </w:pPr>
    <w:rPr>
      <w:sz w:val="16"/>
      <w:szCs w:val="16"/>
    </w:rPr>
  </w:style>
  <w:style w:type="paragraph" w:styleId="21">
    <w:name w:val="Normal (Web)"/>
    <w:basedOn w:val="1"/>
    <w:link w:val="38"/>
    <w:autoRedefine/>
    <w:qFormat/>
    <w:uiPriority w:val="0"/>
    <w:pPr>
      <w:widowControl/>
      <w:spacing w:before="100" w:beforeAutospacing="1" w:after="100" w:afterAutospacing="1"/>
      <w:jc w:val="left"/>
    </w:pPr>
    <w:rPr>
      <w:rFonts w:ascii="宋体" w:hAnsi="宋体"/>
      <w:kern w:val="0"/>
      <w:sz w:val="24"/>
      <w:szCs w:val="20"/>
    </w:rPr>
  </w:style>
  <w:style w:type="paragraph" w:styleId="22">
    <w:name w:val="annotation subject"/>
    <w:basedOn w:val="9"/>
    <w:next w:val="9"/>
    <w:link w:val="46"/>
    <w:autoRedefine/>
    <w:semiHidden/>
    <w:qFormat/>
    <w:uiPriority w:val="0"/>
    <w:rPr>
      <w:b/>
      <w:kern w:val="2"/>
    </w:rPr>
  </w:style>
  <w:style w:type="paragraph" w:styleId="23">
    <w:name w:val="Body Text First Indent"/>
    <w:basedOn w:val="10"/>
    <w:next w:val="1"/>
    <w:link w:val="52"/>
    <w:autoRedefine/>
    <w:qFormat/>
    <w:locked/>
    <w:uiPriority w:val="0"/>
    <w:pPr>
      <w:widowControl w:val="0"/>
      <w:snapToGrid/>
      <w:spacing w:before="0" w:after="120" w:line="240" w:lineRule="auto"/>
      <w:ind w:right="0" w:firstLine="420" w:firstLineChars="100"/>
    </w:pPr>
    <w:rPr>
      <w:kern w:val="2"/>
      <w:sz w:val="21"/>
      <w:szCs w:val="24"/>
    </w:rPr>
  </w:style>
  <w:style w:type="paragraph" w:styleId="24">
    <w:name w:val="Body Text First Indent 2"/>
    <w:basedOn w:val="1"/>
    <w:next w:val="23"/>
    <w:link w:val="53"/>
    <w:autoRedefine/>
    <w:qFormat/>
    <w:locked/>
    <w:uiPriority w:val="0"/>
    <w:pPr>
      <w:ind w:firstLine="420" w:firstLineChars="200"/>
    </w:pPr>
  </w:style>
  <w:style w:type="table" w:styleId="26">
    <w:name w:val="Table Grid"/>
    <w:basedOn w:val="2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autoRedefine/>
    <w:qFormat/>
    <w:locked/>
    <w:uiPriority w:val="0"/>
    <w:rPr>
      <w:b/>
    </w:rPr>
  </w:style>
  <w:style w:type="character" w:styleId="29">
    <w:name w:val="page number"/>
    <w:basedOn w:val="27"/>
    <w:autoRedefine/>
    <w:qFormat/>
    <w:locked/>
    <w:uiPriority w:val="0"/>
  </w:style>
  <w:style w:type="character" w:styleId="30">
    <w:name w:val="Hyperlink"/>
    <w:basedOn w:val="27"/>
    <w:autoRedefine/>
    <w:qFormat/>
    <w:locked/>
    <w:uiPriority w:val="0"/>
    <w:rPr>
      <w:color w:val="0000FF"/>
      <w:u w:val="single"/>
    </w:rPr>
  </w:style>
  <w:style w:type="character" w:styleId="31">
    <w:name w:val="annotation reference"/>
    <w:basedOn w:val="27"/>
    <w:autoRedefine/>
    <w:semiHidden/>
    <w:qFormat/>
    <w:uiPriority w:val="0"/>
    <w:rPr>
      <w:sz w:val="21"/>
    </w:rPr>
  </w:style>
  <w:style w:type="paragraph" w:customStyle="1" w:styleId="32">
    <w:name w:val="Default"/>
    <w:basedOn w:val="33"/>
    <w:autoRedefine/>
    <w:qFormat/>
    <w:uiPriority w:val="0"/>
    <w:pPr>
      <w:autoSpaceDE w:val="0"/>
      <w:autoSpaceDN w:val="0"/>
    </w:pPr>
    <w:rPr>
      <w:rFonts w:hAnsi="Times New Roman" w:cs="宋体"/>
      <w:color w:val="000000"/>
      <w:sz w:val="24"/>
      <w:szCs w:val="24"/>
    </w:rPr>
  </w:style>
  <w:style w:type="paragraph" w:customStyle="1" w:styleId="33">
    <w:name w:val="纯文本1"/>
    <w:basedOn w:val="1"/>
    <w:autoRedefine/>
    <w:qFormat/>
    <w:uiPriority w:val="0"/>
    <w:pPr>
      <w:adjustRightInd w:val="0"/>
    </w:pPr>
    <w:rPr>
      <w:rFonts w:ascii="宋体" w:hAnsi="Courier New"/>
      <w:szCs w:val="20"/>
    </w:rPr>
  </w:style>
  <w:style w:type="paragraph" w:customStyle="1" w:styleId="34">
    <w:name w:val="样式 正文文本缩进 + 行距: 1.5 倍行距"/>
    <w:basedOn w:val="12"/>
    <w:autoRedefine/>
    <w:qFormat/>
    <w:uiPriority w:val="0"/>
    <w:pPr>
      <w:spacing w:line="360" w:lineRule="auto"/>
      <w:ind w:left="0" w:leftChars="0" w:firstLine="560" w:firstLineChars="200"/>
    </w:pPr>
    <w:rPr>
      <w:b/>
      <w:bCs/>
      <w:sz w:val="28"/>
    </w:rPr>
  </w:style>
  <w:style w:type="character" w:customStyle="1" w:styleId="35">
    <w:name w:val="页脚 字符1"/>
    <w:link w:val="16"/>
    <w:autoRedefine/>
    <w:qFormat/>
    <w:locked/>
    <w:uiPriority w:val="99"/>
    <w:rPr>
      <w:sz w:val="18"/>
    </w:rPr>
  </w:style>
  <w:style w:type="character" w:customStyle="1" w:styleId="36">
    <w:name w:val="日期 字符1"/>
    <w:link w:val="14"/>
    <w:autoRedefine/>
    <w:qFormat/>
    <w:locked/>
    <w:uiPriority w:val="0"/>
    <w:rPr>
      <w:rFonts w:ascii="Times New Roman" w:hAnsi="Times New Roman" w:eastAsia="宋体"/>
      <w:sz w:val="24"/>
    </w:rPr>
  </w:style>
  <w:style w:type="character" w:customStyle="1" w:styleId="37">
    <w:name w:val="页脚 字符"/>
    <w:basedOn w:val="27"/>
    <w:autoRedefine/>
    <w:qFormat/>
    <w:uiPriority w:val="99"/>
  </w:style>
  <w:style w:type="character" w:customStyle="1" w:styleId="38">
    <w:name w:val="普通(网站) 字符"/>
    <w:link w:val="21"/>
    <w:autoRedefine/>
    <w:qFormat/>
    <w:locked/>
    <w:uiPriority w:val="0"/>
    <w:rPr>
      <w:rFonts w:ascii="宋体" w:hAnsi="宋体" w:eastAsia="宋体"/>
      <w:sz w:val="24"/>
    </w:rPr>
  </w:style>
  <w:style w:type="character" w:customStyle="1" w:styleId="39">
    <w:name w:val="正文文本 字符1"/>
    <w:autoRedefine/>
    <w:semiHidden/>
    <w:qFormat/>
    <w:uiPriority w:val="0"/>
    <w:rPr>
      <w:rFonts w:ascii="Times New Roman" w:hAnsi="Times New Roman" w:eastAsia="宋体"/>
      <w:sz w:val="24"/>
    </w:rPr>
  </w:style>
  <w:style w:type="character" w:customStyle="1" w:styleId="40">
    <w:name w:val="正文文本 字符"/>
    <w:link w:val="10"/>
    <w:autoRedefine/>
    <w:qFormat/>
    <w:locked/>
    <w:uiPriority w:val="0"/>
    <w:rPr>
      <w:sz w:val="18"/>
    </w:rPr>
  </w:style>
  <w:style w:type="character" w:customStyle="1" w:styleId="41">
    <w:name w:val="批注文字 字符"/>
    <w:link w:val="9"/>
    <w:autoRedefine/>
    <w:qFormat/>
    <w:locked/>
    <w:uiPriority w:val="0"/>
    <w:rPr>
      <w:rFonts w:ascii="Times New Roman" w:hAnsi="Times New Roman" w:eastAsia="宋体"/>
      <w:sz w:val="24"/>
    </w:rPr>
  </w:style>
  <w:style w:type="character" w:customStyle="1" w:styleId="42">
    <w:name w:val="表格 Char"/>
    <w:link w:val="43"/>
    <w:autoRedefine/>
    <w:qFormat/>
    <w:locked/>
    <w:uiPriority w:val="0"/>
    <w:rPr>
      <w:rFonts w:ascii="宋体"/>
      <w:sz w:val="21"/>
    </w:rPr>
  </w:style>
  <w:style w:type="paragraph" w:customStyle="1" w:styleId="43">
    <w:name w:val="表格"/>
    <w:basedOn w:val="1"/>
    <w:next w:val="1"/>
    <w:link w:val="42"/>
    <w:autoRedefine/>
    <w:qFormat/>
    <w:uiPriority w:val="0"/>
    <w:pPr>
      <w:adjustRightInd w:val="0"/>
      <w:snapToGrid w:val="0"/>
      <w:spacing w:beforeLines="10" w:afterLines="10" w:line="259" w:lineRule="auto"/>
      <w:jc w:val="center"/>
    </w:pPr>
    <w:rPr>
      <w:rFonts w:ascii="宋体"/>
      <w:kern w:val="0"/>
      <w:szCs w:val="20"/>
    </w:rPr>
  </w:style>
  <w:style w:type="character" w:customStyle="1" w:styleId="44">
    <w:name w:val="日期 字符"/>
    <w:autoRedefine/>
    <w:semiHidden/>
    <w:qFormat/>
    <w:uiPriority w:val="0"/>
    <w:rPr>
      <w:rFonts w:ascii="Times New Roman" w:hAnsi="Times New Roman" w:eastAsia="宋体"/>
      <w:sz w:val="24"/>
    </w:rPr>
  </w:style>
  <w:style w:type="character" w:customStyle="1" w:styleId="45">
    <w:name w:val="批注框文本 字符"/>
    <w:link w:val="15"/>
    <w:autoRedefine/>
    <w:semiHidden/>
    <w:qFormat/>
    <w:locked/>
    <w:uiPriority w:val="0"/>
    <w:rPr>
      <w:rFonts w:ascii="Times New Roman" w:hAnsi="Times New Roman" w:eastAsia="宋体"/>
      <w:sz w:val="18"/>
    </w:rPr>
  </w:style>
  <w:style w:type="character" w:customStyle="1" w:styleId="46">
    <w:name w:val="批注主题 字符"/>
    <w:link w:val="22"/>
    <w:autoRedefine/>
    <w:semiHidden/>
    <w:qFormat/>
    <w:locked/>
    <w:uiPriority w:val="0"/>
    <w:rPr>
      <w:rFonts w:ascii="Times New Roman" w:hAnsi="Times New Roman" w:eastAsia="宋体"/>
      <w:b/>
      <w:kern w:val="2"/>
      <w:sz w:val="24"/>
    </w:rPr>
  </w:style>
  <w:style w:type="character" w:customStyle="1" w:styleId="47">
    <w:name w:val="页眉 字符"/>
    <w:link w:val="17"/>
    <w:autoRedefine/>
    <w:qFormat/>
    <w:locked/>
    <w:uiPriority w:val="0"/>
    <w:rPr>
      <w:sz w:val="18"/>
    </w:rPr>
  </w:style>
  <w:style w:type="character" w:customStyle="1" w:styleId="48">
    <w:name w:val="批注文字 字符1"/>
    <w:autoRedefine/>
    <w:semiHidden/>
    <w:qFormat/>
    <w:uiPriority w:val="0"/>
    <w:rPr>
      <w:rFonts w:ascii="Times New Roman" w:hAnsi="Times New Roman" w:eastAsia="宋体"/>
      <w:sz w:val="24"/>
    </w:rPr>
  </w:style>
  <w:style w:type="character" w:customStyle="1" w:styleId="49">
    <w:name w:val="正文文本缩进 字符"/>
    <w:link w:val="12"/>
    <w:autoRedefine/>
    <w:semiHidden/>
    <w:qFormat/>
    <w:locked/>
    <w:uiPriority w:val="0"/>
    <w:rPr>
      <w:rFonts w:ascii="Times New Roman" w:hAnsi="Times New Roman" w:eastAsia="宋体"/>
      <w:sz w:val="24"/>
    </w:rPr>
  </w:style>
  <w:style w:type="paragraph" w:customStyle="1" w:styleId="50">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1">
    <w:name w:val="普通(网站)2"/>
    <w:basedOn w:val="1"/>
    <w:autoRedefine/>
    <w:qFormat/>
    <w:uiPriority w:val="0"/>
    <w:pPr>
      <w:widowControl/>
      <w:spacing w:before="100" w:beforeAutospacing="1" w:after="100" w:afterAutospacing="1"/>
      <w:jc w:val="left"/>
    </w:pPr>
    <w:rPr>
      <w:rFonts w:ascii="宋体" w:hAnsi="宋体"/>
      <w:sz w:val="24"/>
      <w:szCs w:val="20"/>
    </w:rPr>
  </w:style>
  <w:style w:type="character" w:customStyle="1" w:styleId="52">
    <w:name w:val="正文文本首行缩进 字符"/>
    <w:basedOn w:val="40"/>
    <w:link w:val="23"/>
    <w:autoRedefine/>
    <w:qFormat/>
    <w:uiPriority w:val="0"/>
    <w:rPr>
      <w:kern w:val="2"/>
      <w:sz w:val="21"/>
      <w:szCs w:val="24"/>
    </w:rPr>
  </w:style>
  <w:style w:type="character" w:customStyle="1" w:styleId="53">
    <w:name w:val="正文文本首行缩进 2 字符"/>
    <w:basedOn w:val="49"/>
    <w:link w:val="24"/>
    <w:autoRedefine/>
    <w:qFormat/>
    <w:uiPriority w:val="0"/>
    <w:rPr>
      <w:rFonts w:ascii="Times New Roman" w:hAnsi="Times New Roman" w:eastAsia="宋体"/>
      <w:kern w:val="2"/>
      <w:sz w:val="21"/>
      <w:szCs w:val="24"/>
    </w:rPr>
  </w:style>
  <w:style w:type="paragraph" w:customStyle="1" w:styleId="54">
    <w:name w:val="Table Paragraph"/>
    <w:basedOn w:val="1"/>
    <w:autoRedefine/>
    <w:qFormat/>
    <w:uiPriority w:val="1"/>
    <w:rPr>
      <w:rFonts w:ascii="宋体" w:hAnsi="宋体" w:cs="宋体"/>
      <w:lang w:val="zh-CN" w:bidi="zh-CN"/>
    </w:rPr>
  </w:style>
  <w:style w:type="paragraph" w:customStyle="1" w:styleId="55">
    <w:name w:val="正文加粗"/>
    <w:basedOn w:val="1"/>
    <w:autoRedefine/>
    <w:qFormat/>
    <w:uiPriority w:val="0"/>
    <w:pPr>
      <w:spacing w:line="360" w:lineRule="auto"/>
      <w:ind w:firstLine="200" w:firstLineChars="200"/>
    </w:pPr>
    <w:rPr>
      <w:b/>
    </w:rPr>
  </w:style>
  <w:style w:type="paragraph" w:customStyle="1" w:styleId="56">
    <w:name w:val="正文文本缩进 21"/>
    <w:basedOn w:val="1"/>
    <w:autoRedefine/>
    <w:qFormat/>
    <w:uiPriority w:val="0"/>
    <w:pPr>
      <w:adjustRightInd w:val="0"/>
      <w:spacing w:line="460" w:lineRule="exact"/>
      <w:ind w:firstLine="480"/>
      <w:textAlignment w:val="baseline"/>
    </w:pPr>
    <w:rPr>
      <w:sz w:val="24"/>
      <w:szCs w:val="20"/>
    </w:rPr>
  </w:style>
  <w:style w:type="paragraph" w:customStyle="1" w:styleId="57">
    <w:name w:val="表格内容"/>
    <w:basedOn w:val="58"/>
    <w:autoRedefine/>
    <w:qFormat/>
    <w:uiPriority w:val="0"/>
    <w:pPr>
      <w:keepLines/>
      <w:suppressAutoHyphens/>
      <w:adjustRightInd w:val="0"/>
      <w:snapToGrid w:val="0"/>
      <w:spacing w:line="240" w:lineRule="atLeast"/>
      <w:jc w:val="center"/>
    </w:pPr>
    <w:rPr>
      <w:rFonts w:ascii="Calibri" w:hAnsi="Calibri"/>
      <w:kern w:val="0"/>
      <w:szCs w:val="18"/>
    </w:rPr>
  </w:style>
  <w:style w:type="paragraph" w:customStyle="1" w:styleId="58">
    <w:name w:val="表格标题"/>
    <w:basedOn w:val="59"/>
    <w:autoRedefine/>
    <w:qFormat/>
    <w:uiPriority w:val="0"/>
    <w:pPr>
      <w:jc w:val="center"/>
    </w:pPr>
    <w:rPr>
      <w:b/>
    </w:rPr>
  </w:style>
  <w:style w:type="paragraph" w:customStyle="1" w:styleId="59">
    <w:name w:val="方案正文"/>
    <w:basedOn w:val="1"/>
    <w:qFormat/>
    <w:uiPriority w:val="0"/>
    <w:pPr>
      <w:spacing w:before="156" w:beforeLines="50" w:after="156" w:afterLines="50"/>
    </w:pPr>
    <w:rPr>
      <w:spacing w:val="14"/>
      <w:kern w:val="0"/>
      <w:szCs w:val="24"/>
    </w:rPr>
  </w:style>
  <w:style w:type="paragraph" w:customStyle="1" w:styleId="60">
    <w:name w:val="表标题"/>
    <w:basedOn w:val="1"/>
    <w:next w:val="1"/>
    <w:autoRedefine/>
    <w:qFormat/>
    <w:uiPriority w:val="0"/>
    <w:pPr>
      <w:adjustRightInd w:val="0"/>
      <w:snapToGrid w:val="0"/>
      <w:spacing w:line="360" w:lineRule="auto"/>
      <w:jc w:val="center"/>
      <w:textAlignment w:val="baseline"/>
    </w:pPr>
    <w:rPr>
      <w:b/>
      <w:bCs/>
      <w:kern w:val="0"/>
    </w:rPr>
  </w:style>
  <w:style w:type="character" w:customStyle="1" w:styleId="61">
    <w:name w:val="表格 Char1"/>
    <w:autoRedefine/>
    <w:qFormat/>
    <w:uiPriority w:val="0"/>
    <w:rPr>
      <w:kern w:val="2"/>
      <w:sz w:val="21"/>
      <w:szCs w:val="24"/>
    </w:rPr>
  </w:style>
  <w:style w:type="paragraph" w:customStyle="1" w:styleId="62">
    <w:name w:val="表图"/>
    <w:basedOn w:val="1"/>
    <w:autoRedefine/>
    <w:qFormat/>
    <w:uiPriority w:val="0"/>
    <w:pPr>
      <w:spacing w:line="320" w:lineRule="exact"/>
      <w:jc w:val="center"/>
    </w:pPr>
    <w:rPr>
      <w:rFonts w:ascii="Calibri" w:hAnsi="Calibri" w:cs="黑体"/>
      <w:szCs w:val="20"/>
    </w:rPr>
  </w:style>
  <w:style w:type="paragraph" w:customStyle="1" w:styleId="63">
    <w:name w:val="表格文字"/>
    <w:basedOn w:val="64"/>
    <w:next w:val="1"/>
    <w:autoRedefine/>
    <w:qFormat/>
    <w:uiPriority w:val="0"/>
    <w:pPr>
      <w:jc w:val="center"/>
    </w:pPr>
    <w:rPr>
      <w:kern w:val="0"/>
    </w:rPr>
  </w:style>
  <w:style w:type="paragraph" w:customStyle="1" w:styleId="64">
    <w:name w:val="样式1"/>
    <w:basedOn w:val="6"/>
    <w:autoRedefine/>
    <w:qFormat/>
    <w:uiPriority w:val="0"/>
    <w:pPr>
      <w:ind w:firstLine="510"/>
    </w:pPr>
    <w:rPr>
      <w:szCs w:val="20"/>
    </w:rPr>
  </w:style>
  <w:style w:type="paragraph" w:styleId="65">
    <w:name w:val="List Paragraph"/>
    <w:basedOn w:val="1"/>
    <w:autoRedefine/>
    <w:qFormat/>
    <w:uiPriority w:val="0"/>
    <w:pPr>
      <w:ind w:firstLine="420" w:firstLineChars="200"/>
    </w:pPr>
  </w:style>
  <w:style w:type="character" w:styleId="66">
    <w:name w:val="Placeholder Text"/>
    <w:basedOn w:val="27"/>
    <w:autoRedefine/>
    <w:semiHidden/>
    <w:qFormat/>
    <w:uiPriority w:val="99"/>
    <w:rPr>
      <w:color w:val="808080"/>
    </w:rPr>
  </w:style>
  <w:style w:type="table" w:customStyle="1" w:styleId="67">
    <w:name w:val="Table Normal"/>
    <w:autoRedefine/>
    <w:semiHidden/>
    <w:unhideWhenUsed/>
    <w:qFormat/>
    <w:uiPriority w:val="0"/>
    <w:tblPr>
      <w:tblCellMar>
        <w:top w:w="0" w:type="dxa"/>
        <w:left w:w="0" w:type="dxa"/>
        <w:bottom w:w="0" w:type="dxa"/>
        <w:right w:w="0" w:type="dxa"/>
      </w:tblCellMar>
    </w:tblPr>
  </w:style>
  <w:style w:type="character" w:customStyle="1" w:styleId="68">
    <w:name w:val="font31"/>
    <w:basedOn w:val="27"/>
    <w:autoRedefine/>
    <w:qFormat/>
    <w:uiPriority w:val="0"/>
    <w:rPr>
      <w:rFonts w:hint="eastAsia" w:ascii="宋体" w:hAnsi="宋体" w:eastAsia="宋体" w:cs="宋体"/>
      <w:color w:val="000000"/>
      <w:sz w:val="24"/>
      <w:szCs w:val="24"/>
      <w:u w:val="none"/>
    </w:rPr>
  </w:style>
  <w:style w:type="character" w:customStyle="1" w:styleId="69">
    <w:name w:val="font21"/>
    <w:basedOn w:val="27"/>
    <w:autoRedefine/>
    <w:qFormat/>
    <w:uiPriority w:val="0"/>
    <w:rPr>
      <w:rFonts w:hint="eastAsia" w:ascii="宋体" w:hAnsi="宋体" w:eastAsia="宋体" w:cs="宋体"/>
      <w:color w:val="000000"/>
      <w:sz w:val="24"/>
      <w:szCs w:val="24"/>
      <w:u w:val="none"/>
    </w:rPr>
  </w:style>
  <w:style w:type="paragraph" w:customStyle="1" w:styleId="70">
    <w:name w:val="报告表正文"/>
    <w:basedOn w:val="1"/>
    <w:autoRedefine/>
    <w:qFormat/>
    <w:uiPriority w:val="0"/>
    <w:pPr>
      <w:widowControl/>
      <w:adjustRightInd w:val="0"/>
      <w:spacing w:line="312" w:lineRule="auto"/>
      <w:ind w:left="113" w:right="113" w:firstLine="482"/>
      <w:jc w:val="left"/>
    </w:pPr>
    <w:rPr>
      <w:rFonts w:ascii="宋体" w:hAnsi="宋体" w:cs="宋体"/>
      <w:kern w:val="0"/>
      <w:sz w:val="24"/>
      <w:szCs w:val="20"/>
    </w:rPr>
  </w:style>
  <w:style w:type="paragraph" w:customStyle="1" w:styleId="71">
    <w:name w:val="Char Char Char Char Char Char Char"/>
    <w:basedOn w:val="1"/>
    <w:autoRedefine/>
    <w:qFormat/>
    <w:uiPriority w:val="0"/>
  </w:style>
  <w:style w:type="character" w:customStyle="1" w:styleId="72">
    <w:name w:val="正文（首行缩进两字） Char"/>
    <w:autoRedefine/>
    <w:qFormat/>
    <w:uiPriority w:val="0"/>
    <w:rPr>
      <w:rFonts w:eastAsia="宋体"/>
      <w:kern w:val="2"/>
      <w:sz w:val="24"/>
      <w:lang w:val="en-US" w:eastAsia="zh-CN"/>
    </w:rPr>
  </w:style>
  <w:style w:type="paragraph" w:customStyle="1" w:styleId="73">
    <w:name w:val="正文(首行缩进)"/>
    <w:basedOn w:val="1"/>
    <w:autoRedefine/>
    <w:qFormat/>
    <w:uiPriority w:val="0"/>
    <w:pPr>
      <w:spacing w:line="360" w:lineRule="auto"/>
      <w:ind w:firstLine="480" w:firstLineChars="200"/>
    </w:pPr>
    <w:rPr>
      <w:rFonts w:ascii="宋体" w:hAnsi="宋体"/>
      <w:kern w:val="24"/>
      <w:sz w:val="24"/>
      <w:szCs w:val="20"/>
    </w:rPr>
  </w:style>
  <w:style w:type="paragraph" w:customStyle="1" w:styleId="74">
    <w:name w:val="报告"/>
    <w:basedOn w:val="1"/>
    <w:autoRedefine/>
    <w:qFormat/>
    <w:uiPriority w:val="0"/>
    <w:pPr>
      <w:adjustRightInd w:val="0"/>
      <w:spacing w:line="360" w:lineRule="auto"/>
      <w:ind w:firstLine="505"/>
      <w:jc w:val="left"/>
      <w:textAlignment w:val="baseline"/>
    </w:pPr>
    <w:rPr>
      <w:kern w:val="0"/>
      <w:sz w:val="24"/>
    </w:rPr>
  </w:style>
  <w:style w:type="paragraph" w:customStyle="1" w:styleId="75">
    <w:name w:val="样式 正文首行缩进正文首行缩进 Char + 段前: 0.5 行"/>
    <w:basedOn w:val="23"/>
    <w:autoRedefine/>
    <w:qFormat/>
    <w:uiPriority w:val="0"/>
    <w:pPr>
      <w:spacing w:before="156" w:beforeLines="50" w:after="0" w:line="360" w:lineRule="auto"/>
      <w:ind w:firstLine="567" w:firstLineChars="0"/>
    </w:pPr>
    <w:rPr>
      <w:sz w:val="28"/>
      <w:szCs w:val="20"/>
    </w:rPr>
  </w:style>
  <w:style w:type="paragraph" w:customStyle="1" w:styleId="76">
    <w:name w:val="正文文本缩进 22"/>
    <w:basedOn w:val="1"/>
    <w:autoRedefine/>
    <w:qFormat/>
    <w:uiPriority w:val="0"/>
    <w:pPr>
      <w:adjustRightInd w:val="0"/>
      <w:spacing w:line="460" w:lineRule="exact"/>
      <w:ind w:firstLine="480"/>
      <w:textAlignment w:val="baseline"/>
    </w:pPr>
    <w:rPr>
      <w:sz w:val="24"/>
      <w:szCs w:val="20"/>
    </w:rPr>
  </w:style>
  <w:style w:type="paragraph" w:customStyle="1" w:styleId="77">
    <w:name w:val="1正文"/>
    <w:basedOn w:val="1"/>
    <w:autoRedefine/>
    <w:qFormat/>
    <w:uiPriority w:val="0"/>
    <w:pPr>
      <w:spacing w:line="360" w:lineRule="auto"/>
      <w:ind w:firstLine="200" w:firstLineChars="200"/>
    </w:pPr>
    <w:rPr>
      <w:sz w:val="24"/>
    </w:rPr>
  </w:style>
  <w:style w:type="paragraph" w:customStyle="1" w:styleId="78">
    <w:name w:val="表头"/>
    <w:basedOn w:val="3"/>
    <w:autoRedefine/>
    <w:qFormat/>
    <w:uiPriority w:val="0"/>
    <w:pPr>
      <w:spacing w:before="0" w:beforeAutospacing="0" w:after="50" w:afterLines="50" w:afterAutospacing="0"/>
      <w:jc w:val="center"/>
      <w:outlineLvl w:val="9"/>
    </w:pPr>
    <w:rPr>
      <w:rFonts w:ascii="黑体" w:hAnsi="黑体" w:eastAsia="黑体" w:cs="黑体"/>
      <w:bCs/>
      <w:spacing w:val="4"/>
      <w:sz w:val="24"/>
      <w:szCs w:val="24"/>
    </w:rPr>
  </w:style>
  <w:style w:type="paragraph" w:customStyle="1" w:styleId="79">
    <w:name w:val="表内容"/>
    <w:basedOn w:val="1"/>
    <w:autoRedefine/>
    <w:qFormat/>
    <w:uiPriority w:val="0"/>
    <w:pPr>
      <w:widowControl/>
      <w:tabs>
        <w:tab w:val="left" w:pos="-2400"/>
        <w:tab w:val="left" w:pos="1320"/>
        <w:tab w:val="left" w:pos="3878"/>
        <w:tab w:val="left" w:pos="6080"/>
        <w:tab w:val="left" w:pos="6580"/>
        <w:tab w:val="left" w:pos="8137"/>
      </w:tabs>
      <w:jc w:val="center"/>
      <w:textAlignment w:val="center"/>
    </w:pPr>
    <w:rPr>
      <w:snapToGrid w:val="0"/>
      <w:kern w:val="0"/>
      <w:szCs w:val="21"/>
      <w:lang w:val="zh-CN"/>
    </w:rPr>
  </w:style>
  <w:style w:type="paragraph" w:customStyle="1" w:styleId="80">
    <w:name w:val="表格文字-hao-居中"/>
    <w:autoRedefine/>
    <w:qFormat/>
    <w:uiPriority w:val="0"/>
    <w:pPr>
      <w:adjustRightInd w:val="0"/>
      <w:snapToGrid w:val="0"/>
      <w:jc w:val="center"/>
      <w:textAlignment w:val="center"/>
    </w:pPr>
    <w:rPr>
      <w:rFonts w:ascii="Times New Roman" w:hAnsi="Times New Roman" w:eastAsia="宋体" w:cs="Times New Roman"/>
      <w:sz w:val="21"/>
      <w:szCs w:val="24"/>
      <w:lang w:val="en-US" w:eastAsia="zh-CN" w:bidi="ar-SA"/>
    </w:rPr>
  </w:style>
  <w:style w:type="paragraph" w:customStyle="1" w:styleId="81">
    <w:name w:val="封面正文"/>
    <w:autoRedefine/>
    <w:qFormat/>
    <w:uiPriority w:val="0"/>
    <w:pPr>
      <w:jc w:val="both"/>
    </w:pPr>
    <w:rPr>
      <w:rFonts w:ascii="Times New Roman" w:hAnsi="Times New Roman" w:eastAsia="宋体" w:cs="Times New Roman"/>
      <w:lang w:val="en-US" w:eastAsia="zh-CN" w:bidi="ar-SA"/>
    </w:rPr>
  </w:style>
  <w:style w:type="paragraph" w:customStyle="1" w:styleId="82">
    <w:name w:val="填表5中"/>
    <w:basedOn w:val="1"/>
    <w:next w:val="1"/>
    <w:autoRedefine/>
    <w:qFormat/>
    <w:uiPriority w:val="0"/>
    <w:pPr>
      <w:snapToGrid w:val="0"/>
      <w:jc w:val="center"/>
    </w:pPr>
    <w:rPr>
      <w:rFonts w:ascii="宋体"/>
      <w:szCs w:val="21"/>
    </w:rPr>
  </w:style>
  <w:style w:type="paragraph" w:customStyle="1" w:styleId="83">
    <w:name w:val="正文文本 21"/>
    <w:basedOn w:val="1"/>
    <w:autoRedefine/>
    <w:qFormat/>
    <w:uiPriority w:val="0"/>
    <w:pPr>
      <w:adjustRightInd w:val="0"/>
      <w:spacing w:line="440" w:lineRule="exact"/>
      <w:ind w:firstLine="480"/>
      <w:textAlignment w:val="baseline"/>
    </w:pPr>
    <w:rPr>
      <w:rFonts w:ascii="Arial" w:hAnsi="Arial"/>
    </w:rPr>
  </w:style>
  <w:style w:type="paragraph" w:customStyle="1" w:styleId="84">
    <w:name w:val="正文表头"/>
    <w:basedOn w:val="1"/>
    <w:autoRedefine/>
    <w:qFormat/>
    <w:uiPriority w:val="0"/>
    <w:pPr>
      <w:autoSpaceDE w:val="0"/>
      <w:autoSpaceDN w:val="0"/>
      <w:adjustRightInd w:val="0"/>
      <w:spacing w:line="360" w:lineRule="auto"/>
      <w:jc w:val="center"/>
    </w:pPr>
    <w:rPr>
      <w:b/>
      <w:color w:val="000000"/>
      <w:kern w:val="0"/>
      <w:sz w:val="24"/>
    </w:rPr>
  </w:style>
  <w:style w:type="paragraph" w:customStyle="1" w:styleId="85">
    <w:name w:val="正文表格"/>
    <w:basedOn w:val="86"/>
    <w:autoRedefine/>
    <w:qFormat/>
    <w:uiPriority w:val="0"/>
    <w:pPr>
      <w:adjustRightInd/>
      <w:snapToGrid/>
      <w:spacing w:beforeLines="0" w:afterLines="0"/>
    </w:pPr>
  </w:style>
  <w:style w:type="paragraph" w:customStyle="1" w:styleId="86">
    <w:name w:val="表格A"/>
    <w:basedOn w:val="1"/>
    <w:autoRedefine/>
    <w:qFormat/>
    <w:uiPriority w:val="0"/>
    <w:pPr>
      <w:adjustRightInd w:val="0"/>
      <w:snapToGrid w:val="0"/>
      <w:spacing w:beforeLines="30" w:afterLines="30"/>
      <w:jc w:val="center"/>
    </w:pPr>
    <w:rPr>
      <w:szCs w:val="21"/>
    </w:rPr>
  </w:style>
  <w:style w:type="paragraph" w:customStyle="1" w:styleId="87">
    <w:name w:val="正文（首行缩进两字）m"/>
    <w:basedOn w:val="7"/>
    <w:autoRedefine/>
    <w:qFormat/>
    <w:uiPriority w:val="0"/>
    <w:pPr>
      <w:tabs>
        <w:tab w:val="left" w:pos="1848"/>
        <w:tab w:val="left" w:pos="6061"/>
        <w:tab w:val="left" w:pos="8665"/>
      </w:tabs>
      <w:adjustRightInd w:val="0"/>
      <w:snapToGrid w:val="0"/>
      <w:spacing w:before="156" w:beforeLines="50" w:line="460" w:lineRule="exact"/>
      <w:ind w:firstLine="480"/>
    </w:pPr>
    <w:rPr>
      <w:color w:val="339966"/>
      <w:sz w:val="24"/>
      <w:szCs w:val="20"/>
    </w:rPr>
  </w:style>
  <w:style w:type="character" w:customStyle="1" w:styleId="88">
    <w:name w:val="ggzbt011"/>
    <w:basedOn w:val="27"/>
    <w:autoRedefine/>
    <w:qFormat/>
    <w:uiPriority w:val="0"/>
  </w:style>
  <w:style w:type="paragraph" w:customStyle="1" w:styleId="89">
    <w:name w:val="WPSOffice手动目录 1"/>
    <w:autoRedefine/>
    <w:qFormat/>
    <w:uiPriority w:val="0"/>
    <w:rPr>
      <w:rFonts w:ascii="Times New Roman" w:hAnsi="Times New Roman" w:eastAsia="宋体" w:cs="Times New Roman"/>
      <w:lang w:val="en-US" w:eastAsia="zh-CN" w:bidi="ar-SA"/>
    </w:rPr>
  </w:style>
  <w:style w:type="character" w:customStyle="1" w:styleId="90">
    <w:name w:val="标题12"/>
    <w:autoRedefine/>
    <w:qFormat/>
    <w:uiPriority w:val="0"/>
    <w:rPr>
      <w:bCs/>
      <w:sz w:val="24"/>
      <w:szCs w:val="20"/>
    </w:rPr>
  </w:style>
  <w:style w:type="paragraph" w:customStyle="1" w:styleId="91">
    <w:name w:val="Normal Indent1"/>
    <w:basedOn w:val="1"/>
    <w:autoRedefine/>
    <w:qFormat/>
    <w:uiPriority w:val="0"/>
    <w:pPr>
      <w:ind w:firstLine="420" w:firstLineChars="200"/>
    </w:pPr>
  </w:style>
  <w:style w:type="paragraph" w:customStyle="1" w:styleId="92">
    <w:name w:val="正本"/>
    <w:basedOn w:val="1"/>
    <w:autoRedefine/>
    <w:qFormat/>
    <w:uiPriority w:val="0"/>
    <w:pPr>
      <w:adjustRightInd w:val="0"/>
      <w:snapToGrid w:val="0"/>
      <w:spacing w:line="360" w:lineRule="auto"/>
      <w:ind w:firstLine="200" w:firstLineChars="200"/>
    </w:pPr>
    <w:rPr>
      <w:rFonts w:ascii="宋体"/>
      <w:sz w:val="24"/>
    </w:rPr>
  </w:style>
  <w:style w:type="paragraph" w:customStyle="1" w:styleId="93">
    <w:name w:val="文本正文"/>
    <w:basedOn w:val="1"/>
    <w:autoRedefine/>
    <w:qFormat/>
    <w:uiPriority w:val="0"/>
    <w:pPr>
      <w:snapToGrid w:val="0"/>
      <w:spacing w:line="360" w:lineRule="auto"/>
      <w:ind w:firstLine="510"/>
      <w:jc w:val="left"/>
    </w:pPr>
    <w:rPr>
      <w:spacing w:val="4"/>
      <w:kern w:val="24"/>
      <w:lang w:val="zh-CN"/>
    </w:rPr>
  </w:style>
  <w:style w:type="paragraph" w:customStyle="1" w:styleId="94">
    <w:name w:val="样式 标题 1 + 四号 段前: 0 磅 段后: 0 磅 行距: 1.5 倍行距"/>
    <w:basedOn w:val="70"/>
    <w:next w:val="93"/>
    <w:autoRedefine/>
    <w:qFormat/>
    <w:uiPriority w:val="0"/>
    <w:pPr>
      <w:spacing w:line="360" w:lineRule="auto"/>
      <w:jc w:val="center"/>
    </w:pPr>
  </w:style>
  <w:style w:type="paragraph" w:customStyle="1" w:styleId="95">
    <w:name w:val="表格正文"/>
    <w:basedOn w:val="1"/>
    <w:next w:val="1"/>
    <w:autoRedefine/>
    <w:qFormat/>
    <w:uiPriority w:val="0"/>
    <w:pPr>
      <w:jc w:val="center"/>
    </w:pPr>
  </w:style>
  <w:style w:type="paragraph" w:customStyle="1" w:styleId="96">
    <w:name w:val="宋体正文"/>
    <w:basedOn w:val="1"/>
    <w:autoRedefine/>
    <w:qFormat/>
    <w:uiPriority w:val="0"/>
    <w:pPr>
      <w:spacing w:line="360" w:lineRule="auto"/>
    </w:pPr>
    <w:rPr>
      <w:sz w:val="24"/>
    </w:rPr>
  </w:style>
  <w:style w:type="paragraph" w:customStyle="1" w:styleId="97">
    <w:name w:val="宋体正文1"/>
    <w:basedOn w:val="1"/>
    <w:autoRedefine/>
    <w:qFormat/>
    <w:uiPriority w:val="0"/>
    <w:pPr>
      <w:spacing w:line="360" w:lineRule="auto"/>
    </w:pPr>
    <w:rPr>
      <w:sz w:val="28"/>
    </w:rPr>
  </w:style>
  <w:style w:type="paragraph" w:customStyle="1" w:styleId="98">
    <w:name w:val="chart内容"/>
    <w:basedOn w:val="1"/>
    <w:autoRedefine/>
    <w:qFormat/>
    <w:uiPriority w:val="0"/>
    <w:pPr>
      <w:jc w:val="center"/>
    </w:pPr>
    <w:rPr>
      <w:bCs/>
      <w:color w:val="000000"/>
      <w:kern w:val="0"/>
      <w:szCs w:val="21"/>
      <w:lang w:eastAsia="en-US"/>
    </w:rPr>
  </w:style>
  <w:style w:type="paragraph" w:customStyle="1" w:styleId="99">
    <w:name w:val="表文字"/>
    <w:basedOn w:val="1"/>
    <w:autoRedefine/>
    <w:qFormat/>
    <w:uiPriority w:val="0"/>
    <w:pPr>
      <w:jc w:val="center"/>
    </w:pPr>
    <w:rPr>
      <w:szCs w:val="20"/>
    </w:rPr>
  </w:style>
  <w:style w:type="paragraph" w:customStyle="1" w:styleId="100">
    <w:name w:val="表头1"/>
    <w:basedOn w:val="1"/>
    <w:next w:val="1"/>
    <w:autoRedefine/>
    <w:qFormat/>
    <w:uiPriority w:val="0"/>
    <w:pPr>
      <w:jc w:val="center"/>
    </w:pPr>
    <w:rPr>
      <w:b/>
      <w:color w:val="000000"/>
      <w:szCs w:val="20"/>
    </w:rPr>
  </w:style>
  <w:style w:type="paragraph" w:customStyle="1" w:styleId="101">
    <w:name w:val="正文1"/>
    <w:next w:val="1"/>
    <w:autoRedefine/>
    <w:qFormat/>
    <w:uiPriority w:val="0"/>
    <w:rPr>
      <w:rFonts w:ascii="Times New Roman" w:hAnsi="Times New Roman" w:eastAsia="宋体" w:cs="Times New Roman"/>
      <w:lang w:val="en-US" w:eastAsia="zh-CN" w:bidi="ar-SA"/>
    </w:rPr>
  </w:style>
  <w:style w:type="character" w:customStyle="1" w:styleId="102">
    <w:name w:val="font11"/>
    <w:basedOn w:val="27"/>
    <w:qFormat/>
    <w:uiPriority w:val="0"/>
    <w:rPr>
      <w:rFonts w:hint="eastAsia" w:ascii="宋体" w:hAnsi="宋体" w:eastAsia="宋体" w:cs="宋体"/>
      <w:color w:val="000000"/>
      <w:sz w:val="21"/>
      <w:szCs w:val="21"/>
      <w:u w:val="none"/>
    </w:rPr>
  </w:style>
  <w:style w:type="paragraph" w:customStyle="1" w:styleId="103">
    <w:name w:val="样式 (西文) Times New Roman 小四 行距: 1.5 倍行距 首行缩进:  2 字符"/>
    <w:basedOn w:val="1"/>
    <w:autoRedefine/>
    <w:qFormat/>
    <w:uiPriority w:val="0"/>
    <w:pPr>
      <w:spacing w:line="360" w:lineRule="auto"/>
      <w:ind w:firstLine="480" w:firstLineChars="200"/>
    </w:pPr>
    <w:rPr>
      <w:rFonts w:ascii="Times New Roman" w:hAnsi="Times New Roman" w:cs="宋体"/>
      <w:sz w:val="24"/>
      <w:szCs w:val="20"/>
    </w:rPr>
  </w:style>
  <w:style w:type="character" w:customStyle="1" w:styleId="104">
    <w:name w:val="font121"/>
    <w:basedOn w:val="27"/>
    <w:autoRedefine/>
    <w:qFormat/>
    <w:uiPriority w:val="0"/>
    <w:rPr>
      <w:rFonts w:hint="default" w:ascii="Times New Roman" w:hAnsi="Times New Roman" w:cs="Times New Roman"/>
      <w:color w:val="000000"/>
      <w:sz w:val="21"/>
      <w:szCs w:val="21"/>
      <w:u w:val="none"/>
      <w:vertAlign w:val="superscript"/>
    </w:rPr>
  </w:style>
  <w:style w:type="paragraph" w:customStyle="1" w:styleId="105">
    <w:name w:val="样式 五号 行距: 单倍行距"/>
    <w:basedOn w:val="1"/>
    <w:qFormat/>
    <w:uiPriority w:val="0"/>
    <w:pPr>
      <w:widowControl/>
      <w:tabs>
        <w:tab w:val="left" w:pos="2040"/>
      </w:tabs>
    </w:pPr>
    <w:rPr>
      <w:rFonts w:ascii="Calibri" w:hAnsi="Calibri" w:cs="宋体"/>
      <w:kern w:val="0"/>
      <w:szCs w:val="20"/>
    </w:rPr>
  </w:style>
  <w:style w:type="paragraph" w:customStyle="1" w:styleId="106">
    <w:name w:val="GT正文"/>
    <w:basedOn w:val="1"/>
    <w:qFormat/>
    <w:uiPriority w:val="0"/>
    <w:pPr>
      <w:topLinePunct/>
      <w:adjustRightInd w:val="0"/>
      <w:snapToGrid w:val="0"/>
      <w:spacing w:line="360" w:lineRule="auto"/>
      <w:ind w:firstLine="480" w:firstLineChars="200"/>
    </w:pPr>
    <w:rPr>
      <w:sz w:val="24"/>
    </w:rPr>
  </w:style>
  <w:style w:type="paragraph" w:customStyle="1" w:styleId="107">
    <w:name w:val="1、正文文本"/>
    <w:next w:val="1"/>
    <w:autoRedefine/>
    <w:qFormat/>
    <w:uiPriority w:val="0"/>
    <w:pPr>
      <w:adjustRightInd w:val="0"/>
      <w:snapToGrid w:val="0"/>
      <w:spacing w:line="360" w:lineRule="auto"/>
      <w:ind w:firstLine="200" w:firstLineChars="200"/>
      <w:jc w:val="both"/>
    </w:pPr>
    <w:rPr>
      <w:rFonts w:ascii="Times New Roman" w:hAnsi="Times New Roman" w:eastAsia="宋体" w:cs="宋体"/>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extobjs>
    <extobj name="ECB019B1-382A-4266-B25C-5B523AA43C14-1">
      <extobjdata type="ECB019B1-382A-4266-B25C-5B523AA43C14" data="ewoJIkZpbGVJZCIgOiAiNDUyMjk4MTEwNjU2IiwKCSJHcm91cElkIiA6ICI0NTYwNTE0MTgiLAoJIkltYWdlIiA6ICJpVkJPUncwS0dnb0FBQUFOU1VoRVVnQUFBeUVBQUFGU0NBWUFBQURseDlDMUFBQUFBWE5TUjBJQXJzNGM2UUFBSUFCSlJFRlVlSnpzM1hsWVZPWGJCL0R2bVJsV1pSSEYzTGZRQkZ3WTNBcHpMOXpTbEo5TFdhYWhLZTZhNXBvb21RR0tHeTZVbWl1dWhaYW01YjdoVWlxamtHaUdpV3U0b1NBcHl6RFArNGR3WHNZWk5rV0c1ZnU1cnE0NHozbk9tWHZHYzJibW5tY0R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"/>
    </extobj>
    <extobj name="ECB019B1-382A-4266-B25C-5B523AA43C14-2">
      <extobjdata type="ECB019B1-382A-4266-B25C-5B523AA43C14" data="ewoJIkZpbGVJZCIgOiAiNDUwNjg4NDgzODIzIiwKCSJHcm91cElkIiA6ICI0NTYwNTE0MTgiLAoJIkltYWdlIiA6ICJpVkJPUncwS0dnb0FBQUFOU1VoRVVnQUFBeEVBQUFISkNBWUFBQUQ2bGJRTkFBQUFBWE5TUjBJQXJzNGM2UUFBSUFCSlJFRlVlSnpzM1hsNEU5WDZCL0R2bWFSdFd0cFNxSEFCUWFvV0tRWGFUT29PS0NJZ1B4RlFYRkF2Z3NwVlhFRkJFTGlpaUNJQ0tvdktqcUlnaWlJaUFvcUNyRm9Cc3hTazdGaVFUVFpMS1czYUpuTitmNURrZGtuYXBBdHA0ZnQ1SGgrU21UTm4zdFJPT3UrY0RTQ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mdNdngvdFZBOXZzR211RW9BQUFBQVNVVk9SSzVDWUlJPSIsCgkiVGhlbWUiIDogIiIsCgkiVHlwZSIgOiAiZmxvdyIsCgkiVXNlcklkIiA6ICI0MTU2ODcyNzUiLAoJIlZlcnNpb24iIDogIjE0Igp9Cg=="/>
    </extobj>
  </extobj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7C1EBE-BE2B-4D01-A96B-024DB41BC9A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107</Pages>
  <Words>520</Words>
  <Characters>586</Characters>
  <Lines>484</Lines>
  <Paragraphs>136</Paragraphs>
  <TotalTime>30</TotalTime>
  <ScaleCrop>false</ScaleCrop>
  <LinksUpToDate>false</LinksUpToDate>
  <CharactersWithSpaces>642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2021-04-06T02:19:00Z</dcterms:created>
  <dc:creator>WX</dc:creator>
  <cp:lastModifiedBy>以夢为馬.</cp:lastModifiedBy>
  <cp:lastPrinted>2025-08-28T01:56:00Z</cp:lastPrinted>
  <dcterms:modified xsi:type="dcterms:W3CDTF">2026-06-15T00:54:08Z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28E550DFE4164FBF9171E1A15B838E58_13</vt:lpwstr>
  </property>
  <property fmtid="{D5CDD505-2E9C-101B-9397-08002B2CF9AE}" pid="4" name="KSOTemplateDocerSaveRecord">
    <vt:lpwstr>eyJoZGlkIjoiNDI0YWE5ZmUyMmQzNTNjZDc3MjkzMTVkM2Y1YmZlMjEiLCJ1c2VySWQiOiI0MTU2ODcyNzUifQ==</vt:lpwstr>
  </property>
</Properties>
</file>